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2833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40" w:lineRule="exact"/>
        <w:jc w:val="center"/>
        <w:textAlignment w:val="auto"/>
        <w:rPr>
          <w:rFonts w:ascii="方正小标宋简体" w:hAnsi="新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</w:rPr>
        <w:t>关于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  <w:lang w:val="en-US" w:eastAsia="zh-CN"/>
        </w:rPr>
        <w:t>市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</w:rPr>
        <w:t>政协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  <w:lang w:eastAsia="zh-CN"/>
        </w:rPr>
        <w:t>十五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</w:rPr>
        <w:t>届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  <w:lang w:val="en-US" w:eastAsia="zh-CN"/>
        </w:rPr>
        <w:t>五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</w:rPr>
        <w:t>次会议</w:t>
      </w:r>
    </w:p>
    <w:p w14:paraId="7EBE7B7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40" w:lineRule="exact"/>
        <w:jc w:val="center"/>
        <w:textAlignment w:val="auto"/>
        <w:rPr>
          <w:rFonts w:ascii="方正小标宋简体" w:hAnsi="新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</w:rPr>
        <w:t>第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  <w:lang w:val="en-US" w:eastAsia="zh-CN"/>
        </w:rPr>
        <w:t>0068</w:t>
      </w:r>
      <w:r>
        <w:rPr>
          <w:rFonts w:hint="eastAsia" w:ascii="方正小标宋简体" w:hAnsi="新宋体" w:eastAsia="方正小标宋简体" w:cs="方正小标宋简体"/>
          <w:color w:val="000000"/>
          <w:sz w:val="44"/>
          <w:szCs w:val="44"/>
        </w:rPr>
        <w:t>号提案答复</w:t>
      </w:r>
    </w:p>
    <w:p w14:paraId="1FC1043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ascii="仿宋_GB2312" w:hAnsi="新宋体" w:eastAsia="仿宋_GB2312"/>
          <w:color w:val="000000"/>
          <w:sz w:val="32"/>
          <w:szCs w:val="32"/>
        </w:rPr>
      </w:pPr>
    </w:p>
    <w:p w14:paraId="1B6CB81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</w:rPr>
        <w:t>蔡明华</w:t>
      </w:r>
      <w:r>
        <w:rPr>
          <w:rFonts w:hint="eastAsia" w:ascii="仿宋_GB2312" w:eastAsia="仿宋_GB2312"/>
          <w:sz w:val="32"/>
          <w:lang w:val="en-US" w:eastAsia="zh-CN"/>
        </w:rPr>
        <w:t>委员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</w:rPr>
        <w:t>：</w:t>
      </w:r>
    </w:p>
    <w:p w14:paraId="402B1CB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hint="eastAsia" w:ascii="仿宋_GB2312" w:hAnsi="新宋体" w:eastAsia="仿宋_GB2312" w:cs="仿宋_GB2312"/>
          <w:color w:val="000000"/>
          <w:sz w:val="32"/>
          <w:szCs w:val="32"/>
        </w:rPr>
        <w:t>您提出的《关于</w:t>
      </w:r>
      <w:bookmarkStart w:id="0" w:name="_GoBack"/>
      <w:bookmarkEnd w:id="0"/>
      <w:r>
        <w:rPr>
          <w:rFonts w:hint="eastAsia" w:ascii="仿宋_GB2312" w:eastAsia="仿宋_GB2312"/>
          <w:sz w:val="32"/>
        </w:rPr>
        <w:t>进一步做好粮食生产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</w:rPr>
        <w:t>的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  <w:lang w:eastAsia="zh-CN"/>
        </w:rPr>
        <w:t>建议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</w:rPr>
        <w:t>》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  <w:lang w:eastAsia="zh-CN"/>
        </w:rPr>
        <w:t>的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  <w:lang w:val="en-US" w:eastAsia="zh-CN"/>
        </w:rPr>
        <w:t>提案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</w:rPr>
        <w:t>收悉，现答复如下：</w:t>
      </w:r>
    </w:p>
    <w:p w14:paraId="5EB13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lang w:val="en-US" w:eastAsia="zh-CN"/>
        </w:rPr>
        <w:t>一是大力</w:t>
      </w:r>
      <w:r>
        <w:rPr>
          <w:rFonts w:hint="eastAsia" w:ascii="仿宋_GB2312" w:eastAsia="仿宋_GB2312"/>
          <w:b/>
          <w:bCs/>
          <w:sz w:val="32"/>
        </w:rPr>
        <w:t>培育种粮主体</w:t>
      </w:r>
      <w:r>
        <w:rPr>
          <w:rFonts w:hint="eastAsia" w:ascii="仿宋_GB2312" w:eastAsia="仿宋_GB2312"/>
          <w:b/>
          <w:bCs/>
          <w:sz w:val="32"/>
          <w:lang w:eastAsia="zh-CN"/>
        </w:rPr>
        <w:t>。</w:t>
      </w:r>
      <w:r>
        <w:rPr>
          <w:rFonts w:hint="eastAsia" w:ascii="仿宋_GB2312" w:eastAsia="仿宋_GB2312"/>
          <w:sz w:val="32"/>
        </w:rPr>
        <w:t>健全农业生产经营社会化服务，大力推广“服务主体＋农村集体经济组织＋农户”“农资＋服务”“科技＋服务”等托管服务模式，引导支持粮食加工企业向粮食产地下沉，为种地农户提供精准服务。</w:t>
      </w:r>
      <w:r>
        <w:rPr>
          <w:rFonts w:hint="eastAsia" w:ascii="仿宋_GB2312" w:eastAsia="仿宋_GB2312"/>
          <w:sz w:val="32"/>
          <w:lang w:val="en-US" w:eastAsia="zh-CN"/>
        </w:rPr>
        <w:t>截至目前，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埠镇已成功培育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农业企业3家，为江西秋闲生态农业开发有限公司、江西恒岗生态农业有限公司、涂表嫂食品有限公司；合作社15家，安义县兴华专业种养合作社、飞防专业合作社等；家庭农场11家；种粮大户59家。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水田流转面积21500亩，流转金额达752万，切实增强农户种粮积极性。</w:t>
      </w:r>
    </w:p>
    <w:p w14:paraId="55531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eastAsia="仿宋_GB2312" w:cs="Times New Roman"/>
          <w:sz w:val="32"/>
        </w:rPr>
      </w:pPr>
      <w:r>
        <w:rPr>
          <w:rFonts w:hint="eastAsia" w:ascii="仿宋_GB2312" w:eastAsia="仿宋_GB2312"/>
          <w:b/>
          <w:bCs/>
          <w:sz w:val="32"/>
          <w:lang w:val="en-US" w:eastAsia="zh-CN"/>
        </w:rPr>
        <w:t>二是</w:t>
      </w:r>
      <w:r>
        <w:rPr>
          <w:rFonts w:hint="eastAsia" w:ascii="仿宋_GB2312" w:eastAsia="仿宋_GB2312"/>
          <w:b/>
          <w:bCs/>
          <w:sz w:val="32"/>
        </w:rPr>
        <w:t>强化粮食安全保障</w:t>
      </w:r>
      <w:r>
        <w:rPr>
          <w:rFonts w:hint="eastAsia" w:ascii="仿宋_GB2312" w:eastAsia="仿宋_GB2312"/>
          <w:b/>
          <w:bCs/>
          <w:sz w:val="32"/>
          <w:lang w:eastAsia="zh-CN"/>
        </w:rPr>
        <w:t>。</w:t>
      </w:r>
      <w:r>
        <w:rPr>
          <w:rFonts w:hint="eastAsia" w:ascii="仿宋_GB2312" w:eastAsia="仿宋_GB2312"/>
          <w:sz w:val="32"/>
        </w:rPr>
        <w:t>严格耕地占补平衡管理，持续推进荒废育苗地清理、废旧庄基复垦复耕、大棚房和耕地违章建房清理整治，分类推进撂荒地利用。对无人耕种土地，鼓励引导土地经营权有序流转；对不具备耕作条件的，将符合建设标准的撂荒耕地纳入高标准农田建设范围，提升宜机作业水平。</w:t>
      </w:r>
      <w:r>
        <w:rPr>
          <w:rFonts w:hint="eastAsia" w:ascii="仿宋_GB2312" w:eastAsia="仿宋_GB2312" w:cs="Times New Roman"/>
          <w:sz w:val="32"/>
          <w:lang w:val="en-US" w:eastAsia="zh-CN"/>
        </w:rPr>
        <w:t>截至目前，长埠镇高标准农田建设已完成23991亩，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农业机械化率达95%，进一步强化粮食安全保障。</w:t>
      </w:r>
    </w:p>
    <w:p w14:paraId="51264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仿宋_GB2312" w:eastAsia="仿宋_GB2312" w:cs="Times New Roman"/>
          <w:b/>
          <w:bCs/>
          <w:sz w:val="32"/>
          <w:lang w:val="en-US" w:eastAsia="zh-CN"/>
        </w:rPr>
        <w:t>三是</w:t>
      </w:r>
      <w:r>
        <w:rPr>
          <w:rFonts w:hint="eastAsia" w:ascii="仿宋_GB2312" w:eastAsia="仿宋_GB2312"/>
          <w:b/>
          <w:bCs/>
          <w:sz w:val="32"/>
        </w:rPr>
        <w:t>加大政策扶持</w:t>
      </w:r>
      <w:r>
        <w:rPr>
          <w:rFonts w:hint="eastAsia" w:ascii="仿宋_GB2312" w:eastAsia="仿宋_GB2312"/>
          <w:b/>
          <w:bCs/>
          <w:sz w:val="32"/>
          <w:lang w:val="en-US" w:eastAsia="zh-CN"/>
        </w:rPr>
        <w:t>力度。</w:t>
      </w:r>
      <w:r>
        <w:rPr>
          <w:rFonts w:hint="eastAsia" w:ascii="仿宋_GB2312" w:eastAsia="仿宋_GB2312"/>
          <w:sz w:val="32"/>
        </w:rPr>
        <w:t>加大农业保险力度，持续推出适宜农作物种植和粮食生产的多种优质保险产品，提高财政保费补贴比例和理赔标准，简化理赔手续，逐步降低赔付标准、提高赔偿金额。</w:t>
      </w:r>
    </w:p>
    <w:p w14:paraId="577AE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lang w:eastAsia="zh-CN"/>
        </w:rPr>
      </w:pPr>
    </w:p>
    <w:p w14:paraId="19B69D9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新宋体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ascii="仿宋_GB2312" w:hAnsi="新宋体" w:eastAsia="仿宋_GB2312" w:cs="仿宋_GB2312"/>
          <w:color w:val="000000"/>
          <w:sz w:val="32"/>
          <w:szCs w:val="32"/>
        </w:rPr>
        <w:t xml:space="preserve">  </w:t>
      </w:r>
    </w:p>
    <w:p w14:paraId="233344A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新宋体" w:eastAsia="仿宋_GB2312" w:cs="仿宋_GB2312"/>
          <w:color w:val="000000"/>
          <w:sz w:val="32"/>
          <w:szCs w:val="32"/>
          <w:lang w:val="en-US" w:eastAsia="zh-CN"/>
        </w:rPr>
      </w:pPr>
    </w:p>
    <w:p w14:paraId="183A3CD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新宋体" w:eastAsia="仿宋_GB2312" w:cs="仿宋_GB2312"/>
          <w:color w:val="000000"/>
          <w:sz w:val="32"/>
          <w:szCs w:val="32"/>
          <w:lang w:val="en-US" w:eastAsia="zh-CN"/>
        </w:rPr>
      </w:pPr>
    </w:p>
    <w:p w14:paraId="08E3976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default" w:ascii="仿宋_GB2312" w:hAnsi="新宋体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新宋体" w:eastAsia="仿宋_GB2312" w:cs="仿宋_GB2312"/>
          <w:color w:val="000000"/>
          <w:sz w:val="32"/>
          <w:szCs w:val="32"/>
          <w:lang w:val="en-US" w:eastAsia="zh-CN"/>
        </w:rPr>
        <w:t>安义县长埠镇人民政府</w:t>
      </w:r>
    </w:p>
    <w:p w14:paraId="2ABEF6B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新宋体" w:eastAsia="仿宋_GB2312" w:cs="仿宋_GB2312"/>
          <w:color w:val="000000"/>
          <w:sz w:val="32"/>
          <w:szCs w:val="32"/>
        </w:rPr>
      </w:pPr>
      <w:r>
        <w:rPr>
          <w:rFonts w:ascii="仿宋_GB2312" w:hAnsi="新宋体" w:eastAsia="仿宋_GB2312" w:cs="仿宋_GB2312"/>
          <w:color w:val="000000"/>
          <w:sz w:val="32"/>
          <w:szCs w:val="32"/>
        </w:rPr>
        <w:t xml:space="preserve">                          </w:t>
      </w:r>
      <w:r>
        <w:rPr>
          <w:rFonts w:hint="eastAsia" w:ascii="仿宋_GB2312" w:hAnsi="新宋体" w:eastAsia="仿宋_GB2312" w:cs="仿宋_GB2312"/>
          <w:color w:val="000000"/>
          <w:sz w:val="32"/>
          <w:szCs w:val="32"/>
          <w:lang w:val="en-US" w:eastAsia="zh-CN"/>
        </w:rPr>
        <w:t xml:space="preserve">      </w:t>
      </w:r>
      <w:r>
        <w:rPr>
          <w:rFonts w:ascii="仿宋_GB2312" w:hAnsi="新宋体" w:eastAsia="仿宋_GB2312" w:cs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4月14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 w14:paraId="21910985">
      <w:pPr>
        <w:widowControl w:val="0"/>
        <w:spacing w:after="120" w:afterLines="0" w:afterAutospacing="0"/>
        <w:jc w:val="both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04596C8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40" w:lineRule="exact"/>
        <w:textAlignment w:val="auto"/>
        <w:rPr>
          <w:rFonts w:hint="eastAsia" w:ascii="仿宋_GB2312" w:hAnsi="新宋体" w:eastAsia="仿宋_GB2312" w:cs="仿宋_GB2312"/>
          <w:color w:val="000000"/>
          <w:sz w:val="32"/>
          <w:szCs w:val="32"/>
        </w:rPr>
      </w:pPr>
    </w:p>
    <w:p w14:paraId="760E0C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7A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panose1 w:val="02010609030101010101"/>
    <w:charset w:val="7A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C546D8"/>
    <w:rsid w:val="150B4413"/>
    <w:rsid w:val="24C546D8"/>
    <w:rsid w:val="58F7352A"/>
    <w:rsid w:val="5EFD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564</Words>
  <Characters>586</Characters>
  <Lines>0</Lines>
  <Paragraphs>0</Paragraphs>
  <TotalTime>6</TotalTime>
  <ScaleCrop>false</ScaleCrop>
  <LinksUpToDate>false</LinksUpToDate>
  <CharactersWithSpaces>622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2025-04-14T08:57:00Z</dcterms:created>
  <dc:creator>北冥有屿</dc:creator>
  <cp:lastModifiedBy>西北偏北</cp:lastModifiedBy>
  <dcterms:modified xsi:type="dcterms:W3CDTF">2026-01-28T03:21:03Z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19A7934B067A413597E4B475ADDBFCC7_13</vt:lpwstr>
  </property>
  <property fmtid="{D5CDD505-2E9C-101B-9397-08002B2CF9AE}" pid="4" name="KSOTemplateDocerSaveRecord">
    <vt:lpwstr>eyJoZGlkIjoiZjBhN2M5MTRiOWY3YzJmY2QzYTg1ZTM5YWExMTAyZjQiLCJ1c2VySWQiOiI2OTc0ODgzNDMifQ==</vt:lpwstr>
  </property>
</Properties>
</file>