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CB967">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江西安义高新技术产业园区管理委员会2025年法治政府建设工作情况报告</w:t>
      </w:r>
    </w:p>
    <w:p w14:paraId="2BAC8A88">
      <w:pPr>
        <w:keepNext w:val="0"/>
        <w:keepLines w:val="0"/>
        <w:pageBreakBefore w:val="0"/>
        <w:wordWrap/>
        <w:overflowPunct/>
        <w:topLinePunct w:val="0"/>
        <w:bidi w:val="0"/>
        <w:spacing w:line="560" w:lineRule="exact"/>
        <w:rPr>
          <w:rFonts w:hint="eastAsia" w:ascii="仿宋_GB2312" w:hAnsi="仿宋_GB2312" w:eastAsia="仿宋_GB2312" w:cs="仿宋_GB2312"/>
          <w:sz w:val="32"/>
          <w:szCs w:val="32"/>
          <w:lang w:val="en-US" w:eastAsia="zh-CN"/>
        </w:rPr>
      </w:pPr>
    </w:p>
    <w:p w14:paraId="441CBD7A">
      <w:pPr>
        <w:keepNext w:val="0"/>
        <w:keepLines w:val="0"/>
        <w:pageBreakBefore w:val="0"/>
        <w:wordWrap/>
        <w:overflowPunct/>
        <w:topLinePunct w:val="0"/>
        <w:bidi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中共安义县委、安义县人民政府：</w:t>
      </w:r>
    </w:p>
    <w:p w14:paraId="2424C0C5">
      <w:pPr>
        <w:pStyle w:val="7"/>
        <w:keepNext w:val="0"/>
        <w:keepLines w:val="0"/>
        <w:pageBreakBefore w:val="0"/>
        <w:wordWrap/>
        <w:overflowPunct/>
        <w:topLinePunct w:val="0"/>
        <w:bidi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2025年，江西安义</w:t>
      </w:r>
      <w:r>
        <w:rPr>
          <w:rFonts w:hint="eastAsia" w:ascii="仿宋_GB2312" w:hAnsi="仿宋_GB2312" w:eastAsia="仿宋_GB2312" w:cs="仿宋_GB2312"/>
          <w:sz w:val="32"/>
          <w:szCs w:val="32"/>
          <w:lang w:eastAsia="zh-CN"/>
        </w:rPr>
        <w:t>高新技术产业园区管</w:t>
      </w:r>
      <w:r>
        <w:rPr>
          <w:rFonts w:hint="eastAsia" w:ascii="仿宋_GB2312" w:hAnsi="仿宋_GB2312" w:eastAsia="仿宋_GB2312" w:cs="仿宋_GB2312"/>
          <w:sz w:val="32"/>
          <w:szCs w:val="32"/>
          <w:lang w:val="en-US" w:eastAsia="zh-CN"/>
        </w:rPr>
        <w:t>理</w:t>
      </w:r>
      <w:r>
        <w:rPr>
          <w:rFonts w:hint="eastAsia" w:ascii="仿宋_GB2312" w:hAnsi="仿宋_GB2312" w:eastAsia="仿宋_GB2312" w:cs="仿宋_GB2312"/>
          <w:sz w:val="32"/>
          <w:szCs w:val="32"/>
          <w:lang w:eastAsia="zh-CN"/>
        </w:rPr>
        <w:t>委</w:t>
      </w:r>
      <w:r>
        <w:rPr>
          <w:rFonts w:hint="eastAsia" w:ascii="仿宋_GB2312" w:hAnsi="仿宋_GB2312" w:eastAsia="仿宋_GB2312" w:cs="仿宋_GB2312"/>
          <w:sz w:val="32"/>
          <w:szCs w:val="32"/>
          <w:lang w:val="en-US" w:eastAsia="zh-CN"/>
        </w:rPr>
        <w:t>员</w:t>
      </w:r>
      <w:r>
        <w:rPr>
          <w:rFonts w:hint="eastAsia" w:ascii="仿宋_GB2312" w:hAnsi="仿宋_GB2312" w:eastAsia="仿宋_GB2312" w:cs="仿宋_GB2312"/>
          <w:sz w:val="32"/>
          <w:szCs w:val="32"/>
          <w:lang w:eastAsia="zh-CN"/>
        </w:rPr>
        <w:t>会紧紧围绕省、市、县委、县政府的工作部署，坚持以习近平新时代中国特色社会主义思想为指导，认真学习贯彻党的二十大和二十届历次全会精神以及习近平总书记关于法治政府建设的重要指示精神，切实落实党政主要负责人履行推进法治政府建设第一责任人的工作要求，把法治政府建设与企业发展相融合，较好地落实了法治政府建设相关工作</w:t>
      </w:r>
      <w:r>
        <w:rPr>
          <w:rFonts w:hint="eastAsia" w:ascii="仿宋_GB2312" w:eastAsia="仿宋_GB2312"/>
          <w:sz w:val="32"/>
          <w:szCs w:val="32"/>
        </w:rPr>
        <w:t>。现将</w:t>
      </w:r>
      <w:r>
        <w:rPr>
          <w:rFonts w:hint="eastAsia" w:ascii="仿宋_GB2312" w:eastAsia="仿宋_GB2312"/>
          <w:sz w:val="32"/>
          <w:szCs w:val="32"/>
          <w:lang w:eastAsia="zh-CN"/>
        </w:rPr>
        <w:t>江西安义高新技术产业园区管</w:t>
      </w:r>
      <w:r>
        <w:rPr>
          <w:rFonts w:hint="eastAsia" w:ascii="仿宋_GB2312" w:eastAsia="仿宋_GB2312"/>
          <w:sz w:val="32"/>
          <w:szCs w:val="32"/>
          <w:lang w:val="en-US" w:eastAsia="zh-CN"/>
        </w:rPr>
        <w:t>理</w:t>
      </w:r>
      <w:r>
        <w:rPr>
          <w:rFonts w:hint="eastAsia" w:ascii="仿宋_GB2312" w:eastAsia="仿宋_GB2312"/>
          <w:sz w:val="32"/>
          <w:szCs w:val="32"/>
          <w:lang w:eastAsia="zh-CN"/>
        </w:rPr>
        <w:t>委</w:t>
      </w:r>
      <w:r>
        <w:rPr>
          <w:rFonts w:hint="eastAsia" w:ascii="仿宋_GB2312" w:eastAsia="仿宋_GB2312"/>
          <w:sz w:val="32"/>
          <w:szCs w:val="32"/>
          <w:lang w:val="en-US" w:eastAsia="zh-CN"/>
        </w:rPr>
        <w:t>员</w:t>
      </w:r>
      <w:r>
        <w:rPr>
          <w:rFonts w:hint="eastAsia" w:ascii="仿宋_GB2312" w:eastAsia="仿宋_GB2312"/>
          <w:sz w:val="32"/>
          <w:szCs w:val="32"/>
          <w:lang w:eastAsia="zh-CN"/>
        </w:rPr>
        <w:t>会</w:t>
      </w:r>
      <w:r>
        <w:rPr>
          <w:rFonts w:hint="eastAsia" w:ascii="仿宋_GB2312" w:hAnsi="仿宋_GB2312" w:eastAsia="仿宋_GB2312" w:cs="仿宋_GB2312"/>
          <w:spacing w:val="2"/>
          <w:sz w:val="32"/>
          <w:szCs w:val="32"/>
          <w:lang w:eastAsia="zh-CN"/>
        </w:rPr>
        <w:t>2025年法治政府建设工作情况报告如</w:t>
      </w:r>
      <w:r>
        <w:rPr>
          <w:rFonts w:hint="eastAsia" w:ascii="仿宋_GB2312" w:hAnsi="仿宋_GB2312" w:eastAsia="仿宋_GB2312" w:cs="仿宋_GB2312"/>
          <w:spacing w:val="-9"/>
          <w:sz w:val="32"/>
          <w:szCs w:val="32"/>
          <w:lang w:eastAsia="zh-CN"/>
        </w:rPr>
        <w:t>下：</w:t>
      </w:r>
    </w:p>
    <w:p w14:paraId="439145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一、2025年度推进法治政府建设的主要举措和成效</w:t>
      </w:r>
    </w:p>
    <w:p w14:paraId="2B6A1073">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（一）学习贯彻习近平法治思想</w:t>
      </w:r>
    </w:p>
    <w:p w14:paraId="0AD605A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1.园区党工委理论学习中心组集中学习贯彻习近平法治思想。</w:t>
      </w:r>
      <w:r>
        <w:rPr>
          <w:rFonts w:hint="eastAsia" w:ascii="仿宋_GB2312" w:hAnsi="仿宋_GB2312" w:eastAsia="仿宋_GB2312" w:cs="仿宋_GB2312"/>
          <w:sz w:val="32"/>
          <w:szCs w:val="32"/>
          <w:lang w:val="en-US" w:eastAsia="zh-CN"/>
        </w:rPr>
        <w:t>习近平法治思想是顺应实现中华民族伟大复兴时代要求应运而生的重大理论创新成果，是马克思主义法治理论中国化最新成果，是习近平新时代中国特色社会主义思想的重要组成部分，是全面依法治国的根本遵循和行动指南。2025年1月14日，县政府副县长、高新园区党工委书记赵伟同志组织园区党工委理论学习中心组对习近平法治思想进行了集中学习，赵伟同志指出，要深入学习贯彻习近平法治思想，把法治建设成效体现在坚持和加强党的全面领导上，坚定拥护“两个确立”、坚决做到“两个维护”，把法治建设贯通于园区改革的方方面面，以法治助力园区高质量发展。园区管委会主任乐冰冰同志表示，要把学习贯彻习近平法治思想与学习贯彻党的二十大和二十届三中全会精神结合起来，深刻把握中国特色社会主义法治体系的重大意义和任务要求，进一步加快园区法治建设。</w:t>
      </w:r>
    </w:p>
    <w:p w14:paraId="30287588">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2.传达学习习近平法治思想学习纲要的重要论述。</w:t>
      </w:r>
      <w:r>
        <w:rPr>
          <w:rFonts w:hint="eastAsia" w:ascii="仿宋_GB2312" w:hAnsi="仿宋_GB2312" w:eastAsia="仿宋_GB2312" w:cs="仿宋_GB2312"/>
          <w:sz w:val="32"/>
          <w:szCs w:val="32"/>
          <w:lang w:eastAsia="zh-CN"/>
        </w:rPr>
        <w:t>习</w:t>
      </w:r>
      <w:r>
        <w:rPr>
          <w:rFonts w:hint="eastAsia" w:ascii="仿宋_GB2312" w:hAnsi="仿宋_GB2312" w:eastAsia="仿宋_GB2312" w:cs="仿宋_GB2312"/>
          <w:sz w:val="32"/>
          <w:szCs w:val="32"/>
        </w:rPr>
        <w:t>近平法治思想不仅在理论层面上回答为什么的问题，还在实践当中回答怎么办</w:t>
      </w:r>
      <w:r>
        <w:rPr>
          <w:rFonts w:hint="eastAsia" w:ascii="仿宋_GB2312" w:hAnsi="仿宋_GB2312" w:eastAsia="仿宋_GB2312" w:cs="仿宋_GB2312"/>
          <w:sz w:val="32"/>
          <w:szCs w:val="32"/>
          <w:lang w:eastAsia="zh-CN"/>
        </w:rPr>
        <w:t>的问题，习近平主席在中央全面依法治国工作会</w:t>
      </w:r>
      <w:r>
        <w:rPr>
          <w:rFonts w:hint="eastAsia" w:ascii="仿宋_GB2312" w:hAnsi="仿宋_GB2312" w:eastAsia="仿宋_GB2312" w:cs="仿宋_GB2312"/>
          <w:sz w:val="32"/>
          <w:szCs w:val="32"/>
        </w:rPr>
        <w:t>议上提出的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十一个坚持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，构成了习近平法治思想的核心要义。</w:t>
      </w:r>
      <w:r>
        <w:rPr>
          <w:rFonts w:hint="eastAsia" w:ascii="仿宋_GB2312" w:hAnsi="仿宋_GB2312" w:eastAsia="仿宋_GB2312" w:cs="仿宋_GB2312"/>
          <w:sz w:val="32"/>
          <w:szCs w:val="32"/>
          <w:lang w:val="en-US" w:eastAsia="zh-CN"/>
        </w:rPr>
        <w:t>2025年4月22日，县政府副县长、高新园区党工委书记赵伟组织召开了园区第6次党政联席会，会上对</w:t>
      </w:r>
      <w:r>
        <w:rPr>
          <w:rFonts w:hint="eastAsia" w:ascii="仿宋_GB2312" w:hAnsi="仿宋_GB2312" w:eastAsia="仿宋_GB2312" w:cs="仿宋_GB2312"/>
          <w:sz w:val="32"/>
          <w:szCs w:val="32"/>
          <w:lang w:eastAsia="zh-CN"/>
        </w:rPr>
        <w:t>习近平法治思想学习纲要的重要论述进行了传达学习。</w:t>
      </w:r>
      <w:r>
        <w:rPr>
          <w:rFonts w:hint="eastAsia" w:ascii="仿宋_GB2312" w:hAnsi="仿宋_GB2312" w:eastAsia="仿宋_GB2312" w:cs="仿宋_GB2312"/>
          <w:sz w:val="32"/>
          <w:szCs w:val="32"/>
          <w:lang w:val="en-US" w:eastAsia="zh-CN"/>
        </w:rPr>
        <w:t>主要对习近平法治思想学习纲要重要论述中的“十一个坚持”进行了重点传达学习，并交流心得，</w:t>
      </w:r>
      <w:r>
        <w:rPr>
          <w:rFonts w:hint="eastAsia" w:ascii="仿宋_GB2312" w:hAnsi="仿宋_GB2312" w:eastAsia="仿宋_GB2312" w:cs="仿宋_GB2312"/>
          <w:sz w:val="32"/>
          <w:szCs w:val="32"/>
          <w:lang w:eastAsia="zh-CN"/>
        </w:rPr>
        <w:t>“十一个坚持”高屋建瓴、视野宏阔、内涵丰富、思想深刻，是指导新时代全面依法治国的纲领性文件。</w:t>
      </w:r>
      <w:r>
        <w:rPr>
          <w:rFonts w:hint="eastAsia" w:ascii="仿宋_GB2312" w:hAnsi="仿宋_GB2312" w:eastAsia="仿宋_GB2312" w:cs="仿宋_GB2312"/>
          <w:sz w:val="32"/>
          <w:szCs w:val="32"/>
          <w:lang w:val="en-US" w:eastAsia="zh-CN"/>
        </w:rPr>
        <w:t>园区管委会主任乐冰冰等班子成员、各股室负责人及派驻单位负责人参加了会议学习并交流心得，通过此次学习交流，对习近平法治思想的“十一个坚持”有了更深刻的理解，并为今后的工作开展提供坚实的理论基础和行动指南。</w:t>
      </w:r>
    </w:p>
    <w:p w14:paraId="4287182D">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w:t>
      </w:r>
      <w:r>
        <w:rPr>
          <w:rFonts w:hint="eastAsia" w:ascii="楷体_GB2312" w:hAnsi="楷体_GB2312" w:eastAsia="楷体_GB2312" w:cs="楷体_GB2312"/>
          <w:b/>
          <w:bCs/>
          <w:sz w:val="32"/>
          <w:szCs w:val="32"/>
          <w:lang w:eastAsia="zh-CN"/>
        </w:rPr>
        <w:t>法治护航企业行稳致远</w:t>
      </w:r>
    </w:p>
    <w:p w14:paraId="024CB635">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1.开展助企法律大讲堂活动。</w:t>
      </w:r>
      <w:r>
        <w:rPr>
          <w:rFonts w:hint="eastAsia" w:ascii="仿宋_GB2312" w:hAnsi="仿宋_GB2312" w:eastAsia="仿宋_GB2312" w:cs="仿宋_GB2312"/>
          <w:kern w:val="0"/>
          <w:sz w:val="32"/>
          <w:szCs w:val="32"/>
          <w:lang w:val="en-US" w:eastAsia="zh-CN" w:bidi="ar"/>
        </w:rPr>
        <w:t>为深入贯彻落实习近平总书记关于“走在前、勇争先、善作为”的重要讲话精神，园区聚焦优化法治化营商环境，强化法律服务供给。2025年以来，园区联合县司法局共开展了四期“洪城良援·安商安心”助企法律大讲堂活动，围绕企业关注的劳动用工法律问题，以《劳动合同签订与履行》《劳动争议仲裁与诉讼实务》《员工离职管理与风险控制》为专题开展授课，以经典案例为依托，结合劳动仲裁程序、证据规则、应对策略等方面，讲解了违法解除赔偿争议、员工离职补偿、带薪年休假以及加班费等常见劳动争议类型。讲课律师结合自身办案经验，从规范招聘流程、劳动合同签订与条款设计、履行过程中的风险防控等方面详细讲解。园区225家规上企业代表参加活动。</w:t>
      </w:r>
    </w:p>
    <w:p w14:paraId="375E9A9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2.开展安全生产月宣传活动。</w:t>
      </w:r>
      <w:r>
        <w:rPr>
          <w:rFonts w:hint="eastAsia" w:ascii="仿宋_GB2312" w:hAnsi="仿宋_GB2312" w:eastAsia="仿宋_GB2312" w:cs="仿宋_GB2312"/>
          <w:b w:val="0"/>
          <w:bCs w:val="0"/>
          <w:color w:val="auto"/>
          <w:sz w:val="32"/>
          <w:szCs w:val="32"/>
          <w:lang w:val="en-US" w:eastAsia="zh-CN"/>
        </w:rPr>
        <w:t>2025年6月19日，安义高新园区联合县科技工信局、县应急管理局开展了全国第24个安全生产月宣传活动，活动紧紧围绕“人人讲安全、个个会应急——查找身边安全隐患”的主题，现场参与企业近120家，发放宣传单800余份。活动通过发放宣传单、播放宣传视频等方式，发放自查手册，强化企业自查自纠能力，从根本上提升企业安全管理水平。后邀请熔铸、化工、纺织等重点企业参加安全培训会，会议</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围绕《危险化学品企业特殊作业安全规范》中动火作业安全管理展开，要求企业落实主体责任、加强作业票与承包商管理，提升动火作业安全管理水平。</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面对夏季高温、异常天气，要求企业加强夏季高温作业环境、人员及设备与物料管理，避开高温时段合理安排作业时间，配备相应防暑用品并开展知识培训，确保各项措施落实。</w:t>
      </w:r>
    </w:p>
    <w:p w14:paraId="686458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3.依托公共法律服务工作站提供优质法律服务。</w:t>
      </w:r>
      <w:r>
        <w:rPr>
          <w:rFonts w:hint="eastAsia" w:ascii="仿宋_GB2312" w:hAnsi="仿宋_GB2312" w:eastAsia="仿宋_GB2312" w:cs="仿宋_GB2312"/>
          <w:sz w:val="32"/>
          <w:szCs w:val="32"/>
          <w:lang w:eastAsia="zh-CN"/>
        </w:rPr>
        <w:t>工作站设在安义高新技术产业园区管委会一层大厅内，工作站可提供法律咨询、法律援助、人民调解等法律服务以及公证、司法鉴定、行政复议等服务指引，确保企业和员工能便捷获取多种法律服务。自工作站</w:t>
      </w:r>
      <w:r>
        <w:rPr>
          <w:rFonts w:hint="eastAsia" w:ascii="仿宋_GB2312" w:hAnsi="仿宋_GB2312" w:eastAsia="仿宋_GB2312" w:cs="仿宋_GB2312"/>
          <w:sz w:val="32"/>
          <w:szCs w:val="32"/>
          <w:lang w:val="en-US" w:eastAsia="zh-CN"/>
        </w:rPr>
        <w:t>2022年8月运行以来，累计接待法律咨询402人次，解答涉及劳动合同签订、工资拖欠、工伤赔偿、企业合规经营等各类法律问题。通过定期专职律师值班，为企业和员工提供“一对一”精准法律指导，有效增强了园区主体的法律意识和风险防范能力。</w:t>
      </w:r>
      <w:r>
        <w:rPr>
          <w:rFonts w:hint="eastAsia" w:ascii="仿宋_GB2312" w:hAnsi="仿宋_GB2312" w:eastAsia="仿宋_GB2312" w:cs="仿宋_GB2312"/>
          <w:sz w:val="32"/>
          <w:szCs w:val="32"/>
          <w:lang w:eastAsia="zh-CN"/>
        </w:rPr>
        <w:t>充分发挥园区调解室作用，运用“人民调解</w:t>
      </w:r>
      <w:r>
        <w:rPr>
          <w:rFonts w:hint="eastAsia" w:ascii="仿宋_GB2312" w:hAnsi="仿宋_GB2312" w:eastAsia="仿宋_GB2312" w:cs="仿宋_GB2312"/>
          <w:sz w:val="32"/>
          <w:szCs w:val="32"/>
          <w:lang w:val="en-US" w:eastAsia="zh-CN"/>
        </w:rPr>
        <w:t>+律师</w:t>
      </w:r>
      <w:r>
        <w:rPr>
          <w:rFonts w:hint="eastAsia" w:ascii="仿宋_GB2312" w:hAnsi="仿宋_GB2312" w:eastAsia="仿宋_GB2312" w:cs="仿宋_GB2312"/>
          <w:sz w:val="32"/>
          <w:szCs w:val="32"/>
          <w:lang w:eastAsia="zh-CN"/>
        </w:rPr>
        <w:t>”模式，累计成功调解劳动争议、合同纠纷等矛盾</w:t>
      </w:r>
      <w:r>
        <w:rPr>
          <w:rFonts w:hint="eastAsia" w:ascii="仿宋_GB2312" w:hAnsi="仿宋_GB2312" w:eastAsia="仿宋_GB2312" w:cs="仿宋_GB2312"/>
          <w:sz w:val="32"/>
          <w:szCs w:val="32"/>
          <w:lang w:val="en-US" w:eastAsia="zh-CN"/>
        </w:rPr>
        <w:t>52</w:t>
      </w:r>
      <w:r>
        <w:rPr>
          <w:rFonts w:hint="eastAsia" w:ascii="仿宋_GB2312" w:hAnsi="仿宋_GB2312" w:eastAsia="仿宋_GB2312" w:cs="仿宋_GB2312"/>
          <w:sz w:val="32"/>
          <w:szCs w:val="32"/>
          <w:lang w:eastAsia="zh-CN"/>
        </w:rPr>
        <w:t>起，调解成功率达</w:t>
      </w:r>
      <w:r>
        <w:rPr>
          <w:rFonts w:hint="eastAsia" w:ascii="仿宋_GB2312" w:hAnsi="仿宋_GB2312" w:eastAsia="仿宋_GB2312" w:cs="仿宋_GB2312"/>
          <w:sz w:val="32"/>
          <w:szCs w:val="32"/>
          <w:lang w:val="en-US" w:eastAsia="zh-CN"/>
        </w:rPr>
        <w:t>95%，促成双方达成和解协议，避免了矛盾升级，维护了园区和谐稳定。</w:t>
      </w:r>
    </w:p>
    <w:p w14:paraId="4DD251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r>
        <w:rPr>
          <w:rFonts w:hint="eastAsia" w:ascii="仿宋_GB2312" w:hAnsi="仿宋_GB2312" w:eastAsia="仿宋_GB2312" w:cs="仿宋_GB2312"/>
          <w:b/>
          <w:bCs/>
          <w:sz w:val="32"/>
          <w:szCs w:val="32"/>
          <w:lang w:val="en-US" w:eastAsia="zh-CN"/>
        </w:rPr>
        <w:t>4.成立“安商和事佬”协同部门优化法律服务。</w:t>
      </w:r>
      <w:r>
        <w:rPr>
          <w:rFonts w:hint="eastAsia" w:ascii="仿宋_GB2312" w:hAnsi="仿宋_GB2312" w:eastAsia="仿宋_GB2312" w:cs="仿宋_GB2312"/>
          <w:b w:val="0"/>
          <w:bCs w:val="0"/>
          <w:sz w:val="32"/>
          <w:szCs w:val="32"/>
          <w:lang w:val="en-US" w:eastAsia="zh-CN"/>
        </w:rPr>
        <w:t>县司法局、安义高新园区、南昌市人民调解协会、安义铝型材行业协会、安义门窗行业协会、安义县纺织服装行业协会六方签订了安义县“安商和事佬”法律服务战略合作协议，充分整合企业代表、工会组织、行业协会、法律顾问等各方面资源，为园区企业法律服务及纠纷调解提供全面、便捷的法律支持。2025年以来，共调处矛盾纠纷7起，维护了企业合法权益，进一步优化了园区营商环境，促进园区企业健康有序发展。</w:t>
      </w:r>
    </w:p>
    <w:p w14:paraId="15D642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ascii="黑体" w:hAnsi="黑体" w:eastAsia="黑体" w:cs="黑体"/>
          <w:sz w:val="32"/>
          <w:szCs w:val="32"/>
          <w:lang w:val="en-US" w:eastAsia="zh-CN"/>
        </w:rPr>
        <w:t>二、2025年度推进法治政府建设存在的不足和原因</w:t>
      </w:r>
    </w:p>
    <w:p w14:paraId="765CE67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安义高新</w:t>
      </w:r>
      <w:r>
        <w:rPr>
          <w:rFonts w:hint="eastAsia" w:ascii="仿宋_GB2312" w:hAnsi="仿宋_GB2312" w:eastAsia="仿宋_GB2312" w:cs="仿宋_GB2312"/>
          <w:sz w:val="32"/>
          <w:szCs w:val="32"/>
        </w:rPr>
        <w:t>园区</w:t>
      </w:r>
      <w:r>
        <w:rPr>
          <w:rFonts w:hint="eastAsia" w:ascii="仿宋_GB2312" w:hAnsi="仿宋_GB2312" w:eastAsia="仿宋_GB2312" w:cs="仿宋_GB2312"/>
          <w:sz w:val="32"/>
          <w:szCs w:val="32"/>
          <w:lang w:eastAsia="zh-CN"/>
        </w:rPr>
        <w:t>管委会</w:t>
      </w:r>
      <w:r>
        <w:rPr>
          <w:rFonts w:hint="eastAsia" w:ascii="仿宋_GB2312" w:hAnsi="仿宋_GB2312" w:eastAsia="仿宋_GB2312" w:cs="仿宋_GB2312"/>
          <w:sz w:val="32"/>
          <w:szCs w:val="32"/>
        </w:rPr>
        <w:t>在法治</w:t>
      </w:r>
      <w:r>
        <w:rPr>
          <w:rFonts w:hint="eastAsia" w:ascii="仿宋_GB2312" w:hAnsi="仿宋_GB2312" w:eastAsia="仿宋_GB2312" w:cs="仿宋_GB2312"/>
          <w:sz w:val="32"/>
          <w:szCs w:val="32"/>
          <w:lang w:eastAsia="zh-CN"/>
        </w:rPr>
        <w:t>政府</w:t>
      </w:r>
      <w:r>
        <w:rPr>
          <w:rFonts w:hint="eastAsia" w:ascii="仿宋_GB2312" w:hAnsi="仿宋_GB2312" w:eastAsia="仿宋_GB2312" w:cs="仿宋_GB2312"/>
          <w:sz w:val="32"/>
          <w:szCs w:val="32"/>
        </w:rPr>
        <w:t>建设方面</w:t>
      </w:r>
      <w:r>
        <w:rPr>
          <w:rFonts w:hint="eastAsia" w:ascii="仿宋_GB2312" w:hAnsi="仿宋_GB2312" w:eastAsia="仿宋_GB2312" w:cs="仿宋_GB2312"/>
          <w:sz w:val="32"/>
          <w:szCs w:val="32"/>
          <w:lang w:eastAsia="zh-CN"/>
        </w:rPr>
        <w:t>虽然</w:t>
      </w:r>
      <w:r>
        <w:rPr>
          <w:rFonts w:hint="eastAsia" w:ascii="仿宋_GB2312" w:hAnsi="仿宋_GB2312" w:eastAsia="仿宋_GB2312" w:cs="仿宋_GB2312"/>
          <w:sz w:val="32"/>
          <w:szCs w:val="32"/>
        </w:rPr>
        <w:t>取得了一些成绩，但也存在一些问题和不足。</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rPr>
        <w:t>园区干部</w:t>
      </w:r>
      <w:r>
        <w:rPr>
          <w:rFonts w:hint="eastAsia" w:ascii="仿宋_GB2312" w:hAnsi="仿宋_GB2312" w:eastAsia="仿宋_GB2312" w:cs="仿宋_GB2312"/>
          <w:sz w:val="32"/>
          <w:szCs w:val="32"/>
          <w:lang w:eastAsia="zh-CN"/>
        </w:rPr>
        <w:t>缺乏系统性、集中性、专业性的学习，法治理念薄弱，对法治知识了解得不全面，不利于各项工作的开展。</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lang w:eastAsia="zh-CN"/>
        </w:rPr>
        <w:t>园区</w:t>
      </w:r>
      <w:r>
        <w:rPr>
          <w:rFonts w:hint="eastAsia" w:ascii="仿宋_GB2312" w:hAnsi="仿宋_GB2312" w:eastAsia="仿宋_GB2312" w:cs="仿宋_GB2312"/>
          <w:sz w:val="32"/>
          <w:szCs w:val="32"/>
          <w:lang w:val="en-US" w:eastAsia="zh-CN"/>
        </w:rPr>
        <w:t>与相关职能部门联动性不强，根据“谁执法谁普法”的原则，应加强与劳动监察部门、公安、检察院、法院等相关执法部门的联系，形成工作合力。</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rPr>
        <w:t>普法宣传</w:t>
      </w:r>
      <w:r>
        <w:rPr>
          <w:rFonts w:hint="eastAsia" w:ascii="仿宋_GB2312" w:hAnsi="仿宋_GB2312" w:eastAsia="仿宋_GB2312" w:cs="仿宋_GB2312"/>
          <w:sz w:val="32"/>
          <w:szCs w:val="32"/>
          <w:lang w:eastAsia="zh-CN"/>
        </w:rPr>
        <w:t>形式不够丰富。宣传方式较为传统单一，大多通过企业走访，发放宣传单的模式，没有充分利用大数据及互联网的平台技术优势，应当通过线上与线下相结合的宣传，实现宣传全覆盖。</w:t>
      </w:r>
    </w:p>
    <w:p w14:paraId="6504C6B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三、2025年度党政主要负责人履行推进法治建设第一责任人职责有关情况</w:t>
      </w:r>
    </w:p>
    <w:p w14:paraId="22A5262A">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（一）带头深化</w:t>
      </w:r>
      <w:r>
        <w:rPr>
          <w:rFonts w:hint="eastAsia" w:ascii="楷体_GB2312" w:hAnsi="楷体_GB2312" w:eastAsia="楷体_GB2312" w:cs="楷体_GB2312"/>
          <w:b/>
          <w:bCs/>
          <w:sz w:val="32"/>
          <w:szCs w:val="32"/>
        </w:rPr>
        <w:t>学习，</w:t>
      </w:r>
      <w:r>
        <w:rPr>
          <w:rFonts w:hint="eastAsia" w:ascii="楷体_GB2312" w:hAnsi="楷体_GB2312" w:eastAsia="楷体_GB2312" w:cs="楷体_GB2312"/>
          <w:b/>
          <w:bCs/>
          <w:sz w:val="32"/>
          <w:szCs w:val="32"/>
          <w:lang w:eastAsia="zh-CN"/>
        </w:rPr>
        <w:t>筑牢思想根基</w:t>
      </w:r>
    </w:p>
    <w:p w14:paraId="4D8C8F0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高新园区主要负责人坚持将法治建设工作摆在首位，</w:t>
      </w:r>
      <w:r>
        <w:rPr>
          <w:rFonts w:hint="eastAsia" w:ascii="仿宋_GB2312" w:hAnsi="仿宋_GB2312" w:eastAsia="仿宋_GB2312" w:cs="仿宋_GB2312"/>
          <w:sz w:val="32"/>
          <w:szCs w:val="32"/>
        </w:rPr>
        <w:t>先后组织学习了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习近平法治思想学习纲要的重要论述</w:t>
      </w:r>
      <w:r>
        <w:rPr>
          <w:rFonts w:hint="eastAsia" w:ascii="仿宋_GB2312" w:hAnsi="仿宋_GB2312" w:eastAsia="仿宋_GB2312" w:cs="仿宋_GB2312"/>
          <w:sz w:val="32"/>
          <w:szCs w:val="32"/>
          <w:lang w:eastAsia="zh-CN"/>
        </w:rPr>
        <w:t>》《习近平关于加强党的作风建设论述摘编》</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重要篇目。主要</w:t>
      </w:r>
      <w:r>
        <w:rPr>
          <w:rFonts w:hint="eastAsia" w:ascii="仿宋_GB2312" w:hAnsi="仿宋_GB2312" w:eastAsia="仿宋_GB2312" w:cs="仿宋_GB2312"/>
          <w:sz w:val="32"/>
          <w:szCs w:val="32"/>
        </w:rPr>
        <w:t>采取集中学习、集中讨论和自学相结合的方式，</w:t>
      </w:r>
      <w:r>
        <w:rPr>
          <w:rFonts w:hint="eastAsia" w:ascii="仿宋_GB2312" w:hAnsi="仿宋_GB2312" w:eastAsia="仿宋_GB2312" w:cs="仿宋_GB2312"/>
          <w:sz w:val="32"/>
          <w:szCs w:val="32"/>
          <w:lang w:eastAsia="zh-CN"/>
        </w:rPr>
        <w:t>与班子成员及</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股</w:t>
      </w:r>
      <w:r>
        <w:rPr>
          <w:rFonts w:hint="eastAsia" w:ascii="仿宋_GB2312" w:hAnsi="仿宋_GB2312" w:eastAsia="仿宋_GB2312" w:cs="仿宋_GB2312"/>
          <w:sz w:val="32"/>
          <w:szCs w:val="32"/>
        </w:rPr>
        <w:t>室</w:t>
      </w:r>
      <w:r>
        <w:rPr>
          <w:rFonts w:hint="eastAsia" w:ascii="仿宋_GB2312" w:hAnsi="仿宋_GB2312" w:eastAsia="仿宋_GB2312" w:cs="仿宋_GB2312"/>
          <w:sz w:val="32"/>
          <w:szCs w:val="32"/>
          <w:lang w:eastAsia="zh-CN"/>
        </w:rPr>
        <w:t>共同</w:t>
      </w:r>
      <w:r>
        <w:rPr>
          <w:rFonts w:hint="eastAsia" w:ascii="仿宋_GB2312" w:hAnsi="仿宋_GB2312" w:eastAsia="仿宋_GB2312" w:cs="仿宋_GB2312"/>
          <w:sz w:val="32"/>
          <w:szCs w:val="32"/>
        </w:rPr>
        <w:t>学习，深刻领会，切实抓</w:t>
      </w:r>
      <w:r>
        <w:rPr>
          <w:rFonts w:hint="eastAsia" w:ascii="仿宋_GB2312" w:hAnsi="仿宋_GB2312" w:eastAsia="仿宋_GB2312" w:cs="仿宋_GB2312"/>
          <w:sz w:val="32"/>
          <w:szCs w:val="32"/>
          <w:lang w:eastAsia="zh-CN"/>
        </w:rPr>
        <w:t>好贯</w:t>
      </w:r>
      <w:r>
        <w:rPr>
          <w:rFonts w:hint="eastAsia" w:ascii="仿宋_GB2312" w:hAnsi="仿宋_GB2312" w:eastAsia="仿宋_GB2312" w:cs="仿宋_GB2312"/>
          <w:sz w:val="32"/>
          <w:szCs w:val="32"/>
        </w:rPr>
        <w:t>彻落实，认真履行法治建设第一责任人的职责，坚持把理论学习与业务提升摆在突出位置，做法治建设的组织者、推动者和实践者，带头学法</w:t>
      </w:r>
      <w:r>
        <w:rPr>
          <w:rFonts w:hint="eastAsia" w:ascii="仿宋_GB2312" w:hAnsi="仿宋_GB2312" w:eastAsia="仿宋_GB2312" w:cs="仿宋_GB2312"/>
          <w:sz w:val="32"/>
          <w:szCs w:val="32"/>
          <w:lang w:eastAsia="zh-CN"/>
        </w:rPr>
        <w:t>，营造浓厚的学习氛围。</w:t>
      </w:r>
    </w:p>
    <w:p w14:paraId="2F63AE9D">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（二）亲自部署组织，推进贯彻落实</w:t>
      </w:r>
    </w:p>
    <w:p w14:paraId="3785BCD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高新园区主要负责人</w:t>
      </w:r>
      <w:r>
        <w:rPr>
          <w:rFonts w:hint="eastAsia" w:ascii="仿宋_GB2312" w:hAnsi="仿宋_GB2312" w:eastAsia="仿宋_GB2312" w:cs="仿宋_GB2312"/>
          <w:sz w:val="32"/>
          <w:szCs w:val="32"/>
        </w:rPr>
        <w:t>坚持把党的领导贯穿工作全过程，构建“主要领导亲自抓、分管领导具体抓、职能部门协同抓”的齐抓共管格局。</w:t>
      </w:r>
      <w:r>
        <w:rPr>
          <w:rFonts w:hint="eastAsia" w:ascii="仿宋_GB2312" w:hAnsi="仿宋_GB2312" w:eastAsia="仿宋_GB2312" w:cs="仿宋_GB2312"/>
          <w:sz w:val="32"/>
          <w:szCs w:val="32"/>
          <w:lang w:eastAsia="zh-CN"/>
        </w:rPr>
        <w:t>部署要求依法履职，明确责</w:t>
      </w:r>
      <w:r>
        <w:rPr>
          <w:rFonts w:hint="eastAsia" w:ascii="仿宋_GB2312" w:hAnsi="仿宋_GB2312" w:eastAsia="仿宋_GB2312" w:cs="仿宋_GB2312"/>
          <w:sz w:val="32"/>
          <w:szCs w:val="32"/>
        </w:rPr>
        <w:t>任清单，认真梳理各</w:t>
      </w:r>
      <w:r>
        <w:rPr>
          <w:rFonts w:hint="eastAsia" w:ascii="仿宋_GB2312" w:hAnsi="仿宋_GB2312" w:eastAsia="仿宋_GB2312" w:cs="仿宋_GB2312"/>
          <w:sz w:val="32"/>
          <w:szCs w:val="32"/>
          <w:lang w:eastAsia="zh-CN"/>
        </w:rPr>
        <w:t>股</w:t>
      </w:r>
      <w:r>
        <w:rPr>
          <w:rFonts w:hint="eastAsia" w:ascii="仿宋_GB2312" w:hAnsi="仿宋_GB2312" w:eastAsia="仿宋_GB2312" w:cs="仿宋_GB2312"/>
          <w:sz w:val="32"/>
          <w:szCs w:val="32"/>
        </w:rPr>
        <w:t>室职责，健全</w:t>
      </w:r>
      <w:r>
        <w:rPr>
          <w:rFonts w:hint="eastAsia" w:ascii="仿宋_GB2312" w:hAnsi="仿宋_GB2312" w:eastAsia="仿宋_GB2312" w:cs="仿宋_GB2312"/>
          <w:sz w:val="32"/>
          <w:szCs w:val="32"/>
          <w:lang w:eastAsia="zh-CN"/>
        </w:rPr>
        <w:t>目标任务，</w:t>
      </w:r>
      <w:r>
        <w:rPr>
          <w:rFonts w:hint="eastAsia" w:ascii="仿宋_GB2312" w:hAnsi="仿宋_GB2312" w:eastAsia="仿宋_GB2312" w:cs="仿宋_GB2312"/>
          <w:sz w:val="32"/>
          <w:szCs w:val="32"/>
        </w:rPr>
        <w:t>聚焦贯彻落实，狠抓执行见效。大力弘扬“马上就办、真抓实干”的工作作风，制作学法清单和责任清单，结合园区管委会工作实际科学制定法治建设任务分解表，做到横向到边，纵向到底，明确责任单位和</w:t>
      </w:r>
      <w:r>
        <w:rPr>
          <w:rFonts w:hint="eastAsia" w:ascii="仿宋_GB2312" w:hAnsi="仿宋_GB2312" w:eastAsia="仿宋_GB2312" w:cs="仿宋_GB2312"/>
          <w:sz w:val="32"/>
          <w:szCs w:val="32"/>
          <w:lang w:eastAsia="zh-CN"/>
        </w:rPr>
        <w:t>责任人</w:t>
      </w:r>
      <w:r>
        <w:rPr>
          <w:rFonts w:hint="eastAsia" w:ascii="仿宋_GB2312" w:hAnsi="仿宋_GB2312" w:eastAsia="仿宋_GB2312" w:cs="仿宋_GB2312"/>
          <w:sz w:val="32"/>
          <w:szCs w:val="32"/>
        </w:rPr>
        <w:t>，实行压力传递，层层落实目标责任。</w:t>
      </w:r>
    </w:p>
    <w:p w14:paraId="0E7EA296">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（三）强调突出重点，全面摸排矛盾</w:t>
      </w:r>
    </w:p>
    <w:p w14:paraId="5E3D2F1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高新园区主要负责人坚持</w:t>
      </w:r>
      <w:r>
        <w:rPr>
          <w:rFonts w:hint="eastAsia" w:ascii="仿宋_GB2312" w:hAnsi="仿宋_GB2312" w:eastAsia="仿宋_GB2312" w:cs="仿宋_GB2312"/>
          <w:sz w:val="32"/>
          <w:szCs w:val="32"/>
        </w:rPr>
        <w:t>突出重点部位和安全薄弱环节，以责任机制为核心，全面推行包联责任制，将安全责任贯穿全局。坚持矛盾排查和调</w:t>
      </w:r>
      <w:r>
        <w:rPr>
          <w:rFonts w:hint="eastAsia" w:ascii="仿宋_GB2312" w:hAnsi="仿宋_GB2312" w:eastAsia="仿宋_GB2312" w:cs="仿宋_GB2312"/>
          <w:sz w:val="32"/>
          <w:szCs w:val="32"/>
          <w:lang w:eastAsia="zh-CN"/>
        </w:rPr>
        <w:t>处</w:t>
      </w:r>
      <w:r>
        <w:rPr>
          <w:rFonts w:hint="eastAsia" w:ascii="仿宋_GB2312" w:hAnsi="仿宋_GB2312" w:eastAsia="仿宋_GB2312" w:cs="仿宋_GB2312"/>
          <w:sz w:val="32"/>
          <w:szCs w:val="32"/>
        </w:rPr>
        <w:t>相结合的工作机制。坚持定期排查调处制、协调会议制、挂牌督办制、领导包案制和“零”报告等工作制度，推动工作发展。严格要求落实排查矛盾纠纷，按照“发现得早，化解得了，控制得住，处置得好”的总体要求，对排查出的矛盾纠纷及时进行</w:t>
      </w:r>
      <w:r>
        <w:rPr>
          <w:rFonts w:hint="eastAsia" w:ascii="仿宋_GB2312" w:hAnsi="仿宋_GB2312" w:eastAsia="仿宋_GB2312" w:cs="仿宋_GB2312"/>
          <w:sz w:val="32"/>
          <w:szCs w:val="32"/>
          <w:lang w:eastAsia="zh-CN"/>
        </w:rPr>
        <w:t>处理解决</w:t>
      </w:r>
      <w:r>
        <w:rPr>
          <w:rFonts w:hint="eastAsia" w:ascii="仿宋_GB2312" w:hAnsi="仿宋_GB2312" w:eastAsia="仿宋_GB2312" w:cs="仿宋_GB2312"/>
          <w:sz w:val="32"/>
          <w:szCs w:val="32"/>
        </w:rPr>
        <w:t>。对信访和群众来访实行限期办理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做到有访必复，有件必办，事事有回音，件件有结果，实现了纠纷不出</w:t>
      </w:r>
      <w:r>
        <w:rPr>
          <w:rFonts w:hint="eastAsia" w:ascii="仿宋_GB2312" w:hAnsi="仿宋_GB2312" w:eastAsia="仿宋_GB2312" w:cs="仿宋_GB2312"/>
          <w:sz w:val="32"/>
          <w:szCs w:val="32"/>
          <w:lang w:eastAsia="zh-CN"/>
        </w:rPr>
        <w:t>园区</w:t>
      </w:r>
      <w:r>
        <w:rPr>
          <w:rFonts w:hint="eastAsia" w:ascii="仿宋_GB2312" w:hAnsi="仿宋_GB2312" w:eastAsia="仿宋_GB2312" w:cs="仿宋_GB2312"/>
          <w:sz w:val="32"/>
          <w:szCs w:val="32"/>
        </w:rPr>
        <w:t>，一般矛盾纠纷不上交的工作目标。</w:t>
      </w:r>
    </w:p>
    <w:p w14:paraId="09E2BEC5">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（四）加大宣传力度，增强防范意识</w:t>
      </w:r>
    </w:p>
    <w:p w14:paraId="079809C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高新园区主要负责人</w:t>
      </w:r>
      <w:r>
        <w:rPr>
          <w:rFonts w:hint="eastAsia" w:ascii="仿宋_GB2312" w:hAnsi="仿宋_GB2312" w:eastAsia="仿宋_GB2312" w:cs="仿宋_GB2312"/>
          <w:sz w:val="32"/>
          <w:szCs w:val="32"/>
        </w:rPr>
        <w:t>坚持传统手段与新兴媒体相结合，线上互动与线下覆盖相协同。充分利用微信公众号、</w:t>
      </w:r>
      <w:r>
        <w:rPr>
          <w:rFonts w:hint="eastAsia" w:ascii="仿宋_GB2312" w:hAnsi="仿宋_GB2312" w:eastAsia="仿宋_GB2312" w:cs="仿宋_GB2312"/>
          <w:sz w:val="32"/>
          <w:szCs w:val="32"/>
          <w:lang w:eastAsia="zh-CN"/>
        </w:rPr>
        <w:t>企业微信群</w:t>
      </w:r>
      <w:r>
        <w:rPr>
          <w:rFonts w:hint="eastAsia" w:ascii="仿宋_GB2312" w:hAnsi="仿宋_GB2312" w:eastAsia="仿宋_GB2312" w:cs="仿宋_GB2312"/>
          <w:sz w:val="32"/>
          <w:szCs w:val="32"/>
        </w:rPr>
        <w:t>、电子屏等新媒体矩阵进行高频次推送，同时通过发放宣传册、悬挂横幅、举办专题讲座等传统方式深入</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，确保宣传无死角、全覆盖，营造“人人知晓、人人参与”的浓厚氛围。紧扣当前面临的主要风险点（如：电信诈骗、安全生产隐患、</w:t>
      </w:r>
      <w:r>
        <w:rPr>
          <w:rFonts w:hint="eastAsia" w:ascii="仿宋_GB2312" w:hAnsi="仿宋_GB2312" w:eastAsia="仿宋_GB2312" w:cs="仿宋_GB2312"/>
          <w:sz w:val="32"/>
          <w:szCs w:val="32"/>
          <w:lang w:eastAsia="zh-CN"/>
        </w:rPr>
        <w:t>反有组织犯罪法</w:t>
      </w:r>
      <w:r>
        <w:rPr>
          <w:rFonts w:hint="eastAsia" w:ascii="仿宋_GB2312" w:hAnsi="仿宋_GB2312" w:eastAsia="仿宋_GB2312" w:cs="仿宋_GB2312"/>
          <w:sz w:val="32"/>
          <w:szCs w:val="32"/>
        </w:rPr>
        <w:t>等），组织开展“安全生产月”活动，普及安全法律法规和安全知识，进一步增强</w:t>
      </w:r>
      <w:r>
        <w:rPr>
          <w:rFonts w:hint="eastAsia" w:ascii="仿宋_GB2312" w:hAnsi="仿宋_GB2312" w:eastAsia="仿宋_GB2312" w:cs="仿宋_GB2312"/>
          <w:sz w:val="32"/>
          <w:szCs w:val="32"/>
          <w:lang w:eastAsia="zh-CN"/>
        </w:rPr>
        <w:t>企业负责人</w:t>
      </w:r>
      <w:r>
        <w:rPr>
          <w:rFonts w:hint="eastAsia" w:ascii="仿宋_GB2312" w:hAnsi="仿宋_GB2312" w:eastAsia="仿宋_GB2312" w:cs="仿宋_GB2312"/>
          <w:sz w:val="32"/>
          <w:szCs w:val="32"/>
        </w:rPr>
        <w:t>对安全生产工作重要性的认识，推动各级安全生产责任制和安全生产各要素的落实。</w:t>
      </w:r>
    </w:p>
    <w:p w14:paraId="579C4276">
      <w:pPr>
        <w:pStyle w:val="7"/>
        <w:keepNext w:val="0"/>
        <w:keepLines w:val="0"/>
        <w:pageBreakBefore w:val="0"/>
        <w:wordWrap/>
        <w:overflowPunct/>
        <w:topLinePunct w:val="0"/>
        <w:bidi w:val="0"/>
        <w:spacing w:line="560" w:lineRule="exac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四、2026年主要工作安排</w:t>
      </w:r>
    </w:p>
    <w:p w14:paraId="300B00AA">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（一）深化理论学习。</w:t>
      </w:r>
      <w:r>
        <w:rPr>
          <w:rFonts w:hint="eastAsia" w:ascii="仿宋_GB2312" w:hAnsi="仿宋_GB2312" w:eastAsia="仿宋_GB2312" w:cs="仿宋_GB2312"/>
          <w:sz w:val="32"/>
          <w:szCs w:val="32"/>
        </w:rPr>
        <w:t>坚持以习近平法治思想武装头脑，严格落实领导干部学法制度，推动法治理论学习常态化、制度化。通过“关键少数”引领，通过专题</w:t>
      </w:r>
      <w:r>
        <w:rPr>
          <w:rFonts w:hint="eastAsia" w:ascii="仿宋_GB2312" w:hAnsi="仿宋_GB2312" w:eastAsia="仿宋_GB2312" w:cs="仿宋_GB2312"/>
          <w:sz w:val="32"/>
          <w:szCs w:val="32"/>
          <w:lang w:eastAsia="zh-CN"/>
        </w:rPr>
        <w:t>学习</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集中</w:t>
      </w:r>
      <w:r>
        <w:rPr>
          <w:rFonts w:hint="eastAsia" w:ascii="仿宋_GB2312" w:hAnsi="仿宋_GB2312" w:eastAsia="仿宋_GB2312" w:cs="仿宋_GB2312"/>
          <w:sz w:val="32"/>
          <w:szCs w:val="32"/>
        </w:rPr>
        <w:t>交流等多种形式，领导干部</w:t>
      </w:r>
      <w:r>
        <w:rPr>
          <w:rFonts w:hint="eastAsia" w:ascii="仿宋_GB2312" w:hAnsi="仿宋_GB2312" w:eastAsia="仿宋_GB2312" w:cs="仿宋_GB2312"/>
          <w:sz w:val="32"/>
          <w:szCs w:val="32"/>
          <w:lang w:eastAsia="zh-CN"/>
        </w:rPr>
        <w:t>必须</w:t>
      </w:r>
      <w:r>
        <w:rPr>
          <w:rFonts w:hint="eastAsia" w:ascii="仿宋_GB2312" w:hAnsi="仿宋_GB2312" w:eastAsia="仿宋_GB2312" w:cs="仿宋_GB2312"/>
          <w:sz w:val="32"/>
          <w:szCs w:val="32"/>
        </w:rPr>
        <w:t>带头尊崇法治、敬畏法律，不断提高运用法治思维和法治方式深化改革、推动发展、化解矛盾、维护稳定的能力，切实将学习成果转化为推</w:t>
      </w:r>
      <w:bookmarkStart w:id="0" w:name="_GoBack"/>
      <w:bookmarkEnd w:id="0"/>
      <w:r>
        <w:rPr>
          <w:rFonts w:hint="eastAsia" w:ascii="仿宋_GB2312" w:hAnsi="仿宋_GB2312" w:eastAsia="仿宋_GB2312" w:cs="仿宋_GB2312"/>
          <w:sz w:val="32"/>
          <w:szCs w:val="32"/>
        </w:rPr>
        <w:t>进法治园区建设的生动实践。带动全体干部职工学法用法，不断增强依法办事的自觉性和主动性，确保各项工作始终在法治轨道上运行。</w:t>
      </w:r>
    </w:p>
    <w:p w14:paraId="05443FF6">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（二）强化部门联动。</w:t>
      </w:r>
      <w:r>
        <w:rPr>
          <w:rFonts w:hint="eastAsia" w:ascii="仿宋_GB2312" w:hAnsi="仿宋_GB2312" w:eastAsia="仿宋_GB2312" w:cs="仿宋_GB2312"/>
          <w:w w:val="100"/>
          <w:sz w:val="32"/>
          <w:szCs w:val="32"/>
          <w:lang w:val="en-US" w:eastAsia="zh-CN"/>
        </w:rPr>
        <w:t>严格落实“谁执法谁普法”责任制，由园区管委会牵头，加强与公安、检察、法院、劳动监察等执法部门的联系，明确联络员和工作职责。一方面邀请职能部门相关工作人员组织开展法治讲座，开展入企法治宣传活动，联合司法局定期开展“法治体检”和联合调解；另一方面建立“一站式”多元矛盾纠纷化解机制，推动司法、仲裁、调解资源下沉园区，实现信息互通、资源共享，形成工作合力，切实提升园区依法治理效能</w:t>
      </w:r>
      <w:r>
        <w:rPr>
          <w:rFonts w:hint="eastAsia" w:ascii="仿宋_GB2312" w:hAnsi="仿宋_GB2312" w:eastAsia="仿宋_GB2312" w:cs="仿宋_GB2312"/>
          <w:sz w:val="32"/>
          <w:szCs w:val="32"/>
        </w:rPr>
        <w:t>。</w:t>
      </w:r>
    </w:p>
    <w:p w14:paraId="30A349C0">
      <w:pPr>
        <w:keepNext w:val="0"/>
        <w:keepLines w:val="0"/>
        <w:pageBreakBefore w:val="0"/>
        <w:widowControl w:val="0"/>
        <w:kinsoku/>
        <w:wordWrap/>
        <w:overflowPunct/>
        <w:topLinePunct w:val="0"/>
        <w:autoSpaceDE/>
        <w:autoSpaceDN/>
        <w:bidi w:val="0"/>
        <w:adjustRightInd w:val="0"/>
        <w:snapToGrid w:val="0"/>
        <w:spacing w:line="560" w:lineRule="exact"/>
        <w:ind w:right="0"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（三）丰富宣传形式。</w:t>
      </w:r>
      <w:r>
        <w:rPr>
          <w:rFonts w:hint="eastAsia" w:ascii="仿宋_GB2312" w:hAnsi="仿宋_GB2312" w:eastAsia="仿宋_GB2312" w:cs="仿宋_GB2312"/>
          <w:sz w:val="32"/>
          <w:szCs w:val="32"/>
          <w:lang w:val="en-US" w:eastAsia="zh-CN"/>
        </w:rPr>
        <w:t>坚持“线上+线下”双轮驱动，线上充分运用园区微信公众号、企业服务微信群定期推送涉企典型案例、法律问答知识，打破时空限制，实现“指尖普法”全覆盖。线下依托园区党群服务中心、企业职工之家等阵地，常态化开展“法治体检”“法律进企业”宣讲等活动。在劳动用工、合同管理等重点领域开展专题培训，切实提升普法的针对性和实效性，让法治精神在园区落地生根。</w:t>
      </w:r>
    </w:p>
    <w:p w14:paraId="6A50AE0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color w:val="000000"/>
          <w:kern w:val="0"/>
          <w:sz w:val="32"/>
          <w:szCs w:val="32"/>
          <w:lang w:val="en-US" w:eastAsia="zh-CN"/>
        </w:rPr>
      </w:pPr>
    </w:p>
    <w:p w14:paraId="22AAC23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color w:val="000000"/>
          <w:kern w:val="0"/>
          <w:sz w:val="32"/>
          <w:szCs w:val="32"/>
          <w:lang w:val="en-US" w:eastAsia="zh-CN"/>
        </w:rPr>
      </w:pPr>
    </w:p>
    <w:p w14:paraId="3E3EA11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right"/>
        <w:textAlignment w:val="baseline"/>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中共江西安义高新技术产业园区工作委员会</w:t>
      </w:r>
    </w:p>
    <w:p w14:paraId="25F886C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center"/>
        <w:textAlignment w:val="baseline"/>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000000"/>
          <w:kern w:val="0"/>
          <w:sz w:val="32"/>
          <w:szCs w:val="32"/>
          <w:lang w:val="en-US" w:eastAsia="zh-CN"/>
        </w:rPr>
        <w:t xml:space="preserve">                        2026年1月13日</w:t>
      </w:r>
    </w:p>
    <w:p w14:paraId="71068CAB">
      <w:pPr>
        <w:keepNext w:val="0"/>
        <w:keepLines w:val="0"/>
        <w:pageBreakBefore w:val="0"/>
        <w:wordWrap/>
        <w:overflowPunct/>
        <w:topLinePunct w:val="0"/>
        <w:bidi w:val="0"/>
        <w:spacing w:line="560" w:lineRule="exact"/>
      </w:pPr>
    </w:p>
    <w:p w14:paraId="546E3E05">
      <w:pPr>
        <w:keepNext w:val="0"/>
        <w:keepLines w:val="0"/>
        <w:pageBreakBefore w:val="0"/>
        <w:wordWrap/>
        <w:overflowPunct/>
        <w:topLinePunct w:val="0"/>
        <w:bidi w:val="0"/>
        <w:spacing w:line="560" w:lineRule="exact"/>
      </w:pPr>
    </w:p>
    <w:p w14:paraId="5008B45A">
      <w:pPr>
        <w:keepNext w:val="0"/>
        <w:keepLines w:val="0"/>
        <w:pageBreakBefore w:val="0"/>
        <w:wordWrap/>
        <w:overflowPunct/>
        <w:topLinePunct w:val="0"/>
        <w:bidi w:val="0"/>
        <w:spacing w:line="560" w:lineRule="exact"/>
      </w:pPr>
    </w:p>
    <w:p w14:paraId="4360E630">
      <w:pPr>
        <w:keepNext w:val="0"/>
        <w:keepLines w:val="0"/>
        <w:pageBreakBefore w:val="0"/>
        <w:wordWrap/>
        <w:overflowPunct/>
        <w:topLinePunct w:val="0"/>
        <w:bidi w:val="0"/>
        <w:spacing w:line="560" w:lineRule="exact"/>
      </w:pPr>
    </w:p>
    <w:p w14:paraId="021DBDDA">
      <w:pPr>
        <w:keepNext w:val="0"/>
        <w:keepLines w:val="0"/>
        <w:pageBreakBefore w:val="0"/>
        <w:wordWrap/>
        <w:overflowPunct/>
        <w:topLinePunct w:val="0"/>
        <w:bidi w:val="0"/>
        <w:spacing w:line="560" w:lineRule="exact"/>
      </w:pPr>
    </w:p>
    <w:p w14:paraId="0D86695E">
      <w:pPr>
        <w:keepNext w:val="0"/>
        <w:keepLines w:val="0"/>
        <w:pageBreakBefore w:val="0"/>
        <w:wordWrap/>
        <w:overflowPunct/>
        <w:topLinePunct w:val="0"/>
        <w:bidi w:val="0"/>
        <w:spacing w:line="560" w:lineRule="exact"/>
      </w:pPr>
    </w:p>
    <w:p w14:paraId="7A730E93">
      <w:pPr>
        <w:keepNext w:val="0"/>
        <w:keepLines w:val="0"/>
        <w:pageBreakBefore w:val="0"/>
        <w:wordWrap/>
        <w:overflowPunct/>
        <w:topLinePunct w:val="0"/>
        <w:bidi w:val="0"/>
        <w:spacing w:line="560" w:lineRule="exact"/>
      </w:pPr>
    </w:p>
    <w:p w14:paraId="5161BCAE">
      <w:pPr>
        <w:keepNext w:val="0"/>
        <w:keepLines w:val="0"/>
        <w:pageBreakBefore w:val="0"/>
        <w:wordWrap/>
        <w:overflowPunct/>
        <w:topLinePunct w:val="0"/>
        <w:bidi w:val="0"/>
        <w:spacing w:line="560" w:lineRule="exact"/>
      </w:pPr>
    </w:p>
    <w:p w14:paraId="2841F640">
      <w:pPr>
        <w:pBdr>
          <w:top w:val="single" w:color="auto" w:sz="6" w:space="1"/>
          <w:bottom w:val="single" w:color="auto" w:sz="6" w:space="1"/>
        </w:pBdr>
        <w:spacing w:line="400" w:lineRule="exact"/>
        <w:ind w:firstLine="280" w:firstLineChars="100"/>
        <w:jc w:val="both"/>
        <w:rPr>
          <w:rFonts w:hint="eastAsia" w:ascii="仿宋_GB2312" w:eastAsia="仿宋_GB2312"/>
          <w:sz w:val="28"/>
          <w:szCs w:val="28"/>
          <w:lang w:eastAsia="zh-CN"/>
        </w:rPr>
      </w:pPr>
      <w:r>
        <w:rPr>
          <w:rFonts w:hint="eastAsia" w:ascii="仿宋_GB2312" w:eastAsia="仿宋_GB2312"/>
          <w:sz w:val="28"/>
          <w:szCs w:val="28"/>
          <w:lang w:val="en-US" w:eastAsia="zh-CN"/>
        </w:rPr>
        <w:t>抄送：县委全面依法治县办。</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w:t>
      </w:r>
    </w:p>
    <w:p w14:paraId="7810783B">
      <w:pPr>
        <w:adjustRightInd/>
        <w:spacing w:line="400" w:lineRule="exact"/>
        <w:jc w:val="both"/>
        <w:textAlignment w:val="auto"/>
        <w:rPr>
          <w:rFonts w:hint="eastAsia" w:ascii="方正小标宋简体" w:hAnsi="方正小标宋简体" w:eastAsia="方正小标宋简体" w:cs="方正小标宋简体"/>
          <w:sz w:val="44"/>
          <w:szCs w:val="44"/>
          <w:lang w:val="en-US" w:eastAsia="zh-CN"/>
        </w:rPr>
      </w:pPr>
      <w:r>
        <w:rPr>
          <w:rFonts w:hint="eastAsia" w:ascii="仿宋_GB2312" w:hAnsi="仿宋_GB2312" w:eastAsia="仿宋_GB2312" w:cs="仿宋_GB2312"/>
          <w:sz w:val="28"/>
          <w:szCs w:val="28"/>
          <w:lang w:val="en-US" w:eastAsia="zh-CN"/>
        </w:rPr>
        <w:t xml:space="preserve">中共江西安义高新技术产业园区工作委员会  </w:t>
      </w:r>
      <w:r>
        <w:rPr>
          <w:rFonts w:hint="eastAsia" w:ascii="仿宋_GB2312" w:eastAsia="仿宋_GB2312"/>
          <w:sz w:val="28"/>
          <w:szCs w:val="28"/>
          <w:lang w:val="en-US" w:eastAsia="zh-CN"/>
        </w:rPr>
        <w:t xml:space="preserve">      2026年1月13日印发 </w:t>
      </w:r>
      <w:r>
        <w:rPr>
          <w:rFonts w:hint="eastAsia" w:ascii="仿宋_GB2312" w:eastAsia="仿宋_GB2312"/>
          <w:kern w:val="2"/>
          <w:sz w:val="28"/>
          <w:szCs w:val="28"/>
          <w:lang w:val="en-US" w:eastAsia="zh-CN"/>
        </w:rPr>
        <w:t xml:space="preserve">    </w:t>
      </w:r>
    </w:p>
    <w:p w14:paraId="6B97193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00" w:lineRule="exact"/>
        <w:jc w:val="both"/>
        <w:textAlignment w:val="auto"/>
      </w:pPr>
      <w:r>
        <w:rPr>
          <w:rFonts w:hint="eastAsia" w:ascii="仿宋_GB2312" w:eastAsia="仿宋_GB2312"/>
          <w:sz w:val="28"/>
          <w:szCs w:val="28"/>
          <w:u w:val="single"/>
          <w:lang w:val="en-US" w:eastAsia="zh-CN"/>
        </w:rPr>
        <w:t xml:space="preserve">                                                                  </w:t>
      </w:r>
    </w:p>
    <w:sectPr>
      <w:footerReference r:id="rId3" w:type="default"/>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28A6B6-12FF-4433-B93E-782035470D7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60101010101"/>
    <w:charset w:val="00"/>
    <w:family w:val="roman"/>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embedRegular r:id="rId2" w:fontKey="{5AEFD29F-9FE4-4287-B2BF-BC56A52B8509}"/>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3" w:fontKey="{592C402D-FC75-48FE-A17E-815221AD5DAF}"/>
  </w:font>
  <w:font w:name="楷体_GB2312">
    <w:panose1 w:val="02010609030101010101"/>
    <w:charset w:val="86"/>
    <w:family w:val="modern"/>
    <w:pitch w:val="default"/>
    <w:sig w:usb0="00000001" w:usb1="080E0000" w:usb2="00000000" w:usb3="00000000" w:csb0="00040000" w:csb1="00000000"/>
    <w:embedRegular r:id="rId4" w:fontKey="{812ACDE4-A802-4042-AC9A-FE74A1E5AB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A6ED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570CA">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A570CA">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434086"/>
    <w:rsid w:val="003C3784"/>
    <w:rsid w:val="00E14078"/>
    <w:rsid w:val="01CE57B8"/>
    <w:rsid w:val="02710923"/>
    <w:rsid w:val="032D29B2"/>
    <w:rsid w:val="03824AAC"/>
    <w:rsid w:val="05110651"/>
    <w:rsid w:val="058B29A1"/>
    <w:rsid w:val="05C6120B"/>
    <w:rsid w:val="0654081F"/>
    <w:rsid w:val="088D2604"/>
    <w:rsid w:val="097F383C"/>
    <w:rsid w:val="0A4A00BE"/>
    <w:rsid w:val="0A656028"/>
    <w:rsid w:val="0AB2109F"/>
    <w:rsid w:val="104F4BF6"/>
    <w:rsid w:val="10C44C21"/>
    <w:rsid w:val="11763776"/>
    <w:rsid w:val="118B5473"/>
    <w:rsid w:val="119747B3"/>
    <w:rsid w:val="14F90946"/>
    <w:rsid w:val="15521099"/>
    <w:rsid w:val="17125CEF"/>
    <w:rsid w:val="18286A94"/>
    <w:rsid w:val="18335F1D"/>
    <w:rsid w:val="18D30D08"/>
    <w:rsid w:val="19457408"/>
    <w:rsid w:val="1A2226ED"/>
    <w:rsid w:val="1A3D3E6B"/>
    <w:rsid w:val="1A9A604F"/>
    <w:rsid w:val="1B495FF5"/>
    <w:rsid w:val="1CB82E95"/>
    <w:rsid w:val="1F130856"/>
    <w:rsid w:val="1FBF2159"/>
    <w:rsid w:val="1FCD6C57"/>
    <w:rsid w:val="21404BF9"/>
    <w:rsid w:val="223320F5"/>
    <w:rsid w:val="2297354C"/>
    <w:rsid w:val="22D444AB"/>
    <w:rsid w:val="23B63853"/>
    <w:rsid w:val="250653C3"/>
    <w:rsid w:val="266657A4"/>
    <w:rsid w:val="27152D2C"/>
    <w:rsid w:val="27375F2E"/>
    <w:rsid w:val="28745A08"/>
    <w:rsid w:val="2AB81ABF"/>
    <w:rsid w:val="2AE128D7"/>
    <w:rsid w:val="2BB31AB2"/>
    <w:rsid w:val="2C8F7F13"/>
    <w:rsid w:val="2D376E83"/>
    <w:rsid w:val="2EE34559"/>
    <w:rsid w:val="31496359"/>
    <w:rsid w:val="325925CC"/>
    <w:rsid w:val="3686481C"/>
    <w:rsid w:val="36FB42B6"/>
    <w:rsid w:val="37434086"/>
    <w:rsid w:val="379A000A"/>
    <w:rsid w:val="3A1C687A"/>
    <w:rsid w:val="3A7651D2"/>
    <w:rsid w:val="3C4449D2"/>
    <w:rsid w:val="3C594C54"/>
    <w:rsid w:val="3E1A29EC"/>
    <w:rsid w:val="422953A0"/>
    <w:rsid w:val="458B103A"/>
    <w:rsid w:val="458E3FDD"/>
    <w:rsid w:val="47613FA5"/>
    <w:rsid w:val="4779499C"/>
    <w:rsid w:val="4A7E7EB0"/>
    <w:rsid w:val="4B58746D"/>
    <w:rsid w:val="4B6C4B6D"/>
    <w:rsid w:val="4B7613D3"/>
    <w:rsid w:val="4C0D2006"/>
    <w:rsid w:val="4DF7463E"/>
    <w:rsid w:val="4F652159"/>
    <w:rsid w:val="4F7E2395"/>
    <w:rsid w:val="51FE0D6E"/>
    <w:rsid w:val="52196B35"/>
    <w:rsid w:val="524A3FB4"/>
    <w:rsid w:val="528C21DC"/>
    <w:rsid w:val="52D160CB"/>
    <w:rsid w:val="536F7A4A"/>
    <w:rsid w:val="53D8739D"/>
    <w:rsid w:val="540B3F15"/>
    <w:rsid w:val="55C51BA3"/>
    <w:rsid w:val="56680392"/>
    <w:rsid w:val="56FA4243"/>
    <w:rsid w:val="5AC93EE4"/>
    <w:rsid w:val="5C633681"/>
    <w:rsid w:val="5CD3445C"/>
    <w:rsid w:val="5F2E0448"/>
    <w:rsid w:val="6052207C"/>
    <w:rsid w:val="618F5D8C"/>
    <w:rsid w:val="63083AA2"/>
    <w:rsid w:val="64622D49"/>
    <w:rsid w:val="64742FD6"/>
    <w:rsid w:val="68A40C5C"/>
    <w:rsid w:val="68D221B5"/>
    <w:rsid w:val="6A0438CD"/>
    <w:rsid w:val="6A1B2246"/>
    <w:rsid w:val="6B4058A8"/>
    <w:rsid w:val="6B60619E"/>
    <w:rsid w:val="6BA912FD"/>
    <w:rsid w:val="6BFF1513"/>
    <w:rsid w:val="6DE7655D"/>
    <w:rsid w:val="71437EA2"/>
    <w:rsid w:val="71ED2368"/>
    <w:rsid w:val="720D07EC"/>
    <w:rsid w:val="72976C64"/>
    <w:rsid w:val="73230682"/>
    <w:rsid w:val="734F0FD2"/>
    <w:rsid w:val="73DB09F5"/>
    <w:rsid w:val="746E5488"/>
    <w:rsid w:val="76FF67EE"/>
    <w:rsid w:val="77500583"/>
    <w:rsid w:val="776711F9"/>
    <w:rsid w:val="787137FC"/>
    <w:rsid w:val="78774B27"/>
    <w:rsid w:val="7CB04CE6"/>
    <w:rsid w:val="7CBE516E"/>
    <w:rsid w:val="7D1E2DE5"/>
    <w:rsid w:val="7F9D2EA8"/>
    <w:rsid w:val="7F9E2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b/>
      <w:bCs/>
    </w:rPr>
  </w:style>
  <w:style w:type="paragraph" w:styleId="3">
    <w:name w:val="Body Text"/>
    <w:basedOn w:val="1"/>
    <w:semiHidden/>
    <w:qFormat/>
    <w:uiPriority w:val="0"/>
    <w:rPr>
      <w:rFonts w:ascii="FangSong_GB2312" w:hAnsi="FangSong_GB2312" w:eastAsia="FangSong_GB2312" w:cs="FangSong_GB2312"/>
      <w:sz w:val="31"/>
      <w:szCs w:val="3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1"/>
    <w:next w:val="1"/>
    <w:qFormat/>
    <w:uiPriority w:val="0"/>
    <w:pPr>
      <w:spacing w:after="0"/>
      <w:ind w:left="0" w:leftChars="0" w:firstLine="420" w:firstLineChars="200"/>
    </w:pPr>
    <w:rPr>
      <w:rFonts w:ascii="Calibri" w:hAnsi="Calibri" w:eastAsia="宋体" w:cs="Times New Roman"/>
      <w:sz w:val="28"/>
      <w:szCs w:val="24"/>
    </w:rPr>
  </w:style>
  <w:style w:type="character" w:styleId="10">
    <w:name w:val="Strong"/>
    <w:basedOn w:val="9"/>
    <w:qFormat/>
    <w:uiPriority w:val="0"/>
    <w:rPr>
      <w:b/>
    </w:rPr>
  </w:style>
  <w:style w:type="paragraph" w:customStyle="1" w:styleId="11">
    <w:name w:val="BodyText1I"/>
    <w:basedOn w:val="12"/>
    <w:qFormat/>
    <w:uiPriority w:val="99"/>
    <w:pPr>
      <w:ind w:firstLine="420" w:firstLineChars="100"/>
    </w:pPr>
    <w:rPr>
      <w:rFonts w:ascii="Times New Roman" w:hAnsi="Times New Roman"/>
    </w:rPr>
  </w:style>
  <w:style w:type="paragraph" w:customStyle="1" w:styleId="12">
    <w:name w:val="BodyText"/>
    <w:basedOn w:val="1"/>
    <w:next w:val="13"/>
    <w:qFormat/>
    <w:uiPriority w:val="99"/>
    <w:pPr>
      <w:spacing w:before="100" w:beforeAutospacing="1" w:after="120"/>
      <w:textAlignment w:val="baseline"/>
    </w:pPr>
  </w:style>
  <w:style w:type="paragraph" w:customStyle="1" w:styleId="13">
    <w:name w:val="180"/>
    <w:basedOn w:val="1"/>
    <w:next w:val="1"/>
    <w:qFormat/>
    <w:uiPriority w:val="99"/>
    <w:pPr>
      <w:spacing w:before="200" w:after="160"/>
      <w:ind w:left="864" w:right="864"/>
      <w:jc w:val="center"/>
      <w:textAlignment w:val="baseline"/>
    </w:pPr>
    <w:rPr>
      <w:rFonts w:eastAsia="微软雅黑"/>
      <w: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0ea8a4ad-0515-4b43-b670-c8116dca7d9c</errorID>
      <errorWord>三重</errorWord>
      <group>L1_Word</group>
      <groupName>字词问题</groupName>
      <ability>L2_Typo</ability>
      <abilityName>字词错误</abilityName>
      <candidateList>
        <item>三中</item>
      </candidateList>
      <explain/>
      <paraID> BD45E0A</paraID>
      <start>81</start>
      <end>83</end>
      <status>modified</status>
      <modifiedWord>三中</modifiedWord>
      <trackRevisions>false</trackRevisions>
    </reviewItem>
    <reviewItem>
      <errorID>0c4fa339-c276-431b-a582-08c157876772</errorID>
      <errorWord>，</errorWord>
      <group>L1_Word</group>
      <groupName>字词问题</groupName>
      <ability>L2_Typo</ability>
      <abilityName>字词错误</abilityName>
      <candidateList>
        <item>，对</item>
      </candidateList>
      <explain/>
      <paraID>2527A180</paraID>
      <start>67</start>
      <end>69</end>
      <status>modified</status>
      <modifiedWord>，对</modifiedWord>
      <trackRevisions>false</trackRevisions>
    </reviewItem>
    <reviewItem>
      <errorID>02397e4c-8486-4ef8-99bb-0ac3d0a453c7</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2527A180</paraID>
      <start>128</start>
      <end>131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ef167f-251b-42e4-9714-7a5a2d9f4cf8}">
  <ds:schemaRefs/>
</ds:datastoreItem>
</file>

<file path=docProps/app.xml><?xml version="1.0" encoding="utf-8"?>
<Properties xmlns="http://schemas.openxmlformats.org/officeDocument/2006/extended-properties" xmlns:vt="http://schemas.openxmlformats.org/officeDocument/2006/docPropsVTypes">
  <Template>Normal.dotm</Template>
  <Pages>7</Pages>
  <Words>4116</Words>
  <Characters>4184</Characters>
  <Lines>0</Lines>
  <Paragraphs>0</Paragraphs>
  <TotalTime>2</TotalTime>
  <ScaleCrop>false</ScaleCrop>
  <LinksUpToDate>false</LinksUpToDate>
  <CharactersWithSpaces>4297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2025-02-06T03:55:00Z</dcterms:created>
  <dc:creator>Young</dc:creator>
  <cp:lastModifiedBy>风儿</cp:lastModifiedBy>
  <dcterms:modified xsi:type="dcterms:W3CDTF">2026-01-24T06:55:31Z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eyJoZGlkIjoiNmFlZGE5M2UwNTA0YmY4NGRjZTE4NTA3MDU5MzdhZTkiLCJ1c2VySWQiOiI4MjAwNzg5MDkifQ==</vt:lpwstr>
  </property>
  <property fmtid="{D5CDD505-2E9C-101B-9397-08002B2CF9AE}" pid="4" name="ICV">
    <vt:lpwstr>1446D40E639E4554A04222E950783B3E_12</vt:lpwstr>
  </property>
</Properties>
</file>