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3CFD8">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outlineLvl w:val="0"/>
        <w:rPr>
          <w:rFonts w:ascii="楷体_GB2312" w:hAnsi="楷体_GB2312" w:eastAsia="楷体_GB2312" w:cs="楷体_GB2312"/>
          <w:b/>
          <w:bCs/>
          <w:color w:val="auto"/>
          <w:sz w:val="28"/>
          <w:szCs w:val="28"/>
          <w:highlight w:val="none"/>
        </w:rPr>
      </w:pPr>
      <w:r>
        <w:rPr>
          <w:rFonts w:hint="eastAsia" w:ascii="黑体" w:hAnsi="黑体" w:eastAsia="黑体" w:cs="黑体"/>
          <w:b/>
          <w:bCs/>
          <w:color w:val="auto"/>
          <w:sz w:val="28"/>
          <w:szCs w:val="28"/>
          <w:highlight w:val="none"/>
        </w:rPr>
        <w:t>一、最低生活保障家庭政策</w:t>
      </w:r>
    </w:p>
    <w:p w14:paraId="09E93D17">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color w:val="auto"/>
          <w:sz w:val="21"/>
          <w:szCs w:val="21"/>
          <w:highlight w:val="none"/>
        </w:rPr>
      </w:pPr>
      <w:bookmarkStart w:id="0" w:name="_Toc20644"/>
      <w:r>
        <w:rPr>
          <w:rFonts w:hint="eastAsia" w:ascii="楷体_GB2312" w:hAnsi="楷体_GB2312" w:eastAsia="楷体_GB2312" w:cs="楷体_GB2312"/>
          <w:b/>
          <w:bCs/>
          <w:color w:val="auto"/>
          <w:sz w:val="21"/>
          <w:szCs w:val="21"/>
          <w:highlight w:val="none"/>
        </w:rPr>
        <w:t>（一）办理条件</w:t>
      </w:r>
      <w:bookmarkEnd w:id="0"/>
    </w:p>
    <w:p w14:paraId="4A64EDCC">
      <w:pPr>
        <w:keepNext w:val="0"/>
        <w:keepLines w:val="0"/>
        <w:pageBreakBefore w:val="0"/>
        <w:widowControl w:val="0"/>
        <w:kinsoku/>
        <w:wordWrap/>
        <w:overflowPunct/>
        <w:topLinePunct w:val="0"/>
        <w:autoSpaceDE/>
        <w:autoSpaceDN/>
        <w:bidi w:val="0"/>
        <w:adjustRightInd/>
        <w:snapToGrid/>
        <w:spacing w:line="560" w:lineRule="exact"/>
        <w:ind w:left="848" w:leftChars="304" w:hanging="210" w:hangingChars="100"/>
        <w:jc w:val="left"/>
        <w:textAlignment w:val="auto"/>
        <w:rPr>
          <w:rFonts w:ascii="仿宋_GB2312" w:hAnsi="仿宋_GB2312" w:eastAsia="仿宋_GB2312" w:cs="仿宋_GB2312"/>
          <w:color w:val="auto"/>
          <w:sz w:val="21"/>
          <w:szCs w:val="21"/>
          <w:highlight w:val="none"/>
        </w:rPr>
      </w:pPr>
      <w:r>
        <w:rPr>
          <w:rFonts w:ascii="仿宋_GB2312" w:hAnsi="仿宋_GB2312" w:eastAsia="仿宋_GB2312" w:cs="仿宋_GB2312"/>
          <w:color w:val="auto"/>
          <w:sz w:val="21"/>
          <w:szCs w:val="21"/>
          <w:highlight w:val="none"/>
        </w:rPr>
        <w:t>最低生活保障家庭应同时具备下列条件</w:t>
      </w:r>
      <w:r>
        <w:rPr>
          <w:rFonts w:hint="eastAsia" w:ascii="仿宋_GB2312" w:hAnsi="仿宋_GB2312" w:eastAsia="仿宋_GB2312" w:cs="仿宋_GB2312"/>
          <w:color w:val="auto"/>
          <w:sz w:val="21"/>
          <w:szCs w:val="21"/>
          <w:highlight w:val="none"/>
        </w:rPr>
        <w:t>：</w:t>
      </w:r>
    </w:p>
    <w:p w14:paraId="284926A3">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r>
        <w:rPr>
          <w:rFonts w:ascii="仿宋_GB2312" w:hAnsi="仿宋_GB2312" w:eastAsia="仿宋_GB2312" w:cs="仿宋_GB2312"/>
          <w:color w:val="auto"/>
          <w:sz w:val="21"/>
          <w:szCs w:val="21"/>
          <w:highlight w:val="none"/>
        </w:rPr>
        <w:t>持有本</w:t>
      </w:r>
      <w:r>
        <w:rPr>
          <w:rFonts w:hint="eastAsia" w:ascii="仿宋_GB2312" w:hAnsi="仿宋_GB2312" w:eastAsia="仿宋_GB2312" w:cs="仿宋_GB2312"/>
          <w:color w:val="auto"/>
          <w:sz w:val="21"/>
          <w:szCs w:val="21"/>
          <w:highlight w:val="none"/>
        </w:rPr>
        <w:t>县</w:t>
      </w:r>
      <w:r>
        <w:rPr>
          <w:rFonts w:ascii="仿宋_GB2312" w:hAnsi="仿宋_GB2312" w:eastAsia="仿宋_GB2312" w:cs="仿宋_GB2312"/>
          <w:color w:val="auto"/>
          <w:sz w:val="21"/>
          <w:szCs w:val="21"/>
          <w:highlight w:val="none"/>
        </w:rPr>
        <w:t>户籍；</w:t>
      </w:r>
    </w:p>
    <w:p w14:paraId="283106C9">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2.共同生活的家庭成员月人均收入低于户籍所在地最低生活保障标准，或者家庭总收入在扣减刚性支出后(基本生活支出除外),共同生活的家庭成员人均月收入低于户籍所在地最低生活保障标准</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2025年1015元/月，以后每年会调整</w:t>
      </w:r>
      <w:r>
        <w:rPr>
          <w:rFonts w:hint="eastAsia" w:ascii="仿宋_GB2312" w:hAnsi="仿宋_GB2312" w:eastAsia="仿宋_GB2312" w:cs="仿宋_GB2312"/>
          <w:color w:val="auto"/>
          <w:sz w:val="21"/>
          <w:szCs w:val="21"/>
          <w:highlight w:val="none"/>
          <w:lang w:eastAsia="zh-CN"/>
        </w:rPr>
        <w:t>）</w:t>
      </w:r>
      <w:r>
        <w:rPr>
          <w:rFonts w:ascii="仿宋_GB2312" w:hAnsi="仿宋_GB2312" w:eastAsia="仿宋_GB2312" w:cs="仿宋_GB2312"/>
          <w:color w:val="auto"/>
          <w:sz w:val="21"/>
          <w:szCs w:val="21"/>
          <w:highlight w:val="none"/>
        </w:rPr>
        <w:t>；</w:t>
      </w:r>
    </w:p>
    <w:p w14:paraId="27DDC92D">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r>
        <w:rPr>
          <w:rFonts w:ascii="仿宋_GB2312" w:hAnsi="仿宋_GB2312" w:eastAsia="仿宋_GB2312" w:cs="仿宋_GB2312"/>
          <w:color w:val="auto"/>
          <w:sz w:val="21"/>
          <w:szCs w:val="21"/>
          <w:highlight w:val="none"/>
        </w:rPr>
        <w:t>符合户籍所在地社会救助家庭财产状况规定。</w:t>
      </w:r>
    </w:p>
    <w:p w14:paraId="219FC210">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b/>
          <w:bCs/>
          <w:color w:val="auto"/>
          <w:sz w:val="21"/>
          <w:szCs w:val="21"/>
          <w:highlight w:val="none"/>
        </w:rPr>
      </w:pPr>
      <w:bookmarkStart w:id="1" w:name="_Toc10576"/>
      <w:r>
        <w:rPr>
          <w:rFonts w:hint="eastAsia" w:ascii="楷体_GB2312" w:hAnsi="楷体_GB2312" w:eastAsia="楷体_GB2312" w:cs="楷体_GB2312"/>
          <w:b/>
          <w:bCs/>
          <w:color w:val="auto"/>
          <w:sz w:val="21"/>
          <w:szCs w:val="21"/>
          <w:highlight w:val="none"/>
        </w:rPr>
        <w:t>（二）</w:t>
      </w:r>
      <w:r>
        <w:rPr>
          <w:rFonts w:ascii="楷体_GB2312" w:hAnsi="楷体_GB2312" w:eastAsia="楷体_GB2312" w:cs="楷体_GB2312"/>
          <w:b/>
          <w:bCs/>
          <w:color w:val="auto"/>
          <w:sz w:val="21"/>
          <w:szCs w:val="21"/>
          <w:highlight w:val="none"/>
        </w:rPr>
        <w:t>申请材料</w:t>
      </w:r>
      <w:bookmarkEnd w:id="1"/>
    </w:p>
    <w:p w14:paraId="321F71CA">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1.共同生活的家庭成员、非共同生活的法定赡养、抚养、扶养义务人及其配偶的居民身份证原件</w:t>
      </w:r>
      <w:r>
        <w:rPr>
          <w:rFonts w:hint="eastAsia" w:ascii="仿宋_GB2312" w:hAnsi="仿宋_GB2312" w:eastAsia="仿宋_GB2312" w:cs="仿宋_GB2312"/>
          <w:color w:val="auto"/>
          <w:sz w:val="21"/>
          <w:szCs w:val="21"/>
          <w:highlight w:val="none"/>
          <w:lang w:eastAsia="zh-CN"/>
        </w:rPr>
        <w:t>；</w:t>
      </w:r>
    </w:p>
    <w:p w14:paraId="6919E5E3">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r>
        <w:rPr>
          <w:rFonts w:ascii="仿宋_GB2312" w:hAnsi="仿宋_GB2312" w:eastAsia="仿宋_GB2312" w:cs="仿宋_GB2312"/>
          <w:color w:val="auto"/>
          <w:sz w:val="21"/>
          <w:szCs w:val="21"/>
          <w:highlight w:val="none"/>
        </w:rPr>
        <w:t>《江西省社会救助申请及核对授权书》。</w:t>
      </w:r>
    </w:p>
    <w:p w14:paraId="2BE130BC">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仿宋_GB2312" w:hAnsi="仿宋_GB2312" w:eastAsia="仿宋_GB2312" w:cs="仿宋_GB2312"/>
          <w:b/>
          <w:bCs/>
          <w:color w:val="auto"/>
          <w:sz w:val="21"/>
          <w:szCs w:val="21"/>
          <w:highlight w:val="none"/>
        </w:rPr>
      </w:pPr>
      <w:bookmarkStart w:id="2" w:name="_Toc14630"/>
      <w:r>
        <w:rPr>
          <w:rFonts w:hint="eastAsia" w:ascii="楷体_GB2312" w:hAnsi="楷体_GB2312" w:eastAsia="楷体_GB2312" w:cs="楷体_GB2312"/>
          <w:b/>
          <w:bCs/>
          <w:color w:val="auto"/>
          <w:sz w:val="21"/>
          <w:szCs w:val="21"/>
          <w:highlight w:val="none"/>
        </w:rPr>
        <w:t>（三）</w:t>
      </w:r>
      <w:r>
        <w:rPr>
          <w:rFonts w:ascii="楷体_GB2312" w:hAnsi="楷体_GB2312" w:eastAsia="楷体_GB2312" w:cs="楷体_GB2312"/>
          <w:b/>
          <w:bCs/>
          <w:color w:val="auto"/>
          <w:sz w:val="21"/>
          <w:szCs w:val="21"/>
          <w:highlight w:val="none"/>
        </w:rPr>
        <w:t>办理方式</w:t>
      </w:r>
      <w:bookmarkEnd w:id="2"/>
    </w:p>
    <w:p w14:paraId="0CDA3C0A">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r>
        <w:rPr>
          <w:rFonts w:ascii="仿宋_GB2312" w:hAnsi="仿宋_GB2312" w:eastAsia="仿宋_GB2312" w:cs="仿宋_GB2312"/>
          <w:color w:val="auto"/>
          <w:sz w:val="21"/>
          <w:szCs w:val="21"/>
          <w:highlight w:val="none"/>
        </w:rPr>
        <w:t>窗口申请：由本人向户籍所在地或一年以上实际居住地乡镇人民政府提出申请。</w:t>
      </w:r>
    </w:p>
    <w:p w14:paraId="7330D707">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r>
        <w:rPr>
          <w:rFonts w:ascii="仿宋_GB2312" w:hAnsi="仿宋_GB2312" w:eastAsia="仿宋_GB2312" w:cs="仿宋_GB2312"/>
          <w:color w:val="auto"/>
          <w:sz w:val="21"/>
          <w:szCs w:val="21"/>
          <w:highlight w:val="none"/>
        </w:rPr>
        <w:t>网络申请：在支付宝中搜索“社会救助”或扫描“社会救助申请二维码”自主申请。</w:t>
      </w:r>
    </w:p>
    <w:p w14:paraId="24117A32">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b/>
          <w:bCs/>
          <w:color w:val="auto"/>
          <w:sz w:val="21"/>
          <w:szCs w:val="21"/>
          <w:highlight w:val="none"/>
        </w:rPr>
      </w:pPr>
      <w:bookmarkStart w:id="3" w:name="_Toc1864"/>
      <w:r>
        <w:rPr>
          <w:rFonts w:hint="eastAsia" w:ascii="楷体_GB2312" w:hAnsi="楷体_GB2312" w:eastAsia="楷体_GB2312" w:cs="楷体_GB2312"/>
          <w:b/>
          <w:bCs/>
          <w:color w:val="auto"/>
          <w:sz w:val="21"/>
          <w:szCs w:val="21"/>
          <w:highlight w:val="none"/>
        </w:rPr>
        <w:t>（四）</w:t>
      </w:r>
      <w:r>
        <w:rPr>
          <w:rFonts w:ascii="楷体_GB2312" w:hAnsi="楷体_GB2312" w:eastAsia="楷体_GB2312" w:cs="楷体_GB2312"/>
          <w:b/>
          <w:bCs/>
          <w:color w:val="auto"/>
          <w:sz w:val="21"/>
          <w:szCs w:val="21"/>
          <w:highlight w:val="none"/>
        </w:rPr>
        <w:t>社会救助家庭财产状况部分规定</w:t>
      </w:r>
      <w:bookmarkEnd w:id="3"/>
    </w:p>
    <w:p w14:paraId="0E1EF09A">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家庭财产按照以下标准认定：</w:t>
      </w:r>
    </w:p>
    <w:p w14:paraId="54E72B55">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rPr>
        <w:t>)银行存款按照申请人及其家庭所有成员账户金额认定或参考近一年的账户流水情况综合认定；</w:t>
      </w:r>
    </w:p>
    <w:p w14:paraId="3EB8E5B4">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2</w:t>
      </w:r>
      <w:r>
        <w:rPr>
          <w:rFonts w:hint="eastAsia" w:ascii="仿宋_GB2312" w:hAnsi="仿宋_GB2312" w:eastAsia="仿宋_GB2312" w:cs="仿宋_GB2312"/>
          <w:color w:val="auto"/>
          <w:sz w:val="21"/>
          <w:szCs w:val="21"/>
          <w:highlight w:val="none"/>
        </w:rPr>
        <w:t>)证券、基金、股票等金融资产按照股票市值和资金账户余额或基金基金净值认定；</w:t>
      </w:r>
    </w:p>
    <w:p w14:paraId="4C2B769E">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rPr>
        <w:t>)商业保险按照保险合同中约定的给付时间和现金价值认定，债权按照协议等文本信息确定；</w:t>
      </w:r>
    </w:p>
    <w:p w14:paraId="5945EFE2">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)不动产按照农业农村、不动产登记、住建部门登记备案或相关购买记录等信息登记的实际面积和数量认定；</w:t>
      </w:r>
    </w:p>
    <w:p w14:paraId="0E378D2D">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5</w:t>
      </w:r>
      <w:r>
        <w:rPr>
          <w:rFonts w:hint="eastAsia" w:ascii="仿宋_GB2312" w:hAnsi="仿宋_GB2312" w:eastAsia="仿宋_GB2312" w:cs="仿宋_GB2312"/>
          <w:color w:val="auto"/>
          <w:sz w:val="21"/>
          <w:szCs w:val="21"/>
          <w:highlight w:val="none"/>
        </w:rPr>
        <w:t>)机动车辆、大型农机具等持有情况按照公安、交通运输、农业农村等相关部门登记的信息或购置登记时的价值和数量认定；</w:t>
      </w:r>
    </w:p>
    <w:p w14:paraId="69136C10">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6</w:t>
      </w:r>
      <w:r>
        <w:rPr>
          <w:rFonts w:hint="eastAsia" w:ascii="仿宋_GB2312" w:hAnsi="仿宋_GB2312" w:eastAsia="仿宋_GB2312" w:cs="仿宋_GB2312"/>
          <w:color w:val="auto"/>
          <w:sz w:val="21"/>
          <w:szCs w:val="21"/>
          <w:highlight w:val="none"/>
        </w:rPr>
        <w:t>)市场主体情况按照市场监管部门登记信息确定；</w:t>
      </w:r>
    </w:p>
    <w:p w14:paraId="3CAFD715">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7</w:t>
      </w:r>
      <w:r>
        <w:rPr>
          <w:rFonts w:hint="eastAsia" w:ascii="仿宋_GB2312" w:hAnsi="仿宋_GB2312" w:eastAsia="仿宋_GB2312" w:cs="仿宋_GB2312"/>
          <w:color w:val="auto"/>
          <w:sz w:val="21"/>
          <w:szCs w:val="21"/>
          <w:highlight w:val="none"/>
        </w:rPr>
        <w:t>)出售、转让财产价格按照合同认定，无合同或者合同价格明显低于市场价格的，根据市场价格认定；</w:t>
      </w:r>
    </w:p>
    <w:p w14:paraId="2685B668">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8</w:t>
      </w:r>
      <w:r>
        <w:rPr>
          <w:rFonts w:hint="eastAsia" w:ascii="仿宋_GB2312" w:hAnsi="仿宋_GB2312" w:eastAsia="仿宋_GB2312" w:cs="仿宋_GB2312"/>
          <w:color w:val="auto"/>
          <w:sz w:val="21"/>
          <w:szCs w:val="21"/>
          <w:highlight w:val="none"/>
        </w:rPr>
        <w:t>)其他非生活必需的高值物品等财产，按照现值认定。</w:t>
      </w:r>
    </w:p>
    <w:p w14:paraId="6C4CE3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2"/>
          <w:sz w:val="21"/>
          <w:szCs w:val="21"/>
          <w:highlight w:val="none"/>
          <w:lang w:val="en-US" w:eastAsia="zh-CN" w:bidi="ar-SA"/>
        </w:rPr>
        <w:t>1.</w:t>
      </w:r>
      <w:r>
        <w:rPr>
          <w:rFonts w:ascii="仿宋_GB2312" w:hAnsi="仿宋_GB2312" w:eastAsia="仿宋_GB2312" w:cs="仿宋_GB2312"/>
          <w:color w:val="auto"/>
          <w:sz w:val="21"/>
          <w:szCs w:val="21"/>
          <w:highlight w:val="none"/>
        </w:rPr>
        <w:t>共同生活的家庭成员（配偶</w:t>
      </w:r>
      <w:r>
        <w:rPr>
          <w:rFonts w:hint="eastAsia" w:ascii="仿宋_GB2312" w:hAnsi="仿宋_GB2312" w:eastAsia="仿宋_GB2312" w:cs="仿宋_GB2312"/>
          <w:color w:val="auto"/>
          <w:sz w:val="21"/>
          <w:szCs w:val="21"/>
          <w:highlight w:val="none"/>
        </w:rPr>
        <w:t>、</w:t>
      </w:r>
      <w:r>
        <w:rPr>
          <w:rFonts w:ascii="仿宋_GB2312" w:hAnsi="仿宋_GB2312" w:eastAsia="仿宋_GB2312" w:cs="仿宋_GB2312"/>
          <w:color w:val="auto"/>
          <w:sz w:val="21"/>
          <w:szCs w:val="21"/>
          <w:highlight w:val="none"/>
        </w:rPr>
        <w:t>父母和未成年子女；已成年但不能独立生活的子女，包括在校接受本科及以下学历教育的成年子女；其他具有法定赡养、抚养、扶养义务关系并长期共同生活的人员）有下列情形之一的，不符合社会救助家庭财产状况规</w:t>
      </w:r>
      <w:r>
        <w:rPr>
          <w:rFonts w:hint="eastAsia" w:ascii="仿宋_GB2312" w:hAnsi="仿宋_GB2312" w:eastAsia="仿宋_GB2312" w:cs="仿宋_GB2312"/>
          <w:color w:val="auto"/>
          <w:sz w:val="21"/>
          <w:szCs w:val="21"/>
          <w:highlight w:val="none"/>
        </w:rPr>
        <w:t>定：</w:t>
      </w:r>
    </w:p>
    <w:p w14:paraId="7412CF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rPr>
        <w:t>)银行存款、有价证券、债券、理财产品、商业保险、黄金、首饰等家庭资产人均超过最低生活保障月标准的36倍且家庭资产总额超过户籍所在地上年度城镇居民人均可支配收入2倍(含2倍);</w:t>
      </w:r>
    </w:p>
    <w:p w14:paraId="6096EA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2</w:t>
      </w:r>
      <w:r>
        <w:rPr>
          <w:rFonts w:hint="eastAsia" w:ascii="仿宋_GB2312" w:hAnsi="仿宋_GB2312" w:eastAsia="仿宋_GB2312" w:cs="仿宋_GB2312"/>
          <w:color w:val="auto"/>
          <w:sz w:val="21"/>
          <w:szCs w:val="21"/>
          <w:highlight w:val="none"/>
        </w:rPr>
        <w:t>)拥有机动车辆(残疾人功能性补偿代步车和二轮、三轮电动车、普通摩托代步车辆除外)、船舶、工程机械以及拥有大型农机具；</w:t>
      </w:r>
    </w:p>
    <w:p w14:paraId="13B056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rPr>
        <w:t>)拥有非普通商品住房，建筑面积≥144平方米且建筑容积率在1.0以下，如别墅、豪宅等或拥有2套以上(含</w:t>
      </w:r>
      <w:r>
        <w:rPr>
          <w:rFonts w:hint="eastAsia" w:ascii="仿宋_GB2312" w:hAnsi="仿宋_GB2312" w:eastAsia="仿宋_GB2312" w:cs="仿宋_GB2312"/>
          <w:color w:val="auto"/>
          <w:sz w:val="21"/>
          <w:szCs w:val="21"/>
          <w:highlight w:val="none"/>
          <w:lang w:val="en-US" w:eastAsia="zh-CN"/>
        </w:rPr>
        <w:t>2</w:t>
      </w:r>
      <w:r>
        <w:rPr>
          <w:rFonts w:hint="eastAsia" w:ascii="仿宋_GB2312" w:hAnsi="仿宋_GB2312" w:eastAsia="仿宋_GB2312" w:cs="仿宋_GB2312"/>
          <w:color w:val="auto"/>
          <w:sz w:val="21"/>
          <w:szCs w:val="21"/>
          <w:highlight w:val="none"/>
        </w:rPr>
        <w:t>套)住房；</w:t>
      </w:r>
    </w:p>
    <w:p w14:paraId="5E360C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)家庭成员名下有商铺、办公楼、厂房、酒店式公寓等非居住类不动产；</w:t>
      </w:r>
    </w:p>
    <w:p w14:paraId="64BF08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5</w:t>
      </w:r>
      <w:r>
        <w:rPr>
          <w:rFonts w:hint="eastAsia" w:ascii="仿宋_GB2312" w:hAnsi="仿宋_GB2312" w:eastAsia="仿宋_GB2312" w:cs="仿宋_GB2312"/>
          <w:color w:val="auto"/>
          <w:sz w:val="21"/>
          <w:szCs w:val="21"/>
          <w:highlight w:val="none"/>
        </w:rPr>
        <w:t>)家庭成员名下有工商登记，存在雇佣他人从事各种经营性活动的行为；</w:t>
      </w:r>
    </w:p>
    <w:p w14:paraId="703BC2E0">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2.社会救助申请家庭财产状况符合下列情形之一的，经调查核实，可以视为维持家庭生产生活的必需财产，在审核确认时可以视情予以豁免：</w:t>
      </w:r>
    </w:p>
    <w:p w14:paraId="224DE645">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rPr>
        <w:t>)作为唯一谋生工具的小型经营性车辆，可以视情况豁免。该车存在车贷的，存款可视情进行适当豁免，豁免金额不超过车贷年度还款金额的2倍；</w:t>
      </w:r>
    </w:p>
    <w:p w14:paraId="0CF4373C">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2</w:t>
      </w:r>
      <w:r>
        <w:rPr>
          <w:rFonts w:hint="eastAsia" w:ascii="仿宋_GB2312" w:hAnsi="仿宋_GB2312" w:eastAsia="仿宋_GB2312" w:cs="仿宋_GB2312"/>
          <w:color w:val="auto"/>
          <w:sz w:val="21"/>
          <w:szCs w:val="21"/>
          <w:highlight w:val="none"/>
        </w:rPr>
        <w:t>)有大额存款且累计持有时间未超过12个月，能够提供自申请或者动态管理之日起前12个月内三级乙等及以上级别医院开具的医学诊断证明书、治疗方案等医学证明材料，确认存款用于治疗重大疾病的，可以按照该病种平均医疗费用酌情予以豁免；</w:t>
      </w:r>
    </w:p>
    <w:p w14:paraId="0A70235F">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rPr>
        <w:t>)有唯一一套住房，且名下无商铺、办公楼、厂房等非居住用途不动产，该套住房存在房贷的，存款可视情进行适当豁免，豁免金额不超过房贷年度还款金额的2倍；</w:t>
      </w:r>
    </w:p>
    <w:p w14:paraId="10A012AC">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)无住房，但有唯一一处商铺、厂房、酒店式公寓等非居住用途不动产，并将该非居住用途不动产作为家庭唯一居住场所，且家庭人均建筑面积低于户籍所在地上年度居民人均建筑面积；</w:t>
      </w:r>
    </w:p>
    <w:p w14:paraId="60BBE494">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5</w:t>
      </w:r>
      <w:r>
        <w:rPr>
          <w:rFonts w:hint="eastAsia" w:ascii="仿宋_GB2312" w:hAnsi="仿宋_GB2312" w:eastAsia="仿宋_GB2312" w:cs="仿宋_GB2312"/>
          <w:color w:val="auto"/>
          <w:sz w:val="21"/>
          <w:szCs w:val="21"/>
          <w:highlight w:val="none"/>
        </w:rPr>
        <w:t>)有工商登记，但未从事或雇佣他人从事各种经营性活动的行为，或投资经营规模较小且无雇员，或者属于扶贫对象统一参加当地合作社、集体所有制企业等经济组织；</w:t>
      </w:r>
    </w:p>
    <w:p w14:paraId="46C10BA8">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6</w:t>
      </w:r>
      <w:r>
        <w:rPr>
          <w:rFonts w:hint="eastAsia" w:ascii="仿宋_GB2312" w:hAnsi="仿宋_GB2312" w:eastAsia="仿宋_GB2312" w:cs="仿宋_GB2312"/>
          <w:color w:val="auto"/>
          <w:sz w:val="21"/>
          <w:szCs w:val="21"/>
          <w:highlight w:val="none"/>
        </w:rPr>
        <w:t>)经具有房屋安全鉴定资质的鉴定机构鉴定，并提出观察使用、处理使用、停止使用或者整体拆除处理意见的危房可视情况予以豁免。长期居住、工作、生活在城镇的，可视情豁免名下1套长期闲置的非豪华装修农村住房；</w:t>
      </w:r>
    </w:p>
    <w:p w14:paraId="2BF87BFA">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7</w:t>
      </w:r>
      <w:r>
        <w:rPr>
          <w:rFonts w:hint="eastAsia" w:ascii="仿宋_GB2312" w:hAnsi="仿宋_GB2312" w:eastAsia="仿宋_GB2312" w:cs="仿宋_GB2312"/>
          <w:color w:val="auto"/>
          <w:sz w:val="21"/>
          <w:szCs w:val="21"/>
          <w:highlight w:val="none"/>
        </w:rPr>
        <w:t>)依靠兄弟姐妹或者60周岁及以上老年人供养的成年无业重度残疾人，在评估认定其家庭经济状况时，兄弟姐妹或者60周岁及以上老年人给付的供养费用，可以视情豁免；</w:t>
      </w:r>
    </w:p>
    <w:p w14:paraId="38972AD1">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8</w:t>
      </w:r>
      <w:r>
        <w:rPr>
          <w:rFonts w:hint="eastAsia" w:ascii="仿宋_GB2312" w:hAnsi="仿宋_GB2312" w:eastAsia="仿宋_GB2312" w:cs="仿宋_GB2312"/>
          <w:color w:val="auto"/>
          <w:sz w:val="21"/>
          <w:szCs w:val="21"/>
          <w:highlight w:val="none"/>
        </w:rPr>
        <w:t>)价值不超过户籍所在地最低生活保障年标准15倍的且存在车贷的非经营性车辆，已转让给他人使用，并能提供转让协议及转账记录，可以视情豁免该车辆；</w:t>
      </w:r>
    </w:p>
    <w:p w14:paraId="27D445EF">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3.非共同生活的法定赡养、抚养、扶养义务人家庭有下列情形之一的，被赡养、抚养、扶养家庭原则上不予纳入最低生活保障：</w:t>
      </w:r>
    </w:p>
    <w:p w14:paraId="6B7F496F">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rPr>
        <w:t>)拥有2套及以上住房，且家庭人均建筑面积高于户籍所在地上年度居民人均建筑面积；</w:t>
      </w:r>
    </w:p>
    <w:p w14:paraId="21F59743">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2</w:t>
      </w:r>
      <w:r>
        <w:rPr>
          <w:rFonts w:hint="eastAsia" w:ascii="仿宋_GB2312" w:hAnsi="仿宋_GB2312" w:eastAsia="仿宋_GB2312" w:cs="仿宋_GB2312"/>
          <w:color w:val="auto"/>
          <w:sz w:val="21"/>
          <w:szCs w:val="21"/>
          <w:highlight w:val="none"/>
        </w:rPr>
        <w:t>)拥有2辆及以上非经营性机动车辆(残疾人功能性补偿代步机动车辆除外)、船舶、工程机械或者大型农机具；</w:t>
      </w:r>
    </w:p>
    <w:p w14:paraId="344E0AF5">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rPr>
        <w:t>)有非经营性机动车辆(残疾人功能性补偿代步机动车辆除外)、船舶、工程机械或者大型农机具，且交易价格高于户籍所在地最低生活保障年标准15倍；</w:t>
      </w:r>
    </w:p>
    <w:p w14:paraId="4EDFA087">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)人均金融资产超过户籍所在地上年度城镇居民可支配收入1.5倍；</w:t>
      </w:r>
    </w:p>
    <w:p w14:paraId="30B052C4">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5</w:t>
      </w:r>
      <w:r>
        <w:rPr>
          <w:rFonts w:hint="eastAsia" w:ascii="仿宋_GB2312" w:hAnsi="仿宋_GB2312" w:eastAsia="仿宋_GB2312" w:cs="仿宋_GB2312"/>
          <w:color w:val="auto"/>
          <w:sz w:val="21"/>
          <w:szCs w:val="21"/>
          <w:highlight w:val="none"/>
        </w:rPr>
        <w:t>)在各类企业中实缴出资额累计超过10万元(含10万元);</w:t>
      </w:r>
    </w:p>
    <w:p w14:paraId="48276B42">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outlineLvl w:val="0"/>
        <w:rPr>
          <w:rFonts w:ascii="黑体" w:hAnsi="黑体" w:eastAsia="黑体" w:cs="黑体"/>
          <w:b/>
          <w:bCs/>
          <w:color w:val="auto"/>
          <w:sz w:val="28"/>
          <w:szCs w:val="28"/>
          <w:highlight w:val="none"/>
        </w:rPr>
      </w:pPr>
      <w:bookmarkStart w:id="4" w:name="_Toc610"/>
      <w:bookmarkStart w:id="5" w:name="_Toc7166"/>
      <w:bookmarkStart w:id="6" w:name="_Toc2294"/>
      <w:r>
        <w:rPr>
          <w:rFonts w:hint="eastAsia" w:ascii="黑体" w:hAnsi="黑体" w:eastAsia="黑体" w:cs="黑体"/>
          <w:b/>
          <w:bCs/>
          <w:color w:val="auto"/>
          <w:sz w:val="28"/>
          <w:szCs w:val="28"/>
          <w:highlight w:val="none"/>
        </w:rPr>
        <w:t>二、特困人员救助供养政策</w:t>
      </w:r>
      <w:bookmarkEnd w:id="4"/>
      <w:bookmarkEnd w:id="5"/>
      <w:bookmarkEnd w:id="6"/>
    </w:p>
    <w:p w14:paraId="6AA2F960">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b/>
          <w:bCs/>
          <w:color w:val="auto"/>
          <w:sz w:val="21"/>
          <w:szCs w:val="21"/>
          <w:highlight w:val="none"/>
        </w:rPr>
      </w:pPr>
      <w:bookmarkStart w:id="7" w:name="_Toc1346"/>
      <w:r>
        <w:rPr>
          <w:rFonts w:hint="eastAsia" w:ascii="楷体_GB2312" w:hAnsi="楷体_GB2312" w:eastAsia="楷体_GB2312" w:cs="楷体_GB2312"/>
          <w:b/>
          <w:bCs/>
          <w:color w:val="auto"/>
          <w:sz w:val="21"/>
          <w:szCs w:val="21"/>
          <w:highlight w:val="none"/>
        </w:rPr>
        <w:t>（一）办理条件</w:t>
      </w:r>
      <w:bookmarkEnd w:id="7"/>
    </w:p>
    <w:p w14:paraId="0C8ADFB2">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持有本县户籍的老年人、残疾人、未成年人以及其他特殊困难人员，同时具备以下三个条件的，应当依法纳入特困人员救助供养范围：</w:t>
      </w:r>
    </w:p>
    <w:p w14:paraId="3A9CA8F0">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outlineLvl w:val="1"/>
        <w:rPr>
          <w:rFonts w:ascii="仿宋_GB2312" w:hAnsi="仿宋_GB2312" w:eastAsia="仿宋_GB2312" w:cs="仿宋_GB2312"/>
          <w:color w:val="auto"/>
          <w:sz w:val="21"/>
          <w:szCs w:val="21"/>
          <w:highlight w:val="none"/>
        </w:rPr>
      </w:pPr>
      <w:bookmarkStart w:id="8" w:name="_Toc29198"/>
      <w:r>
        <w:rPr>
          <w:rFonts w:hint="eastAsia" w:ascii="仿宋_GB2312" w:hAnsi="仿宋_GB2312" w:eastAsia="仿宋_GB2312" w:cs="仿宋_GB2312"/>
          <w:color w:val="auto"/>
          <w:sz w:val="21"/>
          <w:szCs w:val="21"/>
          <w:highlight w:val="none"/>
        </w:rPr>
        <w:t>1.无劳动能力。符合下列情形之一的，应当认定为无劳动能力：</w:t>
      </w:r>
      <w:bookmarkEnd w:id="8"/>
    </w:p>
    <w:p w14:paraId="047643D4">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（1）60周岁以上的老年人；</w:t>
      </w:r>
    </w:p>
    <w:p w14:paraId="5DF3DD73">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（2）未满16周岁的未成年人；</w:t>
      </w:r>
    </w:p>
    <w:p w14:paraId="633CEBA9">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（3）残疾等级为一、二、三级的智力、精神残疾人，残疾等级为一、二级的肢体</w:t>
      </w:r>
      <w:r>
        <w:rPr>
          <w:rFonts w:hint="eastAsia" w:ascii="仿宋_GB2312" w:hAnsi="仿宋_GB2312" w:eastAsia="仿宋_GB2312" w:cs="仿宋_GB2312"/>
          <w:color w:val="auto"/>
          <w:sz w:val="21"/>
          <w:szCs w:val="21"/>
          <w:highlight w:val="none"/>
          <w:lang w:val="en-US" w:eastAsia="zh-CN"/>
        </w:rPr>
        <w:t>和视力</w:t>
      </w:r>
      <w:r>
        <w:rPr>
          <w:rFonts w:hint="eastAsia" w:ascii="仿宋_GB2312" w:hAnsi="仿宋_GB2312" w:eastAsia="仿宋_GB2312" w:cs="仿宋_GB2312"/>
          <w:color w:val="auto"/>
          <w:sz w:val="21"/>
          <w:szCs w:val="21"/>
          <w:highlight w:val="none"/>
        </w:rPr>
        <w:t>残疾人；</w:t>
      </w:r>
    </w:p>
    <w:p w14:paraId="4D2B68D0">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（4）经县级以上劳动能力鉴定机构或司法鉴定机构鉴定为完全丧失劳动能力或大部分丧失劳动能力的残疾人</w:t>
      </w:r>
      <w:r>
        <w:rPr>
          <w:rFonts w:hint="eastAsia" w:ascii="仿宋_GB2312" w:hAnsi="仿宋_GB2312" w:eastAsia="仿宋_GB2312" w:cs="仿宋_GB2312"/>
          <w:color w:val="auto"/>
          <w:sz w:val="21"/>
          <w:szCs w:val="21"/>
          <w:highlight w:val="none"/>
          <w:lang w:eastAsia="zh-CN"/>
        </w:rPr>
        <w:t>；</w:t>
      </w:r>
    </w:p>
    <w:p w14:paraId="44388107">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五）县级以上人民政府民政部门认定的其他人员。</w:t>
      </w:r>
    </w:p>
    <w:p w14:paraId="17E0C140">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outlineLvl w:val="1"/>
        <w:rPr>
          <w:rFonts w:ascii="仿宋_GB2312" w:hAnsi="仿宋_GB2312" w:eastAsia="仿宋_GB2312" w:cs="仿宋_GB2312"/>
          <w:color w:val="auto"/>
          <w:sz w:val="21"/>
          <w:szCs w:val="21"/>
          <w:highlight w:val="none"/>
        </w:rPr>
      </w:pPr>
      <w:bookmarkStart w:id="9" w:name="_Toc5522"/>
      <w:r>
        <w:rPr>
          <w:rFonts w:hint="eastAsia" w:ascii="仿宋_GB2312" w:hAnsi="仿宋_GB2312" w:eastAsia="仿宋_GB2312" w:cs="仿宋_GB2312"/>
          <w:color w:val="auto"/>
          <w:sz w:val="21"/>
          <w:szCs w:val="21"/>
          <w:highlight w:val="none"/>
        </w:rPr>
        <w:t>2.无生活来源。符合下列所有情形的，应当认定为无生活来源：</w:t>
      </w:r>
      <w:bookmarkEnd w:id="9"/>
    </w:p>
    <w:p w14:paraId="0966D6B5">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（1）收入低于当地最低生活保障标准；</w:t>
      </w:r>
    </w:p>
    <w:p w14:paraId="6AE82DAC">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（2）财产状况不高于当地低保家庭财产状况的有关规定；</w:t>
      </w:r>
    </w:p>
    <w:p w14:paraId="4A96FC02">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（3）无通过离婚、赠与等方式放弃或转让应得财产份额，或放弃应得赡养费、抚养费、扶养费等经济利益的行为。</w:t>
      </w:r>
    </w:p>
    <w:p w14:paraId="2C3C8DB8">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3.无法定赡养、抚养、扶养义务人或者其法定义务人均无履行义务能力。法定义务人符合以下情形之一的应该认定为无履行义务能力：</w:t>
      </w:r>
    </w:p>
    <w:p w14:paraId="26B554C5">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（1）特困人员；</w:t>
      </w:r>
    </w:p>
    <w:p w14:paraId="41ADCED2">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（2）60周岁以上的最低生活保障对象；</w:t>
      </w:r>
    </w:p>
    <w:p w14:paraId="77F75F4C">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（3）70周岁以上的老年人，本人或与其配偶的人均收入低于户籍所在地上年度城镇居民人均可支配收入，且其财产符合当地低保边缘家庭财产状况规定的；</w:t>
      </w:r>
    </w:p>
    <w:p w14:paraId="72E1E4D1">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（4）重度残疾人（一级、二级）和残疾等级为三级的智力、精神残疾人，本人收入低于当地上年</w:t>
      </w:r>
      <w:r>
        <w:rPr>
          <w:rFonts w:hint="eastAsia" w:ascii="仿宋_GB2312" w:hAnsi="仿宋_GB2312" w:eastAsia="仿宋_GB2312" w:cs="仿宋_GB2312"/>
          <w:color w:val="auto"/>
          <w:sz w:val="21"/>
          <w:szCs w:val="21"/>
          <w:highlight w:val="none"/>
          <w:lang w:val="en-US" w:eastAsia="zh-CN"/>
        </w:rPr>
        <w:t>度城镇居民</w:t>
      </w:r>
      <w:r>
        <w:rPr>
          <w:rFonts w:hint="eastAsia" w:ascii="仿宋_GB2312" w:hAnsi="仿宋_GB2312" w:eastAsia="仿宋_GB2312" w:cs="仿宋_GB2312"/>
          <w:color w:val="auto"/>
          <w:sz w:val="21"/>
          <w:szCs w:val="21"/>
          <w:highlight w:val="none"/>
        </w:rPr>
        <w:t>人均可支配收入，且其财产符合当地低保边缘家庭财产状况规定的；</w:t>
      </w:r>
    </w:p>
    <w:p w14:paraId="131BF68D">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（5）患有严重危害生命健康需要长期治疗维持生命或者支付高额医疗费用的疾病，并因患病导致部分或者完全丧失劳动能力的人员，本人收入低于当地上年</w:t>
      </w:r>
      <w:r>
        <w:rPr>
          <w:rFonts w:hint="eastAsia" w:ascii="仿宋_GB2312" w:hAnsi="仿宋_GB2312" w:eastAsia="仿宋_GB2312" w:cs="仿宋_GB2312"/>
          <w:color w:val="auto"/>
          <w:sz w:val="21"/>
          <w:szCs w:val="21"/>
          <w:highlight w:val="none"/>
          <w:lang w:val="en-US" w:eastAsia="zh-CN"/>
        </w:rPr>
        <w:t>度城镇居民</w:t>
      </w:r>
      <w:r>
        <w:rPr>
          <w:rFonts w:hint="eastAsia" w:ascii="仿宋_GB2312" w:hAnsi="仿宋_GB2312" w:eastAsia="仿宋_GB2312" w:cs="仿宋_GB2312"/>
          <w:color w:val="auto"/>
          <w:sz w:val="21"/>
          <w:szCs w:val="21"/>
          <w:highlight w:val="none"/>
        </w:rPr>
        <w:t>人均可支配收入，且其财产符合低保边缘家庭财产状况规定的；</w:t>
      </w:r>
    </w:p>
    <w:p w14:paraId="4834F1DD">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（6）无民事行为能力、被宣告失踪</w:t>
      </w:r>
      <w:bookmarkStart w:id="25" w:name="_GoBack"/>
      <w:bookmarkEnd w:id="25"/>
      <w:r>
        <w:rPr>
          <w:rFonts w:hint="eastAsia" w:ascii="仿宋_GB2312" w:hAnsi="仿宋_GB2312" w:eastAsia="仿宋_GB2312" w:cs="仿宋_GB2312"/>
          <w:color w:val="auto"/>
          <w:sz w:val="21"/>
          <w:szCs w:val="21"/>
          <w:highlight w:val="none"/>
        </w:rPr>
        <w:t>或者在监狱服刑的人员，且财产符合当地低保边缘家庭财产状况规定的。</w:t>
      </w:r>
    </w:p>
    <w:p w14:paraId="03CC4E2A">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b/>
          <w:bCs/>
          <w:color w:val="auto"/>
          <w:sz w:val="21"/>
          <w:szCs w:val="21"/>
          <w:highlight w:val="none"/>
        </w:rPr>
      </w:pPr>
      <w:bookmarkStart w:id="10" w:name="_Toc20155"/>
      <w:r>
        <w:rPr>
          <w:rFonts w:hint="eastAsia" w:ascii="楷体_GB2312" w:hAnsi="楷体_GB2312" w:eastAsia="楷体_GB2312" w:cs="楷体_GB2312"/>
          <w:b/>
          <w:bCs/>
          <w:color w:val="auto"/>
          <w:sz w:val="21"/>
          <w:szCs w:val="21"/>
          <w:highlight w:val="none"/>
        </w:rPr>
        <w:t>（二）申请材料</w:t>
      </w:r>
      <w:bookmarkEnd w:id="10"/>
    </w:p>
    <w:p w14:paraId="665B88F0">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1.共同生活的家庭成员、非共同生活的法定赡养、抚养、扶养义务人及其配偶的居民身份证原件</w:t>
      </w:r>
      <w:r>
        <w:rPr>
          <w:rFonts w:hint="eastAsia" w:ascii="仿宋_GB2312" w:hAnsi="仿宋_GB2312" w:eastAsia="仿宋_GB2312" w:cs="仿宋_GB2312"/>
          <w:color w:val="auto"/>
          <w:sz w:val="21"/>
          <w:szCs w:val="21"/>
          <w:highlight w:val="none"/>
          <w:lang w:eastAsia="zh-CN"/>
        </w:rPr>
        <w:t>；</w:t>
      </w:r>
    </w:p>
    <w:p w14:paraId="51AACC55">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2.《江西省社会救助申请及核对授权书》</w:t>
      </w:r>
      <w:r>
        <w:rPr>
          <w:rFonts w:hint="eastAsia" w:ascii="仿宋_GB2312" w:hAnsi="仿宋_GB2312" w:eastAsia="仿宋_GB2312" w:cs="仿宋_GB2312"/>
          <w:color w:val="auto"/>
          <w:sz w:val="21"/>
          <w:szCs w:val="21"/>
          <w:highlight w:val="none"/>
          <w:lang w:eastAsia="zh-CN"/>
        </w:rPr>
        <w:t>。</w:t>
      </w:r>
    </w:p>
    <w:p w14:paraId="0E0BE5C6">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b/>
          <w:bCs/>
          <w:color w:val="auto"/>
          <w:sz w:val="21"/>
          <w:szCs w:val="21"/>
          <w:highlight w:val="none"/>
        </w:rPr>
      </w:pPr>
      <w:bookmarkStart w:id="11" w:name="_Toc21460"/>
      <w:r>
        <w:rPr>
          <w:rFonts w:hint="eastAsia" w:ascii="楷体_GB2312" w:hAnsi="楷体_GB2312" w:eastAsia="楷体_GB2312" w:cs="楷体_GB2312"/>
          <w:b/>
          <w:bCs/>
          <w:color w:val="auto"/>
          <w:sz w:val="21"/>
          <w:szCs w:val="21"/>
          <w:highlight w:val="none"/>
        </w:rPr>
        <w:t>（三）办理方式</w:t>
      </w:r>
      <w:bookmarkEnd w:id="11"/>
    </w:p>
    <w:p w14:paraId="10C8FC3D">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1.窗口申请：由本人向户籍所在地或一年以上实际居住地乡镇人民政府提出申请。</w:t>
      </w:r>
    </w:p>
    <w:p w14:paraId="41BE9173">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2.网络申请：在支付宝中搜索“社会救助”或扫描“社会救助申请二维码”自主申请。</w:t>
      </w:r>
    </w:p>
    <w:p w14:paraId="4A5981A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outlineLvl w:val="0"/>
        <w:rPr>
          <w:rFonts w:ascii="黑体" w:hAnsi="黑体" w:eastAsia="黑体" w:cs="黑体"/>
          <w:color w:val="auto"/>
          <w:sz w:val="28"/>
          <w:szCs w:val="28"/>
          <w:highlight w:val="none"/>
        </w:rPr>
      </w:pPr>
      <w:bookmarkStart w:id="12" w:name="_Toc5296"/>
      <w:bookmarkStart w:id="13" w:name="_Toc28691"/>
      <w:bookmarkStart w:id="14" w:name="_Toc8118"/>
      <w:r>
        <w:rPr>
          <w:rFonts w:hint="eastAsia" w:ascii="黑体" w:hAnsi="黑体" w:eastAsia="黑体" w:cs="黑体"/>
          <w:color w:val="auto"/>
          <w:sz w:val="28"/>
          <w:szCs w:val="28"/>
          <w:highlight w:val="none"/>
        </w:rPr>
        <w:t>三、低保边缘家庭、刚性支出型困难家庭</w:t>
      </w:r>
      <w:bookmarkEnd w:id="12"/>
      <w:bookmarkEnd w:id="13"/>
      <w:r>
        <w:rPr>
          <w:rFonts w:hint="eastAsia" w:ascii="黑体" w:hAnsi="黑体" w:eastAsia="黑体" w:cs="黑体"/>
          <w:color w:val="auto"/>
          <w:sz w:val="28"/>
          <w:szCs w:val="28"/>
          <w:highlight w:val="none"/>
        </w:rPr>
        <w:t>政策</w:t>
      </w:r>
      <w:bookmarkEnd w:id="14"/>
    </w:p>
    <w:p w14:paraId="395E781E">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b/>
          <w:bCs/>
          <w:color w:val="auto"/>
          <w:sz w:val="21"/>
          <w:szCs w:val="21"/>
          <w:highlight w:val="none"/>
        </w:rPr>
      </w:pPr>
      <w:bookmarkStart w:id="15" w:name="_Toc9147"/>
      <w:r>
        <w:rPr>
          <w:rFonts w:hint="eastAsia" w:ascii="楷体_GB2312" w:hAnsi="楷体_GB2312" w:eastAsia="楷体_GB2312" w:cs="楷体_GB2312"/>
          <w:b/>
          <w:bCs/>
          <w:color w:val="auto"/>
          <w:sz w:val="21"/>
          <w:szCs w:val="21"/>
          <w:highlight w:val="none"/>
        </w:rPr>
        <w:t>（一）</w:t>
      </w:r>
      <w:r>
        <w:rPr>
          <w:rFonts w:ascii="楷体_GB2312" w:hAnsi="楷体_GB2312" w:eastAsia="楷体_GB2312" w:cs="楷体_GB2312"/>
          <w:b/>
          <w:bCs/>
          <w:color w:val="auto"/>
          <w:sz w:val="21"/>
          <w:szCs w:val="21"/>
          <w:highlight w:val="none"/>
        </w:rPr>
        <w:t>办理条件</w:t>
      </w:r>
      <w:bookmarkEnd w:id="15"/>
    </w:p>
    <w:p w14:paraId="498738F1">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r>
        <w:rPr>
          <w:rFonts w:ascii="仿宋_GB2312" w:hAnsi="仿宋_GB2312" w:eastAsia="仿宋_GB2312" w:cs="仿宋_GB2312"/>
          <w:color w:val="auto"/>
          <w:sz w:val="21"/>
          <w:szCs w:val="21"/>
          <w:highlight w:val="none"/>
        </w:rPr>
        <w:t>低保边缘家庭应同时具备下列条件</w:t>
      </w:r>
      <w:r>
        <w:rPr>
          <w:rFonts w:hint="eastAsia" w:ascii="仿宋_GB2312" w:hAnsi="仿宋_GB2312" w:eastAsia="仿宋_GB2312" w:cs="仿宋_GB2312"/>
          <w:color w:val="auto"/>
          <w:sz w:val="21"/>
          <w:szCs w:val="21"/>
          <w:highlight w:val="none"/>
        </w:rPr>
        <w:t>：</w:t>
      </w:r>
    </w:p>
    <w:p w14:paraId="64102C03">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r>
        <w:rPr>
          <w:rFonts w:ascii="仿宋_GB2312" w:hAnsi="仿宋_GB2312" w:eastAsia="仿宋_GB2312" w:cs="仿宋_GB2312"/>
          <w:color w:val="auto"/>
          <w:sz w:val="21"/>
          <w:szCs w:val="21"/>
          <w:highlight w:val="none"/>
        </w:rPr>
        <w:t>持有本</w:t>
      </w:r>
      <w:r>
        <w:rPr>
          <w:rFonts w:hint="eastAsia" w:ascii="仿宋_GB2312" w:hAnsi="仿宋_GB2312" w:eastAsia="仿宋_GB2312" w:cs="仿宋_GB2312"/>
          <w:color w:val="auto"/>
          <w:sz w:val="21"/>
          <w:szCs w:val="21"/>
          <w:highlight w:val="none"/>
        </w:rPr>
        <w:t>县</w:t>
      </w:r>
      <w:r>
        <w:rPr>
          <w:rFonts w:ascii="仿宋_GB2312" w:hAnsi="仿宋_GB2312" w:eastAsia="仿宋_GB2312" w:cs="仿宋_GB2312"/>
          <w:color w:val="auto"/>
          <w:sz w:val="21"/>
          <w:szCs w:val="21"/>
          <w:highlight w:val="none"/>
        </w:rPr>
        <w:t>户籍；</w:t>
      </w:r>
    </w:p>
    <w:p w14:paraId="4AC8C5E9">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r>
        <w:rPr>
          <w:rFonts w:ascii="仿宋_GB2312" w:hAnsi="仿宋_GB2312" w:eastAsia="仿宋_GB2312" w:cs="仿宋_GB2312"/>
          <w:color w:val="auto"/>
          <w:sz w:val="21"/>
          <w:szCs w:val="21"/>
          <w:highlight w:val="none"/>
        </w:rPr>
        <w:t>共同生活的家庭成员人均收入低于</w:t>
      </w:r>
      <w:r>
        <w:rPr>
          <w:rFonts w:hint="eastAsia" w:ascii="仿宋_GB2312" w:hAnsi="仿宋_GB2312" w:eastAsia="仿宋_GB2312" w:cs="仿宋_GB2312"/>
          <w:color w:val="auto"/>
          <w:sz w:val="21"/>
          <w:szCs w:val="21"/>
          <w:highlight w:val="none"/>
        </w:rPr>
        <w:t>户籍</w:t>
      </w:r>
      <w:r>
        <w:rPr>
          <w:rFonts w:ascii="仿宋_GB2312" w:hAnsi="仿宋_GB2312" w:eastAsia="仿宋_GB2312" w:cs="仿宋_GB2312"/>
          <w:color w:val="auto"/>
          <w:sz w:val="21"/>
          <w:szCs w:val="21"/>
          <w:highlight w:val="none"/>
        </w:rPr>
        <w:t>所在地最低生活保障标准1.5倍；</w:t>
      </w:r>
    </w:p>
    <w:p w14:paraId="4B35BB7E">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（3）符合本规程最低生活保障边缘家庭财产状况规定。</w:t>
      </w:r>
    </w:p>
    <w:p w14:paraId="507E7963">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2.刚性支出型困难金家庭</w:t>
      </w:r>
      <w:r>
        <w:rPr>
          <w:rFonts w:ascii="仿宋_GB2312" w:hAnsi="仿宋_GB2312" w:eastAsia="仿宋_GB2312" w:cs="仿宋_GB2312"/>
          <w:color w:val="auto"/>
          <w:sz w:val="21"/>
          <w:szCs w:val="21"/>
          <w:highlight w:val="none"/>
        </w:rPr>
        <w:t>应同时具备下列条件</w:t>
      </w:r>
      <w:r>
        <w:rPr>
          <w:rFonts w:hint="eastAsia" w:ascii="仿宋_GB2312" w:hAnsi="仿宋_GB2312" w:eastAsia="仿宋_GB2312" w:cs="仿宋_GB2312"/>
          <w:color w:val="auto"/>
          <w:sz w:val="21"/>
          <w:szCs w:val="21"/>
          <w:highlight w:val="none"/>
        </w:rPr>
        <w:t>：</w:t>
      </w:r>
    </w:p>
    <w:p w14:paraId="7D96A795">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rPr>
        <w:t>)持有本县户籍；</w:t>
      </w:r>
    </w:p>
    <w:p w14:paraId="4224B898">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outlineLvl w:val="1"/>
        <w:rPr>
          <w:rFonts w:hint="eastAsia" w:ascii="仿宋_GB2312" w:hAnsi="仿宋_GB2312" w:eastAsia="仿宋_GB2312" w:cs="仿宋_GB2312"/>
          <w:color w:val="auto"/>
          <w:sz w:val="21"/>
          <w:szCs w:val="21"/>
          <w:highlight w:val="none"/>
        </w:rPr>
      </w:pPr>
      <w:bookmarkStart w:id="16" w:name="_Toc13597"/>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2</w:t>
      </w:r>
      <w:r>
        <w:rPr>
          <w:rFonts w:hint="eastAsia" w:ascii="仿宋_GB2312" w:hAnsi="仿宋_GB2312" w:eastAsia="仿宋_GB2312" w:cs="仿宋_GB2312"/>
          <w:color w:val="auto"/>
          <w:sz w:val="21"/>
          <w:szCs w:val="21"/>
          <w:highlight w:val="none"/>
        </w:rPr>
        <w:t>)未纳入最低生活保障、特困人员救助供养范围且未被认定为最低生活保障边缘家庭；</w:t>
      </w:r>
    </w:p>
    <w:p w14:paraId="7586DB20">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outlineLvl w:val="1"/>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3</w:t>
      </w:r>
      <w:r>
        <w:rPr>
          <w:rFonts w:hint="eastAsia" w:ascii="仿宋_GB2312" w:hAnsi="仿宋_GB2312" w:eastAsia="仿宋_GB2312" w:cs="仿宋_GB2312"/>
          <w:color w:val="auto"/>
          <w:sz w:val="21"/>
          <w:szCs w:val="21"/>
          <w:highlight w:val="none"/>
        </w:rPr>
        <w:t>)共同生活家庭成员人均收入低于户籍所在地上年度城镇居民人均可支配收入；</w:t>
      </w:r>
    </w:p>
    <w:p w14:paraId="23C5121D">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outlineLvl w:val="1"/>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)提出申请前十二个月家庭刚性支出总额占家庭总收入比例超过80%;</w:t>
      </w:r>
    </w:p>
    <w:p w14:paraId="6FC67E88">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outlineLvl w:val="1"/>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5</w:t>
      </w:r>
      <w:r>
        <w:rPr>
          <w:rFonts w:hint="eastAsia" w:ascii="仿宋_GB2312" w:hAnsi="仿宋_GB2312" w:eastAsia="仿宋_GB2312" w:cs="仿宋_GB2312"/>
          <w:color w:val="auto"/>
          <w:sz w:val="21"/>
          <w:szCs w:val="21"/>
          <w:highlight w:val="none"/>
        </w:rPr>
        <w:t>)申请人家庭财产状况符合本规程刚性支出困难家庭财产状况规定。</w:t>
      </w:r>
    </w:p>
    <w:p w14:paraId="261EF9F6">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b/>
          <w:bCs/>
          <w:color w:val="auto"/>
          <w:sz w:val="21"/>
          <w:szCs w:val="21"/>
          <w:highlight w:val="none"/>
        </w:rPr>
      </w:pPr>
      <w:r>
        <w:rPr>
          <w:rFonts w:hint="eastAsia" w:ascii="楷体_GB2312" w:hAnsi="楷体_GB2312" w:eastAsia="楷体_GB2312" w:cs="楷体_GB2312"/>
          <w:b/>
          <w:bCs/>
          <w:color w:val="auto"/>
          <w:sz w:val="21"/>
          <w:szCs w:val="21"/>
          <w:highlight w:val="none"/>
        </w:rPr>
        <w:t>（二）</w:t>
      </w:r>
      <w:r>
        <w:rPr>
          <w:rFonts w:ascii="楷体_GB2312" w:hAnsi="楷体_GB2312" w:eastAsia="楷体_GB2312" w:cs="楷体_GB2312"/>
          <w:b/>
          <w:bCs/>
          <w:color w:val="auto"/>
          <w:sz w:val="21"/>
          <w:szCs w:val="21"/>
          <w:highlight w:val="none"/>
        </w:rPr>
        <w:t>申请材料</w:t>
      </w:r>
      <w:bookmarkEnd w:id="16"/>
    </w:p>
    <w:p w14:paraId="1F87C8AE">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1.共同生活的家庭成员、非共同生活的法定赡养、抚养、扶养义务人及其配偶的居民身份证原件</w:t>
      </w:r>
      <w:r>
        <w:rPr>
          <w:rFonts w:hint="eastAsia" w:ascii="仿宋_GB2312" w:hAnsi="仿宋_GB2312" w:eastAsia="仿宋_GB2312" w:cs="仿宋_GB2312"/>
          <w:color w:val="auto"/>
          <w:sz w:val="21"/>
          <w:szCs w:val="21"/>
          <w:highlight w:val="none"/>
          <w:lang w:eastAsia="zh-CN"/>
        </w:rPr>
        <w:t>；</w:t>
      </w:r>
    </w:p>
    <w:p w14:paraId="6969ABB5">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r>
        <w:rPr>
          <w:rFonts w:ascii="仿宋_GB2312" w:hAnsi="仿宋_GB2312" w:eastAsia="仿宋_GB2312" w:cs="仿宋_GB2312"/>
          <w:color w:val="auto"/>
          <w:sz w:val="21"/>
          <w:szCs w:val="21"/>
          <w:highlight w:val="none"/>
        </w:rPr>
        <w:t>《江西省社会救助申请及核对授权书》。</w:t>
      </w:r>
    </w:p>
    <w:p w14:paraId="0696EFB8">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b/>
          <w:bCs/>
          <w:color w:val="auto"/>
          <w:sz w:val="21"/>
          <w:szCs w:val="21"/>
          <w:highlight w:val="none"/>
        </w:rPr>
      </w:pPr>
      <w:bookmarkStart w:id="17" w:name="_Toc27476"/>
      <w:r>
        <w:rPr>
          <w:rFonts w:hint="eastAsia" w:ascii="楷体_GB2312" w:hAnsi="楷体_GB2312" w:eastAsia="楷体_GB2312" w:cs="楷体_GB2312"/>
          <w:b/>
          <w:bCs/>
          <w:color w:val="auto"/>
          <w:sz w:val="21"/>
          <w:szCs w:val="21"/>
          <w:highlight w:val="none"/>
        </w:rPr>
        <w:t>（三）</w:t>
      </w:r>
      <w:r>
        <w:rPr>
          <w:rFonts w:ascii="楷体_GB2312" w:hAnsi="楷体_GB2312" w:eastAsia="楷体_GB2312" w:cs="楷体_GB2312"/>
          <w:b/>
          <w:bCs/>
          <w:color w:val="auto"/>
          <w:sz w:val="21"/>
          <w:szCs w:val="21"/>
          <w:highlight w:val="none"/>
        </w:rPr>
        <w:t>办理方式</w:t>
      </w:r>
      <w:bookmarkEnd w:id="17"/>
    </w:p>
    <w:p w14:paraId="31E5B061">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r>
        <w:rPr>
          <w:rFonts w:ascii="仿宋_GB2312" w:hAnsi="仿宋_GB2312" w:eastAsia="仿宋_GB2312" w:cs="仿宋_GB2312"/>
          <w:color w:val="auto"/>
          <w:sz w:val="21"/>
          <w:szCs w:val="21"/>
          <w:highlight w:val="none"/>
        </w:rPr>
        <w:t>窗口申请：由本人向户籍所在地或一年以上实际居住地乡镇人民政府提出申请。</w:t>
      </w:r>
    </w:p>
    <w:p w14:paraId="0272A927">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2.</w:t>
      </w:r>
      <w:r>
        <w:rPr>
          <w:rFonts w:ascii="仿宋_GB2312" w:hAnsi="仿宋_GB2312" w:eastAsia="仿宋_GB2312" w:cs="仿宋_GB2312"/>
          <w:color w:val="auto"/>
          <w:sz w:val="21"/>
          <w:szCs w:val="21"/>
          <w:highlight w:val="none"/>
        </w:rPr>
        <w:t>网络申请：在支付宝中搜索“社会救助”或扫描“社会救助申请二维码”自主申请</w:t>
      </w:r>
      <w:r>
        <w:rPr>
          <w:rFonts w:hint="eastAsia" w:ascii="仿宋_GB2312" w:hAnsi="仿宋_GB2312" w:eastAsia="仿宋_GB2312" w:cs="仿宋_GB2312"/>
          <w:color w:val="auto"/>
          <w:sz w:val="21"/>
          <w:szCs w:val="21"/>
          <w:highlight w:val="none"/>
          <w:lang w:eastAsia="zh-CN"/>
        </w:rPr>
        <w:t>。</w:t>
      </w:r>
    </w:p>
    <w:p w14:paraId="761F93F3">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b/>
          <w:bCs/>
          <w:color w:val="auto"/>
          <w:sz w:val="21"/>
          <w:szCs w:val="21"/>
          <w:highlight w:val="none"/>
        </w:rPr>
      </w:pPr>
      <w:r>
        <w:rPr>
          <w:rFonts w:hint="eastAsia" w:ascii="楷体_GB2312" w:hAnsi="楷体_GB2312" w:eastAsia="楷体_GB2312" w:cs="楷体_GB2312"/>
          <w:b/>
          <w:bCs/>
          <w:color w:val="auto"/>
          <w:sz w:val="21"/>
          <w:szCs w:val="21"/>
          <w:highlight w:val="none"/>
        </w:rPr>
        <w:t>（四）</w:t>
      </w:r>
      <w:r>
        <w:rPr>
          <w:rFonts w:hint="eastAsia" w:ascii="楷体_GB2312" w:hAnsi="楷体_GB2312" w:eastAsia="楷体_GB2312" w:cs="楷体_GB2312"/>
          <w:b/>
          <w:bCs/>
          <w:color w:val="auto"/>
          <w:sz w:val="21"/>
          <w:szCs w:val="21"/>
          <w:highlight w:val="none"/>
          <w:lang w:val="en-US" w:eastAsia="zh-CN"/>
        </w:rPr>
        <w:t>低保边缘</w:t>
      </w:r>
      <w:r>
        <w:rPr>
          <w:rFonts w:ascii="楷体_GB2312" w:hAnsi="楷体_GB2312" w:eastAsia="楷体_GB2312" w:cs="楷体_GB2312"/>
          <w:b/>
          <w:bCs/>
          <w:color w:val="auto"/>
          <w:sz w:val="21"/>
          <w:szCs w:val="21"/>
          <w:highlight w:val="none"/>
        </w:rPr>
        <w:t>家庭财产状况部分规定</w:t>
      </w:r>
    </w:p>
    <w:p w14:paraId="7CD0647F">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低保边缘</w:t>
      </w:r>
      <w:r>
        <w:rPr>
          <w:rFonts w:ascii="仿宋_GB2312" w:hAnsi="仿宋_GB2312" w:eastAsia="仿宋_GB2312" w:cs="仿宋_GB2312"/>
          <w:color w:val="auto"/>
          <w:sz w:val="21"/>
          <w:szCs w:val="21"/>
          <w:highlight w:val="none"/>
        </w:rPr>
        <w:t>家庭财产</w:t>
      </w:r>
      <w:r>
        <w:rPr>
          <w:rFonts w:hint="eastAsia" w:ascii="仿宋_GB2312" w:hAnsi="仿宋_GB2312" w:eastAsia="仿宋_GB2312" w:cs="仿宋_GB2312"/>
          <w:color w:val="auto"/>
          <w:sz w:val="21"/>
          <w:szCs w:val="21"/>
          <w:highlight w:val="none"/>
        </w:rPr>
        <w:t>是指申请及已认定为低保边缘家庭的不动产和动产</w:t>
      </w:r>
      <w:r>
        <w:rPr>
          <w:rFonts w:ascii="仿宋_GB2312" w:hAnsi="仿宋_GB2312" w:eastAsia="仿宋_GB2312" w:cs="仿宋_GB2312"/>
          <w:color w:val="auto"/>
          <w:sz w:val="21"/>
          <w:szCs w:val="21"/>
          <w:highlight w:val="none"/>
        </w:rPr>
        <w:t>，包括</w:t>
      </w:r>
      <w:r>
        <w:rPr>
          <w:rFonts w:hint="eastAsia" w:ascii="仿宋_GB2312" w:hAnsi="仿宋_GB2312" w:eastAsia="仿宋_GB2312" w:cs="仿宋_GB2312"/>
          <w:color w:val="auto"/>
          <w:sz w:val="21"/>
          <w:szCs w:val="21"/>
          <w:highlight w:val="none"/>
        </w:rPr>
        <w:t>房屋、耕地、宅基地等不动产</w:t>
      </w:r>
      <w:r>
        <w:rPr>
          <w:rFonts w:hint="eastAsia" w:ascii="仿宋_GB2312" w:hAnsi="仿宋_GB2312" w:eastAsia="仿宋_GB2312" w:cs="仿宋_GB2312"/>
          <w:color w:val="auto"/>
          <w:sz w:val="21"/>
          <w:szCs w:val="21"/>
          <w:highlight w:val="none"/>
          <w:lang w:eastAsia="zh-CN"/>
        </w:rPr>
        <w:t>，所承包山林、鱼塘等种植、养殖场所中现有种植物、养殖物，银行存款、证券、基金、商业保险、债权等金融资产，开办或投资企业、个体工商户、农民专业合作社等市场主体情况，机动车辆(不含残疾人功能性补偿代步机动车辆)、船舶、大型农机具等车辆</w:t>
      </w:r>
      <w:r>
        <w:rPr>
          <w:rFonts w:hint="eastAsia" w:ascii="仿宋_GB2312" w:hAnsi="仿宋_GB2312" w:eastAsia="仿宋_GB2312" w:cs="仿宋_GB2312"/>
          <w:color w:val="auto"/>
          <w:sz w:val="21"/>
          <w:szCs w:val="21"/>
          <w:highlight w:val="none"/>
        </w:rPr>
        <w:t>。</w:t>
      </w:r>
    </w:p>
    <w:p w14:paraId="45AFEE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1.共同生活的家庭成员</w:t>
      </w:r>
      <w:r>
        <w:rPr>
          <w:rFonts w:ascii="仿宋_GB2312" w:hAnsi="仿宋_GB2312" w:eastAsia="仿宋_GB2312" w:cs="仿宋_GB2312"/>
          <w:color w:val="auto"/>
          <w:sz w:val="21"/>
          <w:szCs w:val="21"/>
          <w:highlight w:val="none"/>
        </w:rPr>
        <w:t>（配偶</w:t>
      </w:r>
      <w:r>
        <w:rPr>
          <w:rFonts w:hint="eastAsia" w:ascii="仿宋_GB2312" w:hAnsi="仿宋_GB2312" w:eastAsia="仿宋_GB2312" w:cs="仿宋_GB2312"/>
          <w:color w:val="auto"/>
          <w:sz w:val="21"/>
          <w:szCs w:val="21"/>
          <w:highlight w:val="none"/>
        </w:rPr>
        <w:t>、</w:t>
      </w:r>
      <w:r>
        <w:rPr>
          <w:rFonts w:ascii="仿宋_GB2312" w:hAnsi="仿宋_GB2312" w:eastAsia="仿宋_GB2312" w:cs="仿宋_GB2312"/>
          <w:color w:val="auto"/>
          <w:sz w:val="21"/>
          <w:szCs w:val="21"/>
          <w:highlight w:val="none"/>
        </w:rPr>
        <w:t>父母和未成年子女；已成年但不能独立生活的子女，包括在校接受本科及以下学历教育的成年子女；其他具有法定赡养、抚养、扶养义务关系并长期共同生活的人员）</w:t>
      </w:r>
      <w:r>
        <w:rPr>
          <w:rFonts w:hint="eastAsia" w:ascii="仿宋_GB2312" w:hAnsi="仿宋_GB2312" w:eastAsia="仿宋_GB2312" w:cs="仿宋_GB2312"/>
          <w:color w:val="auto"/>
          <w:sz w:val="21"/>
          <w:szCs w:val="21"/>
          <w:highlight w:val="none"/>
          <w:lang w:val="en-US" w:eastAsia="zh-CN"/>
        </w:rPr>
        <w:t>有下列情形之一的，原则上不予纳入最低生活保障边缘家庭、刚性支出困难家庭：</w:t>
      </w:r>
    </w:p>
    <w:p w14:paraId="078F14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(1)存款、理财、基金、有价证券、债券、投资型保险等金融资产的总额，高于户籍所在地上年度城镇居民人均可支配收入3倍；</w:t>
      </w:r>
    </w:p>
    <w:p w14:paraId="091DAC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(2)有机动车辆(不含残疾人功能性补偿代步机动车辆、二轮和三轮摩托车)、船舶、工程机械或者大型农机具；</w:t>
      </w:r>
    </w:p>
    <w:p w14:paraId="0C405B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(3)名下有工商登记，或存在从事或雇佣他人从事各种经营性活动的行为；</w:t>
      </w:r>
    </w:p>
    <w:p w14:paraId="69994F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(4)有承包山林、鱼塘等种植、养殖场所行为；</w:t>
      </w:r>
    </w:p>
    <w:p w14:paraId="183ADB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(5)名下拥有的住房超过1套，或名下有商铺、办公楼、厂房等非居住用途不动产；</w:t>
      </w:r>
    </w:p>
    <w:p w14:paraId="085A66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2.社会救助申请家庭财产状况符合下列情形之一的，经调查核实，可以视为维持家庭生产生活的必需财产，在审核确认时可以视情予以豁免：</w:t>
      </w:r>
    </w:p>
    <w:p w14:paraId="11039F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(1)作为唯一谋生工具的小型经营性车辆，可以视情况豁免。该车存在车贷的，存款可视情进行适当豁免，豁免金额不超过车贷年度还款金额的2倍；</w:t>
      </w:r>
    </w:p>
    <w:p w14:paraId="7CC9FF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有大额存款且累计持有时间未超过12个月，能够提供自申请或者动态管理之日起前12个月内三级乙等及以上级别医院开具的医学诊断证明书、治疗方案等医学证明材料，确认存款用于治疗重大疾病的，可以按照该病种平均医疗费用酌情予以豁免；</w:t>
      </w:r>
    </w:p>
    <w:p w14:paraId="6C3888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(3)有唯一一套住房，且名下无商铺、办公楼、厂房等非居住用途不动产，该套住房存在房贷的，存款可视情进行适当豁免，豁免金额不超过房贷年度还款金额的2倍；</w:t>
      </w:r>
    </w:p>
    <w:p w14:paraId="559F80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(4)无住房，但有唯一一处商铺、厂房、酒店式公寓等非居住用途不动产，并将该非居住用途不动产作为家庭唯一居住场所，且家庭人均建筑面积低于户籍所在地上年度居民人均建筑面积；</w:t>
      </w:r>
    </w:p>
    <w:p w14:paraId="60B897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(5)有工商登记，但未从事或雇佣他人从事各种经营性活动的行为，或投资经营规模较小且无雇员，或者属于扶贫对象统一参加当地合作社、集体所有制企业等经济组织；</w:t>
      </w:r>
    </w:p>
    <w:p w14:paraId="42EF23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(6)经具有房屋安全鉴定资质的鉴定机构鉴定，并提出观察使用、处理使用、停止使用或者整体拆除处理意见的危房可视情况予以豁免。长期居住、工作、生活在城镇的，可视情豁免名下1套长期闲置的非豪华装修农村住房；</w:t>
      </w:r>
    </w:p>
    <w:p w14:paraId="703010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(7)依靠兄弟姐妹或者60周岁及以上老年人供养的成年无业重度残疾人，在评估认定其家庭经济状况时，兄弟姐妹或者60周岁及以上老年人给付的供养费用，可以视情豁免；</w:t>
      </w:r>
    </w:p>
    <w:p w14:paraId="3141FE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(8)价值不超过户籍所在地最低生活保障年标准15倍的且存在车贷的非经营性车辆，已转让给他人使用，并能提供转让协议及转账记录，可以视情豁免该车辆；</w:t>
      </w:r>
    </w:p>
    <w:p w14:paraId="5C40EB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(9)特困人员因国家、社会、有关单位给予的救助金、捐赠款、慰问金等以及力所能及灵活劳动所获得小额报酬常年积攒的存款，可在复核中适当豁免；</w:t>
      </w:r>
    </w:p>
    <w:p w14:paraId="6DD60A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3.刚性支出主要包括：</w:t>
      </w:r>
    </w:p>
    <w:p w14:paraId="18DEFB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基本生活支出。指社会救助申请人自申请或动态管理之日起前12个月共同生活家庭成员为维持基本生活而发生的支出，主要包括必要的衣、食、住、行、用等费用支出，认定标准最高不超过当地最低生活保障标准；</w:t>
      </w:r>
    </w:p>
    <w:p w14:paraId="05951D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因病费用。指共同生活的家庭成员提出社会救助申请前12个月因患重特大疾病、慢性病或者遭受意外人身伤害，按照规定在医保定点医药机构就医购药或因病住院(含门诊慢性病)产生的医疗费用，扣除各类医疗保险补偿、商业保险赔付、各类补助和其他部门医疗救助后，个人负担的医疗费用；</w:t>
      </w:r>
    </w:p>
    <w:p w14:paraId="6210A0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(3)因残费用。对残疾人康复治疗以及必要的辅助器械配备，对提出申请之日前12个月内，个人实际支出总费用在3000元以内的据实扣减，超过3000元的按3000元扣减；</w:t>
      </w:r>
    </w:p>
    <w:p w14:paraId="159A1D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因学费用。对共同生活家庭成员中在幼儿园，或者实施学历教育的全日制本科高等学校、高等职业学校、高等专科学校、中等职业学校、普通高中、初中和小学阶段就读的学生，按个人负担的保教费或学费、住宿费扣除获得政府或社会资助后的实际支出扣减。保教费或学费、住宿费原则上按照就读幼儿园、学校所在地的教育主管部门提供的同类公办幼儿园、学校收费标准认定；</w:t>
      </w:r>
    </w:p>
    <w:p w14:paraId="6D2D14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(5)就业成本。对就业人员(包括灵活就业、自主创业的人员)就业成本按照务工地同期最低生活保障月标准的30%按月扣减；</w:t>
      </w:r>
    </w:p>
    <w:p w14:paraId="02AE38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(6)护理费用。指家庭成员属于失能和部分失能人员，雇用他人照料护理产生的护理费用支出，低于户籍所在地最低工资标准的据实扣减，超过最低工资标准的按照户籍所在地最低工资标准扣减；</w:t>
      </w:r>
    </w:p>
    <w:p w14:paraId="021427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(7)多重支出费用。存在多重刚性支出的家庭，可以累积计算；</w:t>
      </w:r>
    </w:p>
    <w:p w14:paraId="6426E9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以上刚性支出均指扣除所有政府救助(补助、补贴)、社会捐助帮扶和各类保险报销后，剩余的家庭自负支出。家庭刚性支出的核定，按申请当月前至少12个月的家庭支出总和计算。</w:t>
      </w:r>
    </w:p>
    <w:p w14:paraId="042C64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4.下列支出不能作为刚性支出从家庭收入中扣减：</w:t>
      </w:r>
    </w:p>
    <w:p w14:paraId="5D38B9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(1)银行按揭贷款；</w:t>
      </w:r>
    </w:p>
    <w:p w14:paraId="1665C7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(2)生产经营活动投入成本；</w:t>
      </w:r>
    </w:p>
    <w:p w14:paraId="2302C4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(3)从事商业经营活动的亏损支出；</w:t>
      </w:r>
    </w:p>
    <w:p w14:paraId="5226DE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(4)赌博、嫖娼、吸毒、参与非法组织等的支出；</w:t>
      </w:r>
    </w:p>
    <w:p w14:paraId="262981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(5)因寻衅滋事、打架斗殴造成的支出；</w:t>
      </w:r>
    </w:p>
    <w:p w14:paraId="235175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(6)交通肇事负赔偿责任的支出；</w:t>
      </w:r>
    </w:p>
    <w:p w14:paraId="01339B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5.符合下列情形之一的，可以认为存在高消费行为：</w:t>
      </w:r>
    </w:p>
    <w:p w14:paraId="43C515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(1)家庭成员人均月日常生活费用支出超过上年度户籍所在地居民人均消费性支出；</w:t>
      </w:r>
    </w:p>
    <w:p w14:paraId="1F386D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(2)在星级以上宾馆、酒店、夜总会、高尔夫球场等场所进行消费；</w:t>
      </w:r>
    </w:p>
    <w:p w14:paraId="29ED17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(3)自费在高收费学校就读(入托、义务教育阶段进入学年收费高于当地月最低工资标准6倍以上的高收费私立学校就读、出国留学);</w:t>
      </w:r>
    </w:p>
    <w:p w14:paraId="5F1F2E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(4)出国或出境旅游、就医；</w:t>
      </w:r>
    </w:p>
    <w:p w14:paraId="3376FA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(5)乘坐交通工具时，选择飞机头等舱、动车组列车一等及以上座位、列车软卧、轮船二等以上舱位；</w:t>
      </w:r>
    </w:p>
    <w:p w14:paraId="4BA3710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outlineLvl w:val="0"/>
        <w:rPr>
          <w:rFonts w:ascii="黑体" w:hAnsi="黑体" w:eastAsia="黑体" w:cs="黑体"/>
          <w:color w:val="auto"/>
          <w:sz w:val="28"/>
          <w:szCs w:val="28"/>
          <w:highlight w:val="none"/>
        </w:rPr>
      </w:pPr>
      <w:bookmarkStart w:id="18" w:name="_Toc392"/>
      <w:bookmarkStart w:id="19" w:name="_Toc18658"/>
      <w:bookmarkStart w:id="20" w:name="_Toc14916"/>
      <w:r>
        <w:rPr>
          <w:rFonts w:hint="eastAsia" w:ascii="黑体" w:hAnsi="黑体" w:eastAsia="黑体" w:cs="黑体"/>
          <w:color w:val="auto"/>
          <w:sz w:val="28"/>
          <w:szCs w:val="28"/>
          <w:highlight w:val="none"/>
        </w:rPr>
        <w:t>四、临时救助政策</w:t>
      </w:r>
      <w:bookmarkEnd w:id="18"/>
      <w:bookmarkEnd w:id="19"/>
      <w:bookmarkEnd w:id="20"/>
    </w:p>
    <w:p w14:paraId="5B8C29C9">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b/>
          <w:bCs/>
          <w:color w:val="auto"/>
          <w:sz w:val="21"/>
          <w:szCs w:val="21"/>
          <w:highlight w:val="none"/>
        </w:rPr>
      </w:pPr>
      <w:bookmarkStart w:id="21" w:name="_Toc27796"/>
      <w:r>
        <w:rPr>
          <w:rFonts w:hint="eastAsia" w:ascii="楷体_GB2312" w:hAnsi="楷体_GB2312" w:eastAsia="楷体_GB2312" w:cs="楷体_GB2312"/>
          <w:b/>
          <w:bCs/>
          <w:color w:val="auto"/>
          <w:sz w:val="21"/>
          <w:szCs w:val="21"/>
          <w:highlight w:val="none"/>
        </w:rPr>
        <w:t>（一）</w:t>
      </w:r>
      <w:r>
        <w:rPr>
          <w:rFonts w:ascii="楷体_GB2312" w:hAnsi="楷体_GB2312" w:eastAsia="楷体_GB2312" w:cs="楷体_GB2312"/>
          <w:b/>
          <w:bCs/>
          <w:color w:val="auto"/>
          <w:sz w:val="21"/>
          <w:szCs w:val="21"/>
          <w:highlight w:val="none"/>
        </w:rPr>
        <w:t>受理范围</w:t>
      </w:r>
      <w:bookmarkEnd w:id="21"/>
    </w:p>
    <w:p w14:paraId="54B439D5">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ascii="仿宋_GB2312" w:hAnsi="仿宋_GB2312" w:eastAsia="仿宋_GB2312" w:cs="仿宋_GB2312"/>
          <w:color w:val="auto"/>
          <w:sz w:val="21"/>
          <w:szCs w:val="21"/>
          <w:highlight w:val="none"/>
        </w:rPr>
        <w:t>遭遇突发事件、意外伤害、重大疾病或其他特殊原因导致基本生活陷入困境，其他社会救助制度暂时无法覆盖或救助之后基本生活暂时仍有严重困难的家庭或个人。</w:t>
      </w:r>
    </w:p>
    <w:p w14:paraId="7CA253DA">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b/>
          <w:bCs/>
          <w:color w:val="auto"/>
          <w:sz w:val="21"/>
          <w:szCs w:val="21"/>
          <w:highlight w:val="none"/>
        </w:rPr>
      </w:pPr>
      <w:bookmarkStart w:id="22" w:name="_Toc23018"/>
      <w:r>
        <w:rPr>
          <w:rFonts w:hint="eastAsia" w:ascii="楷体_GB2312" w:hAnsi="楷体_GB2312" w:eastAsia="楷体_GB2312" w:cs="楷体_GB2312"/>
          <w:b/>
          <w:bCs/>
          <w:color w:val="auto"/>
          <w:sz w:val="21"/>
          <w:szCs w:val="21"/>
          <w:highlight w:val="none"/>
        </w:rPr>
        <w:t>（二）</w:t>
      </w:r>
      <w:r>
        <w:rPr>
          <w:rFonts w:ascii="楷体_GB2312" w:hAnsi="楷体_GB2312" w:eastAsia="楷体_GB2312" w:cs="楷体_GB2312"/>
          <w:b/>
          <w:bCs/>
          <w:color w:val="auto"/>
          <w:sz w:val="21"/>
          <w:szCs w:val="21"/>
          <w:highlight w:val="none"/>
        </w:rPr>
        <w:t>办理条件</w:t>
      </w:r>
      <w:bookmarkEnd w:id="22"/>
    </w:p>
    <w:p w14:paraId="734970B0">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ascii="仿宋_GB2312" w:hAnsi="仿宋_GB2312" w:eastAsia="仿宋_GB2312" w:cs="仿宋_GB2312"/>
          <w:color w:val="auto"/>
          <w:sz w:val="21"/>
          <w:szCs w:val="21"/>
          <w:highlight w:val="none"/>
        </w:rPr>
        <w:t>临时救助包括：急难型临时救助、支出型临时救助和特别救助三类，受困人员根据困难情形和实际家庭情况，申报相应救助。</w:t>
      </w:r>
    </w:p>
    <w:p w14:paraId="7846CDC9">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r>
        <w:rPr>
          <w:rFonts w:ascii="仿宋_GB2312" w:hAnsi="仿宋_GB2312" w:eastAsia="仿宋_GB2312" w:cs="仿宋_GB2312"/>
          <w:color w:val="auto"/>
          <w:sz w:val="21"/>
          <w:szCs w:val="21"/>
          <w:highlight w:val="none"/>
        </w:rPr>
        <w:t>急难型临时救助申报条件:</w:t>
      </w:r>
    </w:p>
    <w:p w14:paraId="6EC4898E">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r>
        <w:rPr>
          <w:rFonts w:ascii="仿宋_GB2312" w:hAnsi="仿宋_GB2312" w:eastAsia="仿宋_GB2312" w:cs="仿宋_GB2312"/>
          <w:color w:val="auto"/>
          <w:sz w:val="21"/>
          <w:szCs w:val="21"/>
          <w:highlight w:val="none"/>
        </w:rPr>
        <w:t>遭遇重大自然灾害、重大交通事故、重大意外伤害以及突发重大疾病等，导致基本生活暂时性陷入困境，需立即采取救助措施的；</w:t>
      </w:r>
    </w:p>
    <w:p w14:paraId="0FD3EDCA">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r>
        <w:rPr>
          <w:rFonts w:ascii="仿宋_GB2312" w:hAnsi="仿宋_GB2312" w:eastAsia="仿宋_GB2312" w:cs="仿宋_GB2312"/>
          <w:color w:val="auto"/>
          <w:sz w:val="21"/>
          <w:szCs w:val="21"/>
          <w:highlight w:val="none"/>
        </w:rPr>
        <w:t>其他特殊原因造成家庭财产重大损失或者主要经济来源中断，导致基本生活暂时性陷入困境，需立即采取救助措施的；</w:t>
      </w:r>
    </w:p>
    <w:p w14:paraId="0511BEDC">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r>
        <w:rPr>
          <w:rFonts w:ascii="仿宋_GB2312" w:hAnsi="仿宋_GB2312" w:eastAsia="仿宋_GB2312" w:cs="仿宋_GB2312"/>
          <w:color w:val="auto"/>
          <w:sz w:val="21"/>
          <w:szCs w:val="21"/>
          <w:highlight w:val="none"/>
        </w:rPr>
        <w:t>在申请其他社会救助或慈善救助的过程中，基本生活存在重大困难，难以为继的。</w:t>
      </w:r>
    </w:p>
    <w:p w14:paraId="5112D009">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r>
        <w:rPr>
          <w:rFonts w:ascii="仿宋_GB2312" w:hAnsi="仿宋_GB2312" w:eastAsia="仿宋_GB2312" w:cs="仿宋_GB2312"/>
          <w:color w:val="auto"/>
          <w:sz w:val="21"/>
          <w:szCs w:val="21"/>
          <w:highlight w:val="none"/>
        </w:rPr>
        <w:t>支出型临时救助申报条件：</w:t>
      </w:r>
    </w:p>
    <w:p w14:paraId="7B5C3E9B">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r>
        <w:rPr>
          <w:rFonts w:ascii="仿宋_GB2312" w:hAnsi="仿宋_GB2312" w:eastAsia="仿宋_GB2312" w:cs="仿宋_GB2312"/>
          <w:color w:val="auto"/>
          <w:sz w:val="21"/>
          <w:szCs w:val="21"/>
          <w:highlight w:val="none"/>
        </w:rPr>
        <w:t>因在境内接受普通高中、中等职业技术学校、全日制普通高等教育（大学本科及以下）和普惠性学前教育，经教育部门救助后仍需负担的学历教育学费、住宿费、保育教育费超过家庭承受能力，导致基本生活在一定时期内出现严重困难的；</w:t>
      </w:r>
    </w:p>
    <w:p w14:paraId="3F01658F">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r>
        <w:rPr>
          <w:rFonts w:ascii="仿宋_GB2312" w:hAnsi="仿宋_GB2312" w:eastAsia="仿宋_GB2312" w:cs="仿宋_GB2312"/>
          <w:color w:val="auto"/>
          <w:sz w:val="21"/>
          <w:szCs w:val="21"/>
          <w:highlight w:val="none"/>
        </w:rPr>
        <w:t>因在医疗机构治疗疾病、住院照料产生的必需支出超过家庭承受能力，经基本医疗保险、大病保险、医疗救助及其他社会保障措施后，负担仍然过重，导致基本生活在一定时期内出现严重困难的；</w:t>
      </w:r>
    </w:p>
    <w:p w14:paraId="21B8D95C">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r>
        <w:rPr>
          <w:rFonts w:ascii="仿宋_GB2312" w:hAnsi="仿宋_GB2312" w:eastAsia="仿宋_GB2312" w:cs="仿宋_GB2312"/>
          <w:color w:val="auto"/>
          <w:sz w:val="21"/>
          <w:szCs w:val="21"/>
          <w:highlight w:val="none"/>
        </w:rPr>
        <w:t>因在就业过程中，必须支出的就业成</w:t>
      </w:r>
      <w:r>
        <w:rPr>
          <w:rFonts w:hint="eastAsia" w:ascii="仿宋_GB2312" w:hAnsi="仿宋_GB2312" w:eastAsia="仿宋_GB2312" w:cs="仿宋_GB2312"/>
          <w:color w:val="auto"/>
          <w:sz w:val="21"/>
          <w:szCs w:val="21"/>
          <w:highlight w:val="none"/>
        </w:rPr>
        <w:t>本</w:t>
      </w:r>
      <w:r>
        <w:rPr>
          <w:rFonts w:ascii="仿宋_GB2312" w:hAnsi="仿宋_GB2312" w:eastAsia="仿宋_GB2312" w:cs="仿宋_GB2312"/>
          <w:color w:val="auto"/>
          <w:sz w:val="21"/>
          <w:szCs w:val="21"/>
          <w:highlight w:val="none"/>
        </w:rPr>
        <w:t>突然增加，超出承受能力，导致基本生活一定时期内出现严重困难的；</w:t>
      </w:r>
    </w:p>
    <w:p w14:paraId="5585F6C6">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r>
        <w:rPr>
          <w:rFonts w:ascii="仿宋_GB2312" w:hAnsi="仿宋_GB2312" w:eastAsia="仿宋_GB2312" w:cs="仿宋_GB2312"/>
          <w:color w:val="auto"/>
          <w:sz w:val="21"/>
          <w:szCs w:val="21"/>
          <w:highlight w:val="none"/>
        </w:rPr>
        <w:t>县级以上人民政府民政部门规定的其他情形，支出型临时救助申请人在申请之日前12个月内家庭人均收入，原则上不超过上一年度当地城市居民人均可支配收入。</w:t>
      </w:r>
    </w:p>
    <w:p w14:paraId="443A8E1E">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r>
        <w:rPr>
          <w:rFonts w:ascii="仿宋_GB2312" w:hAnsi="仿宋_GB2312" w:eastAsia="仿宋_GB2312" w:cs="仿宋_GB2312"/>
          <w:color w:val="auto"/>
          <w:sz w:val="21"/>
          <w:szCs w:val="21"/>
          <w:highlight w:val="none"/>
        </w:rPr>
        <w:t>特别救助申报条件：</w:t>
      </w:r>
    </w:p>
    <w:p w14:paraId="2C5639C0">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r>
        <w:rPr>
          <w:rFonts w:ascii="仿宋_GB2312" w:hAnsi="仿宋_GB2312" w:eastAsia="仿宋_GB2312" w:cs="仿宋_GB2312"/>
          <w:color w:val="auto"/>
          <w:sz w:val="21"/>
          <w:szCs w:val="21"/>
          <w:highlight w:val="none"/>
        </w:rPr>
        <w:t>特困供养人员、孤儿重大刚性支出经扣除各种社会保障、其他社会救助、社会帮扶后，提出申请前12个月内其自付部分超过上年度当地居民人均可支配收入50%的；</w:t>
      </w:r>
    </w:p>
    <w:p w14:paraId="682C0897">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r>
        <w:rPr>
          <w:rFonts w:ascii="仿宋_GB2312" w:hAnsi="仿宋_GB2312" w:eastAsia="仿宋_GB2312" w:cs="仿宋_GB2312"/>
          <w:color w:val="auto"/>
          <w:sz w:val="21"/>
          <w:szCs w:val="21"/>
          <w:highlight w:val="none"/>
        </w:rPr>
        <w:t>最低生活保障对象、事实无人抚养儿童重大刚性支出经扣除各种社会保障、社会帮扶后，提出申请前12个月内自付部分超过上年度当地居民人均可支配收入2倍的；</w:t>
      </w:r>
    </w:p>
    <w:p w14:paraId="308EBDD8">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r>
        <w:rPr>
          <w:rFonts w:ascii="仿宋_GB2312" w:hAnsi="仿宋_GB2312" w:eastAsia="仿宋_GB2312" w:cs="仿宋_GB2312"/>
          <w:color w:val="auto"/>
          <w:sz w:val="21"/>
          <w:szCs w:val="21"/>
          <w:highlight w:val="none"/>
        </w:rPr>
        <w:t>低保边缘家庭对象、支出型困难家庭对象重大刚性支出经扣除各种社会保障、社会帮扶后，提出申请前12个月内自付部分超过上年度当地居民人均可支配收入3倍的。</w:t>
      </w:r>
    </w:p>
    <w:p w14:paraId="35F39122">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b/>
          <w:bCs/>
          <w:color w:val="auto"/>
          <w:sz w:val="21"/>
          <w:szCs w:val="21"/>
          <w:highlight w:val="none"/>
        </w:rPr>
      </w:pPr>
      <w:bookmarkStart w:id="23" w:name="_Toc8231"/>
      <w:r>
        <w:rPr>
          <w:rFonts w:hint="eastAsia" w:ascii="楷体_GB2312" w:hAnsi="楷体_GB2312" w:eastAsia="楷体_GB2312" w:cs="楷体_GB2312"/>
          <w:b/>
          <w:bCs/>
          <w:color w:val="auto"/>
          <w:sz w:val="21"/>
          <w:szCs w:val="21"/>
          <w:highlight w:val="none"/>
        </w:rPr>
        <w:t>（三）</w:t>
      </w:r>
      <w:r>
        <w:rPr>
          <w:rFonts w:ascii="楷体_GB2312" w:hAnsi="楷体_GB2312" w:eastAsia="楷体_GB2312" w:cs="楷体_GB2312"/>
          <w:b/>
          <w:bCs/>
          <w:color w:val="auto"/>
          <w:sz w:val="21"/>
          <w:szCs w:val="21"/>
          <w:highlight w:val="none"/>
        </w:rPr>
        <w:t>申请</w:t>
      </w:r>
      <w:r>
        <w:rPr>
          <w:rFonts w:hint="eastAsia" w:ascii="楷体_GB2312" w:hAnsi="楷体_GB2312" w:eastAsia="楷体_GB2312" w:cs="楷体_GB2312"/>
          <w:b/>
          <w:bCs/>
          <w:color w:val="auto"/>
          <w:sz w:val="21"/>
          <w:szCs w:val="21"/>
          <w:highlight w:val="none"/>
        </w:rPr>
        <w:t>材料</w:t>
      </w:r>
      <w:bookmarkEnd w:id="23"/>
    </w:p>
    <w:p w14:paraId="3EA29989">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1.共同生活的家庭成员、非共同生活的法定赡养、抚养、扶养义务人及其配偶的居民身份证原件</w:t>
      </w:r>
      <w:r>
        <w:rPr>
          <w:rFonts w:hint="eastAsia" w:ascii="仿宋_GB2312" w:hAnsi="仿宋_GB2312" w:eastAsia="仿宋_GB2312" w:cs="仿宋_GB2312"/>
          <w:color w:val="auto"/>
          <w:sz w:val="21"/>
          <w:szCs w:val="21"/>
          <w:highlight w:val="none"/>
          <w:lang w:eastAsia="zh-CN"/>
        </w:rPr>
        <w:t>；</w:t>
      </w:r>
    </w:p>
    <w:p w14:paraId="75D1D1A8">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r>
        <w:rPr>
          <w:rFonts w:ascii="仿宋_GB2312" w:hAnsi="仿宋_GB2312" w:eastAsia="仿宋_GB2312" w:cs="仿宋_GB2312"/>
          <w:color w:val="auto"/>
          <w:sz w:val="21"/>
          <w:szCs w:val="21"/>
          <w:highlight w:val="none"/>
        </w:rPr>
        <w:t>需要救助的相关佐证材料及票据（如重大疾病票据等）。</w:t>
      </w:r>
    </w:p>
    <w:p w14:paraId="6C42503D">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outlineLvl w:val="1"/>
        <w:rPr>
          <w:rFonts w:ascii="楷体_GB2312" w:hAnsi="楷体_GB2312" w:eastAsia="楷体_GB2312" w:cs="楷体_GB2312"/>
          <w:b/>
          <w:bCs/>
          <w:color w:val="auto"/>
          <w:sz w:val="21"/>
          <w:szCs w:val="21"/>
          <w:highlight w:val="none"/>
        </w:rPr>
      </w:pPr>
      <w:bookmarkStart w:id="24" w:name="_Toc5536"/>
      <w:r>
        <w:rPr>
          <w:rFonts w:hint="eastAsia" w:ascii="楷体_GB2312" w:hAnsi="楷体_GB2312" w:eastAsia="楷体_GB2312" w:cs="楷体_GB2312"/>
          <w:b/>
          <w:bCs/>
          <w:color w:val="auto"/>
          <w:sz w:val="21"/>
          <w:szCs w:val="21"/>
          <w:highlight w:val="none"/>
        </w:rPr>
        <w:t>（四）</w:t>
      </w:r>
      <w:r>
        <w:rPr>
          <w:rFonts w:ascii="楷体_GB2312" w:hAnsi="楷体_GB2312" w:eastAsia="楷体_GB2312" w:cs="楷体_GB2312"/>
          <w:b/>
          <w:bCs/>
          <w:color w:val="auto"/>
          <w:sz w:val="21"/>
          <w:szCs w:val="21"/>
          <w:highlight w:val="none"/>
        </w:rPr>
        <w:t>办理方式</w:t>
      </w:r>
      <w:bookmarkEnd w:id="24"/>
    </w:p>
    <w:p w14:paraId="2369F700">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ascii="仿宋_GB2312" w:hAnsi="仿宋_GB2312" w:eastAsia="仿宋_GB2312" w:cs="仿宋_GB2312"/>
          <w:color w:val="auto"/>
          <w:sz w:val="21"/>
          <w:szCs w:val="21"/>
          <w:highlight w:val="none"/>
        </w:rPr>
      </w:pPr>
      <w:r>
        <w:rPr>
          <w:rFonts w:ascii="仿宋_GB2312" w:hAnsi="仿宋_GB2312" w:eastAsia="仿宋_GB2312" w:cs="仿宋_GB2312"/>
          <w:color w:val="auto"/>
          <w:sz w:val="21"/>
          <w:szCs w:val="21"/>
          <w:highlight w:val="none"/>
        </w:rPr>
        <w:t>凡认为符合临时救助条件的城乡居民家庭或个人可以向户籍所在地或实际居住地乡镇人民政府提出申请。</w:t>
      </w:r>
    </w:p>
    <w:p w14:paraId="6A23BC64">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社会救助业务办理地点:</w:t>
      </w:r>
      <w:r>
        <w:rPr>
          <w:rFonts w:hint="eastAsia" w:ascii="仿宋_GB2312" w:hAnsi="仿宋_GB2312" w:eastAsia="仿宋_GB2312" w:cs="仿宋_GB2312"/>
          <w:color w:val="auto"/>
          <w:sz w:val="21"/>
          <w:szCs w:val="21"/>
          <w:highlight w:val="none"/>
        </w:rPr>
        <w:t>各乡镇(</w:t>
      </w:r>
      <w:r>
        <w:rPr>
          <w:rFonts w:hint="eastAsia" w:ascii="仿宋_GB2312" w:hAnsi="仿宋_GB2312" w:eastAsia="仿宋_GB2312" w:cs="仿宋_GB2312"/>
          <w:color w:val="auto"/>
          <w:sz w:val="21"/>
          <w:szCs w:val="21"/>
          <w:highlight w:val="none"/>
          <w:lang w:val="en-US" w:eastAsia="zh-CN"/>
        </w:rPr>
        <w:t>街道办、管理</w:t>
      </w:r>
      <w:r>
        <w:rPr>
          <w:rFonts w:hint="eastAsia" w:ascii="仿宋_GB2312" w:hAnsi="仿宋_GB2312" w:eastAsia="仿宋_GB2312" w:cs="仿宋_GB2312"/>
          <w:color w:val="auto"/>
          <w:sz w:val="21"/>
          <w:szCs w:val="21"/>
          <w:highlight w:val="none"/>
        </w:rPr>
        <w:t>处)便民服务大厅民政窗口。</w:t>
      </w:r>
    </w:p>
    <w:p w14:paraId="1EE0A14E">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社会救助业务办理时间:</w:t>
      </w:r>
      <w:r>
        <w:rPr>
          <w:rFonts w:hint="eastAsia" w:ascii="仿宋_GB2312" w:hAnsi="仿宋_GB2312" w:eastAsia="仿宋_GB2312" w:cs="仿宋_GB2312"/>
          <w:color w:val="auto"/>
          <w:sz w:val="21"/>
          <w:szCs w:val="21"/>
          <w:highlight w:val="none"/>
        </w:rPr>
        <w:t>周一至周五，上午9:00-12:00，下午1:30-5:00.</w:t>
      </w:r>
    </w:p>
    <w:p w14:paraId="0E9760CE">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pPr>
    </w:p>
    <w:p w14:paraId="02AF6028">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仿宋_GB2312" w:hAnsi="仿宋_GB2312" w:eastAsia="仿宋_GB2312" w:cs="仿宋_GB2312"/>
          <w:color w:val="auto"/>
          <w:sz w:val="21"/>
          <w:szCs w:val="21"/>
          <w:highlight w:val="none"/>
        </w:rPr>
        <w:sectPr>
          <w:type w:val="continuous"/>
          <w:pgSz w:w="16838" w:h="11906" w:orient="landscape"/>
          <w:pgMar w:top="720" w:right="720" w:bottom="720" w:left="720" w:header="851" w:footer="992" w:gutter="0"/>
          <w:cols w:equalWidth="0" w:num="3">
            <w:col w:w="5089" w:space="425"/>
            <w:col w:w="4369" w:space="425"/>
            <w:col w:w="5089"/>
          </w:cols>
          <w:docGrid w:type="lines" w:linePitch="312" w:charSpace="0"/>
        </w:sectPr>
      </w:pPr>
    </w:p>
    <w:p w14:paraId="47DDD3FD">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咨询电话</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4166"/>
        <w:gridCol w:w="2826"/>
      </w:tblGrid>
      <w:tr w14:paraId="47924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blHeader/>
          <w:jc w:val="center"/>
        </w:trPr>
        <w:tc>
          <w:tcPr>
            <w:tcW w:w="459" w:type="pct"/>
            <w:noWrap w:val="0"/>
            <w:tcMar>
              <w:top w:w="-1" w:type="dxa"/>
              <w:left w:w="-1" w:type="dxa"/>
              <w:bottom w:w="-1" w:type="dxa"/>
              <w:right w:w="-1" w:type="dxa"/>
            </w:tcMar>
            <w:vAlign w:val="center"/>
          </w:tcPr>
          <w:p w14:paraId="1B0805A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b/>
                <w:color w:val="auto"/>
                <w:spacing w:val="-20"/>
                <w:sz w:val="21"/>
                <w:szCs w:val="21"/>
                <w:highlight w:val="none"/>
                <w:vertAlign w:val="baseline"/>
                <w:lang w:val="en-US" w:eastAsia="zh-CN"/>
              </w:rPr>
            </w:pPr>
            <w:r>
              <w:rPr>
                <w:rFonts w:hint="eastAsia" w:ascii="仿宋_GB2312" w:hAnsi="仿宋_GB2312" w:eastAsia="仿宋_GB2312" w:cs="仿宋_GB2312"/>
                <w:b/>
                <w:color w:val="auto"/>
                <w:spacing w:val="-20"/>
                <w:sz w:val="21"/>
                <w:szCs w:val="21"/>
                <w:highlight w:val="none"/>
                <w:vertAlign w:val="baseline"/>
                <w:lang w:val="en-US" w:eastAsia="zh-CN"/>
              </w:rPr>
              <w:t>序号</w:t>
            </w:r>
          </w:p>
        </w:tc>
        <w:tc>
          <w:tcPr>
            <w:tcW w:w="2705" w:type="pct"/>
            <w:noWrap w:val="0"/>
            <w:tcMar>
              <w:top w:w="-1" w:type="dxa"/>
              <w:left w:w="-1" w:type="dxa"/>
              <w:bottom w:w="-1" w:type="dxa"/>
              <w:right w:w="-1" w:type="dxa"/>
            </w:tcMar>
            <w:vAlign w:val="center"/>
          </w:tcPr>
          <w:p w14:paraId="66C39D1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b/>
                <w:color w:val="auto"/>
                <w:spacing w:val="-20"/>
                <w:sz w:val="21"/>
                <w:szCs w:val="21"/>
                <w:highlight w:val="none"/>
                <w:vertAlign w:val="baseline"/>
                <w:lang w:val="en-US" w:eastAsia="zh-CN"/>
              </w:rPr>
            </w:pPr>
            <w:r>
              <w:rPr>
                <w:rFonts w:hint="eastAsia" w:ascii="仿宋_GB2312" w:hAnsi="仿宋_GB2312" w:eastAsia="仿宋_GB2312" w:cs="仿宋_GB2312"/>
                <w:b/>
                <w:color w:val="auto"/>
                <w:spacing w:val="-20"/>
                <w:sz w:val="21"/>
                <w:szCs w:val="21"/>
                <w:highlight w:val="none"/>
                <w:vertAlign w:val="baseline"/>
                <w:lang w:val="en-US" w:eastAsia="zh-CN"/>
              </w:rPr>
              <w:t>咨询地点</w:t>
            </w:r>
          </w:p>
        </w:tc>
        <w:tc>
          <w:tcPr>
            <w:tcW w:w="1835" w:type="pct"/>
            <w:noWrap w:val="0"/>
            <w:tcMar>
              <w:top w:w="-1" w:type="dxa"/>
              <w:left w:w="-1" w:type="dxa"/>
              <w:bottom w:w="-1" w:type="dxa"/>
              <w:right w:w="-1" w:type="dxa"/>
            </w:tcMar>
            <w:vAlign w:val="center"/>
          </w:tcPr>
          <w:p w14:paraId="6B787B3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b/>
                <w:color w:val="auto"/>
                <w:spacing w:val="-20"/>
                <w:sz w:val="21"/>
                <w:szCs w:val="21"/>
                <w:highlight w:val="none"/>
                <w:vertAlign w:val="baseline"/>
                <w:lang w:val="en-US" w:eastAsia="zh-CN"/>
              </w:rPr>
            </w:pPr>
            <w:r>
              <w:rPr>
                <w:rFonts w:hint="eastAsia" w:ascii="仿宋_GB2312" w:hAnsi="仿宋_GB2312" w:eastAsia="仿宋_GB2312" w:cs="仿宋_GB2312"/>
                <w:b/>
                <w:color w:val="auto"/>
                <w:spacing w:val="-20"/>
                <w:sz w:val="21"/>
                <w:szCs w:val="21"/>
                <w:highlight w:val="none"/>
                <w:vertAlign w:val="baseline"/>
                <w:lang w:val="en-US" w:eastAsia="zh-CN"/>
              </w:rPr>
              <w:t>咨询电话</w:t>
            </w:r>
          </w:p>
        </w:tc>
      </w:tr>
      <w:tr w14:paraId="1396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9" w:type="pct"/>
            <w:noWrap w:val="0"/>
            <w:tcMar>
              <w:top w:w="-1" w:type="dxa"/>
              <w:left w:w="-1" w:type="dxa"/>
              <w:bottom w:w="-1" w:type="dxa"/>
              <w:right w:w="-1" w:type="dxa"/>
            </w:tcMar>
            <w:vAlign w:val="center"/>
          </w:tcPr>
          <w:p w14:paraId="217769B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1</w:t>
            </w:r>
          </w:p>
        </w:tc>
        <w:tc>
          <w:tcPr>
            <w:tcW w:w="2705" w:type="pct"/>
            <w:noWrap w:val="0"/>
            <w:tcMar>
              <w:top w:w="-1" w:type="dxa"/>
              <w:left w:w="-1" w:type="dxa"/>
              <w:bottom w:w="-1" w:type="dxa"/>
              <w:right w:w="-1" w:type="dxa"/>
            </w:tcMar>
            <w:vAlign w:val="center"/>
          </w:tcPr>
          <w:p w14:paraId="357248B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龙津街道办事处便民服务大厅民政窗口</w:t>
            </w:r>
          </w:p>
        </w:tc>
        <w:tc>
          <w:tcPr>
            <w:tcW w:w="1835" w:type="pct"/>
            <w:noWrap w:val="0"/>
            <w:tcMar>
              <w:top w:w="-1" w:type="dxa"/>
              <w:left w:w="-1" w:type="dxa"/>
              <w:bottom w:w="-1" w:type="dxa"/>
              <w:right w:w="-1" w:type="dxa"/>
            </w:tcMar>
            <w:vAlign w:val="center"/>
          </w:tcPr>
          <w:p w14:paraId="39DF493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18379183326</w:t>
            </w:r>
          </w:p>
        </w:tc>
      </w:tr>
      <w:tr w14:paraId="3347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9" w:type="pct"/>
            <w:noWrap w:val="0"/>
            <w:tcMar>
              <w:top w:w="-1" w:type="dxa"/>
              <w:left w:w="-1" w:type="dxa"/>
              <w:bottom w:w="-1" w:type="dxa"/>
              <w:right w:w="-1" w:type="dxa"/>
            </w:tcMar>
            <w:vAlign w:val="center"/>
          </w:tcPr>
          <w:p w14:paraId="4F04D7E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2</w:t>
            </w:r>
          </w:p>
        </w:tc>
        <w:tc>
          <w:tcPr>
            <w:tcW w:w="2705" w:type="pct"/>
            <w:noWrap w:val="0"/>
            <w:tcMar>
              <w:top w:w="-1" w:type="dxa"/>
              <w:left w:w="-1" w:type="dxa"/>
              <w:bottom w:w="-1" w:type="dxa"/>
              <w:right w:w="-1" w:type="dxa"/>
            </w:tcMar>
            <w:vAlign w:val="center"/>
          </w:tcPr>
          <w:p w14:paraId="1F16A23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鼎湖镇便民服务大厅民政窗口</w:t>
            </w:r>
          </w:p>
        </w:tc>
        <w:tc>
          <w:tcPr>
            <w:tcW w:w="1835" w:type="pct"/>
            <w:noWrap w:val="0"/>
            <w:tcMar>
              <w:top w:w="-1" w:type="dxa"/>
              <w:left w:w="-1" w:type="dxa"/>
              <w:bottom w:w="-1" w:type="dxa"/>
              <w:right w:w="-1" w:type="dxa"/>
            </w:tcMar>
            <w:vAlign w:val="center"/>
          </w:tcPr>
          <w:p w14:paraId="7E3C779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83380808</w:t>
            </w:r>
          </w:p>
        </w:tc>
      </w:tr>
      <w:tr w14:paraId="68476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9" w:type="pct"/>
            <w:noWrap w:val="0"/>
            <w:tcMar>
              <w:top w:w="-1" w:type="dxa"/>
              <w:left w:w="-1" w:type="dxa"/>
              <w:bottom w:w="-1" w:type="dxa"/>
              <w:right w:w="-1" w:type="dxa"/>
            </w:tcMar>
            <w:vAlign w:val="center"/>
          </w:tcPr>
          <w:p w14:paraId="2EC462A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3</w:t>
            </w:r>
          </w:p>
        </w:tc>
        <w:tc>
          <w:tcPr>
            <w:tcW w:w="2705" w:type="pct"/>
            <w:noWrap w:val="0"/>
            <w:tcMar>
              <w:top w:w="-1" w:type="dxa"/>
              <w:left w:w="-1" w:type="dxa"/>
              <w:bottom w:w="-1" w:type="dxa"/>
              <w:right w:w="-1" w:type="dxa"/>
            </w:tcMar>
            <w:vAlign w:val="center"/>
          </w:tcPr>
          <w:p w14:paraId="0702A82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万埠镇便民服务大厅民政窗口</w:t>
            </w:r>
          </w:p>
        </w:tc>
        <w:tc>
          <w:tcPr>
            <w:tcW w:w="1835" w:type="pct"/>
            <w:noWrap w:val="0"/>
            <w:tcMar>
              <w:top w:w="-1" w:type="dxa"/>
              <w:left w:w="-1" w:type="dxa"/>
              <w:bottom w:w="-1" w:type="dxa"/>
              <w:right w:w="-1" w:type="dxa"/>
            </w:tcMar>
            <w:vAlign w:val="center"/>
          </w:tcPr>
          <w:p w14:paraId="68EFA4D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83437933</w:t>
            </w:r>
          </w:p>
        </w:tc>
      </w:tr>
      <w:tr w14:paraId="3181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9" w:type="pct"/>
            <w:noWrap w:val="0"/>
            <w:tcMar>
              <w:top w:w="-1" w:type="dxa"/>
              <w:left w:w="-1" w:type="dxa"/>
              <w:bottom w:w="-1" w:type="dxa"/>
              <w:right w:w="-1" w:type="dxa"/>
            </w:tcMar>
            <w:vAlign w:val="center"/>
          </w:tcPr>
          <w:p w14:paraId="216D91E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4</w:t>
            </w:r>
          </w:p>
        </w:tc>
        <w:tc>
          <w:tcPr>
            <w:tcW w:w="2705" w:type="pct"/>
            <w:noWrap w:val="0"/>
            <w:tcMar>
              <w:top w:w="-1" w:type="dxa"/>
              <w:left w:w="-1" w:type="dxa"/>
              <w:bottom w:w="-1" w:type="dxa"/>
              <w:right w:w="-1" w:type="dxa"/>
            </w:tcMar>
            <w:vAlign w:val="center"/>
          </w:tcPr>
          <w:p w14:paraId="338166B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石鼻镇便民服务大厅民政窗口</w:t>
            </w:r>
          </w:p>
        </w:tc>
        <w:tc>
          <w:tcPr>
            <w:tcW w:w="1835" w:type="pct"/>
            <w:noWrap w:val="0"/>
            <w:tcMar>
              <w:top w:w="-1" w:type="dxa"/>
              <w:left w:w="-1" w:type="dxa"/>
              <w:bottom w:w="-1" w:type="dxa"/>
              <w:right w:w="-1" w:type="dxa"/>
            </w:tcMar>
            <w:vAlign w:val="center"/>
          </w:tcPr>
          <w:p w14:paraId="4E29E7C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83372031</w:t>
            </w:r>
          </w:p>
        </w:tc>
      </w:tr>
      <w:tr w14:paraId="6BD4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9" w:type="pct"/>
            <w:noWrap w:val="0"/>
            <w:tcMar>
              <w:top w:w="-1" w:type="dxa"/>
              <w:left w:w="-1" w:type="dxa"/>
              <w:bottom w:w="-1" w:type="dxa"/>
              <w:right w:w="-1" w:type="dxa"/>
            </w:tcMar>
            <w:vAlign w:val="center"/>
          </w:tcPr>
          <w:p w14:paraId="63A45DD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5</w:t>
            </w:r>
          </w:p>
        </w:tc>
        <w:tc>
          <w:tcPr>
            <w:tcW w:w="2705" w:type="pct"/>
            <w:noWrap w:val="0"/>
            <w:tcMar>
              <w:top w:w="-1" w:type="dxa"/>
              <w:left w:w="-1" w:type="dxa"/>
              <w:bottom w:w="-1" w:type="dxa"/>
              <w:right w:w="-1" w:type="dxa"/>
            </w:tcMar>
            <w:vAlign w:val="center"/>
          </w:tcPr>
          <w:p w14:paraId="39DFB72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东阳镇便民服务大厅民政窗口</w:t>
            </w:r>
          </w:p>
        </w:tc>
        <w:tc>
          <w:tcPr>
            <w:tcW w:w="1835" w:type="pct"/>
            <w:noWrap w:val="0"/>
            <w:tcMar>
              <w:top w:w="-1" w:type="dxa"/>
              <w:left w:w="-1" w:type="dxa"/>
              <w:bottom w:w="-1" w:type="dxa"/>
              <w:right w:w="-1" w:type="dxa"/>
            </w:tcMar>
            <w:vAlign w:val="center"/>
          </w:tcPr>
          <w:p w14:paraId="2E6B89E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19398615683</w:t>
            </w:r>
          </w:p>
        </w:tc>
      </w:tr>
      <w:tr w14:paraId="4FA1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9" w:type="pct"/>
            <w:noWrap w:val="0"/>
            <w:tcMar>
              <w:top w:w="-1" w:type="dxa"/>
              <w:left w:w="-1" w:type="dxa"/>
              <w:bottom w:w="-1" w:type="dxa"/>
              <w:right w:w="-1" w:type="dxa"/>
            </w:tcMar>
            <w:vAlign w:val="center"/>
          </w:tcPr>
          <w:p w14:paraId="2C9F8D9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6</w:t>
            </w:r>
          </w:p>
        </w:tc>
        <w:tc>
          <w:tcPr>
            <w:tcW w:w="2705" w:type="pct"/>
            <w:noWrap w:val="0"/>
            <w:tcMar>
              <w:top w:w="-1" w:type="dxa"/>
              <w:left w:w="-1" w:type="dxa"/>
              <w:bottom w:w="-1" w:type="dxa"/>
              <w:right w:w="-1" w:type="dxa"/>
            </w:tcMar>
            <w:vAlign w:val="center"/>
          </w:tcPr>
          <w:p w14:paraId="55B88CC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长埠镇便民服务大厅民政窗口</w:t>
            </w:r>
          </w:p>
        </w:tc>
        <w:tc>
          <w:tcPr>
            <w:tcW w:w="1835" w:type="pct"/>
            <w:noWrap w:val="0"/>
            <w:tcMar>
              <w:top w:w="-1" w:type="dxa"/>
              <w:left w:w="-1" w:type="dxa"/>
              <w:bottom w:w="-1" w:type="dxa"/>
              <w:right w:w="-1" w:type="dxa"/>
            </w:tcMar>
            <w:vAlign w:val="center"/>
          </w:tcPr>
          <w:p w14:paraId="604681F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83590168</w:t>
            </w:r>
          </w:p>
        </w:tc>
      </w:tr>
      <w:tr w14:paraId="193E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9" w:type="pct"/>
            <w:noWrap w:val="0"/>
            <w:tcMar>
              <w:top w:w="-1" w:type="dxa"/>
              <w:left w:w="-1" w:type="dxa"/>
              <w:bottom w:w="-1" w:type="dxa"/>
              <w:right w:w="-1" w:type="dxa"/>
            </w:tcMar>
            <w:vAlign w:val="center"/>
          </w:tcPr>
          <w:p w14:paraId="38A27E3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7</w:t>
            </w:r>
          </w:p>
        </w:tc>
        <w:tc>
          <w:tcPr>
            <w:tcW w:w="2705" w:type="pct"/>
            <w:noWrap w:val="0"/>
            <w:tcMar>
              <w:top w:w="-1" w:type="dxa"/>
              <w:left w:w="-1" w:type="dxa"/>
              <w:bottom w:w="-1" w:type="dxa"/>
              <w:right w:w="-1" w:type="dxa"/>
            </w:tcMar>
            <w:vAlign w:val="center"/>
          </w:tcPr>
          <w:p w14:paraId="4AFCC4C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黄洲镇便民服务大厅民政窗口</w:t>
            </w:r>
          </w:p>
        </w:tc>
        <w:tc>
          <w:tcPr>
            <w:tcW w:w="1835" w:type="pct"/>
            <w:noWrap w:val="0"/>
            <w:tcMar>
              <w:top w:w="-1" w:type="dxa"/>
              <w:left w:w="-1" w:type="dxa"/>
              <w:bottom w:w="-1" w:type="dxa"/>
              <w:right w:w="-1" w:type="dxa"/>
            </w:tcMar>
            <w:vAlign w:val="center"/>
          </w:tcPr>
          <w:p w14:paraId="5025211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83350003</w:t>
            </w:r>
          </w:p>
        </w:tc>
      </w:tr>
      <w:tr w14:paraId="5417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9" w:type="pct"/>
            <w:noWrap w:val="0"/>
            <w:tcMar>
              <w:top w:w="-1" w:type="dxa"/>
              <w:left w:w="-1" w:type="dxa"/>
              <w:bottom w:w="-1" w:type="dxa"/>
              <w:right w:w="-1" w:type="dxa"/>
            </w:tcMar>
            <w:vAlign w:val="center"/>
          </w:tcPr>
          <w:p w14:paraId="203D938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8</w:t>
            </w:r>
          </w:p>
        </w:tc>
        <w:tc>
          <w:tcPr>
            <w:tcW w:w="2705" w:type="pct"/>
            <w:noWrap w:val="0"/>
            <w:tcMar>
              <w:top w:w="-1" w:type="dxa"/>
              <w:left w:w="-1" w:type="dxa"/>
              <w:bottom w:w="-1" w:type="dxa"/>
              <w:right w:w="-1" w:type="dxa"/>
            </w:tcMar>
            <w:vAlign w:val="center"/>
          </w:tcPr>
          <w:p w14:paraId="789BD24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乔乐乡便民服务大厅民政窗口</w:t>
            </w:r>
          </w:p>
        </w:tc>
        <w:tc>
          <w:tcPr>
            <w:tcW w:w="1835" w:type="pct"/>
            <w:noWrap w:val="0"/>
            <w:tcMar>
              <w:top w:w="-1" w:type="dxa"/>
              <w:left w:w="-1" w:type="dxa"/>
              <w:bottom w:w="-1" w:type="dxa"/>
              <w:right w:w="-1" w:type="dxa"/>
            </w:tcMar>
            <w:vAlign w:val="center"/>
          </w:tcPr>
          <w:p w14:paraId="2BB42DC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83372110</w:t>
            </w:r>
          </w:p>
        </w:tc>
      </w:tr>
      <w:tr w14:paraId="3DEC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9" w:type="pct"/>
            <w:noWrap w:val="0"/>
            <w:tcMar>
              <w:top w:w="-1" w:type="dxa"/>
              <w:left w:w="-1" w:type="dxa"/>
              <w:bottom w:w="-1" w:type="dxa"/>
              <w:right w:w="-1" w:type="dxa"/>
            </w:tcMar>
            <w:vAlign w:val="center"/>
          </w:tcPr>
          <w:p w14:paraId="292D72F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9</w:t>
            </w:r>
          </w:p>
        </w:tc>
        <w:tc>
          <w:tcPr>
            <w:tcW w:w="2705" w:type="pct"/>
            <w:noWrap w:val="0"/>
            <w:tcMar>
              <w:top w:w="-1" w:type="dxa"/>
              <w:left w:w="-1" w:type="dxa"/>
              <w:bottom w:w="-1" w:type="dxa"/>
              <w:right w:w="-1" w:type="dxa"/>
            </w:tcMar>
            <w:vAlign w:val="center"/>
          </w:tcPr>
          <w:p w14:paraId="6129D1A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新民乡便民服务大厅民政窗口</w:t>
            </w:r>
          </w:p>
        </w:tc>
        <w:tc>
          <w:tcPr>
            <w:tcW w:w="1835" w:type="pct"/>
            <w:noWrap w:val="0"/>
            <w:tcMar>
              <w:top w:w="-1" w:type="dxa"/>
              <w:left w:w="-1" w:type="dxa"/>
              <w:bottom w:w="-1" w:type="dxa"/>
              <w:right w:w="-1" w:type="dxa"/>
            </w:tcMar>
            <w:vAlign w:val="center"/>
          </w:tcPr>
          <w:p w14:paraId="6AF3549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83340180</w:t>
            </w:r>
          </w:p>
        </w:tc>
      </w:tr>
      <w:tr w14:paraId="329C0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9" w:type="pct"/>
            <w:noWrap w:val="0"/>
            <w:tcMar>
              <w:top w:w="-1" w:type="dxa"/>
              <w:left w:w="-1" w:type="dxa"/>
              <w:bottom w:w="-1" w:type="dxa"/>
              <w:right w:w="-1" w:type="dxa"/>
            </w:tcMar>
            <w:vAlign w:val="center"/>
          </w:tcPr>
          <w:p w14:paraId="4EF5C68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10</w:t>
            </w:r>
          </w:p>
        </w:tc>
        <w:tc>
          <w:tcPr>
            <w:tcW w:w="2705" w:type="pct"/>
            <w:noWrap w:val="0"/>
            <w:tcMar>
              <w:top w:w="-1" w:type="dxa"/>
              <w:left w:w="-1" w:type="dxa"/>
              <w:bottom w:w="-1" w:type="dxa"/>
              <w:right w:w="-1" w:type="dxa"/>
            </w:tcMar>
            <w:vAlign w:val="center"/>
          </w:tcPr>
          <w:p w14:paraId="1AD41BE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长均乡便民服务大厅民政窗口</w:t>
            </w:r>
          </w:p>
        </w:tc>
        <w:tc>
          <w:tcPr>
            <w:tcW w:w="1835" w:type="pct"/>
            <w:noWrap w:val="0"/>
            <w:tcMar>
              <w:top w:w="-1" w:type="dxa"/>
              <w:left w:w="-1" w:type="dxa"/>
              <w:bottom w:w="-1" w:type="dxa"/>
              <w:right w:w="-1" w:type="dxa"/>
            </w:tcMar>
            <w:vAlign w:val="center"/>
          </w:tcPr>
          <w:p w14:paraId="4FDF4DC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83456815</w:t>
            </w:r>
          </w:p>
        </w:tc>
      </w:tr>
      <w:tr w14:paraId="02B0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9" w:type="pct"/>
            <w:noWrap w:val="0"/>
            <w:tcMar>
              <w:top w:w="-1" w:type="dxa"/>
              <w:left w:w="-1" w:type="dxa"/>
              <w:bottom w:w="-1" w:type="dxa"/>
              <w:right w:w="-1" w:type="dxa"/>
            </w:tcMar>
            <w:vAlign w:val="center"/>
          </w:tcPr>
          <w:p w14:paraId="7298385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11</w:t>
            </w:r>
          </w:p>
        </w:tc>
        <w:tc>
          <w:tcPr>
            <w:tcW w:w="2705" w:type="pct"/>
            <w:noWrap w:val="0"/>
            <w:tcMar>
              <w:top w:w="-1" w:type="dxa"/>
              <w:left w:w="-1" w:type="dxa"/>
              <w:bottom w:w="-1" w:type="dxa"/>
              <w:right w:w="-1" w:type="dxa"/>
            </w:tcMar>
            <w:vAlign w:val="center"/>
          </w:tcPr>
          <w:p w14:paraId="5CA4A7E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红山管理处便民服务大厅民政窗口</w:t>
            </w:r>
          </w:p>
        </w:tc>
        <w:tc>
          <w:tcPr>
            <w:tcW w:w="1835" w:type="pct"/>
            <w:noWrap w:val="0"/>
            <w:tcMar>
              <w:top w:w="-1" w:type="dxa"/>
              <w:left w:w="-1" w:type="dxa"/>
              <w:bottom w:w="-1" w:type="dxa"/>
              <w:right w:w="-1" w:type="dxa"/>
            </w:tcMar>
            <w:vAlign w:val="center"/>
          </w:tcPr>
          <w:p w14:paraId="62AB27A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83490001</w:t>
            </w:r>
          </w:p>
        </w:tc>
      </w:tr>
      <w:tr w14:paraId="1075E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9" w:type="pct"/>
            <w:noWrap w:val="0"/>
            <w:tcMar>
              <w:top w:w="-1" w:type="dxa"/>
              <w:left w:w="-1" w:type="dxa"/>
              <w:bottom w:w="-1" w:type="dxa"/>
              <w:right w:w="-1" w:type="dxa"/>
            </w:tcMar>
            <w:vAlign w:val="center"/>
          </w:tcPr>
          <w:p w14:paraId="04EF8B2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12</w:t>
            </w:r>
          </w:p>
        </w:tc>
        <w:tc>
          <w:tcPr>
            <w:tcW w:w="2705" w:type="pct"/>
            <w:noWrap w:val="0"/>
            <w:tcMar>
              <w:top w:w="-1" w:type="dxa"/>
              <w:left w:w="-1" w:type="dxa"/>
              <w:bottom w:w="-1" w:type="dxa"/>
              <w:right w:w="-1" w:type="dxa"/>
            </w:tcMar>
            <w:vAlign w:val="center"/>
          </w:tcPr>
          <w:p w14:paraId="3C91D85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安义县民政局</w:t>
            </w:r>
          </w:p>
        </w:tc>
        <w:tc>
          <w:tcPr>
            <w:tcW w:w="1835" w:type="pct"/>
            <w:noWrap w:val="0"/>
            <w:tcMar>
              <w:top w:w="-1" w:type="dxa"/>
              <w:left w:w="-1" w:type="dxa"/>
              <w:bottom w:w="-1" w:type="dxa"/>
              <w:right w:w="-1" w:type="dxa"/>
            </w:tcMar>
            <w:vAlign w:val="center"/>
          </w:tcPr>
          <w:p w14:paraId="6245FA2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pacing w:val="-20"/>
                <w:sz w:val="21"/>
                <w:szCs w:val="21"/>
                <w:highlight w:val="none"/>
                <w:vertAlign w:val="baseline"/>
                <w:lang w:val="en-US" w:eastAsia="zh-CN"/>
              </w:rPr>
            </w:pPr>
            <w:r>
              <w:rPr>
                <w:rFonts w:hint="eastAsia" w:ascii="仿宋_GB2312" w:hAnsi="仿宋_GB2312" w:eastAsia="仿宋_GB2312" w:cs="仿宋_GB2312"/>
                <w:color w:val="auto"/>
                <w:spacing w:val="-20"/>
                <w:sz w:val="21"/>
                <w:szCs w:val="21"/>
                <w:highlight w:val="none"/>
                <w:vertAlign w:val="baseline"/>
                <w:lang w:val="en-US" w:eastAsia="zh-CN"/>
              </w:rPr>
              <w:t>83416772</w:t>
            </w:r>
          </w:p>
        </w:tc>
      </w:tr>
    </w:tbl>
    <w:p w14:paraId="04EABF2F">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仿宋_GB2312" w:hAnsi="仿宋_GB2312" w:eastAsia="仿宋_GB2312" w:cs="仿宋_GB2312"/>
          <w:color w:val="auto"/>
          <w:sz w:val="32"/>
          <w:szCs w:val="32"/>
          <w:highlight w:val="none"/>
          <w:lang w:val="en-US" w:eastAsia="zh-CN"/>
        </w:rPr>
      </w:pPr>
    </w:p>
    <w:p w14:paraId="406415BF">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办理流程：</w:t>
      </w:r>
    </w:p>
    <w:p w14:paraId="3092D3D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仿宋_GB2312" w:hAnsi="仿宋_GB2312" w:eastAsia="仿宋_GB2312" w:cs="仿宋_GB2312"/>
          <w:color w:val="auto"/>
          <w:sz w:val="21"/>
          <w:szCs w:val="21"/>
          <w:highlight w:val="none"/>
          <w:lang w:val="en-US" w:eastAsia="zh-CN"/>
        </w:rPr>
      </w:pPr>
      <w:r>
        <w:drawing>
          <wp:inline distT="0" distB="0" distL="114300" distR="114300">
            <wp:extent cx="4505325" cy="5547360"/>
            <wp:effectExtent l="0" t="0" r="952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505325" cy="5547360"/>
                    </a:xfrm>
                    <a:prstGeom prst="rect">
                      <a:avLst/>
                    </a:prstGeom>
                    <a:noFill/>
                    <a:ln>
                      <a:noFill/>
                    </a:ln>
                  </pic:spPr>
                </pic:pic>
              </a:graphicData>
            </a:graphic>
          </wp:inline>
        </w:drawing>
      </w:r>
    </w:p>
    <w:sectPr>
      <w:pgSz w:w="16838" w:h="11906" w:orient="landscape"/>
      <w:pgMar w:top="720" w:right="720" w:bottom="720" w:left="720" w:header="851" w:footer="992" w:gutter="0"/>
      <w:cols w:equalWidth="0" w:num="2">
        <w:col w:w="7486" w:space="425"/>
        <w:col w:w="7486"/>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iMTNiYzczODVmYjdiNjQ2MDBmOWI2MTQwZWRiOWIifQ=="/>
  </w:docVars>
  <w:rsids>
    <w:rsidRoot w:val="2CEF09CD"/>
    <w:rsid w:val="16042E7E"/>
    <w:rsid w:val="16116C22"/>
    <w:rsid w:val="1A191563"/>
    <w:rsid w:val="2CEF09CD"/>
    <w:rsid w:val="38875586"/>
    <w:rsid w:val="3C9B25BC"/>
    <w:rsid w:val="40AE7956"/>
    <w:rsid w:val="4CE13531"/>
    <w:rsid w:val="551C3890"/>
    <w:rsid w:val="56F939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6741</Words>
  <Characters>6988</Characters>
  <Lines>0</Lines>
  <Paragraphs>0</Paragraphs>
  <TotalTime>5</TotalTime>
  <ScaleCrop>false</ScaleCrop>
  <LinksUpToDate>false</LinksUpToDate>
  <CharactersWithSpaces>6988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2023-08-01T01:43:00Z</dcterms:created>
  <dc:creator>A000鑫苑广告</dc:creator>
  <cp:lastModifiedBy>西北偏北</cp:lastModifiedBy>
  <dcterms:modified xsi:type="dcterms:W3CDTF">2026-05-22T08:35:02Z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33150A1863A746799F6F33FEB2017A0F_13</vt:lpwstr>
  </property>
  <property fmtid="{D5CDD505-2E9C-101B-9397-08002B2CF9AE}" pid="4" name="KSOTemplateDocerSaveRecord">
    <vt:lpwstr>eyJoZGlkIjoiZjBhN2M5MTRiOWY3YzJmY2QzYTg1ZTM5YWExMTAyZjQiLCJ1c2VySWQiOiI2OTc0ODgzNDMifQ==</vt:lpwstr>
  </property>
</Properties>
</file>