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2219C6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center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散居孤儿基本生活保障办理指南</w:t>
      </w:r>
    </w:p>
    <w:p w14:paraId="1CBD027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46E990D6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一、申请条件</w:t>
      </w:r>
    </w:p>
    <w:p w14:paraId="2E4F85F3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父母双亡或者查找不到生父母的未满18周岁的未成年人。</w:t>
      </w:r>
    </w:p>
    <w:p w14:paraId="56790A25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二、散居孤儿办理方式</w:t>
      </w:r>
    </w:p>
    <w:p w14:paraId="0CA3DBE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书面申请。散居孤儿申请孤儿基本生活费，由孤儿监护人（抚养人）向孤儿户籍所在地乡镇人民政府提出申请。</w:t>
      </w:r>
    </w:p>
    <w:p w14:paraId="365ABAE0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申请材料：</w:t>
      </w:r>
    </w:p>
    <w:p w14:paraId="0F6FC47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sz w:val="21"/>
          <w:szCs w:val="21"/>
        </w:rPr>
        <w:t>公安机关出具的孤儿父母死亡户口本销户页或证明，或医院出具的孤儿父母死亡证明，或殡仪馆出具的孤儿父母死亡火化证明，或人民法院出具的孤儿父母宣告死亡或失踪的证明法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律文书原件。</w:t>
      </w:r>
    </w:p>
    <w:p w14:paraId="346D3B8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孤儿身份证（或户口本）原件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及复印件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；</w:t>
      </w:r>
    </w:p>
    <w:p w14:paraId="60EB08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3.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孤儿监护人（抚养人）身份证（或户口本）原件</w:t>
      </w:r>
      <w:r>
        <w:rPr>
          <w:rFonts w:hint="eastAsia" w:ascii="宋体" w:hAnsi="宋体" w:eastAsia="宋体" w:cs="宋体"/>
          <w:sz w:val="21"/>
          <w:szCs w:val="21"/>
          <w:highlight w:val="none"/>
          <w:lang w:eastAsia="zh-CN"/>
        </w:rPr>
        <w:t>及复印件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2份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；</w:t>
      </w:r>
    </w:p>
    <w:p w14:paraId="2563FFF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highlight w:val="none"/>
        </w:rPr>
      </w:pP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4.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孤儿近期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1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寸免冠照片</w:t>
      </w:r>
      <w:r>
        <w:rPr>
          <w:rFonts w:hint="eastAsia" w:ascii="宋体" w:hAnsi="宋体" w:eastAsia="宋体" w:cs="宋体"/>
          <w:sz w:val="21"/>
          <w:szCs w:val="21"/>
          <w:highlight w:val="none"/>
          <w:lang w:val="en-US" w:eastAsia="zh-CN"/>
        </w:rPr>
        <w:t>2张</w:t>
      </w:r>
      <w:r>
        <w:rPr>
          <w:rFonts w:hint="eastAsia" w:ascii="宋体" w:hAnsi="宋体" w:eastAsia="宋体" w:cs="宋体"/>
          <w:sz w:val="21"/>
          <w:szCs w:val="21"/>
          <w:highlight w:val="none"/>
        </w:rPr>
        <w:t>；</w:t>
      </w:r>
    </w:p>
    <w:p w14:paraId="173ECF4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5.</w:t>
      </w:r>
      <w:r>
        <w:rPr>
          <w:rFonts w:hint="eastAsia" w:ascii="宋体" w:hAnsi="宋体" w:eastAsia="宋体" w:cs="宋体"/>
          <w:sz w:val="21"/>
          <w:szCs w:val="21"/>
        </w:rPr>
        <w:t>孤儿监护人（抚养人）的贫困证明；</w:t>
      </w:r>
    </w:p>
    <w:p w14:paraId="5915E99C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6.</w:t>
      </w:r>
      <w:r>
        <w:rPr>
          <w:rFonts w:hint="eastAsia" w:ascii="宋体" w:hAnsi="宋体" w:eastAsia="宋体" w:cs="宋体"/>
          <w:sz w:val="21"/>
          <w:szCs w:val="21"/>
        </w:rPr>
        <w:t>孤儿社保卡复印件；</w:t>
      </w:r>
    </w:p>
    <w:p w14:paraId="79681AF5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7.</w:t>
      </w:r>
      <w:r>
        <w:rPr>
          <w:rFonts w:hint="eastAsia" w:ascii="宋体" w:hAnsi="宋体" w:eastAsia="宋体" w:cs="宋体"/>
          <w:sz w:val="21"/>
          <w:szCs w:val="21"/>
        </w:rPr>
        <w:t>残疾孤儿需提供残疾证明。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</w:t>
      </w:r>
    </w:p>
    <w:p w14:paraId="2207957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2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1"/>
          <w:szCs w:val="21"/>
          <w:lang w:val="en-US" w:eastAsia="zh-CN"/>
        </w:rPr>
        <w:t>三、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1"/>
          <w:szCs w:val="21"/>
        </w:rPr>
        <w:t>审核。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街道办事处或乡（镇）人民政府应在10个工作日内，组织有关人员通过入户调查、邻里访问等方式，对监护人（抚养人）和社会散居孤儿情况进行认真核实。符合发放条件的，由孤儿本人或监护人（抚养人）填写《江西省孤儿基本生活费申报审批表》一式两份，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（见附件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1），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街道办事处或乡（镇）人民政府签署审查意见后，连同有关证明材料的复印件一并报县级民政部门审批。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 xml:space="preserve"> </w:t>
      </w:r>
    </w:p>
    <w:p w14:paraId="412DA5D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2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1"/>
          <w:szCs w:val="21"/>
          <w:lang w:val="en-US" w:eastAsia="zh-CN"/>
        </w:rPr>
        <w:t>四、</w:t>
      </w:r>
      <w:r>
        <w:rPr>
          <w:rFonts w:hint="eastAsia" w:ascii="宋体" w:hAnsi="宋体" w:eastAsia="宋体" w:cs="宋体"/>
          <w:b/>
          <w:color w:val="auto"/>
          <w:spacing w:val="0"/>
          <w:position w:val="0"/>
          <w:sz w:val="21"/>
          <w:szCs w:val="21"/>
        </w:rPr>
        <w:t>审批。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 xml:space="preserve"> 县级民政部门要认真审核申请材料，符合条件的，应在10个工作日内作出审批决定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。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符合条件的,认定为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孤儿的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儿童,录入"全国儿童福利信息管理系统",并从次月起发放 基本生活补贴.不符合条件的,应当书面说明理由.</w:t>
      </w:r>
    </w:p>
    <w:p w14:paraId="177DE42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32A48E4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47DAC40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jc w:val="both"/>
        <w:textAlignment w:val="auto"/>
        <w:rPr>
          <w:rFonts w:hint="eastAsia" w:ascii="黑体" w:hAnsi="黑体" w:eastAsia="黑体" w:cs="黑体"/>
          <w:sz w:val="44"/>
          <w:szCs w:val="44"/>
        </w:rPr>
      </w:pPr>
      <w:r>
        <w:rPr>
          <w:rFonts w:hint="eastAsia" w:ascii="黑体" w:hAnsi="黑体" w:eastAsia="黑体" w:cs="黑体"/>
          <w:sz w:val="44"/>
          <w:szCs w:val="44"/>
        </w:rPr>
        <w:t>事实无人抚养儿童基本生活保障办理指南</w:t>
      </w:r>
    </w:p>
    <w:p w14:paraId="3AE00BD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6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p w14:paraId="11B47B5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一、保障对象</w:t>
      </w:r>
    </w:p>
    <w:p w14:paraId="6747239E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事实无人抚养儿童是指父母双方均符合重残、重病、服刑在押、强制隔离戒毒、被执行其他限制人身自由的措施、失联情形之一的儿童;或者父母一方死亡或失踪,另一方符合重残、重病、服刑在押、强制隔离戒毒、被执行其他限制人身自由的措施、失联,被撤销监护资格、被遣送(驱逐)出境情形之一的儿童。</w:t>
      </w:r>
    </w:p>
    <w:p w14:paraId="209196D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以上重残是指一级二级残疾或三级四级精神、智力残疾;重病根据当地大病、地方病等实际情况确定;失联是指失去联系且未履行监护抚养责任6个月以上;服刑在押、强制隔离戒毒或被执行其他限制人身自由的措施是指期限在6个月以上;死亡是指自然死亡或人民法院宣告死亡;失踪是指人民法院宣告失踪.被撤销监护资格的情形是指人民法院依法判决撤销监护人资格;被遣送(驱逐) 出境的情形是指外籍人员与内地居民生育子女后被依法遣送(驱逐)出境且未履行抚养义务;</w:t>
      </w:r>
    </w:p>
    <w:p w14:paraId="6CBA1F94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二、申请材料</w:t>
      </w:r>
    </w:p>
    <w:p w14:paraId="283B54E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</w:rPr>
        <w:t>1、本人及父母（监护人）有效身份证明，（户口簿、身份证原件）；2、残疾人还应当提供第二代《中华人民共和国残疾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>人</w:t>
      </w:r>
      <w:bookmarkStart w:id="0" w:name="_GoBack"/>
      <w:bookmarkEnd w:id="0"/>
      <w:r>
        <w:rPr>
          <w:rFonts w:hint="eastAsia" w:ascii="宋体" w:hAnsi="宋体" w:eastAsia="宋体" w:cs="宋体"/>
          <w:sz w:val="21"/>
          <w:szCs w:val="21"/>
        </w:rPr>
        <w:t>证》；3.父母一方死亡证明；4.失联证明；</w:t>
      </w:r>
    </w:p>
    <w:p w14:paraId="0F193141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eastAsia" w:ascii="宋体" w:hAnsi="宋体" w:eastAsia="宋体" w:cs="宋体"/>
          <w:b/>
          <w:bCs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三、办理方式</w:t>
      </w:r>
    </w:p>
    <w:p w14:paraId="642BE53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outlineLvl w:val="0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</w:rPr>
        <w:t>书面申请。监护人或受监护人委托的近亲属或所在村(居)民委员会向儿童户籍所在地乡镇人民政府提出申请。</w:t>
      </w: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</w:t>
      </w:r>
    </w:p>
    <w:p w14:paraId="4CE62E67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outlineLvl w:val="0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一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保障对象</w:t>
      </w:r>
    </w:p>
    <w:p w14:paraId="3D2FA1C9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事实无人抚养儿童是指父母双方均符合重残、重病、服刑在押、强制隔离戒毒、被执行其他限制人身自由的措施、失联情形 之一的儿童;或者父母一方死亡或失踪,另一方符合重残、重病、 服刑在押、强制隔离戒毒、被执行其他限制人身自由的措施、失联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情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形 之一的儿童;根据民发〔2020〕 125号文件要求，在赣民发〔2019〕 4号文 件规定情形的基础上补充增加被撤销监护资格、被遣送（驱逐） 出境两种情形，被撤销监护资格的情形是指人民法院依法判决撤 销监护人资格，被遣送（驱逐） 出境的情形是指外籍人员与内地 居民生育子女后被依法遣送（驱逐） 出境且未履行抚养义务。据 此，事实无人抚养儿童是指父母双方均符合重残、重病、服刑在 押、强制隔离戒毒、被执行其他限制人身自由的措施、失联、被 撤销监护资格、被遣送（驱逐） 出境情形之一的儿童； 或者父母 一方死亡或失踪，另一方符合重残、重病、服刑在押、强制隔离 戒毒、被执行其他限制人身自由的措施、失联、被撤销监护资格、 被遣送（驱逐） 出境情形之一的儿童。</w:t>
      </w:r>
    </w:p>
    <w:p w14:paraId="01DA9EE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以上重残是指一级二级残疾或三级四级精神、智力残疾;重 病根据当地大病、地方病等实际情况确定;失联是指失去联系且 未履行监护抚养责任6个月以上;服刑在押、强制隔离戒毒或被 执行其他限制人身自由的措施是指期限在6个月以上;死亡是指 自然死亡或人民法院宣告死亡;失踪是指人民法院宣告失踪.</w:t>
      </w:r>
    </w:p>
    <w:p w14:paraId="3461D70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（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二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）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认定程序</w:t>
      </w:r>
    </w:p>
    <w:p w14:paraId="17671A9F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申请.监护人或受监护人委托的近亲属或所在村(居)民委员会填写《事实无人抚养儿童基本生活补贴申请表》(见附件1),向儿童户籍所在地乡镇人民政府(街道办事处)提出申请.</w:t>
      </w:r>
    </w:p>
    <w:p w14:paraId="115A3862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查验.乡镇人民政府(街道办事处)应当自收到申请之日起15个工作日内通过部门信息比对的方式查验儿童父母情况,作出查验结论.无法通过部门信息比对核验的,可由儿童本人或其监护人、亲属协助提供必要补充材料.对符合条件的,连 同申报材料一并报送县级民政部门.对查验结论有异议的,乡镇人民政府(街道办事处)可采取入户调查、邻里访问、信函索证、群众评议等方式再次进行核实.为保护儿童隐私,不宜设置公示环节。</w:t>
      </w:r>
    </w:p>
    <w:p w14:paraId="2971943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确认.县级民政部门应当自收到申报材料及查验结论之日起15个工作日内作出确认.符合条件的,认定为事实无人抚养儿童,录入"全国儿童福利信息管理系统",并从次月起发放 基本生活补贴.不符合条件的,应当书面说明理由.</w:t>
      </w:r>
    </w:p>
    <w:p w14:paraId="5CFB7C28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4.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终止.规定保障情形发生变化的,监护人或受监护人委托的近亲属或所在村(居)民委员会应当及时告知乡镇人民政府(街道办事处).乡镇人民政府(街道办事处) 和县级民政部门要加强信息动态管理,对不再符合保障情形的,终止其保障资 格,并及时退出信息系统.</w:t>
      </w:r>
    </w:p>
    <w:p w14:paraId="574433A3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eastAsia="zh-CN"/>
        </w:rPr>
        <w:t>（三）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分类做好失联认定</w:t>
      </w:r>
    </w:p>
    <w:p w14:paraId="118EDB56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1.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一般情形。儿童监护人、受监护人委托的近亲属或儿童所在村（居）民委员会向儿童户籍所在地公安部门报警，申请查找失联父母。公安部门受理后，应当加大对失联父母的查找力 度，对登记受理超过 6 个月仍下落不明的，向申请人出具《儿童 失联父母查找情况回执单》（附件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2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），并通过信息共享等途径，向乡镇人民政府（街道办事处）、民政部门提供信息查询服务。</w:t>
      </w:r>
    </w:p>
    <w:p w14:paraId="4C8EF93C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2.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不具备公安部门接警处置的情形。可采取“个人承诺+邻里证明+村（居）证实+乡镇人民政府（街道办事处）查验+ 县级民政部门确认”的方式，形成《儿童父母失联情况认定表》（附件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3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）进行认定。乡镇人民政府（街道办事处）查验和县级民政部门确认原则上应分别在10个工作日内完成。</w:t>
      </w:r>
    </w:p>
    <w:p w14:paraId="2AF8BC41">
      <w:pPr>
        <w:keepNext w:val="0"/>
        <w:keepLines w:val="0"/>
        <w:pageBreakBefore w:val="0"/>
        <w:widowControl/>
        <w:kinsoku w:val="0"/>
        <w:wordWrap/>
        <w:overflowPunct/>
        <w:topLinePunct w:val="0"/>
        <w:autoSpaceDE w:val="0"/>
        <w:autoSpaceDN w:val="0"/>
        <w:bidi w:val="0"/>
        <w:adjustRightInd w:val="0"/>
        <w:snapToGrid w:val="0"/>
        <w:spacing w:line="600" w:lineRule="exact"/>
        <w:ind w:left="0" w:right="0" w:firstLine="420" w:firstLineChars="200"/>
        <w:textAlignment w:val="baseline"/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</w:pP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  <w:lang w:val="en-US" w:eastAsia="zh-CN"/>
        </w:rPr>
        <w:t>3.</w:t>
      </w:r>
      <w:r>
        <w:rPr>
          <w:rFonts w:hint="eastAsia" w:ascii="宋体" w:hAnsi="宋体" w:eastAsia="宋体" w:cs="宋体"/>
          <w:color w:val="auto"/>
          <w:spacing w:val="0"/>
          <w:position w:val="0"/>
          <w:sz w:val="21"/>
          <w:szCs w:val="21"/>
        </w:rPr>
        <w:t>特殊情形。对无法采取上述方式认定的，可采取“一事一议”的方式，由村（居）民委员会提出方案，经乡镇人民政府（街道办事处）查验后报县级儿童保护相关协调机制研究确认，原则上应在30个工作日内完成确认。</w:t>
      </w:r>
    </w:p>
    <w:p w14:paraId="44BA8FE7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sz w:val="21"/>
          <w:szCs w:val="21"/>
          <w:lang w:val="en-US" w:eastAsia="zh-CN"/>
        </w:rPr>
        <w:t xml:space="preserve">             </w:t>
      </w:r>
    </w:p>
    <w:p w14:paraId="78BF46F8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一、民政业务办理地点：</w:t>
      </w:r>
      <w:r>
        <w:rPr>
          <w:rFonts w:hint="eastAsia" w:ascii="宋体" w:hAnsi="宋体" w:eastAsia="宋体" w:cs="宋体"/>
          <w:sz w:val="21"/>
          <w:szCs w:val="21"/>
        </w:rPr>
        <w:t>各乡镇（处）便民服务大厅民政窗口。</w:t>
      </w:r>
    </w:p>
    <w:p w14:paraId="20141C79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  <w:r>
        <w:rPr>
          <w:rFonts w:hint="eastAsia" w:ascii="宋体" w:hAnsi="宋体" w:eastAsia="宋体" w:cs="宋体"/>
          <w:b/>
          <w:bCs/>
          <w:sz w:val="21"/>
          <w:szCs w:val="21"/>
        </w:rPr>
        <w:t>二、民政业务办理时间：</w:t>
      </w:r>
      <w:r>
        <w:rPr>
          <w:rFonts w:hint="eastAsia" w:ascii="宋体" w:hAnsi="宋体" w:eastAsia="宋体" w:cs="宋体"/>
          <w:sz w:val="21"/>
          <w:szCs w:val="21"/>
        </w:rPr>
        <w:t>周一至周五，上午9：00—12:00，下午1:30—5:00。</w:t>
      </w:r>
    </w:p>
    <w:p w14:paraId="77941D4D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2" w:firstLineChars="200"/>
        <w:textAlignment w:val="auto"/>
        <w:rPr>
          <w:rFonts w:hint="default" w:ascii="宋体" w:hAnsi="宋体" w:eastAsia="宋体" w:cs="宋体"/>
          <w:b/>
          <w:bCs/>
          <w:sz w:val="21"/>
          <w:szCs w:val="21"/>
          <w:lang w:val="en-US" w:eastAsia="zh-CN"/>
        </w:rPr>
      </w:pPr>
      <w:r>
        <w:rPr>
          <w:rFonts w:hint="eastAsia" w:ascii="宋体" w:hAnsi="宋体" w:eastAsia="宋体" w:cs="宋体"/>
          <w:b/>
          <w:bCs/>
          <w:sz w:val="21"/>
          <w:szCs w:val="21"/>
          <w:lang w:val="en-US" w:eastAsia="zh-CN"/>
        </w:rPr>
        <w:t>三、咨询电话</w:t>
      </w:r>
    </w:p>
    <w:tbl>
      <w:tblPr>
        <w:tblStyle w:val="4"/>
        <w:tblW w:w="3624" w:type="pct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71"/>
        <w:gridCol w:w="2894"/>
        <w:gridCol w:w="2413"/>
      </w:tblGrid>
      <w:tr w14:paraId="23B0752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</w:tcPr>
          <w:p w14:paraId="263CFC0A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2342" w:type="pct"/>
          </w:tcPr>
          <w:p w14:paraId="5260DE2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咨询地点</w:t>
            </w:r>
          </w:p>
        </w:tc>
        <w:tc>
          <w:tcPr>
            <w:tcW w:w="1952" w:type="pct"/>
          </w:tcPr>
          <w:p w14:paraId="3216119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咨询电话</w:t>
            </w:r>
          </w:p>
        </w:tc>
      </w:tr>
      <w:tr w14:paraId="33E743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5F8E4DAD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2342" w:type="pct"/>
            <w:vAlign w:val="center"/>
          </w:tcPr>
          <w:p w14:paraId="431156D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龙津镇便民服务大厅民政窗口</w:t>
            </w:r>
          </w:p>
        </w:tc>
        <w:tc>
          <w:tcPr>
            <w:tcW w:w="1952" w:type="pct"/>
            <w:vAlign w:val="center"/>
          </w:tcPr>
          <w:p w14:paraId="6AE6241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83499298</w:t>
            </w:r>
          </w:p>
        </w:tc>
      </w:tr>
      <w:tr w14:paraId="6AA7347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77F3E2C8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2342" w:type="pct"/>
            <w:vAlign w:val="center"/>
          </w:tcPr>
          <w:p w14:paraId="5C1E207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石鼻镇便民服务大厅民政窗口</w:t>
            </w:r>
          </w:p>
        </w:tc>
        <w:tc>
          <w:tcPr>
            <w:tcW w:w="1952" w:type="pct"/>
            <w:vAlign w:val="center"/>
          </w:tcPr>
          <w:p w14:paraId="56B5BB1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83372031</w:t>
            </w:r>
          </w:p>
        </w:tc>
      </w:tr>
      <w:tr w14:paraId="15081F2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5AE21D21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3</w:t>
            </w:r>
          </w:p>
        </w:tc>
        <w:tc>
          <w:tcPr>
            <w:tcW w:w="2342" w:type="pct"/>
            <w:vAlign w:val="center"/>
          </w:tcPr>
          <w:p w14:paraId="3CAF3410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东阳镇便民服务大厅民政窗口</w:t>
            </w:r>
          </w:p>
        </w:tc>
        <w:tc>
          <w:tcPr>
            <w:tcW w:w="1952" w:type="pct"/>
            <w:vAlign w:val="center"/>
          </w:tcPr>
          <w:p w14:paraId="43389FC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19398615683</w:t>
            </w:r>
          </w:p>
        </w:tc>
      </w:tr>
      <w:tr w14:paraId="5B898AE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4159CBE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4</w:t>
            </w:r>
          </w:p>
        </w:tc>
        <w:tc>
          <w:tcPr>
            <w:tcW w:w="2342" w:type="pct"/>
            <w:vAlign w:val="center"/>
          </w:tcPr>
          <w:p w14:paraId="0A3054B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黄洲镇便民服务大厅民政窗口</w:t>
            </w:r>
          </w:p>
        </w:tc>
        <w:tc>
          <w:tcPr>
            <w:tcW w:w="1952" w:type="pct"/>
            <w:vAlign w:val="center"/>
          </w:tcPr>
          <w:p w14:paraId="15711339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83350001</w:t>
            </w:r>
          </w:p>
        </w:tc>
      </w:tr>
      <w:tr w14:paraId="7546528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7CD454D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5</w:t>
            </w:r>
          </w:p>
        </w:tc>
        <w:tc>
          <w:tcPr>
            <w:tcW w:w="2342" w:type="pct"/>
            <w:vAlign w:val="center"/>
          </w:tcPr>
          <w:p w14:paraId="3BDCA021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新民乡便民服务大厅民政窗口</w:t>
            </w:r>
          </w:p>
        </w:tc>
        <w:tc>
          <w:tcPr>
            <w:tcW w:w="1952" w:type="pct"/>
            <w:vAlign w:val="center"/>
          </w:tcPr>
          <w:p w14:paraId="3F6FCD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83462088</w:t>
            </w:r>
          </w:p>
        </w:tc>
      </w:tr>
      <w:tr w14:paraId="5FF5033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2605C42B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6</w:t>
            </w:r>
          </w:p>
        </w:tc>
        <w:tc>
          <w:tcPr>
            <w:tcW w:w="2342" w:type="pct"/>
            <w:vAlign w:val="center"/>
          </w:tcPr>
          <w:p w14:paraId="063CF71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红山管理处便民服务大厅民政窗口</w:t>
            </w:r>
          </w:p>
        </w:tc>
        <w:tc>
          <w:tcPr>
            <w:tcW w:w="1952" w:type="pct"/>
            <w:vAlign w:val="center"/>
          </w:tcPr>
          <w:p w14:paraId="78F6C8FB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83490100</w:t>
            </w:r>
          </w:p>
        </w:tc>
      </w:tr>
      <w:tr w14:paraId="289A1C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6041E9B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7</w:t>
            </w:r>
          </w:p>
        </w:tc>
        <w:tc>
          <w:tcPr>
            <w:tcW w:w="2342" w:type="pct"/>
            <w:vAlign w:val="center"/>
          </w:tcPr>
          <w:p w14:paraId="2BC3E2E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鼎湖镇便民服务大厅民政窗口</w:t>
            </w:r>
          </w:p>
        </w:tc>
        <w:tc>
          <w:tcPr>
            <w:tcW w:w="1952" w:type="pct"/>
            <w:vAlign w:val="center"/>
          </w:tcPr>
          <w:p w14:paraId="4E9BA1CE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83380808</w:t>
            </w:r>
          </w:p>
        </w:tc>
      </w:tr>
      <w:tr w14:paraId="389B18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31D7C3F6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8</w:t>
            </w:r>
          </w:p>
        </w:tc>
        <w:tc>
          <w:tcPr>
            <w:tcW w:w="2342" w:type="pct"/>
            <w:vAlign w:val="center"/>
          </w:tcPr>
          <w:p w14:paraId="33E8EA9A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万埠镇便民服务大厅民政窗口</w:t>
            </w:r>
          </w:p>
        </w:tc>
        <w:tc>
          <w:tcPr>
            <w:tcW w:w="1952" w:type="pct"/>
            <w:vAlign w:val="center"/>
          </w:tcPr>
          <w:p w14:paraId="6E5D81ED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83437933</w:t>
            </w:r>
          </w:p>
        </w:tc>
      </w:tr>
      <w:tr w14:paraId="4C4FCFE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0C23C6C3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21"/>
                <w:szCs w:val="21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9</w:t>
            </w:r>
          </w:p>
        </w:tc>
        <w:tc>
          <w:tcPr>
            <w:tcW w:w="2342" w:type="pct"/>
            <w:vAlign w:val="center"/>
          </w:tcPr>
          <w:p w14:paraId="23843D3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长埠镇便民服务大厅民政窗口</w:t>
            </w:r>
          </w:p>
        </w:tc>
        <w:tc>
          <w:tcPr>
            <w:tcW w:w="1952" w:type="pct"/>
            <w:vAlign w:val="center"/>
          </w:tcPr>
          <w:p w14:paraId="63E43426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83590168</w:t>
            </w:r>
          </w:p>
        </w:tc>
      </w:tr>
      <w:tr w14:paraId="70A36F6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4108DC0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10</w:t>
            </w:r>
          </w:p>
        </w:tc>
        <w:tc>
          <w:tcPr>
            <w:tcW w:w="2342" w:type="pct"/>
            <w:vAlign w:val="center"/>
          </w:tcPr>
          <w:p w14:paraId="66251F8F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乔乐乡便民服务大厅民政窗口</w:t>
            </w:r>
          </w:p>
        </w:tc>
        <w:tc>
          <w:tcPr>
            <w:tcW w:w="1952" w:type="pct"/>
            <w:vAlign w:val="center"/>
          </w:tcPr>
          <w:p w14:paraId="041CF558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83372110</w:t>
            </w:r>
          </w:p>
        </w:tc>
      </w:tr>
      <w:tr w14:paraId="7B7B692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7AAEBA60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11</w:t>
            </w:r>
          </w:p>
        </w:tc>
        <w:tc>
          <w:tcPr>
            <w:tcW w:w="2342" w:type="pct"/>
            <w:vAlign w:val="center"/>
          </w:tcPr>
          <w:p w14:paraId="53B7CA34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长均乡便民服务大厅民政窗口</w:t>
            </w:r>
          </w:p>
        </w:tc>
        <w:tc>
          <w:tcPr>
            <w:tcW w:w="1952" w:type="pct"/>
            <w:vAlign w:val="center"/>
          </w:tcPr>
          <w:p w14:paraId="15D58582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83456815</w:t>
            </w:r>
          </w:p>
        </w:tc>
      </w:tr>
      <w:tr w14:paraId="63D3E5B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704" w:type="pct"/>
            <w:vAlign w:val="center"/>
          </w:tcPr>
          <w:p w14:paraId="30386C9E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sz w:val="18"/>
                <w:szCs w:val="18"/>
                <w:shd w:val="clear" w:fill="FFFFFF"/>
                <w:vertAlign w:val="baseli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12</w:t>
            </w:r>
          </w:p>
        </w:tc>
        <w:tc>
          <w:tcPr>
            <w:tcW w:w="2342" w:type="pct"/>
            <w:vAlign w:val="center"/>
          </w:tcPr>
          <w:p w14:paraId="768B5937">
            <w:pPr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安义县民政局</w:t>
            </w:r>
          </w:p>
        </w:tc>
        <w:tc>
          <w:tcPr>
            <w:tcW w:w="1952" w:type="pct"/>
            <w:vAlign w:val="center"/>
          </w:tcPr>
          <w:p w14:paraId="0D44A755">
            <w:pPr>
              <w:pStyle w:val="2"/>
              <w:keepNext w:val="0"/>
              <w:keepLines w:val="0"/>
              <w:widowControl/>
              <w:suppressLineNumbers w:val="0"/>
              <w:spacing w:before="0" w:beforeAutospacing="0" w:after="0" w:afterAutospacing="0" w:line="560" w:lineRule="atLeast"/>
              <w:ind w:right="0"/>
              <w:jc w:val="center"/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宋体" w:hAnsi="宋体" w:eastAsia="宋体" w:cs="宋体"/>
                <w:b w:val="0"/>
                <w:bCs w:val="0"/>
                <w:i w:val="0"/>
                <w:iCs w:val="0"/>
                <w:caps w:val="0"/>
                <w:color w:val="000000" w:themeColor="text1"/>
                <w:spacing w:val="0"/>
                <w:kern w:val="0"/>
                <w:sz w:val="21"/>
                <w:szCs w:val="21"/>
                <w:shd w:val="clear" w:fill="FFFFFF"/>
                <w:vertAlign w:val="baseli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83425499</w:t>
            </w:r>
          </w:p>
        </w:tc>
      </w:tr>
    </w:tbl>
    <w:p w14:paraId="228354D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40" w:lineRule="exact"/>
        <w:ind w:firstLine="420" w:firstLineChars="200"/>
        <w:textAlignment w:val="auto"/>
        <w:rPr>
          <w:rFonts w:hint="eastAsia" w:ascii="宋体" w:hAnsi="宋体" w:eastAsia="宋体" w:cs="宋体"/>
          <w:sz w:val="21"/>
          <w:szCs w:val="21"/>
        </w:rPr>
      </w:pP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28651543"/>
    <w:rsid w:val="00AD6DFF"/>
    <w:rsid w:val="01372215"/>
    <w:rsid w:val="02210631"/>
    <w:rsid w:val="0E6059EA"/>
    <w:rsid w:val="11401B02"/>
    <w:rsid w:val="115E5F0B"/>
    <w:rsid w:val="19363ED0"/>
    <w:rsid w:val="19D17583"/>
    <w:rsid w:val="1B1F4E7E"/>
    <w:rsid w:val="1FDB5818"/>
    <w:rsid w:val="1FFD73A1"/>
    <w:rsid w:val="23563407"/>
    <w:rsid w:val="28651543"/>
    <w:rsid w:val="2B4F0E68"/>
    <w:rsid w:val="32FC18D5"/>
    <w:rsid w:val="330D5BD0"/>
    <w:rsid w:val="34F0546A"/>
    <w:rsid w:val="39292CF8"/>
    <w:rsid w:val="3A79707D"/>
    <w:rsid w:val="3AF9494C"/>
    <w:rsid w:val="3BBA0580"/>
    <w:rsid w:val="3CD5282D"/>
    <w:rsid w:val="3E285C74"/>
    <w:rsid w:val="4E0C6A37"/>
    <w:rsid w:val="51DE2C71"/>
    <w:rsid w:val="57026065"/>
    <w:rsid w:val="59F760A3"/>
    <w:rsid w:val="62195750"/>
    <w:rsid w:val="66CF2874"/>
    <w:rsid w:val="676E3470"/>
    <w:rsid w:val="6B8E2D0B"/>
    <w:rsid w:val="6BBF1117"/>
    <w:rsid w:val="6E751F61"/>
    <w:rsid w:val="7329331A"/>
    <w:rsid w:val="7A0348C4"/>
    <w:rsid w:val="7A3014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table" w:styleId="4">
    <w:name w:val="Table Grid"/>
    <w:basedOn w:val="3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5</Pages>
  <Words>2800</Words>
  <Characters>2937</Characters>
  <Lines>0</Lines>
  <Paragraphs>0</Paragraphs>
  <TotalTime>0</TotalTime>
  <ScaleCrop>false</ScaleCrop>
  <LinksUpToDate>false</LinksUpToDate>
  <CharactersWithSpaces>2994</CharactersWithSpaces>
  <Application>WPS Office_12.1.0.24034_F1E327BC-269C-435d-A152-05C5408002CA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2026-05-09T02:41:00Z</dcterms:created>
  <dc:creator>似水流年</dc:creator>
  <cp:lastModifiedBy>西北偏北</cp:lastModifiedBy>
  <dcterms:modified xsi:type="dcterms:W3CDTF">2026-05-22T08:35:32Z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2052-12.1.0.24034</vt:lpwstr>
  </property>
  <property fmtid="{D5CDD505-2E9C-101B-9397-08002B2CF9AE}" pid="3" name="ICV">
    <vt:lpwstr>2B24A8B8AC494ACA9CD69403BEB6B7AE_13</vt:lpwstr>
  </property>
  <property fmtid="{D5CDD505-2E9C-101B-9397-08002B2CF9AE}" pid="4" name="KSOTemplateDocerSaveRecord">
    <vt:lpwstr>eyJoZGlkIjoiZjBhN2M5MTRiOWY3YzJmY2QzYTg1ZTM5YWExMTAyZjQiLCJ1c2VySWQiOiI2OTc0ODgzNDMifQ==</vt:lpwstr>
  </property>
</Properties>
</file>