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833D567">
      <w:pPr>
        <w:snapToGrid w:val="0"/>
        <w:spacing w:line="500" w:lineRule="exact"/>
        <w:jc w:val="center"/>
        <w:rPr>
          <w:rFonts w:ascii="宋体" w:hAnsi="宋体" w:cs="宋体"/>
          <w:b/>
          <w:bCs/>
          <w:color w:val="000000"/>
          <w:sz w:val="36"/>
          <w:szCs w:val="36"/>
        </w:rPr>
      </w:pPr>
      <w:r>
        <w:rPr>
          <w:rFonts w:ascii="宋体" w:hAnsi="宋体" w:cs="宋体"/>
          <w:b/>
          <w:bCs/>
          <w:color w:val="000000"/>
          <w:sz w:val="36"/>
          <w:szCs w:val="36"/>
        </w:rPr>
        <w:t>南昌市</w:t>
      </w:r>
      <w:r>
        <w:rPr>
          <w:rFonts w:hint="eastAsia" w:ascii="宋体" w:hAnsi="宋体" w:cs="宋体"/>
          <w:b/>
          <w:bCs/>
          <w:color w:val="000000"/>
          <w:sz w:val="36"/>
          <w:szCs w:val="36"/>
        </w:rPr>
        <w:t>食品接触用塑料包装容器、工具等制品</w:t>
      </w:r>
      <w:r>
        <w:rPr>
          <w:rFonts w:ascii="宋体" w:hAnsi="宋体" w:cs="宋体"/>
          <w:b/>
          <w:bCs/>
          <w:color w:val="000000"/>
          <w:sz w:val="36"/>
          <w:szCs w:val="36"/>
        </w:rPr>
        <w:t>产品质量监督</w:t>
      </w:r>
      <w:r>
        <w:rPr>
          <w:rFonts w:hint="eastAsia" w:ascii="宋体" w:hAnsi="宋体" w:cs="宋体"/>
          <w:b/>
          <w:bCs/>
          <w:color w:val="000000"/>
          <w:sz w:val="36"/>
          <w:szCs w:val="36"/>
        </w:rPr>
        <w:t>抽查</w:t>
      </w:r>
      <w:r>
        <w:rPr>
          <w:rFonts w:ascii="宋体" w:hAnsi="宋体" w:cs="宋体"/>
          <w:b/>
          <w:bCs/>
          <w:color w:val="000000"/>
          <w:sz w:val="36"/>
          <w:szCs w:val="36"/>
        </w:rPr>
        <w:t>实施细则</w:t>
      </w:r>
      <w:r>
        <w:rPr>
          <w:rFonts w:hint="eastAsia" w:ascii="宋体" w:hAnsi="宋体" w:cs="宋体"/>
          <w:b/>
          <w:bCs/>
          <w:color w:val="000000"/>
          <w:sz w:val="36"/>
          <w:szCs w:val="36"/>
        </w:rPr>
        <w:t>（</w:t>
      </w:r>
      <w:r>
        <w:rPr>
          <w:rFonts w:ascii="宋体" w:hAnsi="宋体" w:cs="宋体"/>
          <w:b/>
          <w:bCs/>
          <w:color w:val="000000"/>
          <w:sz w:val="36"/>
          <w:szCs w:val="36"/>
        </w:rPr>
        <w:t>202</w:t>
      </w:r>
      <w:r>
        <w:rPr>
          <w:rFonts w:hint="eastAsia" w:ascii="宋体" w:hAnsi="宋体" w:cs="宋体"/>
          <w:b/>
          <w:bCs/>
          <w:color w:val="000000"/>
          <w:sz w:val="36"/>
          <w:szCs w:val="36"/>
          <w:lang w:val="en-US" w:eastAsia="zh-CN"/>
        </w:rPr>
        <w:t>5</w:t>
      </w:r>
      <w:r>
        <w:rPr>
          <w:rFonts w:ascii="宋体" w:hAnsi="宋体" w:cs="宋体"/>
          <w:b/>
          <w:bCs/>
          <w:color w:val="000000"/>
          <w:sz w:val="36"/>
          <w:szCs w:val="36"/>
        </w:rPr>
        <w:t>年</w:t>
      </w:r>
      <w:r>
        <w:rPr>
          <w:rFonts w:hint="eastAsia" w:ascii="宋体" w:hAnsi="宋体" w:cs="宋体"/>
          <w:b/>
          <w:bCs/>
          <w:color w:val="000000"/>
          <w:sz w:val="36"/>
          <w:szCs w:val="36"/>
        </w:rPr>
        <w:t>版）</w:t>
      </w:r>
    </w:p>
    <w:p w14:paraId="1F79C4B8">
      <w:pPr>
        <w:snapToGrid w:val="0"/>
        <w:spacing w:line="500" w:lineRule="exact"/>
        <w:rPr>
          <w:rFonts w:ascii="宋体" w:hAnsi="宋体" w:cs="宋体"/>
          <w:b/>
          <w:sz w:val="24"/>
          <w:szCs w:val="24"/>
        </w:rPr>
      </w:pPr>
      <w:r>
        <w:rPr>
          <w:rFonts w:ascii="宋体" w:hAnsi="宋体" w:cs="宋体"/>
          <w:b/>
          <w:sz w:val="24"/>
          <w:szCs w:val="24"/>
        </w:rPr>
        <w:t>1</w:t>
      </w:r>
      <w:r>
        <w:rPr>
          <w:rFonts w:hint="eastAsia" w:ascii="宋体" w:hAnsi="宋体" w:cs="宋体"/>
          <w:b/>
          <w:sz w:val="24"/>
          <w:szCs w:val="24"/>
        </w:rPr>
        <w:t>、</w:t>
      </w:r>
      <w:r>
        <w:rPr>
          <w:rFonts w:ascii="宋体" w:hAnsi="宋体" w:cs="宋体"/>
          <w:b/>
          <w:sz w:val="24"/>
          <w:szCs w:val="24"/>
        </w:rPr>
        <w:t>抽样方法</w:t>
      </w:r>
    </w:p>
    <w:p w14:paraId="17440153">
      <w:pPr>
        <w:snapToGrid w:val="0"/>
        <w:spacing w:line="500" w:lineRule="exact"/>
        <w:ind w:firstLine="480" w:firstLineChars="200"/>
        <w:rPr>
          <w:rFonts w:ascii="宋体" w:hAnsi="宋体" w:cs="宋体"/>
          <w:color w:val="000000"/>
          <w:sz w:val="24"/>
          <w:szCs w:val="24"/>
        </w:rPr>
      </w:pPr>
      <w:r>
        <w:rPr>
          <w:rFonts w:ascii="宋体" w:hAnsi="宋体" w:cs="宋体"/>
          <w:color w:val="000000"/>
          <w:sz w:val="24"/>
          <w:szCs w:val="24"/>
        </w:rPr>
        <w:t>以随机抽样的方式在被抽样生产者、销售者的待销产品中抽取。</w:t>
      </w:r>
    </w:p>
    <w:p w14:paraId="2355DFC0">
      <w:pPr>
        <w:snapToGrid w:val="0"/>
        <w:spacing w:line="500" w:lineRule="exact"/>
        <w:ind w:firstLine="480" w:firstLineChars="200"/>
        <w:rPr>
          <w:rFonts w:ascii="宋体" w:hAnsi="宋体" w:cs="宋体"/>
          <w:color w:val="000000"/>
          <w:sz w:val="24"/>
          <w:szCs w:val="24"/>
        </w:rPr>
      </w:pPr>
      <w:r>
        <w:rPr>
          <w:rFonts w:ascii="宋体" w:hAnsi="宋体" w:cs="宋体"/>
          <w:color w:val="000000"/>
          <w:sz w:val="24"/>
          <w:szCs w:val="24"/>
        </w:rPr>
        <w:t>随机数一般可使用随机数表、随机数骰子或扑克牌等方法产生。</w:t>
      </w:r>
    </w:p>
    <w:p w14:paraId="05C53891">
      <w:pPr>
        <w:snapToGrid w:val="0"/>
        <w:spacing w:line="500" w:lineRule="exact"/>
        <w:ind w:firstLine="480" w:firstLineChars="200"/>
        <w:rPr>
          <w:rFonts w:ascii="宋体" w:hAnsi="宋体" w:cs="宋体"/>
          <w:color w:val="000000"/>
          <w:sz w:val="24"/>
          <w:szCs w:val="24"/>
        </w:rPr>
      </w:pPr>
      <w:r>
        <w:rPr>
          <w:rFonts w:hint="eastAsia" w:ascii="宋体" w:hAnsi="宋体" w:cs="宋体"/>
          <w:color w:val="000000"/>
          <w:sz w:val="24"/>
          <w:szCs w:val="24"/>
        </w:rPr>
        <w:t>抽样基数及数量：以同一批号、同一规格的产品为抽样基数，抽样基数满足抽样数量即可。</w:t>
      </w:r>
      <w:r>
        <w:rPr>
          <w:rFonts w:ascii="宋体" w:hAnsi="宋体" w:cs="宋体"/>
          <w:color w:val="000000"/>
          <w:sz w:val="24"/>
          <w:szCs w:val="24"/>
        </w:rPr>
        <w:t>每批次产品抽取样品数量见表1。</w:t>
      </w:r>
    </w:p>
    <w:p w14:paraId="6AA38265">
      <w:pPr>
        <w:snapToGrid w:val="0"/>
        <w:spacing w:line="500" w:lineRule="exact"/>
        <w:ind w:firstLine="480" w:firstLineChars="200"/>
        <w:jc w:val="center"/>
        <w:rPr>
          <w:rFonts w:ascii="宋体" w:hAnsi="宋体" w:cs="宋体"/>
          <w:color w:val="000000"/>
          <w:sz w:val="24"/>
          <w:szCs w:val="24"/>
        </w:rPr>
      </w:pPr>
      <w:r>
        <w:rPr>
          <w:rFonts w:ascii="宋体" w:hAnsi="宋体" w:cs="宋体"/>
          <w:color w:val="000000"/>
          <w:sz w:val="24"/>
          <w:szCs w:val="24"/>
        </w:rPr>
        <w:t>表1 抽样数量</w:t>
      </w:r>
    </w:p>
    <w:tbl>
      <w:tblPr>
        <w:tblStyle w:val="4"/>
        <w:tblW w:w="5174"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39"/>
        <w:gridCol w:w="1535"/>
        <w:gridCol w:w="6545"/>
      </w:tblGrid>
      <w:tr w14:paraId="621071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5" w:hRule="atLeast"/>
          <w:jc w:val="center"/>
        </w:trPr>
        <w:tc>
          <w:tcPr>
            <w:tcW w:w="419" w:type="pct"/>
            <w:tcBorders>
              <w:top w:val="single" w:color="auto" w:sz="4" w:space="0"/>
              <w:left w:val="single" w:color="auto" w:sz="4" w:space="0"/>
              <w:bottom w:val="single" w:color="auto" w:sz="4" w:space="0"/>
              <w:right w:val="single" w:color="auto" w:sz="4" w:space="0"/>
            </w:tcBorders>
            <w:vAlign w:val="center"/>
          </w:tcPr>
          <w:p w14:paraId="36BF9D97">
            <w:pPr>
              <w:snapToGrid w:val="0"/>
              <w:spacing w:line="360" w:lineRule="exact"/>
              <w:jc w:val="center"/>
              <w:rPr>
                <w:rFonts w:ascii="Times New Roman" w:hAnsi="Times New Roman" w:cs="Times New Roman"/>
                <w:sz w:val="24"/>
              </w:rPr>
            </w:pPr>
            <w:r>
              <w:rPr>
                <w:rFonts w:ascii="Times New Roman" w:hAnsi="Times New Roman" w:cs="Times New Roman"/>
                <w:sz w:val="24"/>
              </w:rPr>
              <w:t>序号</w:t>
            </w:r>
          </w:p>
        </w:tc>
        <w:tc>
          <w:tcPr>
            <w:tcW w:w="870" w:type="pct"/>
            <w:tcBorders>
              <w:top w:val="single" w:color="auto" w:sz="4" w:space="0"/>
              <w:left w:val="single" w:color="auto" w:sz="4" w:space="0"/>
              <w:bottom w:val="single" w:color="auto" w:sz="4" w:space="0"/>
              <w:right w:val="single" w:color="auto" w:sz="4" w:space="0"/>
            </w:tcBorders>
            <w:vAlign w:val="center"/>
          </w:tcPr>
          <w:p w14:paraId="2A617CCB">
            <w:pPr>
              <w:snapToGrid w:val="0"/>
              <w:spacing w:line="360" w:lineRule="exact"/>
              <w:jc w:val="center"/>
              <w:rPr>
                <w:rFonts w:ascii="Times New Roman" w:hAnsi="Times New Roman" w:cs="Times New Roman"/>
                <w:sz w:val="24"/>
              </w:rPr>
            </w:pPr>
            <w:r>
              <w:rPr>
                <w:rFonts w:ascii="Times New Roman" w:hAnsi="Times New Roman" w:cs="Times New Roman"/>
                <w:sz w:val="24"/>
              </w:rPr>
              <w:t>产品名称</w:t>
            </w:r>
          </w:p>
        </w:tc>
        <w:tc>
          <w:tcPr>
            <w:tcW w:w="3712" w:type="pct"/>
            <w:tcBorders>
              <w:top w:val="single" w:color="auto" w:sz="4" w:space="0"/>
              <w:left w:val="single" w:color="auto" w:sz="4" w:space="0"/>
              <w:right w:val="single" w:color="auto" w:sz="4" w:space="0"/>
            </w:tcBorders>
            <w:vAlign w:val="center"/>
          </w:tcPr>
          <w:p w14:paraId="6A47F5DC">
            <w:pPr>
              <w:snapToGrid w:val="0"/>
              <w:spacing w:line="360" w:lineRule="exact"/>
              <w:jc w:val="center"/>
              <w:rPr>
                <w:rFonts w:ascii="Times New Roman" w:hAnsi="Times New Roman" w:cs="Times New Roman"/>
                <w:sz w:val="24"/>
              </w:rPr>
            </w:pPr>
            <w:r>
              <w:rPr>
                <w:rFonts w:ascii="Times New Roman" w:hAnsi="Times New Roman" w:cs="Times New Roman"/>
                <w:sz w:val="24"/>
              </w:rPr>
              <w:t>抽样数量</w:t>
            </w:r>
          </w:p>
        </w:tc>
      </w:tr>
      <w:tr w14:paraId="3B87DC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5" w:hRule="atLeast"/>
          <w:jc w:val="center"/>
        </w:trPr>
        <w:tc>
          <w:tcPr>
            <w:tcW w:w="419" w:type="pct"/>
            <w:tcBorders>
              <w:top w:val="single" w:color="auto" w:sz="4" w:space="0"/>
              <w:left w:val="single" w:color="auto" w:sz="4" w:space="0"/>
              <w:bottom w:val="single" w:color="auto" w:sz="4" w:space="0"/>
              <w:right w:val="single" w:color="auto" w:sz="4" w:space="0"/>
            </w:tcBorders>
            <w:vAlign w:val="center"/>
          </w:tcPr>
          <w:p w14:paraId="2126C2D1">
            <w:pPr>
              <w:snapToGrid w:val="0"/>
              <w:spacing w:line="360" w:lineRule="exact"/>
              <w:jc w:val="center"/>
              <w:rPr>
                <w:rFonts w:ascii="Times New Roman" w:hAnsi="Times New Roman" w:cs="Times New Roman"/>
                <w:sz w:val="24"/>
              </w:rPr>
            </w:pPr>
            <w:r>
              <w:rPr>
                <w:rFonts w:ascii="Times New Roman" w:hAnsi="Times New Roman" w:cs="Times New Roman"/>
                <w:sz w:val="24"/>
              </w:rPr>
              <w:t>1</w:t>
            </w:r>
          </w:p>
        </w:tc>
        <w:tc>
          <w:tcPr>
            <w:tcW w:w="870" w:type="pct"/>
            <w:tcBorders>
              <w:top w:val="single" w:color="auto" w:sz="4" w:space="0"/>
              <w:left w:val="single" w:color="auto" w:sz="4" w:space="0"/>
              <w:bottom w:val="single" w:color="auto" w:sz="4" w:space="0"/>
              <w:right w:val="single" w:color="auto" w:sz="4" w:space="0"/>
            </w:tcBorders>
            <w:vAlign w:val="center"/>
          </w:tcPr>
          <w:p w14:paraId="165DB4D6">
            <w:pPr>
              <w:snapToGrid w:val="0"/>
              <w:spacing w:line="360" w:lineRule="exact"/>
              <w:jc w:val="center"/>
              <w:rPr>
                <w:rFonts w:ascii="Times New Roman" w:hAnsi="Times New Roman" w:cs="Times New Roman"/>
                <w:sz w:val="24"/>
              </w:rPr>
            </w:pPr>
            <w:r>
              <w:rPr>
                <w:rFonts w:ascii="Times New Roman" w:hAnsi="Times New Roman" w:cs="Times New Roman"/>
                <w:sz w:val="24"/>
              </w:rPr>
              <w:t>塑料一次性餐饮具</w:t>
            </w:r>
          </w:p>
        </w:tc>
        <w:tc>
          <w:tcPr>
            <w:tcW w:w="3712" w:type="pct"/>
            <w:tcBorders>
              <w:top w:val="single" w:color="auto" w:sz="4" w:space="0"/>
              <w:left w:val="single" w:color="auto" w:sz="4" w:space="0"/>
              <w:right w:val="single" w:color="auto" w:sz="4" w:space="0"/>
            </w:tcBorders>
            <w:vAlign w:val="center"/>
          </w:tcPr>
          <w:p w14:paraId="32795F77">
            <w:pPr>
              <w:snapToGrid w:val="0"/>
              <w:spacing w:line="360" w:lineRule="exact"/>
              <w:jc w:val="center"/>
              <w:rPr>
                <w:rFonts w:ascii="Times New Roman" w:hAnsi="Times New Roman" w:cs="Times New Roman"/>
                <w:sz w:val="24"/>
              </w:rPr>
            </w:pPr>
            <w:r>
              <w:rPr>
                <w:rFonts w:ascii="Times New Roman" w:hAnsi="Times New Roman" w:cs="Times New Roman"/>
                <w:sz w:val="24"/>
              </w:rPr>
              <w:t>随机抽取样本80个（只）。其中40个（只）作为检验样品，40个（只）作为备用样品。</w:t>
            </w:r>
          </w:p>
        </w:tc>
      </w:tr>
      <w:tr w14:paraId="7DA8E7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5" w:hRule="atLeast"/>
          <w:jc w:val="center"/>
        </w:trPr>
        <w:tc>
          <w:tcPr>
            <w:tcW w:w="419" w:type="pct"/>
            <w:tcBorders>
              <w:top w:val="single" w:color="auto" w:sz="4" w:space="0"/>
              <w:left w:val="single" w:color="auto" w:sz="4" w:space="0"/>
              <w:bottom w:val="single" w:color="auto" w:sz="4" w:space="0"/>
              <w:right w:val="single" w:color="auto" w:sz="4" w:space="0"/>
            </w:tcBorders>
            <w:vAlign w:val="center"/>
          </w:tcPr>
          <w:p w14:paraId="4AADECC9">
            <w:pPr>
              <w:snapToGrid w:val="0"/>
              <w:spacing w:line="360" w:lineRule="exact"/>
              <w:jc w:val="center"/>
              <w:rPr>
                <w:rFonts w:ascii="Times New Roman" w:hAnsi="Times New Roman" w:cs="Times New Roman"/>
                <w:sz w:val="24"/>
              </w:rPr>
            </w:pPr>
            <w:r>
              <w:rPr>
                <w:rFonts w:ascii="Times New Roman" w:hAnsi="Times New Roman" w:cs="Times New Roman"/>
                <w:sz w:val="24"/>
              </w:rPr>
              <w:t>2</w:t>
            </w:r>
          </w:p>
        </w:tc>
        <w:tc>
          <w:tcPr>
            <w:tcW w:w="870" w:type="pct"/>
            <w:tcBorders>
              <w:top w:val="single" w:color="auto" w:sz="4" w:space="0"/>
              <w:left w:val="single" w:color="auto" w:sz="4" w:space="0"/>
              <w:bottom w:val="single" w:color="auto" w:sz="4" w:space="0"/>
              <w:right w:val="single" w:color="auto" w:sz="4" w:space="0"/>
            </w:tcBorders>
            <w:vAlign w:val="center"/>
          </w:tcPr>
          <w:p w14:paraId="558F605F">
            <w:pPr>
              <w:snapToGrid w:val="0"/>
              <w:spacing w:line="360" w:lineRule="exact"/>
              <w:jc w:val="center"/>
              <w:rPr>
                <w:rFonts w:ascii="Times New Roman" w:hAnsi="Times New Roman" w:cs="Times New Roman"/>
                <w:sz w:val="24"/>
              </w:rPr>
            </w:pPr>
            <w:r>
              <w:rPr>
                <w:rFonts w:ascii="Times New Roman" w:hAnsi="Times New Roman" w:cs="Times New Roman"/>
                <w:sz w:val="24"/>
              </w:rPr>
              <w:t>食品接触用特定工具及塑料件</w:t>
            </w:r>
          </w:p>
        </w:tc>
        <w:tc>
          <w:tcPr>
            <w:tcW w:w="3712" w:type="pct"/>
            <w:tcBorders>
              <w:left w:val="single" w:color="auto" w:sz="4" w:space="0"/>
              <w:right w:val="single" w:color="auto" w:sz="4" w:space="0"/>
            </w:tcBorders>
            <w:vAlign w:val="center"/>
          </w:tcPr>
          <w:p w14:paraId="064362C3">
            <w:pPr>
              <w:snapToGrid w:val="0"/>
              <w:spacing w:line="360" w:lineRule="exact"/>
              <w:jc w:val="center"/>
              <w:rPr>
                <w:rFonts w:ascii="Times New Roman" w:hAnsi="Times New Roman" w:cs="Times New Roman"/>
                <w:sz w:val="24"/>
              </w:rPr>
            </w:pPr>
            <w:r>
              <w:rPr>
                <w:rFonts w:ascii="Times New Roman" w:hAnsi="Times New Roman" w:cs="Times New Roman"/>
                <w:sz w:val="24"/>
              </w:rPr>
              <w:t>随机抽取样本60只（套）。其中40只（套）作为检验样品，20只（套）作为备用样品。</w:t>
            </w:r>
          </w:p>
        </w:tc>
      </w:tr>
      <w:tr w14:paraId="2812D2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5" w:hRule="atLeast"/>
          <w:jc w:val="center"/>
        </w:trPr>
        <w:tc>
          <w:tcPr>
            <w:tcW w:w="419" w:type="pct"/>
            <w:tcBorders>
              <w:top w:val="single" w:color="auto" w:sz="4" w:space="0"/>
              <w:left w:val="single" w:color="auto" w:sz="4" w:space="0"/>
              <w:bottom w:val="single" w:color="auto" w:sz="4" w:space="0"/>
              <w:right w:val="single" w:color="auto" w:sz="4" w:space="0"/>
            </w:tcBorders>
            <w:vAlign w:val="center"/>
          </w:tcPr>
          <w:p w14:paraId="05A1428D">
            <w:pPr>
              <w:snapToGrid w:val="0"/>
              <w:spacing w:line="360" w:lineRule="exact"/>
              <w:jc w:val="center"/>
              <w:rPr>
                <w:rFonts w:ascii="Times New Roman" w:hAnsi="Times New Roman" w:cs="Times New Roman"/>
                <w:sz w:val="24"/>
              </w:rPr>
            </w:pPr>
            <w:r>
              <w:rPr>
                <w:rFonts w:ascii="Times New Roman" w:hAnsi="Times New Roman" w:cs="Times New Roman"/>
                <w:sz w:val="24"/>
              </w:rPr>
              <w:t>3</w:t>
            </w:r>
          </w:p>
        </w:tc>
        <w:tc>
          <w:tcPr>
            <w:tcW w:w="870" w:type="pct"/>
            <w:tcBorders>
              <w:top w:val="single" w:color="auto" w:sz="4" w:space="0"/>
              <w:left w:val="single" w:color="auto" w:sz="4" w:space="0"/>
              <w:bottom w:val="single" w:color="auto" w:sz="4" w:space="0"/>
              <w:right w:val="single" w:color="auto" w:sz="4" w:space="0"/>
            </w:tcBorders>
            <w:vAlign w:val="center"/>
          </w:tcPr>
          <w:p w14:paraId="0664CAB3">
            <w:pPr>
              <w:snapToGrid w:val="0"/>
              <w:spacing w:line="360" w:lineRule="exact"/>
              <w:jc w:val="center"/>
              <w:rPr>
                <w:rFonts w:ascii="Times New Roman" w:hAnsi="Times New Roman" w:cs="Times New Roman"/>
                <w:sz w:val="24"/>
              </w:rPr>
            </w:pPr>
            <w:r>
              <w:rPr>
                <w:rFonts w:ascii="Times New Roman" w:hAnsi="Times New Roman" w:cs="Times New Roman"/>
                <w:sz w:val="24"/>
              </w:rPr>
              <w:t>饮用吸管</w:t>
            </w:r>
          </w:p>
        </w:tc>
        <w:tc>
          <w:tcPr>
            <w:tcW w:w="3712" w:type="pct"/>
            <w:tcBorders>
              <w:left w:val="single" w:color="auto" w:sz="4" w:space="0"/>
              <w:right w:val="single" w:color="auto" w:sz="4" w:space="0"/>
            </w:tcBorders>
            <w:vAlign w:val="center"/>
          </w:tcPr>
          <w:p w14:paraId="0220BD30">
            <w:pPr>
              <w:snapToGrid w:val="0"/>
              <w:spacing w:line="360" w:lineRule="exact"/>
              <w:jc w:val="center"/>
              <w:rPr>
                <w:rFonts w:ascii="Times New Roman" w:hAnsi="Times New Roman" w:cs="Times New Roman"/>
                <w:sz w:val="24"/>
              </w:rPr>
            </w:pPr>
            <w:r>
              <w:rPr>
                <w:rFonts w:ascii="Times New Roman" w:hAnsi="Times New Roman" w:cs="Times New Roman"/>
                <w:sz w:val="24"/>
              </w:rPr>
              <w:t>随机抽取样本300支（根）。其中200支（根）作为检验样品，100支（根）作为备用样品。</w:t>
            </w:r>
          </w:p>
        </w:tc>
      </w:tr>
    </w:tbl>
    <w:p w14:paraId="3CA91816">
      <w:pPr>
        <w:pStyle w:val="10"/>
        <w:numPr>
          <w:ilvl w:val="0"/>
          <w:numId w:val="1"/>
        </w:numPr>
        <w:snapToGrid w:val="0"/>
        <w:spacing w:line="440" w:lineRule="exact"/>
        <w:ind w:firstLineChars="0"/>
        <w:rPr>
          <w:rFonts w:ascii="Times New Roman" w:hAnsi="Times New Roman"/>
          <w:b/>
          <w:color w:val="000000"/>
          <w:sz w:val="24"/>
          <w:szCs w:val="24"/>
        </w:rPr>
      </w:pPr>
      <w:r>
        <w:rPr>
          <w:rFonts w:ascii="Times New Roman" w:hAnsi="Times New Roman"/>
          <w:b/>
          <w:color w:val="000000"/>
          <w:sz w:val="24"/>
          <w:szCs w:val="24"/>
        </w:rPr>
        <w:t>检验依据</w:t>
      </w:r>
    </w:p>
    <w:p w14:paraId="6405A317">
      <w:pPr>
        <w:snapToGrid w:val="0"/>
        <w:spacing w:line="500" w:lineRule="exact"/>
        <w:jc w:val="left"/>
        <w:rPr>
          <w:rFonts w:ascii="宋体" w:hAnsi="宋体" w:cs="宋体"/>
          <w:color w:val="000000"/>
          <w:sz w:val="24"/>
          <w:szCs w:val="24"/>
        </w:rPr>
      </w:pPr>
      <w:r>
        <w:rPr>
          <w:rFonts w:hint="eastAsia" w:ascii="宋体" w:hAnsi="宋体" w:cs="宋体"/>
          <w:color w:val="000000"/>
          <w:sz w:val="24"/>
          <w:szCs w:val="24"/>
        </w:rPr>
        <w:t xml:space="preserve">2.1 </w:t>
      </w:r>
      <w:r>
        <w:rPr>
          <w:rFonts w:ascii="宋体" w:hAnsi="宋体" w:cs="宋体"/>
          <w:color w:val="000000"/>
          <w:sz w:val="24"/>
          <w:szCs w:val="24"/>
        </w:rPr>
        <w:t>塑料一次性餐饮具</w:t>
      </w:r>
    </w:p>
    <w:p w14:paraId="70E69C9C">
      <w:pPr>
        <w:snapToGrid w:val="0"/>
        <w:spacing w:line="500" w:lineRule="exact"/>
        <w:ind w:firstLine="480" w:firstLineChars="200"/>
        <w:jc w:val="center"/>
        <w:rPr>
          <w:rFonts w:ascii="宋体" w:hAnsi="宋体" w:cs="宋体"/>
          <w:color w:val="000000"/>
          <w:sz w:val="24"/>
          <w:szCs w:val="24"/>
        </w:rPr>
      </w:pPr>
      <w:r>
        <w:rPr>
          <w:rFonts w:ascii="宋体" w:hAnsi="宋体" w:cs="宋体"/>
          <w:color w:val="000000"/>
          <w:sz w:val="24"/>
          <w:szCs w:val="24"/>
        </w:rPr>
        <w:t xml:space="preserve">表2 </w:t>
      </w:r>
      <w:r>
        <w:rPr>
          <w:rFonts w:hint="eastAsia" w:ascii="宋体" w:hAnsi="宋体" w:cs="宋体"/>
          <w:color w:val="000000"/>
          <w:sz w:val="24"/>
          <w:szCs w:val="24"/>
        </w:rPr>
        <w:t xml:space="preserve"> </w:t>
      </w:r>
      <w:r>
        <w:rPr>
          <w:rFonts w:ascii="宋体" w:hAnsi="宋体" w:cs="宋体"/>
          <w:color w:val="000000"/>
          <w:sz w:val="24"/>
          <w:szCs w:val="24"/>
        </w:rPr>
        <w:t>塑料一次性餐饮具产品检验项目、依据、方法</w:t>
      </w:r>
    </w:p>
    <w:tbl>
      <w:tblPr>
        <w:tblStyle w:val="4"/>
        <w:tblW w:w="5091"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31"/>
        <w:gridCol w:w="3001"/>
        <w:gridCol w:w="2456"/>
        <w:gridCol w:w="2489"/>
      </w:tblGrid>
      <w:tr w14:paraId="00FA4B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0" w:hRule="atLeast"/>
          <w:jc w:val="center"/>
        </w:trPr>
        <w:tc>
          <w:tcPr>
            <w:tcW w:w="421" w:type="pct"/>
            <w:vMerge w:val="restart"/>
            <w:vAlign w:val="center"/>
          </w:tcPr>
          <w:p w14:paraId="0BDBEB43">
            <w:pPr>
              <w:spacing w:line="300" w:lineRule="auto"/>
              <w:jc w:val="center"/>
              <w:rPr>
                <w:rFonts w:ascii="Times New Roman" w:hAnsi="Times New Roman"/>
                <w:bCs/>
                <w:sz w:val="24"/>
                <w:szCs w:val="24"/>
              </w:rPr>
            </w:pPr>
            <w:r>
              <w:rPr>
                <w:rFonts w:ascii="Times New Roman" w:hAnsi="Times New Roman"/>
                <w:bCs/>
                <w:sz w:val="24"/>
                <w:szCs w:val="24"/>
              </w:rPr>
              <w:t>序号</w:t>
            </w:r>
          </w:p>
        </w:tc>
        <w:tc>
          <w:tcPr>
            <w:tcW w:w="1729" w:type="pct"/>
            <w:vMerge w:val="restart"/>
            <w:vAlign w:val="center"/>
          </w:tcPr>
          <w:p w14:paraId="0C4FE020">
            <w:pPr>
              <w:spacing w:line="300" w:lineRule="auto"/>
              <w:jc w:val="center"/>
              <w:rPr>
                <w:rFonts w:ascii="Times New Roman" w:hAnsi="Times New Roman"/>
                <w:bCs/>
                <w:sz w:val="24"/>
                <w:szCs w:val="24"/>
              </w:rPr>
            </w:pPr>
            <w:r>
              <w:rPr>
                <w:rFonts w:ascii="Times New Roman" w:hAnsi="Times New Roman"/>
                <w:bCs/>
                <w:sz w:val="24"/>
                <w:szCs w:val="24"/>
              </w:rPr>
              <w:t>检验项目</w:t>
            </w:r>
          </w:p>
        </w:tc>
        <w:tc>
          <w:tcPr>
            <w:tcW w:w="1415" w:type="pct"/>
            <w:vMerge w:val="restart"/>
            <w:vAlign w:val="center"/>
          </w:tcPr>
          <w:p w14:paraId="17E4CF0C">
            <w:pPr>
              <w:spacing w:line="300" w:lineRule="auto"/>
              <w:jc w:val="center"/>
              <w:rPr>
                <w:rFonts w:ascii="Times New Roman" w:hAnsi="Times New Roman"/>
                <w:bCs/>
                <w:sz w:val="24"/>
                <w:szCs w:val="24"/>
              </w:rPr>
            </w:pPr>
            <w:r>
              <w:rPr>
                <w:rFonts w:ascii="Times New Roman" w:hAnsi="Times New Roman"/>
                <w:bCs/>
                <w:sz w:val="24"/>
                <w:szCs w:val="24"/>
              </w:rPr>
              <w:t>依据标准</w:t>
            </w:r>
          </w:p>
        </w:tc>
        <w:tc>
          <w:tcPr>
            <w:tcW w:w="1434" w:type="pct"/>
            <w:vMerge w:val="restart"/>
            <w:vAlign w:val="center"/>
          </w:tcPr>
          <w:p w14:paraId="05DA30DF">
            <w:pPr>
              <w:spacing w:line="300" w:lineRule="auto"/>
              <w:jc w:val="center"/>
              <w:rPr>
                <w:rFonts w:ascii="Times New Roman" w:hAnsi="Times New Roman"/>
                <w:bCs/>
                <w:sz w:val="24"/>
                <w:szCs w:val="24"/>
              </w:rPr>
            </w:pPr>
            <w:r>
              <w:rPr>
                <w:rFonts w:ascii="Times New Roman" w:hAnsi="Times New Roman"/>
                <w:bCs/>
                <w:sz w:val="24"/>
                <w:szCs w:val="24"/>
              </w:rPr>
              <w:t>检测方法</w:t>
            </w:r>
          </w:p>
        </w:tc>
      </w:tr>
      <w:tr w14:paraId="2D9BAB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0" w:hRule="atLeast"/>
          <w:jc w:val="center"/>
        </w:trPr>
        <w:tc>
          <w:tcPr>
            <w:tcW w:w="421" w:type="pct"/>
            <w:vMerge w:val="continue"/>
          </w:tcPr>
          <w:p w14:paraId="1762C2F9">
            <w:pPr>
              <w:spacing w:line="300" w:lineRule="auto"/>
              <w:jc w:val="center"/>
              <w:rPr>
                <w:rFonts w:ascii="Times New Roman" w:hAnsi="Times New Roman"/>
                <w:bCs/>
                <w:sz w:val="24"/>
                <w:szCs w:val="24"/>
              </w:rPr>
            </w:pPr>
          </w:p>
        </w:tc>
        <w:tc>
          <w:tcPr>
            <w:tcW w:w="1729" w:type="pct"/>
            <w:vMerge w:val="continue"/>
          </w:tcPr>
          <w:p w14:paraId="0EC38851">
            <w:pPr>
              <w:spacing w:line="300" w:lineRule="auto"/>
              <w:jc w:val="center"/>
              <w:rPr>
                <w:rFonts w:ascii="Times New Roman" w:hAnsi="Times New Roman"/>
                <w:bCs/>
                <w:sz w:val="24"/>
                <w:szCs w:val="24"/>
              </w:rPr>
            </w:pPr>
          </w:p>
        </w:tc>
        <w:tc>
          <w:tcPr>
            <w:tcW w:w="1415" w:type="pct"/>
            <w:vMerge w:val="continue"/>
          </w:tcPr>
          <w:p w14:paraId="666472F2">
            <w:pPr>
              <w:spacing w:line="300" w:lineRule="auto"/>
              <w:jc w:val="center"/>
              <w:rPr>
                <w:rFonts w:ascii="Times New Roman" w:hAnsi="Times New Roman"/>
                <w:bCs/>
                <w:sz w:val="24"/>
                <w:szCs w:val="24"/>
              </w:rPr>
            </w:pPr>
          </w:p>
        </w:tc>
        <w:tc>
          <w:tcPr>
            <w:tcW w:w="1434" w:type="pct"/>
            <w:vMerge w:val="continue"/>
          </w:tcPr>
          <w:p w14:paraId="037FC509">
            <w:pPr>
              <w:spacing w:line="300" w:lineRule="auto"/>
              <w:jc w:val="center"/>
              <w:rPr>
                <w:rFonts w:ascii="Times New Roman" w:hAnsi="Times New Roman"/>
                <w:bCs/>
                <w:sz w:val="24"/>
                <w:szCs w:val="24"/>
              </w:rPr>
            </w:pPr>
          </w:p>
        </w:tc>
      </w:tr>
      <w:tr w14:paraId="0F7CE0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21" w:type="pct"/>
            <w:vAlign w:val="center"/>
          </w:tcPr>
          <w:p w14:paraId="762B35AC">
            <w:pPr>
              <w:spacing w:line="300" w:lineRule="auto"/>
              <w:jc w:val="center"/>
              <w:rPr>
                <w:rFonts w:ascii="Times New Roman" w:hAnsi="Times New Roman"/>
                <w:bCs/>
                <w:sz w:val="24"/>
                <w:szCs w:val="24"/>
              </w:rPr>
            </w:pPr>
            <w:r>
              <w:rPr>
                <w:rFonts w:ascii="Times New Roman" w:hAnsi="Times New Roman"/>
                <w:sz w:val="24"/>
                <w:szCs w:val="24"/>
              </w:rPr>
              <w:t>1</w:t>
            </w:r>
          </w:p>
        </w:tc>
        <w:tc>
          <w:tcPr>
            <w:tcW w:w="1729" w:type="pct"/>
            <w:vAlign w:val="center"/>
          </w:tcPr>
          <w:p w14:paraId="08597A49">
            <w:pPr>
              <w:spacing w:line="300" w:lineRule="auto"/>
              <w:jc w:val="center"/>
              <w:rPr>
                <w:rFonts w:ascii="Times New Roman" w:hAnsi="Times New Roman"/>
                <w:bCs/>
                <w:sz w:val="24"/>
                <w:szCs w:val="24"/>
              </w:rPr>
            </w:pPr>
            <w:r>
              <w:rPr>
                <w:rFonts w:ascii="Times New Roman" w:hAnsi="Times New Roman"/>
                <w:sz w:val="24"/>
                <w:szCs w:val="24"/>
              </w:rPr>
              <w:t>感官要求</w:t>
            </w:r>
          </w:p>
        </w:tc>
        <w:tc>
          <w:tcPr>
            <w:tcW w:w="1415" w:type="pct"/>
            <w:vAlign w:val="center"/>
          </w:tcPr>
          <w:p w14:paraId="4C2E601B">
            <w:pPr>
              <w:spacing w:line="300" w:lineRule="auto"/>
              <w:jc w:val="center"/>
              <w:rPr>
                <w:rFonts w:hint="eastAsia" w:ascii="Times New Roman" w:hAnsi="Times New Roman" w:eastAsia="宋体"/>
                <w:bCs/>
                <w:sz w:val="24"/>
                <w:szCs w:val="24"/>
                <w:lang w:eastAsia="zh-CN"/>
              </w:rPr>
            </w:pPr>
            <w:r>
              <w:rPr>
                <w:rFonts w:hint="eastAsia" w:ascii="Times New Roman" w:hAnsi="Times New Roman"/>
                <w:sz w:val="24"/>
                <w:szCs w:val="24"/>
                <w:lang w:eastAsia="zh-CN"/>
              </w:rPr>
              <w:t>GB 4806.7-2023</w:t>
            </w:r>
          </w:p>
        </w:tc>
        <w:tc>
          <w:tcPr>
            <w:tcW w:w="1434" w:type="pct"/>
            <w:vAlign w:val="center"/>
          </w:tcPr>
          <w:p w14:paraId="00B5A9B5">
            <w:pPr>
              <w:spacing w:line="300" w:lineRule="auto"/>
              <w:jc w:val="center"/>
              <w:rPr>
                <w:rFonts w:hint="eastAsia" w:ascii="Times New Roman" w:hAnsi="Times New Roman" w:eastAsia="宋体"/>
                <w:bCs/>
                <w:sz w:val="24"/>
                <w:szCs w:val="24"/>
                <w:lang w:eastAsia="zh-CN"/>
              </w:rPr>
            </w:pPr>
            <w:r>
              <w:rPr>
                <w:rFonts w:hint="eastAsia" w:ascii="Times New Roman" w:hAnsi="Times New Roman"/>
                <w:sz w:val="24"/>
                <w:szCs w:val="24"/>
                <w:lang w:eastAsia="zh-CN"/>
              </w:rPr>
              <w:t>GB 4806.7-2023</w:t>
            </w:r>
          </w:p>
        </w:tc>
      </w:tr>
      <w:tr w14:paraId="00D1C2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21" w:type="pct"/>
            <w:vAlign w:val="center"/>
          </w:tcPr>
          <w:p w14:paraId="573780D4">
            <w:pPr>
              <w:spacing w:line="300" w:lineRule="auto"/>
              <w:jc w:val="center"/>
              <w:rPr>
                <w:rFonts w:ascii="Times New Roman" w:hAnsi="Times New Roman"/>
                <w:bCs/>
                <w:sz w:val="24"/>
                <w:szCs w:val="24"/>
              </w:rPr>
            </w:pPr>
            <w:r>
              <w:rPr>
                <w:rFonts w:ascii="Times New Roman" w:hAnsi="Times New Roman"/>
                <w:sz w:val="24"/>
                <w:szCs w:val="24"/>
              </w:rPr>
              <w:t>2</w:t>
            </w:r>
          </w:p>
        </w:tc>
        <w:tc>
          <w:tcPr>
            <w:tcW w:w="1729" w:type="pct"/>
            <w:vAlign w:val="center"/>
          </w:tcPr>
          <w:p w14:paraId="6663BD3F">
            <w:pPr>
              <w:spacing w:line="300" w:lineRule="auto"/>
              <w:jc w:val="center"/>
              <w:rPr>
                <w:rFonts w:ascii="Times New Roman" w:hAnsi="Times New Roman"/>
                <w:bCs/>
                <w:sz w:val="24"/>
                <w:szCs w:val="24"/>
              </w:rPr>
            </w:pPr>
            <w:r>
              <w:rPr>
                <w:rFonts w:ascii="Times New Roman" w:hAnsi="Times New Roman"/>
                <w:sz w:val="24"/>
                <w:szCs w:val="24"/>
              </w:rPr>
              <w:t>总迁移量</w:t>
            </w:r>
          </w:p>
        </w:tc>
        <w:tc>
          <w:tcPr>
            <w:tcW w:w="1415" w:type="pct"/>
          </w:tcPr>
          <w:p w14:paraId="5E26875A">
            <w:pPr>
              <w:spacing w:line="300" w:lineRule="auto"/>
              <w:jc w:val="center"/>
              <w:rPr>
                <w:rFonts w:hint="eastAsia" w:ascii="Times New Roman" w:hAnsi="Times New Roman" w:eastAsia="宋体"/>
                <w:bCs/>
                <w:sz w:val="24"/>
                <w:szCs w:val="24"/>
                <w:lang w:eastAsia="zh-CN"/>
              </w:rPr>
            </w:pPr>
            <w:r>
              <w:rPr>
                <w:rFonts w:hint="eastAsia" w:ascii="Times New Roman" w:hAnsi="Times New Roman"/>
                <w:sz w:val="24"/>
                <w:szCs w:val="24"/>
                <w:lang w:eastAsia="zh-CN"/>
              </w:rPr>
              <w:t>GB 4806.7-2023</w:t>
            </w:r>
          </w:p>
        </w:tc>
        <w:tc>
          <w:tcPr>
            <w:tcW w:w="1434" w:type="pct"/>
            <w:vAlign w:val="center"/>
          </w:tcPr>
          <w:p w14:paraId="0733FF51">
            <w:pPr>
              <w:spacing w:line="300" w:lineRule="auto"/>
              <w:jc w:val="center"/>
              <w:rPr>
                <w:rFonts w:ascii="Times New Roman" w:hAnsi="Times New Roman"/>
                <w:bCs/>
                <w:sz w:val="24"/>
                <w:szCs w:val="24"/>
              </w:rPr>
            </w:pPr>
            <w:r>
              <w:rPr>
                <w:rFonts w:ascii="Times New Roman" w:hAnsi="Times New Roman"/>
                <w:sz w:val="24"/>
                <w:szCs w:val="24"/>
              </w:rPr>
              <w:t>GB 31604.8-2021</w:t>
            </w:r>
          </w:p>
        </w:tc>
      </w:tr>
      <w:tr w14:paraId="3CB1CE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21" w:type="pct"/>
            <w:vAlign w:val="center"/>
          </w:tcPr>
          <w:p w14:paraId="3F6C1828">
            <w:pPr>
              <w:spacing w:line="300" w:lineRule="auto"/>
              <w:jc w:val="center"/>
              <w:rPr>
                <w:rFonts w:ascii="Times New Roman" w:hAnsi="Times New Roman"/>
                <w:bCs/>
                <w:sz w:val="24"/>
                <w:szCs w:val="24"/>
              </w:rPr>
            </w:pPr>
            <w:r>
              <w:rPr>
                <w:rFonts w:ascii="Times New Roman" w:hAnsi="Times New Roman"/>
                <w:sz w:val="24"/>
                <w:szCs w:val="24"/>
              </w:rPr>
              <w:t>3</w:t>
            </w:r>
          </w:p>
        </w:tc>
        <w:tc>
          <w:tcPr>
            <w:tcW w:w="1729" w:type="pct"/>
            <w:vAlign w:val="center"/>
          </w:tcPr>
          <w:p w14:paraId="10D58684">
            <w:pPr>
              <w:spacing w:line="300" w:lineRule="auto"/>
              <w:jc w:val="center"/>
              <w:rPr>
                <w:rFonts w:ascii="Times New Roman" w:hAnsi="Times New Roman"/>
                <w:bCs/>
                <w:sz w:val="24"/>
                <w:szCs w:val="24"/>
              </w:rPr>
            </w:pPr>
            <w:r>
              <w:rPr>
                <w:rFonts w:ascii="Times New Roman" w:hAnsi="Times New Roman"/>
                <w:sz w:val="24"/>
                <w:szCs w:val="24"/>
              </w:rPr>
              <w:t>高锰酸钾消耗量</w:t>
            </w:r>
          </w:p>
        </w:tc>
        <w:tc>
          <w:tcPr>
            <w:tcW w:w="1415" w:type="pct"/>
            <w:vAlign w:val="center"/>
          </w:tcPr>
          <w:p w14:paraId="51A52CD5">
            <w:pPr>
              <w:spacing w:line="300" w:lineRule="auto"/>
              <w:jc w:val="center"/>
              <w:rPr>
                <w:rFonts w:hint="eastAsia" w:ascii="Times New Roman" w:hAnsi="Times New Roman" w:eastAsia="宋体"/>
                <w:bCs/>
                <w:sz w:val="24"/>
                <w:szCs w:val="24"/>
                <w:lang w:eastAsia="zh-CN"/>
              </w:rPr>
            </w:pPr>
            <w:r>
              <w:rPr>
                <w:rFonts w:hint="eastAsia" w:ascii="Times New Roman" w:hAnsi="Times New Roman"/>
                <w:sz w:val="24"/>
                <w:szCs w:val="24"/>
                <w:lang w:eastAsia="zh-CN"/>
              </w:rPr>
              <w:t>GB 4806.7-2023</w:t>
            </w:r>
          </w:p>
        </w:tc>
        <w:tc>
          <w:tcPr>
            <w:tcW w:w="1434" w:type="pct"/>
            <w:vAlign w:val="center"/>
          </w:tcPr>
          <w:p w14:paraId="0423C8BE">
            <w:pPr>
              <w:spacing w:line="300" w:lineRule="auto"/>
              <w:jc w:val="center"/>
              <w:rPr>
                <w:rFonts w:ascii="Times New Roman" w:hAnsi="Times New Roman"/>
                <w:bCs/>
                <w:sz w:val="24"/>
                <w:szCs w:val="24"/>
              </w:rPr>
            </w:pPr>
            <w:r>
              <w:rPr>
                <w:rFonts w:ascii="Times New Roman" w:hAnsi="Times New Roman"/>
                <w:sz w:val="24"/>
                <w:szCs w:val="24"/>
              </w:rPr>
              <w:t>GB 31604.2-2016</w:t>
            </w:r>
          </w:p>
        </w:tc>
      </w:tr>
      <w:tr w14:paraId="1C2071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21" w:type="pct"/>
            <w:vAlign w:val="center"/>
          </w:tcPr>
          <w:p w14:paraId="36B31333">
            <w:pPr>
              <w:spacing w:line="300" w:lineRule="auto"/>
              <w:jc w:val="center"/>
              <w:rPr>
                <w:rFonts w:ascii="Times New Roman" w:hAnsi="Times New Roman"/>
                <w:bCs/>
                <w:sz w:val="24"/>
                <w:szCs w:val="24"/>
              </w:rPr>
            </w:pPr>
            <w:r>
              <w:rPr>
                <w:rFonts w:ascii="Times New Roman" w:hAnsi="Times New Roman"/>
                <w:sz w:val="24"/>
                <w:szCs w:val="24"/>
              </w:rPr>
              <w:t>4</w:t>
            </w:r>
          </w:p>
        </w:tc>
        <w:tc>
          <w:tcPr>
            <w:tcW w:w="1729" w:type="pct"/>
            <w:vAlign w:val="center"/>
          </w:tcPr>
          <w:p w14:paraId="2BA8CF98">
            <w:pPr>
              <w:spacing w:line="300" w:lineRule="auto"/>
              <w:jc w:val="center"/>
              <w:rPr>
                <w:rFonts w:ascii="Times New Roman" w:hAnsi="Times New Roman"/>
                <w:bCs/>
                <w:sz w:val="24"/>
                <w:szCs w:val="24"/>
              </w:rPr>
            </w:pPr>
            <w:r>
              <w:rPr>
                <w:rFonts w:ascii="Times New Roman" w:hAnsi="Times New Roman"/>
                <w:sz w:val="24"/>
                <w:szCs w:val="24"/>
              </w:rPr>
              <w:t>重金属（以Pb计）</w:t>
            </w:r>
          </w:p>
        </w:tc>
        <w:tc>
          <w:tcPr>
            <w:tcW w:w="1415" w:type="pct"/>
            <w:vAlign w:val="center"/>
          </w:tcPr>
          <w:p w14:paraId="1F0D3558">
            <w:pPr>
              <w:spacing w:line="300" w:lineRule="auto"/>
              <w:jc w:val="center"/>
              <w:rPr>
                <w:rFonts w:hint="eastAsia" w:ascii="Times New Roman" w:hAnsi="Times New Roman" w:eastAsia="宋体"/>
                <w:bCs/>
                <w:sz w:val="24"/>
                <w:szCs w:val="24"/>
                <w:lang w:eastAsia="zh-CN"/>
              </w:rPr>
            </w:pPr>
            <w:r>
              <w:rPr>
                <w:rFonts w:hint="eastAsia" w:ascii="Times New Roman" w:hAnsi="Times New Roman"/>
                <w:sz w:val="24"/>
                <w:szCs w:val="24"/>
                <w:lang w:eastAsia="zh-CN"/>
              </w:rPr>
              <w:t>GB 4806.7-2023</w:t>
            </w:r>
          </w:p>
        </w:tc>
        <w:tc>
          <w:tcPr>
            <w:tcW w:w="1434" w:type="pct"/>
            <w:vAlign w:val="center"/>
          </w:tcPr>
          <w:p w14:paraId="65C3C65E">
            <w:pPr>
              <w:spacing w:line="300" w:lineRule="auto"/>
              <w:jc w:val="center"/>
              <w:rPr>
                <w:rFonts w:ascii="Times New Roman" w:hAnsi="Times New Roman"/>
                <w:bCs/>
                <w:sz w:val="24"/>
                <w:szCs w:val="24"/>
              </w:rPr>
            </w:pPr>
            <w:r>
              <w:rPr>
                <w:rFonts w:ascii="Times New Roman" w:hAnsi="Times New Roman"/>
                <w:sz w:val="24"/>
                <w:szCs w:val="24"/>
              </w:rPr>
              <w:t>GB 31604.9-2016</w:t>
            </w:r>
          </w:p>
        </w:tc>
      </w:tr>
      <w:tr w14:paraId="0C70AB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21" w:type="pct"/>
            <w:vAlign w:val="center"/>
          </w:tcPr>
          <w:p w14:paraId="522FFD8F">
            <w:pPr>
              <w:spacing w:line="300" w:lineRule="auto"/>
              <w:jc w:val="center"/>
              <w:rPr>
                <w:rFonts w:ascii="Times New Roman" w:hAnsi="Times New Roman"/>
                <w:bCs/>
                <w:sz w:val="24"/>
                <w:szCs w:val="24"/>
              </w:rPr>
            </w:pPr>
            <w:r>
              <w:rPr>
                <w:rFonts w:ascii="Times New Roman" w:hAnsi="Times New Roman"/>
                <w:sz w:val="24"/>
                <w:szCs w:val="24"/>
              </w:rPr>
              <w:t>5</w:t>
            </w:r>
          </w:p>
        </w:tc>
        <w:tc>
          <w:tcPr>
            <w:tcW w:w="1729" w:type="pct"/>
            <w:vAlign w:val="center"/>
          </w:tcPr>
          <w:p w14:paraId="76D9D29B">
            <w:pPr>
              <w:jc w:val="center"/>
              <w:rPr>
                <w:rFonts w:ascii="Times New Roman" w:hAnsi="Times New Roman"/>
                <w:sz w:val="24"/>
                <w:szCs w:val="24"/>
              </w:rPr>
            </w:pPr>
            <w:r>
              <w:rPr>
                <w:rFonts w:ascii="Times New Roman" w:hAnsi="Times New Roman"/>
                <w:sz w:val="24"/>
                <w:szCs w:val="24"/>
              </w:rPr>
              <w:t>脱色试验</w:t>
            </w:r>
          </w:p>
          <w:p w14:paraId="72F33D45">
            <w:pPr>
              <w:spacing w:line="300" w:lineRule="auto"/>
              <w:jc w:val="center"/>
              <w:rPr>
                <w:rFonts w:ascii="Times New Roman" w:hAnsi="Times New Roman"/>
                <w:bCs/>
                <w:sz w:val="24"/>
                <w:szCs w:val="24"/>
              </w:rPr>
            </w:pPr>
            <w:r>
              <w:rPr>
                <w:rFonts w:ascii="Times New Roman" w:hAnsi="Times New Roman"/>
                <w:sz w:val="24"/>
                <w:szCs w:val="24"/>
              </w:rPr>
              <w:t>（限添加了着色剂的产品）</w:t>
            </w:r>
          </w:p>
        </w:tc>
        <w:tc>
          <w:tcPr>
            <w:tcW w:w="1415" w:type="pct"/>
            <w:vAlign w:val="center"/>
          </w:tcPr>
          <w:p w14:paraId="3556D206">
            <w:pPr>
              <w:spacing w:line="300" w:lineRule="auto"/>
              <w:jc w:val="center"/>
              <w:rPr>
                <w:rFonts w:hint="eastAsia" w:ascii="Times New Roman" w:hAnsi="Times New Roman" w:eastAsia="宋体"/>
                <w:bCs/>
                <w:sz w:val="24"/>
                <w:szCs w:val="24"/>
                <w:lang w:eastAsia="zh-CN"/>
              </w:rPr>
            </w:pPr>
            <w:r>
              <w:rPr>
                <w:rFonts w:hint="eastAsia" w:ascii="Times New Roman" w:hAnsi="Times New Roman"/>
                <w:sz w:val="24"/>
                <w:szCs w:val="24"/>
                <w:lang w:eastAsia="zh-CN"/>
              </w:rPr>
              <w:t>GB 4806.7-2023</w:t>
            </w:r>
          </w:p>
        </w:tc>
        <w:tc>
          <w:tcPr>
            <w:tcW w:w="1434" w:type="pct"/>
            <w:vAlign w:val="center"/>
          </w:tcPr>
          <w:p w14:paraId="05EA05CA">
            <w:pPr>
              <w:spacing w:line="300" w:lineRule="auto"/>
              <w:jc w:val="center"/>
              <w:rPr>
                <w:rFonts w:ascii="Times New Roman" w:hAnsi="Times New Roman"/>
                <w:bCs/>
                <w:sz w:val="24"/>
                <w:szCs w:val="24"/>
              </w:rPr>
            </w:pPr>
            <w:r>
              <w:rPr>
                <w:rFonts w:ascii="Times New Roman" w:hAnsi="Times New Roman"/>
                <w:sz w:val="24"/>
                <w:szCs w:val="24"/>
              </w:rPr>
              <w:t>GB 31604.7-2023</w:t>
            </w:r>
          </w:p>
        </w:tc>
      </w:tr>
      <w:tr w14:paraId="57AF2B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21" w:type="pct"/>
            <w:vAlign w:val="center"/>
          </w:tcPr>
          <w:p w14:paraId="67E3A341">
            <w:pPr>
              <w:spacing w:line="300" w:lineRule="auto"/>
              <w:jc w:val="center"/>
              <w:rPr>
                <w:rFonts w:hint="eastAsia" w:ascii="Times New Roman" w:hAnsi="Times New Roman" w:eastAsia="宋体"/>
                <w:bCs/>
                <w:sz w:val="24"/>
                <w:szCs w:val="24"/>
                <w:lang w:eastAsia="zh-CN"/>
              </w:rPr>
            </w:pPr>
            <w:r>
              <w:rPr>
                <w:rFonts w:hint="eastAsia" w:ascii="Times New Roman" w:hAnsi="Times New Roman"/>
                <w:color w:val="000000"/>
                <w:sz w:val="24"/>
                <w:szCs w:val="24"/>
                <w:lang w:val="en-US" w:eastAsia="zh-CN"/>
              </w:rPr>
              <w:t>6</w:t>
            </w:r>
          </w:p>
        </w:tc>
        <w:tc>
          <w:tcPr>
            <w:tcW w:w="1729" w:type="pct"/>
            <w:vAlign w:val="center"/>
          </w:tcPr>
          <w:p w14:paraId="7E9E3BE6">
            <w:pPr>
              <w:spacing w:line="300" w:lineRule="auto"/>
              <w:jc w:val="center"/>
              <w:rPr>
                <w:rFonts w:ascii="Times New Roman" w:hAnsi="Times New Roman"/>
                <w:bCs/>
                <w:sz w:val="24"/>
                <w:szCs w:val="24"/>
              </w:rPr>
            </w:pPr>
            <w:r>
              <w:rPr>
                <w:rFonts w:ascii="Times New Roman" w:hAnsi="Times New Roman"/>
                <w:color w:val="000000"/>
                <w:sz w:val="24"/>
                <w:szCs w:val="24"/>
              </w:rPr>
              <w:t>跌落性能</w:t>
            </w:r>
          </w:p>
        </w:tc>
        <w:tc>
          <w:tcPr>
            <w:tcW w:w="1415" w:type="pct"/>
            <w:vAlign w:val="center"/>
          </w:tcPr>
          <w:p w14:paraId="4E113E9C">
            <w:pPr>
              <w:jc w:val="center"/>
              <w:rPr>
                <w:rFonts w:hint="eastAsia" w:ascii="Times New Roman" w:hAnsi="Times New Roman" w:eastAsia="宋体"/>
                <w:color w:val="000000"/>
                <w:sz w:val="24"/>
                <w:szCs w:val="24"/>
                <w:lang w:eastAsia="zh-CN"/>
              </w:rPr>
            </w:pPr>
            <w:r>
              <w:rPr>
                <w:rFonts w:ascii="Times New Roman" w:hAnsi="Times New Roman"/>
                <w:color w:val="000000"/>
                <w:sz w:val="24"/>
                <w:szCs w:val="24"/>
              </w:rPr>
              <w:t>GB/T 18006.1-2009</w:t>
            </w:r>
            <w:r>
              <w:rPr>
                <w:rFonts w:hint="eastAsia" w:ascii="Times New Roman" w:hAnsi="Times New Roman"/>
                <w:color w:val="000000"/>
                <w:sz w:val="24"/>
                <w:szCs w:val="24"/>
                <w:lang w:eastAsia="zh-CN"/>
              </w:rPr>
              <w:t>或</w:t>
            </w:r>
          </w:p>
          <w:p w14:paraId="6B45D734">
            <w:pPr>
              <w:spacing w:line="300" w:lineRule="auto"/>
              <w:jc w:val="center"/>
              <w:rPr>
                <w:rFonts w:ascii="Times New Roman" w:hAnsi="Times New Roman"/>
                <w:bCs/>
                <w:sz w:val="24"/>
                <w:szCs w:val="24"/>
              </w:rPr>
            </w:pPr>
            <w:r>
              <w:rPr>
                <w:rFonts w:ascii="Times New Roman" w:hAnsi="Times New Roman"/>
                <w:color w:val="000000"/>
                <w:sz w:val="24"/>
                <w:szCs w:val="24"/>
              </w:rPr>
              <w:t>产品明示标准</w:t>
            </w:r>
          </w:p>
        </w:tc>
        <w:tc>
          <w:tcPr>
            <w:tcW w:w="1434" w:type="pct"/>
            <w:vAlign w:val="center"/>
          </w:tcPr>
          <w:p w14:paraId="2343B38B">
            <w:pPr>
              <w:spacing w:line="300" w:lineRule="auto"/>
              <w:jc w:val="center"/>
              <w:rPr>
                <w:rFonts w:ascii="Times New Roman" w:hAnsi="Times New Roman"/>
                <w:bCs/>
                <w:sz w:val="24"/>
                <w:szCs w:val="24"/>
              </w:rPr>
            </w:pPr>
            <w:r>
              <w:rPr>
                <w:rFonts w:ascii="Times New Roman" w:hAnsi="Times New Roman"/>
                <w:color w:val="000000"/>
                <w:sz w:val="24"/>
                <w:szCs w:val="24"/>
              </w:rPr>
              <w:t xml:space="preserve">GB/T 18006.1-2009   </w:t>
            </w:r>
          </w:p>
        </w:tc>
      </w:tr>
      <w:tr w14:paraId="588A9B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21" w:type="pct"/>
            <w:vAlign w:val="center"/>
          </w:tcPr>
          <w:p w14:paraId="3F51AC76">
            <w:pPr>
              <w:spacing w:line="300" w:lineRule="auto"/>
              <w:jc w:val="center"/>
              <w:rPr>
                <w:rFonts w:hint="eastAsia" w:ascii="Times New Roman" w:hAnsi="Times New Roman" w:eastAsia="宋体"/>
                <w:bCs/>
                <w:sz w:val="24"/>
                <w:szCs w:val="24"/>
                <w:lang w:eastAsia="zh-CN"/>
              </w:rPr>
            </w:pPr>
            <w:r>
              <w:rPr>
                <w:rFonts w:hint="eastAsia" w:ascii="Times New Roman" w:hAnsi="Times New Roman"/>
                <w:color w:val="000000"/>
                <w:sz w:val="24"/>
                <w:szCs w:val="24"/>
                <w:lang w:val="en-US" w:eastAsia="zh-CN"/>
              </w:rPr>
              <w:t>7</w:t>
            </w:r>
          </w:p>
        </w:tc>
        <w:tc>
          <w:tcPr>
            <w:tcW w:w="1729" w:type="pct"/>
            <w:vAlign w:val="center"/>
          </w:tcPr>
          <w:p w14:paraId="366F9A9F">
            <w:pPr>
              <w:spacing w:line="300" w:lineRule="auto"/>
              <w:jc w:val="center"/>
              <w:rPr>
                <w:rFonts w:ascii="Times New Roman" w:hAnsi="Times New Roman"/>
                <w:bCs/>
                <w:sz w:val="24"/>
                <w:szCs w:val="24"/>
              </w:rPr>
            </w:pPr>
            <w:r>
              <w:rPr>
                <w:rFonts w:ascii="Times New Roman" w:hAnsi="Times New Roman"/>
                <w:color w:val="000000"/>
                <w:sz w:val="24"/>
                <w:szCs w:val="24"/>
              </w:rPr>
              <w:t>耐温性能</w:t>
            </w:r>
          </w:p>
        </w:tc>
        <w:tc>
          <w:tcPr>
            <w:tcW w:w="1415" w:type="pct"/>
            <w:vAlign w:val="center"/>
          </w:tcPr>
          <w:p w14:paraId="2AD4203D">
            <w:pPr>
              <w:jc w:val="center"/>
              <w:rPr>
                <w:rFonts w:hint="eastAsia" w:ascii="Times New Roman" w:hAnsi="Times New Roman" w:eastAsia="宋体"/>
                <w:color w:val="000000"/>
                <w:sz w:val="24"/>
                <w:szCs w:val="24"/>
                <w:lang w:eastAsia="zh-CN"/>
              </w:rPr>
            </w:pPr>
            <w:r>
              <w:rPr>
                <w:rFonts w:ascii="Times New Roman" w:hAnsi="Times New Roman"/>
                <w:color w:val="000000"/>
                <w:sz w:val="24"/>
                <w:szCs w:val="24"/>
              </w:rPr>
              <w:t>GB/T 18006.1-2009</w:t>
            </w:r>
            <w:r>
              <w:rPr>
                <w:rFonts w:hint="eastAsia" w:ascii="Times New Roman" w:hAnsi="Times New Roman"/>
                <w:color w:val="000000"/>
                <w:sz w:val="24"/>
                <w:szCs w:val="24"/>
                <w:lang w:eastAsia="zh-CN"/>
              </w:rPr>
              <w:t>或</w:t>
            </w:r>
          </w:p>
          <w:p w14:paraId="49AD0744">
            <w:pPr>
              <w:spacing w:line="300" w:lineRule="auto"/>
              <w:jc w:val="center"/>
              <w:rPr>
                <w:rFonts w:ascii="Times New Roman" w:hAnsi="Times New Roman"/>
                <w:bCs/>
                <w:sz w:val="24"/>
                <w:szCs w:val="24"/>
              </w:rPr>
            </w:pPr>
            <w:r>
              <w:rPr>
                <w:rFonts w:ascii="Times New Roman" w:hAnsi="Times New Roman"/>
                <w:color w:val="000000"/>
                <w:sz w:val="24"/>
                <w:szCs w:val="24"/>
              </w:rPr>
              <w:t>产品明示标准</w:t>
            </w:r>
          </w:p>
        </w:tc>
        <w:tc>
          <w:tcPr>
            <w:tcW w:w="1434" w:type="pct"/>
            <w:vAlign w:val="center"/>
          </w:tcPr>
          <w:p w14:paraId="5DC82825">
            <w:pPr>
              <w:spacing w:line="300" w:lineRule="auto"/>
              <w:jc w:val="center"/>
              <w:rPr>
                <w:rFonts w:ascii="Times New Roman" w:hAnsi="Times New Roman"/>
                <w:bCs/>
                <w:sz w:val="24"/>
                <w:szCs w:val="24"/>
              </w:rPr>
            </w:pPr>
            <w:r>
              <w:rPr>
                <w:rFonts w:ascii="Times New Roman" w:hAnsi="Times New Roman"/>
                <w:color w:val="000000"/>
                <w:sz w:val="24"/>
                <w:szCs w:val="24"/>
              </w:rPr>
              <w:t xml:space="preserve">GB/T 18006.1-2009   </w:t>
            </w:r>
          </w:p>
        </w:tc>
      </w:tr>
      <w:tr w14:paraId="140E58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21" w:type="pct"/>
            <w:vAlign w:val="center"/>
          </w:tcPr>
          <w:p w14:paraId="7F7A5367">
            <w:pPr>
              <w:spacing w:line="300" w:lineRule="auto"/>
              <w:jc w:val="center"/>
              <w:rPr>
                <w:rFonts w:hint="eastAsia" w:ascii="Times New Roman" w:hAnsi="Times New Roman" w:eastAsia="宋体"/>
                <w:bCs/>
                <w:sz w:val="24"/>
                <w:szCs w:val="24"/>
                <w:lang w:eastAsia="zh-CN"/>
              </w:rPr>
            </w:pPr>
            <w:r>
              <w:rPr>
                <w:rFonts w:hint="eastAsia" w:ascii="Times New Roman" w:hAnsi="Times New Roman"/>
                <w:color w:val="000000"/>
                <w:sz w:val="24"/>
                <w:szCs w:val="24"/>
                <w:lang w:val="en-US" w:eastAsia="zh-CN"/>
              </w:rPr>
              <w:t>8</w:t>
            </w:r>
          </w:p>
        </w:tc>
        <w:tc>
          <w:tcPr>
            <w:tcW w:w="1729" w:type="pct"/>
            <w:vAlign w:val="center"/>
          </w:tcPr>
          <w:p w14:paraId="63EDD238">
            <w:pPr>
              <w:spacing w:line="300" w:lineRule="auto"/>
              <w:jc w:val="center"/>
              <w:rPr>
                <w:rFonts w:ascii="Times New Roman" w:hAnsi="Times New Roman"/>
                <w:bCs/>
                <w:sz w:val="24"/>
                <w:szCs w:val="24"/>
              </w:rPr>
            </w:pPr>
            <w:r>
              <w:rPr>
                <w:rFonts w:ascii="Times New Roman" w:hAnsi="Times New Roman"/>
                <w:sz w:val="24"/>
                <w:szCs w:val="24"/>
              </w:rPr>
              <w:t>负重性能</w:t>
            </w:r>
          </w:p>
        </w:tc>
        <w:tc>
          <w:tcPr>
            <w:tcW w:w="1415" w:type="pct"/>
            <w:vAlign w:val="center"/>
          </w:tcPr>
          <w:p w14:paraId="240D4243">
            <w:pPr>
              <w:jc w:val="center"/>
              <w:rPr>
                <w:rFonts w:hint="eastAsia" w:ascii="Times New Roman" w:hAnsi="Times New Roman" w:eastAsia="宋体"/>
                <w:color w:val="000000"/>
                <w:sz w:val="24"/>
                <w:szCs w:val="24"/>
                <w:lang w:eastAsia="zh-CN"/>
              </w:rPr>
            </w:pPr>
            <w:r>
              <w:rPr>
                <w:rFonts w:ascii="Times New Roman" w:hAnsi="Times New Roman"/>
                <w:color w:val="000000"/>
                <w:sz w:val="24"/>
                <w:szCs w:val="24"/>
              </w:rPr>
              <w:t>GB/T 18006.1-2009</w:t>
            </w:r>
            <w:r>
              <w:rPr>
                <w:rFonts w:hint="eastAsia" w:ascii="Times New Roman" w:hAnsi="Times New Roman"/>
                <w:color w:val="000000"/>
                <w:sz w:val="24"/>
                <w:szCs w:val="24"/>
                <w:lang w:eastAsia="zh-CN"/>
              </w:rPr>
              <w:t>或</w:t>
            </w:r>
          </w:p>
          <w:p w14:paraId="36D5276E">
            <w:pPr>
              <w:spacing w:line="300" w:lineRule="auto"/>
              <w:jc w:val="center"/>
              <w:rPr>
                <w:rFonts w:ascii="Times New Roman" w:hAnsi="Times New Roman"/>
                <w:bCs/>
                <w:sz w:val="24"/>
                <w:szCs w:val="24"/>
              </w:rPr>
            </w:pPr>
            <w:r>
              <w:rPr>
                <w:rFonts w:ascii="Times New Roman" w:hAnsi="Times New Roman"/>
                <w:color w:val="000000"/>
                <w:sz w:val="24"/>
                <w:szCs w:val="24"/>
              </w:rPr>
              <w:t>产品明示标准</w:t>
            </w:r>
          </w:p>
        </w:tc>
        <w:tc>
          <w:tcPr>
            <w:tcW w:w="1434" w:type="pct"/>
            <w:vAlign w:val="center"/>
          </w:tcPr>
          <w:p w14:paraId="7AD4CCD4">
            <w:pPr>
              <w:spacing w:line="300" w:lineRule="auto"/>
              <w:jc w:val="center"/>
              <w:rPr>
                <w:rFonts w:ascii="Times New Roman" w:hAnsi="Times New Roman"/>
                <w:bCs/>
                <w:sz w:val="24"/>
                <w:szCs w:val="24"/>
              </w:rPr>
            </w:pPr>
            <w:r>
              <w:rPr>
                <w:rFonts w:ascii="Times New Roman" w:hAnsi="Times New Roman"/>
                <w:color w:val="000000"/>
                <w:sz w:val="24"/>
                <w:szCs w:val="24"/>
              </w:rPr>
              <w:t xml:space="preserve">GB/T 18006.1-2009   </w:t>
            </w:r>
          </w:p>
        </w:tc>
      </w:tr>
      <w:tr w14:paraId="79FE84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21" w:type="pct"/>
            <w:vAlign w:val="center"/>
          </w:tcPr>
          <w:p w14:paraId="44C33C30">
            <w:pPr>
              <w:spacing w:line="300" w:lineRule="auto"/>
              <w:jc w:val="center"/>
              <w:rPr>
                <w:rFonts w:hint="eastAsia" w:ascii="Times New Roman" w:hAnsi="Times New Roman" w:eastAsia="宋体"/>
                <w:bCs/>
                <w:sz w:val="24"/>
                <w:szCs w:val="24"/>
                <w:lang w:eastAsia="zh-CN"/>
              </w:rPr>
            </w:pPr>
            <w:r>
              <w:rPr>
                <w:rFonts w:hint="eastAsia" w:ascii="Times New Roman" w:hAnsi="Times New Roman"/>
                <w:color w:val="000000"/>
                <w:sz w:val="24"/>
                <w:szCs w:val="24"/>
                <w:lang w:val="en-US" w:eastAsia="zh-CN"/>
              </w:rPr>
              <w:t>9</w:t>
            </w:r>
          </w:p>
        </w:tc>
        <w:tc>
          <w:tcPr>
            <w:tcW w:w="1729" w:type="pct"/>
            <w:vAlign w:val="center"/>
          </w:tcPr>
          <w:p w14:paraId="4DC05AA2">
            <w:pPr>
              <w:spacing w:line="300" w:lineRule="auto"/>
              <w:jc w:val="center"/>
              <w:rPr>
                <w:rFonts w:ascii="Times New Roman" w:hAnsi="Times New Roman"/>
                <w:bCs/>
                <w:sz w:val="24"/>
                <w:szCs w:val="24"/>
              </w:rPr>
            </w:pPr>
            <w:r>
              <w:rPr>
                <w:rFonts w:ascii="Times New Roman" w:hAnsi="Times New Roman"/>
                <w:sz w:val="24"/>
                <w:szCs w:val="24"/>
              </w:rPr>
              <w:t>漏水性</w:t>
            </w:r>
          </w:p>
        </w:tc>
        <w:tc>
          <w:tcPr>
            <w:tcW w:w="1415" w:type="pct"/>
            <w:vAlign w:val="center"/>
          </w:tcPr>
          <w:p w14:paraId="5E129EE0">
            <w:pPr>
              <w:jc w:val="center"/>
              <w:rPr>
                <w:rFonts w:hint="eastAsia" w:ascii="Times New Roman" w:hAnsi="Times New Roman" w:eastAsia="宋体"/>
                <w:color w:val="000000"/>
                <w:sz w:val="24"/>
                <w:szCs w:val="24"/>
                <w:lang w:eastAsia="zh-CN"/>
              </w:rPr>
            </w:pPr>
            <w:r>
              <w:rPr>
                <w:rFonts w:ascii="Times New Roman" w:hAnsi="Times New Roman"/>
                <w:color w:val="000000"/>
                <w:sz w:val="24"/>
                <w:szCs w:val="24"/>
              </w:rPr>
              <w:t>GB/T 18006.1-2009</w:t>
            </w:r>
            <w:r>
              <w:rPr>
                <w:rFonts w:hint="eastAsia" w:ascii="Times New Roman" w:hAnsi="Times New Roman"/>
                <w:color w:val="000000"/>
                <w:sz w:val="24"/>
                <w:szCs w:val="24"/>
                <w:lang w:eastAsia="zh-CN"/>
              </w:rPr>
              <w:t>或</w:t>
            </w:r>
          </w:p>
          <w:p w14:paraId="1C304457">
            <w:pPr>
              <w:spacing w:line="300" w:lineRule="auto"/>
              <w:jc w:val="center"/>
              <w:rPr>
                <w:rFonts w:ascii="Times New Roman" w:hAnsi="Times New Roman"/>
                <w:bCs/>
                <w:sz w:val="24"/>
                <w:szCs w:val="24"/>
              </w:rPr>
            </w:pPr>
            <w:r>
              <w:rPr>
                <w:rFonts w:ascii="Times New Roman" w:hAnsi="Times New Roman"/>
                <w:color w:val="000000"/>
                <w:sz w:val="24"/>
                <w:szCs w:val="24"/>
              </w:rPr>
              <w:t>产品明示标准</w:t>
            </w:r>
          </w:p>
        </w:tc>
        <w:tc>
          <w:tcPr>
            <w:tcW w:w="1434" w:type="pct"/>
            <w:vAlign w:val="center"/>
          </w:tcPr>
          <w:p w14:paraId="16725253">
            <w:pPr>
              <w:spacing w:line="300" w:lineRule="auto"/>
              <w:jc w:val="center"/>
              <w:rPr>
                <w:rFonts w:ascii="Times New Roman" w:hAnsi="Times New Roman"/>
                <w:bCs/>
                <w:sz w:val="24"/>
                <w:szCs w:val="24"/>
              </w:rPr>
            </w:pPr>
            <w:r>
              <w:rPr>
                <w:rFonts w:ascii="Times New Roman" w:hAnsi="Times New Roman"/>
                <w:sz w:val="24"/>
                <w:szCs w:val="24"/>
              </w:rPr>
              <w:t xml:space="preserve">GB/T 18006.1-2009   </w:t>
            </w:r>
          </w:p>
        </w:tc>
      </w:tr>
    </w:tbl>
    <w:p w14:paraId="3F137B7B">
      <w:pPr>
        <w:jc w:val="left"/>
        <w:rPr>
          <w:rFonts w:ascii="Times New Roman" w:hAnsi="Times New Roman"/>
          <w:sz w:val="24"/>
          <w:szCs w:val="24"/>
        </w:rPr>
      </w:pPr>
    </w:p>
    <w:p w14:paraId="22D59FF4">
      <w:pPr>
        <w:jc w:val="left"/>
        <w:rPr>
          <w:rFonts w:ascii="Times New Roman" w:hAnsi="Times New Roman"/>
          <w:sz w:val="24"/>
          <w:szCs w:val="24"/>
        </w:rPr>
      </w:pPr>
      <w:r>
        <w:rPr>
          <w:rFonts w:hint="eastAsia" w:ascii="Times New Roman" w:hAnsi="Times New Roman"/>
          <w:sz w:val="24"/>
          <w:szCs w:val="24"/>
        </w:rPr>
        <w:t xml:space="preserve">2.2 </w:t>
      </w:r>
      <w:r>
        <w:rPr>
          <w:rFonts w:ascii="Times New Roman" w:hAnsi="Times New Roman"/>
          <w:sz w:val="24"/>
          <w:szCs w:val="24"/>
        </w:rPr>
        <w:t>食品接触用特定工具及塑料件</w:t>
      </w:r>
    </w:p>
    <w:p w14:paraId="74DC8659">
      <w:pPr>
        <w:jc w:val="center"/>
        <w:rPr>
          <w:rFonts w:ascii="Times New Roman" w:hAnsi="Times New Roman"/>
          <w:sz w:val="24"/>
          <w:szCs w:val="24"/>
        </w:rPr>
      </w:pPr>
      <w:r>
        <w:rPr>
          <w:rFonts w:ascii="Times New Roman" w:hAnsi="Times New Roman"/>
          <w:sz w:val="24"/>
          <w:szCs w:val="24"/>
        </w:rPr>
        <w:t>表3</w:t>
      </w:r>
      <w:r>
        <w:rPr>
          <w:rFonts w:hint="eastAsia" w:ascii="Times New Roman" w:hAnsi="Times New Roman"/>
          <w:sz w:val="24"/>
          <w:szCs w:val="24"/>
        </w:rPr>
        <w:t xml:space="preserve"> </w:t>
      </w:r>
      <w:r>
        <w:rPr>
          <w:rFonts w:ascii="Times New Roman" w:hAnsi="Times New Roman"/>
          <w:sz w:val="24"/>
          <w:szCs w:val="24"/>
        </w:rPr>
        <w:t xml:space="preserve"> 食品接触用特定工具及塑料件产品检验项目、依据、方法</w:t>
      </w:r>
    </w:p>
    <w:tbl>
      <w:tblPr>
        <w:tblStyle w:val="4"/>
        <w:tblW w:w="504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46"/>
        <w:gridCol w:w="2979"/>
        <w:gridCol w:w="2292"/>
        <w:gridCol w:w="2385"/>
      </w:tblGrid>
      <w:tr w14:paraId="05C8CD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blHeader/>
          <w:jc w:val="center"/>
        </w:trPr>
        <w:tc>
          <w:tcPr>
            <w:tcW w:w="550" w:type="pct"/>
            <w:vMerge w:val="restart"/>
            <w:tcBorders>
              <w:top w:val="single" w:color="auto" w:sz="4" w:space="0"/>
              <w:left w:val="single" w:color="auto" w:sz="4" w:space="0"/>
              <w:bottom w:val="single" w:color="auto" w:sz="4" w:space="0"/>
              <w:right w:val="single" w:color="auto" w:sz="4" w:space="0"/>
            </w:tcBorders>
            <w:vAlign w:val="center"/>
          </w:tcPr>
          <w:p w14:paraId="60257271">
            <w:pPr>
              <w:jc w:val="center"/>
              <w:rPr>
                <w:rFonts w:ascii="Times New Roman" w:hAnsi="Times New Roman"/>
                <w:sz w:val="24"/>
                <w:szCs w:val="24"/>
              </w:rPr>
            </w:pPr>
            <w:r>
              <w:rPr>
                <w:rFonts w:ascii="Times New Roman" w:hAnsi="Times New Roman"/>
                <w:sz w:val="24"/>
                <w:szCs w:val="24"/>
              </w:rPr>
              <w:t>序号</w:t>
            </w:r>
          </w:p>
        </w:tc>
        <w:tc>
          <w:tcPr>
            <w:tcW w:w="1731" w:type="pct"/>
            <w:vMerge w:val="restart"/>
            <w:tcBorders>
              <w:top w:val="single" w:color="auto" w:sz="4" w:space="0"/>
              <w:left w:val="single" w:color="auto" w:sz="4" w:space="0"/>
              <w:bottom w:val="single" w:color="auto" w:sz="4" w:space="0"/>
              <w:right w:val="single" w:color="auto" w:sz="4" w:space="0"/>
            </w:tcBorders>
            <w:vAlign w:val="center"/>
          </w:tcPr>
          <w:p w14:paraId="3AF6269A">
            <w:pPr>
              <w:jc w:val="center"/>
              <w:rPr>
                <w:rFonts w:ascii="Times New Roman" w:hAnsi="Times New Roman"/>
                <w:sz w:val="24"/>
                <w:szCs w:val="24"/>
              </w:rPr>
            </w:pPr>
            <w:r>
              <w:rPr>
                <w:rFonts w:ascii="Times New Roman" w:hAnsi="Times New Roman"/>
                <w:sz w:val="24"/>
                <w:szCs w:val="24"/>
              </w:rPr>
              <w:t>检验项目</w:t>
            </w:r>
          </w:p>
        </w:tc>
        <w:tc>
          <w:tcPr>
            <w:tcW w:w="1332" w:type="pct"/>
            <w:vMerge w:val="restart"/>
            <w:tcBorders>
              <w:top w:val="single" w:color="auto" w:sz="4" w:space="0"/>
              <w:left w:val="single" w:color="auto" w:sz="4" w:space="0"/>
              <w:bottom w:val="single" w:color="auto" w:sz="4" w:space="0"/>
              <w:right w:val="single" w:color="auto" w:sz="4" w:space="0"/>
            </w:tcBorders>
            <w:vAlign w:val="center"/>
          </w:tcPr>
          <w:p w14:paraId="3A5ED4A8">
            <w:pPr>
              <w:jc w:val="center"/>
              <w:rPr>
                <w:rFonts w:ascii="Times New Roman" w:hAnsi="Times New Roman"/>
                <w:sz w:val="24"/>
                <w:szCs w:val="24"/>
              </w:rPr>
            </w:pPr>
            <w:r>
              <w:rPr>
                <w:rFonts w:ascii="Times New Roman" w:hAnsi="Times New Roman"/>
                <w:sz w:val="24"/>
                <w:szCs w:val="24"/>
              </w:rPr>
              <w:t>依据标准</w:t>
            </w:r>
          </w:p>
        </w:tc>
        <w:tc>
          <w:tcPr>
            <w:tcW w:w="1386" w:type="pct"/>
            <w:vMerge w:val="restart"/>
            <w:tcBorders>
              <w:top w:val="single" w:color="auto" w:sz="4" w:space="0"/>
              <w:left w:val="single" w:color="auto" w:sz="4" w:space="0"/>
              <w:bottom w:val="single" w:color="auto" w:sz="4" w:space="0"/>
              <w:right w:val="single" w:color="auto" w:sz="4" w:space="0"/>
            </w:tcBorders>
            <w:vAlign w:val="center"/>
          </w:tcPr>
          <w:p w14:paraId="7EF43B85">
            <w:pPr>
              <w:jc w:val="center"/>
              <w:rPr>
                <w:rFonts w:ascii="Times New Roman" w:hAnsi="Times New Roman"/>
                <w:sz w:val="24"/>
                <w:szCs w:val="24"/>
              </w:rPr>
            </w:pPr>
            <w:r>
              <w:rPr>
                <w:rFonts w:ascii="Times New Roman" w:hAnsi="Times New Roman"/>
                <w:sz w:val="24"/>
                <w:szCs w:val="24"/>
              </w:rPr>
              <w:t>检测方法</w:t>
            </w:r>
          </w:p>
        </w:tc>
      </w:tr>
      <w:tr w14:paraId="432053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blHeader/>
          <w:jc w:val="center"/>
        </w:trPr>
        <w:tc>
          <w:tcPr>
            <w:tcW w:w="550" w:type="pct"/>
            <w:vMerge w:val="continue"/>
            <w:tcBorders>
              <w:top w:val="single" w:color="auto" w:sz="4" w:space="0"/>
              <w:left w:val="single" w:color="auto" w:sz="4" w:space="0"/>
              <w:bottom w:val="single" w:color="auto" w:sz="4" w:space="0"/>
              <w:right w:val="single" w:color="auto" w:sz="4" w:space="0"/>
            </w:tcBorders>
            <w:vAlign w:val="center"/>
          </w:tcPr>
          <w:p w14:paraId="0917C257">
            <w:pPr>
              <w:widowControl/>
              <w:jc w:val="left"/>
              <w:rPr>
                <w:rFonts w:ascii="Times New Roman" w:hAnsi="Times New Roman"/>
                <w:sz w:val="24"/>
                <w:szCs w:val="24"/>
              </w:rPr>
            </w:pPr>
          </w:p>
        </w:tc>
        <w:tc>
          <w:tcPr>
            <w:tcW w:w="1731" w:type="pct"/>
            <w:vMerge w:val="continue"/>
            <w:tcBorders>
              <w:top w:val="single" w:color="auto" w:sz="4" w:space="0"/>
              <w:left w:val="single" w:color="auto" w:sz="4" w:space="0"/>
              <w:bottom w:val="single" w:color="auto" w:sz="4" w:space="0"/>
              <w:right w:val="single" w:color="auto" w:sz="4" w:space="0"/>
            </w:tcBorders>
            <w:vAlign w:val="center"/>
          </w:tcPr>
          <w:p w14:paraId="1F55F518">
            <w:pPr>
              <w:widowControl/>
              <w:jc w:val="left"/>
              <w:rPr>
                <w:rFonts w:ascii="Times New Roman" w:hAnsi="Times New Roman"/>
                <w:sz w:val="24"/>
                <w:szCs w:val="24"/>
              </w:rPr>
            </w:pPr>
          </w:p>
        </w:tc>
        <w:tc>
          <w:tcPr>
            <w:tcW w:w="1332" w:type="pct"/>
            <w:vMerge w:val="continue"/>
            <w:tcBorders>
              <w:top w:val="single" w:color="auto" w:sz="4" w:space="0"/>
              <w:left w:val="single" w:color="auto" w:sz="4" w:space="0"/>
              <w:bottom w:val="single" w:color="auto" w:sz="4" w:space="0"/>
              <w:right w:val="single" w:color="auto" w:sz="4" w:space="0"/>
            </w:tcBorders>
            <w:vAlign w:val="center"/>
          </w:tcPr>
          <w:p w14:paraId="2A27E1D7">
            <w:pPr>
              <w:widowControl/>
              <w:jc w:val="left"/>
              <w:rPr>
                <w:rFonts w:ascii="Times New Roman" w:hAnsi="Times New Roman"/>
                <w:sz w:val="24"/>
                <w:szCs w:val="24"/>
              </w:rPr>
            </w:pPr>
          </w:p>
        </w:tc>
        <w:tc>
          <w:tcPr>
            <w:tcW w:w="1386" w:type="pct"/>
            <w:vMerge w:val="continue"/>
            <w:tcBorders>
              <w:top w:val="single" w:color="auto" w:sz="4" w:space="0"/>
              <w:left w:val="single" w:color="auto" w:sz="4" w:space="0"/>
              <w:bottom w:val="single" w:color="auto" w:sz="4" w:space="0"/>
              <w:right w:val="single" w:color="auto" w:sz="4" w:space="0"/>
            </w:tcBorders>
            <w:vAlign w:val="center"/>
          </w:tcPr>
          <w:p w14:paraId="5C41EEF9">
            <w:pPr>
              <w:widowControl/>
              <w:jc w:val="left"/>
              <w:rPr>
                <w:rFonts w:ascii="Times New Roman" w:hAnsi="Times New Roman"/>
                <w:sz w:val="24"/>
                <w:szCs w:val="24"/>
              </w:rPr>
            </w:pPr>
          </w:p>
        </w:tc>
      </w:tr>
      <w:tr w14:paraId="2A49B5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550" w:type="pct"/>
            <w:tcBorders>
              <w:top w:val="single" w:color="auto" w:sz="4" w:space="0"/>
              <w:left w:val="single" w:color="auto" w:sz="4" w:space="0"/>
              <w:bottom w:val="single" w:color="auto" w:sz="4" w:space="0"/>
              <w:right w:val="single" w:color="auto" w:sz="4" w:space="0"/>
            </w:tcBorders>
            <w:vAlign w:val="center"/>
          </w:tcPr>
          <w:p w14:paraId="656513D6">
            <w:pPr>
              <w:jc w:val="center"/>
              <w:rPr>
                <w:rFonts w:ascii="Times New Roman" w:hAnsi="Times New Roman"/>
                <w:sz w:val="24"/>
                <w:szCs w:val="24"/>
              </w:rPr>
            </w:pPr>
            <w:r>
              <w:rPr>
                <w:rFonts w:ascii="Times New Roman" w:hAnsi="Times New Roman"/>
                <w:sz w:val="24"/>
                <w:szCs w:val="24"/>
              </w:rPr>
              <w:t>1</w:t>
            </w:r>
          </w:p>
        </w:tc>
        <w:tc>
          <w:tcPr>
            <w:tcW w:w="1731" w:type="pct"/>
            <w:tcBorders>
              <w:top w:val="single" w:color="auto" w:sz="4" w:space="0"/>
              <w:left w:val="single" w:color="auto" w:sz="4" w:space="0"/>
              <w:bottom w:val="single" w:color="auto" w:sz="4" w:space="0"/>
              <w:right w:val="single" w:color="auto" w:sz="4" w:space="0"/>
            </w:tcBorders>
            <w:vAlign w:val="center"/>
          </w:tcPr>
          <w:p w14:paraId="73988ABF">
            <w:pPr>
              <w:jc w:val="center"/>
              <w:rPr>
                <w:rFonts w:ascii="Times New Roman" w:hAnsi="Times New Roman"/>
                <w:sz w:val="24"/>
                <w:szCs w:val="24"/>
              </w:rPr>
            </w:pPr>
            <w:r>
              <w:rPr>
                <w:rFonts w:ascii="Times New Roman" w:hAnsi="Times New Roman"/>
                <w:sz w:val="24"/>
                <w:szCs w:val="24"/>
              </w:rPr>
              <w:t>感官要求</w:t>
            </w:r>
          </w:p>
        </w:tc>
        <w:tc>
          <w:tcPr>
            <w:tcW w:w="1332" w:type="pct"/>
            <w:tcBorders>
              <w:top w:val="single" w:color="auto" w:sz="4" w:space="0"/>
              <w:left w:val="single" w:color="auto" w:sz="4" w:space="0"/>
              <w:bottom w:val="single" w:color="auto" w:sz="4" w:space="0"/>
              <w:right w:val="single" w:color="auto" w:sz="4" w:space="0"/>
            </w:tcBorders>
            <w:vAlign w:val="center"/>
          </w:tcPr>
          <w:p w14:paraId="20C12229">
            <w:pPr>
              <w:spacing w:line="300" w:lineRule="auto"/>
              <w:jc w:val="center"/>
              <w:rPr>
                <w:rFonts w:hint="eastAsia" w:ascii="Times New Roman" w:hAnsi="Times New Roman" w:eastAsia="宋体"/>
                <w:sz w:val="24"/>
                <w:szCs w:val="24"/>
                <w:lang w:eastAsia="zh-CN"/>
              </w:rPr>
            </w:pPr>
            <w:r>
              <w:rPr>
                <w:rFonts w:hint="eastAsia" w:ascii="Times New Roman" w:hAnsi="Times New Roman"/>
                <w:sz w:val="24"/>
                <w:szCs w:val="24"/>
                <w:lang w:eastAsia="zh-CN"/>
              </w:rPr>
              <w:t>GB 4806.7-2023</w:t>
            </w:r>
          </w:p>
        </w:tc>
        <w:tc>
          <w:tcPr>
            <w:tcW w:w="1386" w:type="pct"/>
            <w:tcBorders>
              <w:top w:val="single" w:color="auto" w:sz="4" w:space="0"/>
              <w:left w:val="single" w:color="auto" w:sz="4" w:space="0"/>
              <w:bottom w:val="single" w:color="auto" w:sz="4" w:space="0"/>
              <w:right w:val="single" w:color="auto" w:sz="4" w:space="0"/>
            </w:tcBorders>
            <w:vAlign w:val="center"/>
          </w:tcPr>
          <w:p w14:paraId="4B0C9231">
            <w:pPr>
              <w:spacing w:line="300" w:lineRule="auto"/>
              <w:jc w:val="center"/>
              <w:rPr>
                <w:rFonts w:hint="eastAsia" w:ascii="Times New Roman" w:hAnsi="Times New Roman" w:eastAsia="宋体"/>
                <w:sz w:val="24"/>
                <w:szCs w:val="24"/>
                <w:lang w:eastAsia="zh-CN"/>
              </w:rPr>
            </w:pPr>
            <w:r>
              <w:rPr>
                <w:rFonts w:hint="eastAsia" w:ascii="Times New Roman" w:hAnsi="Times New Roman"/>
                <w:sz w:val="24"/>
                <w:szCs w:val="24"/>
                <w:lang w:eastAsia="zh-CN"/>
              </w:rPr>
              <w:t>GB 4806.7-2023</w:t>
            </w:r>
          </w:p>
        </w:tc>
      </w:tr>
      <w:tr w14:paraId="05BCC3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550" w:type="pct"/>
            <w:tcBorders>
              <w:top w:val="single" w:color="auto" w:sz="4" w:space="0"/>
              <w:left w:val="single" w:color="auto" w:sz="4" w:space="0"/>
              <w:bottom w:val="single" w:color="auto" w:sz="4" w:space="0"/>
              <w:right w:val="single" w:color="auto" w:sz="4" w:space="0"/>
            </w:tcBorders>
            <w:vAlign w:val="center"/>
          </w:tcPr>
          <w:p w14:paraId="02CB5AF7">
            <w:pPr>
              <w:jc w:val="center"/>
              <w:rPr>
                <w:rFonts w:ascii="Times New Roman" w:hAnsi="Times New Roman"/>
                <w:sz w:val="24"/>
                <w:szCs w:val="24"/>
              </w:rPr>
            </w:pPr>
            <w:r>
              <w:rPr>
                <w:rFonts w:ascii="Times New Roman" w:hAnsi="Times New Roman"/>
                <w:sz w:val="24"/>
                <w:szCs w:val="24"/>
              </w:rPr>
              <w:t>2</w:t>
            </w:r>
          </w:p>
        </w:tc>
        <w:tc>
          <w:tcPr>
            <w:tcW w:w="1731" w:type="pct"/>
            <w:tcBorders>
              <w:top w:val="single" w:color="auto" w:sz="4" w:space="0"/>
              <w:left w:val="single" w:color="auto" w:sz="4" w:space="0"/>
              <w:bottom w:val="single" w:color="auto" w:sz="4" w:space="0"/>
              <w:right w:val="single" w:color="auto" w:sz="4" w:space="0"/>
            </w:tcBorders>
            <w:vAlign w:val="center"/>
          </w:tcPr>
          <w:p w14:paraId="30375930">
            <w:pPr>
              <w:jc w:val="center"/>
              <w:rPr>
                <w:rFonts w:ascii="Times New Roman" w:hAnsi="Times New Roman"/>
                <w:sz w:val="24"/>
                <w:szCs w:val="24"/>
              </w:rPr>
            </w:pPr>
            <w:r>
              <w:rPr>
                <w:rFonts w:ascii="Times New Roman" w:hAnsi="Times New Roman"/>
                <w:sz w:val="24"/>
                <w:szCs w:val="24"/>
              </w:rPr>
              <w:t>总迁移量</w:t>
            </w:r>
          </w:p>
        </w:tc>
        <w:tc>
          <w:tcPr>
            <w:tcW w:w="1332" w:type="pct"/>
            <w:tcBorders>
              <w:top w:val="single" w:color="auto" w:sz="4" w:space="0"/>
              <w:left w:val="single" w:color="auto" w:sz="4" w:space="0"/>
              <w:bottom w:val="single" w:color="auto" w:sz="4" w:space="0"/>
              <w:right w:val="single" w:color="auto" w:sz="4" w:space="0"/>
            </w:tcBorders>
            <w:vAlign w:val="top"/>
          </w:tcPr>
          <w:p w14:paraId="64019E35">
            <w:pPr>
              <w:spacing w:line="300" w:lineRule="auto"/>
              <w:jc w:val="center"/>
              <w:rPr>
                <w:rFonts w:hint="eastAsia" w:ascii="Times New Roman" w:hAnsi="Times New Roman" w:eastAsia="宋体"/>
                <w:sz w:val="24"/>
                <w:szCs w:val="24"/>
                <w:lang w:eastAsia="zh-CN"/>
              </w:rPr>
            </w:pPr>
            <w:r>
              <w:rPr>
                <w:rFonts w:hint="eastAsia" w:ascii="Times New Roman" w:hAnsi="Times New Roman"/>
                <w:sz w:val="24"/>
                <w:szCs w:val="24"/>
                <w:lang w:eastAsia="zh-CN"/>
              </w:rPr>
              <w:t>GB 4806.7-2023</w:t>
            </w:r>
          </w:p>
        </w:tc>
        <w:tc>
          <w:tcPr>
            <w:tcW w:w="1386" w:type="pct"/>
            <w:tcBorders>
              <w:top w:val="single" w:color="auto" w:sz="4" w:space="0"/>
              <w:left w:val="single" w:color="auto" w:sz="4" w:space="0"/>
              <w:bottom w:val="single" w:color="auto" w:sz="4" w:space="0"/>
              <w:right w:val="single" w:color="auto" w:sz="4" w:space="0"/>
            </w:tcBorders>
            <w:vAlign w:val="center"/>
          </w:tcPr>
          <w:p w14:paraId="379FE43A">
            <w:pPr>
              <w:spacing w:line="300" w:lineRule="auto"/>
              <w:jc w:val="center"/>
              <w:rPr>
                <w:rFonts w:ascii="Times New Roman" w:hAnsi="Times New Roman"/>
                <w:sz w:val="24"/>
                <w:szCs w:val="24"/>
              </w:rPr>
            </w:pPr>
            <w:r>
              <w:rPr>
                <w:rFonts w:ascii="Times New Roman" w:hAnsi="Times New Roman"/>
                <w:sz w:val="24"/>
                <w:szCs w:val="24"/>
              </w:rPr>
              <w:t>GB 31604.8-2021</w:t>
            </w:r>
          </w:p>
        </w:tc>
      </w:tr>
      <w:tr w14:paraId="0265FB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550" w:type="pct"/>
            <w:tcBorders>
              <w:top w:val="single" w:color="auto" w:sz="4" w:space="0"/>
              <w:left w:val="single" w:color="auto" w:sz="4" w:space="0"/>
              <w:bottom w:val="single" w:color="auto" w:sz="4" w:space="0"/>
              <w:right w:val="single" w:color="auto" w:sz="4" w:space="0"/>
            </w:tcBorders>
            <w:vAlign w:val="center"/>
          </w:tcPr>
          <w:p w14:paraId="2EFCA6DF">
            <w:pPr>
              <w:jc w:val="center"/>
              <w:rPr>
                <w:rFonts w:ascii="Times New Roman" w:hAnsi="Times New Roman"/>
                <w:sz w:val="24"/>
                <w:szCs w:val="24"/>
              </w:rPr>
            </w:pPr>
            <w:r>
              <w:rPr>
                <w:rFonts w:ascii="Times New Roman" w:hAnsi="Times New Roman"/>
                <w:sz w:val="24"/>
                <w:szCs w:val="24"/>
              </w:rPr>
              <w:t>3</w:t>
            </w:r>
          </w:p>
        </w:tc>
        <w:tc>
          <w:tcPr>
            <w:tcW w:w="1731" w:type="pct"/>
            <w:tcBorders>
              <w:top w:val="single" w:color="auto" w:sz="4" w:space="0"/>
              <w:left w:val="single" w:color="auto" w:sz="4" w:space="0"/>
              <w:bottom w:val="single" w:color="auto" w:sz="4" w:space="0"/>
              <w:right w:val="single" w:color="auto" w:sz="4" w:space="0"/>
            </w:tcBorders>
            <w:vAlign w:val="center"/>
          </w:tcPr>
          <w:p w14:paraId="5F1BA5D1">
            <w:pPr>
              <w:jc w:val="center"/>
              <w:rPr>
                <w:rFonts w:ascii="Times New Roman" w:hAnsi="Times New Roman"/>
                <w:sz w:val="24"/>
                <w:szCs w:val="24"/>
              </w:rPr>
            </w:pPr>
            <w:r>
              <w:rPr>
                <w:rFonts w:ascii="Times New Roman" w:hAnsi="Times New Roman"/>
                <w:sz w:val="24"/>
                <w:szCs w:val="24"/>
              </w:rPr>
              <w:t>高锰酸钾消耗量</w:t>
            </w:r>
          </w:p>
        </w:tc>
        <w:tc>
          <w:tcPr>
            <w:tcW w:w="1332" w:type="pct"/>
            <w:tcBorders>
              <w:top w:val="single" w:color="auto" w:sz="4" w:space="0"/>
              <w:left w:val="single" w:color="auto" w:sz="4" w:space="0"/>
              <w:bottom w:val="single" w:color="auto" w:sz="4" w:space="0"/>
              <w:right w:val="single" w:color="auto" w:sz="4" w:space="0"/>
            </w:tcBorders>
            <w:vAlign w:val="center"/>
          </w:tcPr>
          <w:p w14:paraId="560C86D9">
            <w:pPr>
              <w:spacing w:line="300" w:lineRule="auto"/>
              <w:jc w:val="center"/>
              <w:rPr>
                <w:rFonts w:hint="eastAsia" w:ascii="Times New Roman" w:hAnsi="Times New Roman" w:eastAsia="宋体"/>
                <w:sz w:val="24"/>
                <w:szCs w:val="24"/>
                <w:lang w:eastAsia="zh-CN"/>
              </w:rPr>
            </w:pPr>
            <w:r>
              <w:rPr>
                <w:rFonts w:hint="eastAsia" w:ascii="Times New Roman" w:hAnsi="Times New Roman"/>
                <w:sz w:val="24"/>
                <w:szCs w:val="24"/>
                <w:lang w:eastAsia="zh-CN"/>
              </w:rPr>
              <w:t>GB 4806.7-2023</w:t>
            </w:r>
          </w:p>
        </w:tc>
        <w:tc>
          <w:tcPr>
            <w:tcW w:w="1386" w:type="pct"/>
            <w:tcBorders>
              <w:top w:val="single" w:color="auto" w:sz="4" w:space="0"/>
              <w:left w:val="single" w:color="auto" w:sz="4" w:space="0"/>
              <w:bottom w:val="single" w:color="auto" w:sz="4" w:space="0"/>
              <w:right w:val="single" w:color="auto" w:sz="4" w:space="0"/>
            </w:tcBorders>
            <w:vAlign w:val="center"/>
          </w:tcPr>
          <w:p w14:paraId="743D2019">
            <w:pPr>
              <w:spacing w:line="300" w:lineRule="auto"/>
              <w:jc w:val="center"/>
              <w:rPr>
                <w:rFonts w:ascii="Times New Roman" w:hAnsi="Times New Roman"/>
                <w:sz w:val="24"/>
                <w:szCs w:val="24"/>
              </w:rPr>
            </w:pPr>
            <w:r>
              <w:rPr>
                <w:rFonts w:ascii="Times New Roman" w:hAnsi="Times New Roman"/>
                <w:sz w:val="24"/>
                <w:szCs w:val="24"/>
              </w:rPr>
              <w:t>GB 31604.2-2016</w:t>
            </w:r>
          </w:p>
        </w:tc>
      </w:tr>
      <w:tr w14:paraId="4637E4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550" w:type="pct"/>
            <w:tcBorders>
              <w:top w:val="single" w:color="auto" w:sz="4" w:space="0"/>
              <w:left w:val="single" w:color="auto" w:sz="4" w:space="0"/>
              <w:bottom w:val="single" w:color="auto" w:sz="4" w:space="0"/>
              <w:right w:val="single" w:color="auto" w:sz="4" w:space="0"/>
            </w:tcBorders>
            <w:vAlign w:val="center"/>
          </w:tcPr>
          <w:p w14:paraId="1A612BC2">
            <w:pPr>
              <w:jc w:val="center"/>
              <w:rPr>
                <w:rFonts w:ascii="Times New Roman" w:hAnsi="Times New Roman"/>
                <w:sz w:val="24"/>
                <w:szCs w:val="24"/>
              </w:rPr>
            </w:pPr>
            <w:r>
              <w:rPr>
                <w:rFonts w:ascii="Times New Roman" w:hAnsi="Times New Roman"/>
                <w:sz w:val="24"/>
                <w:szCs w:val="24"/>
              </w:rPr>
              <w:t>4</w:t>
            </w:r>
          </w:p>
        </w:tc>
        <w:tc>
          <w:tcPr>
            <w:tcW w:w="1731" w:type="pct"/>
            <w:tcBorders>
              <w:top w:val="single" w:color="auto" w:sz="4" w:space="0"/>
              <w:left w:val="single" w:color="auto" w:sz="4" w:space="0"/>
              <w:bottom w:val="single" w:color="auto" w:sz="4" w:space="0"/>
              <w:right w:val="single" w:color="auto" w:sz="4" w:space="0"/>
            </w:tcBorders>
            <w:vAlign w:val="center"/>
          </w:tcPr>
          <w:p w14:paraId="540FF3CA">
            <w:pPr>
              <w:jc w:val="center"/>
              <w:rPr>
                <w:rFonts w:ascii="Times New Roman" w:hAnsi="Times New Roman"/>
                <w:sz w:val="24"/>
                <w:szCs w:val="24"/>
              </w:rPr>
            </w:pPr>
            <w:r>
              <w:rPr>
                <w:rFonts w:ascii="Times New Roman" w:hAnsi="Times New Roman"/>
                <w:sz w:val="24"/>
                <w:szCs w:val="24"/>
              </w:rPr>
              <w:t>重金属（以Pb计）</w:t>
            </w:r>
          </w:p>
        </w:tc>
        <w:tc>
          <w:tcPr>
            <w:tcW w:w="1332" w:type="pct"/>
            <w:tcBorders>
              <w:top w:val="single" w:color="auto" w:sz="4" w:space="0"/>
              <w:left w:val="single" w:color="auto" w:sz="4" w:space="0"/>
              <w:bottom w:val="single" w:color="auto" w:sz="4" w:space="0"/>
              <w:right w:val="single" w:color="auto" w:sz="4" w:space="0"/>
            </w:tcBorders>
            <w:vAlign w:val="center"/>
          </w:tcPr>
          <w:p w14:paraId="78BA65D1">
            <w:pPr>
              <w:spacing w:line="300" w:lineRule="auto"/>
              <w:jc w:val="center"/>
              <w:rPr>
                <w:rFonts w:hint="eastAsia" w:ascii="Times New Roman" w:hAnsi="Times New Roman" w:eastAsia="宋体"/>
                <w:sz w:val="24"/>
                <w:szCs w:val="24"/>
                <w:lang w:eastAsia="zh-CN"/>
              </w:rPr>
            </w:pPr>
            <w:r>
              <w:rPr>
                <w:rFonts w:hint="eastAsia" w:ascii="Times New Roman" w:hAnsi="Times New Roman"/>
                <w:sz w:val="24"/>
                <w:szCs w:val="24"/>
                <w:lang w:eastAsia="zh-CN"/>
              </w:rPr>
              <w:t>GB 4806.7-2023</w:t>
            </w:r>
          </w:p>
        </w:tc>
        <w:tc>
          <w:tcPr>
            <w:tcW w:w="1386" w:type="pct"/>
            <w:tcBorders>
              <w:top w:val="single" w:color="auto" w:sz="4" w:space="0"/>
              <w:left w:val="single" w:color="auto" w:sz="4" w:space="0"/>
              <w:bottom w:val="single" w:color="auto" w:sz="4" w:space="0"/>
              <w:right w:val="single" w:color="auto" w:sz="4" w:space="0"/>
            </w:tcBorders>
            <w:vAlign w:val="center"/>
          </w:tcPr>
          <w:p w14:paraId="552469F2">
            <w:pPr>
              <w:spacing w:line="300" w:lineRule="auto"/>
              <w:jc w:val="center"/>
              <w:rPr>
                <w:rFonts w:ascii="Times New Roman" w:hAnsi="Times New Roman"/>
                <w:sz w:val="24"/>
                <w:szCs w:val="24"/>
              </w:rPr>
            </w:pPr>
            <w:r>
              <w:rPr>
                <w:rFonts w:ascii="Times New Roman" w:hAnsi="Times New Roman"/>
                <w:sz w:val="24"/>
                <w:szCs w:val="24"/>
              </w:rPr>
              <w:t>GB 31604.9-2016</w:t>
            </w:r>
          </w:p>
        </w:tc>
      </w:tr>
      <w:tr w14:paraId="560689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550" w:type="pct"/>
            <w:tcBorders>
              <w:top w:val="single" w:color="auto" w:sz="4" w:space="0"/>
              <w:left w:val="single" w:color="auto" w:sz="4" w:space="0"/>
              <w:bottom w:val="single" w:color="auto" w:sz="4" w:space="0"/>
              <w:right w:val="single" w:color="auto" w:sz="4" w:space="0"/>
            </w:tcBorders>
            <w:vAlign w:val="center"/>
          </w:tcPr>
          <w:p w14:paraId="597D457E">
            <w:pPr>
              <w:jc w:val="center"/>
              <w:rPr>
                <w:rFonts w:ascii="Times New Roman" w:hAnsi="Times New Roman"/>
                <w:sz w:val="24"/>
                <w:szCs w:val="24"/>
              </w:rPr>
            </w:pPr>
            <w:r>
              <w:rPr>
                <w:rFonts w:ascii="Times New Roman" w:hAnsi="Times New Roman"/>
                <w:sz w:val="24"/>
                <w:szCs w:val="24"/>
              </w:rPr>
              <w:t>5</w:t>
            </w:r>
          </w:p>
        </w:tc>
        <w:tc>
          <w:tcPr>
            <w:tcW w:w="1731" w:type="pct"/>
            <w:tcBorders>
              <w:top w:val="single" w:color="auto" w:sz="4" w:space="0"/>
              <w:left w:val="single" w:color="auto" w:sz="4" w:space="0"/>
              <w:bottom w:val="single" w:color="auto" w:sz="4" w:space="0"/>
              <w:right w:val="single" w:color="auto" w:sz="4" w:space="0"/>
            </w:tcBorders>
            <w:vAlign w:val="center"/>
          </w:tcPr>
          <w:p w14:paraId="6C847554">
            <w:pPr>
              <w:jc w:val="center"/>
              <w:rPr>
                <w:rFonts w:ascii="Times New Roman" w:hAnsi="Times New Roman"/>
                <w:sz w:val="24"/>
                <w:szCs w:val="24"/>
              </w:rPr>
            </w:pPr>
            <w:r>
              <w:rPr>
                <w:rFonts w:ascii="Times New Roman" w:hAnsi="Times New Roman"/>
                <w:sz w:val="24"/>
                <w:szCs w:val="24"/>
              </w:rPr>
              <w:t>脱色试验</w:t>
            </w:r>
          </w:p>
          <w:p w14:paraId="79B11F70">
            <w:pPr>
              <w:jc w:val="center"/>
              <w:rPr>
                <w:rFonts w:ascii="Times New Roman" w:hAnsi="Times New Roman"/>
                <w:sz w:val="24"/>
                <w:szCs w:val="24"/>
              </w:rPr>
            </w:pPr>
            <w:r>
              <w:rPr>
                <w:rFonts w:ascii="Times New Roman" w:hAnsi="Times New Roman"/>
                <w:sz w:val="24"/>
                <w:szCs w:val="24"/>
              </w:rPr>
              <w:t xml:space="preserve">（限添加了着色剂的产品） </w:t>
            </w:r>
          </w:p>
        </w:tc>
        <w:tc>
          <w:tcPr>
            <w:tcW w:w="1332" w:type="pct"/>
            <w:tcBorders>
              <w:top w:val="single" w:color="auto" w:sz="4" w:space="0"/>
              <w:left w:val="single" w:color="auto" w:sz="4" w:space="0"/>
              <w:bottom w:val="single" w:color="auto" w:sz="4" w:space="0"/>
              <w:right w:val="single" w:color="auto" w:sz="4" w:space="0"/>
            </w:tcBorders>
            <w:vAlign w:val="center"/>
          </w:tcPr>
          <w:p w14:paraId="4FB07B85">
            <w:pPr>
              <w:spacing w:line="300" w:lineRule="auto"/>
              <w:jc w:val="center"/>
              <w:rPr>
                <w:rFonts w:hint="eastAsia" w:ascii="Times New Roman" w:hAnsi="Times New Roman" w:eastAsia="宋体"/>
                <w:sz w:val="24"/>
                <w:szCs w:val="24"/>
                <w:lang w:eastAsia="zh-CN"/>
              </w:rPr>
            </w:pPr>
            <w:r>
              <w:rPr>
                <w:rFonts w:hint="eastAsia" w:ascii="Times New Roman" w:hAnsi="Times New Roman"/>
                <w:sz w:val="24"/>
                <w:szCs w:val="24"/>
                <w:lang w:eastAsia="zh-CN"/>
              </w:rPr>
              <w:t>GB 4806.7-2023</w:t>
            </w:r>
          </w:p>
        </w:tc>
        <w:tc>
          <w:tcPr>
            <w:tcW w:w="1386" w:type="pct"/>
            <w:tcBorders>
              <w:top w:val="single" w:color="auto" w:sz="4" w:space="0"/>
              <w:left w:val="single" w:color="auto" w:sz="4" w:space="0"/>
              <w:bottom w:val="single" w:color="auto" w:sz="4" w:space="0"/>
              <w:right w:val="single" w:color="auto" w:sz="4" w:space="0"/>
            </w:tcBorders>
            <w:vAlign w:val="center"/>
          </w:tcPr>
          <w:p w14:paraId="505DAE37">
            <w:pPr>
              <w:spacing w:line="300" w:lineRule="auto"/>
              <w:jc w:val="center"/>
              <w:rPr>
                <w:rFonts w:ascii="Times New Roman" w:hAnsi="Times New Roman"/>
                <w:sz w:val="24"/>
                <w:szCs w:val="24"/>
              </w:rPr>
            </w:pPr>
            <w:r>
              <w:rPr>
                <w:rFonts w:ascii="Times New Roman" w:hAnsi="Times New Roman"/>
                <w:sz w:val="24"/>
                <w:szCs w:val="24"/>
              </w:rPr>
              <w:t>GB 31604.7-2023</w:t>
            </w:r>
          </w:p>
        </w:tc>
      </w:tr>
    </w:tbl>
    <w:p w14:paraId="6699FFB6">
      <w:pPr>
        <w:jc w:val="center"/>
        <w:rPr>
          <w:rFonts w:ascii="Times New Roman" w:hAnsi="Times New Roman"/>
          <w:sz w:val="24"/>
          <w:szCs w:val="24"/>
        </w:rPr>
      </w:pPr>
    </w:p>
    <w:p w14:paraId="334D7AED">
      <w:pPr>
        <w:jc w:val="left"/>
        <w:rPr>
          <w:rFonts w:ascii="Times New Roman" w:hAnsi="Times New Roman"/>
          <w:sz w:val="24"/>
          <w:szCs w:val="24"/>
        </w:rPr>
      </w:pPr>
      <w:r>
        <w:rPr>
          <w:rFonts w:hint="eastAsia" w:ascii="Times New Roman" w:hAnsi="Times New Roman"/>
          <w:sz w:val="24"/>
          <w:szCs w:val="24"/>
        </w:rPr>
        <w:t>2.3饮用吸管</w:t>
      </w:r>
    </w:p>
    <w:p w14:paraId="6E7303B3">
      <w:pPr>
        <w:jc w:val="center"/>
        <w:rPr>
          <w:rFonts w:ascii="Times New Roman" w:hAnsi="Times New Roman"/>
          <w:sz w:val="24"/>
          <w:szCs w:val="24"/>
        </w:rPr>
      </w:pPr>
      <w:r>
        <w:rPr>
          <w:rFonts w:hint="eastAsia" w:ascii="Times New Roman" w:hAnsi="Times New Roman"/>
          <w:sz w:val="24"/>
          <w:szCs w:val="24"/>
        </w:rPr>
        <w:t>表4  饮用吸管产品检验项目、依据、方法</w:t>
      </w:r>
    </w:p>
    <w:tbl>
      <w:tblPr>
        <w:tblStyle w:val="4"/>
        <w:tblW w:w="5089"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34"/>
        <w:gridCol w:w="3191"/>
        <w:gridCol w:w="2294"/>
        <w:gridCol w:w="2455"/>
      </w:tblGrid>
      <w:tr w14:paraId="3A1EF1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4" w:hRule="atLeast"/>
          <w:tblHeader/>
          <w:jc w:val="center"/>
        </w:trPr>
        <w:tc>
          <w:tcPr>
            <w:tcW w:w="423" w:type="pct"/>
            <w:vMerge w:val="restart"/>
            <w:vAlign w:val="center"/>
          </w:tcPr>
          <w:p w14:paraId="05A00172">
            <w:pPr>
              <w:jc w:val="center"/>
              <w:rPr>
                <w:rFonts w:ascii="Times New Roman" w:hAnsi="Times New Roman"/>
                <w:sz w:val="24"/>
                <w:szCs w:val="24"/>
              </w:rPr>
            </w:pPr>
            <w:r>
              <w:rPr>
                <w:rFonts w:ascii="Times New Roman" w:hAnsi="Times New Roman"/>
                <w:sz w:val="24"/>
                <w:szCs w:val="24"/>
              </w:rPr>
              <w:t>序号</w:t>
            </w:r>
          </w:p>
        </w:tc>
        <w:tc>
          <w:tcPr>
            <w:tcW w:w="1839" w:type="pct"/>
            <w:vMerge w:val="restart"/>
            <w:vAlign w:val="center"/>
          </w:tcPr>
          <w:p w14:paraId="588A8305">
            <w:pPr>
              <w:jc w:val="center"/>
              <w:rPr>
                <w:rFonts w:ascii="Times New Roman" w:hAnsi="Times New Roman"/>
                <w:sz w:val="24"/>
                <w:szCs w:val="24"/>
              </w:rPr>
            </w:pPr>
            <w:r>
              <w:rPr>
                <w:rFonts w:ascii="Times New Roman" w:hAnsi="Times New Roman"/>
                <w:sz w:val="24"/>
                <w:szCs w:val="24"/>
              </w:rPr>
              <w:t>检验项目</w:t>
            </w:r>
          </w:p>
        </w:tc>
        <w:tc>
          <w:tcPr>
            <w:tcW w:w="1322" w:type="pct"/>
            <w:vMerge w:val="restart"/>
            <w:vAlign w:val="center"/>
          </w:tcPr>
          <w:p w14:paraId="61D9006C">
            <w:pPr>
              <w:jc w:val="center"/>
              <w:rPr>
                <w:rFonts w:ascii="Times New Roman" w:hAnsi="Times New Roman"/>
                <w:sz w:val="24"/>
                <w:szCs w:val="24"/>
              </w:rPr>
            </w:pPr>
            <w:r>
              <w:rPr>
                <w:rFonts w:ascii="Times New Roman" w:hAnsi="Times New Roman"/>
                <w:sz w:val="24"/>
                <w:szCs w:val="24"/>
              </w:rPr>
              <w:t>依据标准</w:t>
            </w:r>
          </w:p>
        </w:tc>
        <w:tc>
          <w:tcPr>
            <w:tcW w:w="1415" w:type="pct"/>
            <w:vMerge w:val="restart"/>
            <w:vAlign w:val="center"/>
          </w:tcPr>
          <w:p w14:paraId="2B9B475A">
            <w:pPr>
              <w:jc w:val="center"/>
              <w:rPr>
                <w:rFonts w:ascii="Times New Roman" w:hAnsi="Times New Roman"/>
                <w:sz w:val="24"/>
                <w:szCs w:val="24"/>
              </w:rPr>
            </w:pPr>
            <w:r>
              <w:rPr>
                <w:rFonts w:ascii="Times New Roman" w:hAnsi="Times New Roman"/>
                <w:sz w:val="24"/>
                <w:szCs w:val="24"/>
              </w:rPr>
              <w:t>检测方法</w:t>
            </w:r>
          </w:p>
        </w:tc>
      </w:tr>
      <w:tr w14:paraId="2782B3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4" w:hRule="atLeast"/>
          <w:tblHeader/>
          <w:jc w:val="center"/>
        </w:trPr>
        <w:tc>
          <w:tcPr>
            <w:tcW w:w="423" w:type="pct"/>
            <w:vMerge w:val="continue"/>
            <w:vAlign w:val="center"/>
          </w:tcPr>
          <w:p w14:paraId="50F2488E">
            <w:pPr>
              <w:jc w:val="center"/>
              <w:rPr>
                <w:rFonts w:ascii="Times New Roman" w:hAnsi="Times New Roman"/>
                <w:sz w:val="24"/>
                <w:szCs w:val="24"/>
              </w:rPr>
            </w:pPr>
          </w:p>
        </w:tc>
        <w:tc>
          <w:tcPr>
            <w:tcW w:w="1839" w:type="pct"/>
            <w:vMerge w:val="continue"/>
            <w:vAlign w:val="center"/>
          </w:tcPr>
          <w:p w14:paraId="7BC8D6CE">
            <w:pPr>
              <w:jc w:val="center"/>
              <w:rPr>
                <w:rFonts w:ascii="Times New Roman" w:hAnsi="Times New Roman"/>
                <w:sz w:val="24"/>
                <w:szCs w:val="24"/>
              </w:rPr>
            </w:pPr>
          </w:p>
        </w:tc>
        <w:tc>
          <w:tcPr>
            <w:tcW w:w="1322" w:type="pct"/>
            <w:vMerge w:val="continue"/>
            <w:vAlign w:val="center"/>
          </w:tcPr>
          <w:p w14:paraId="366836FC">
            <w:pPr>
              <w:jc w:val="center"/>
              <w:rPr>
                <w:rFonts w:ascii="Times New Roman" w:hAnsi="Times New Roman"/>
                <w:sz w:val="24"/>
                <w:szCs w:val="24"/>
              </w:rPr>
            </w:pPr>
          </w:p>
        </w:tc>
        <w:tc>
          <w:tcPr>
            <w:tcW w:w="1415" w:type="pct"/>
            <w:vMerge w:val="continue"/>
            <w:vAlign w:val="center"/>
          </w:tcPr>
          <w:p w14:paraId="4D3F6C1B">
            <w:pPr>
              <w:jc w:val="center"/>
              <w:rPr>
                <w:rFonts w:ascii="Times New Roman" w:hAnsi="Times New Roman"/>
                <w:sz w:val="24"/>
                <w:szCs w:val="24"/>
              </w:rPr>
            </w:pPr>
          </w:p>
        </w:tc>
      </w:tr>
      <w:tr w14:paraId="37C276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 w:hRule="atLeast"/>
          <w:jc w:val="center"/>
        </w:trPr>
        <w:tc>
          <w:tcPr>
            <w:tcW w:w="423" w:type="pct"/>
            <w:vAlign w:val="center"/>
          </w:tcPr>
          <w:p w14:paraId="6D70F576">
            <w:pPr>
              <w:jc w:val="center"/>
              <w:rPr>
                <w:rFonts w:ascii="Times New Roman" w:hAnsi="Times New Roman"/>
                <w:sz w:val="24"/>
                <w:szCs w:val="24"/>
              </w:rPr>
            </w:pPr>
            <w:r>
              <w:rPr>
                <w:rFonts w:ascii="Times New Roman" w:hAnsi="Times New Roman"/>
                <w:sz w:val="24"/>
                <w:szCs w:val="24"/>
              </w:rPr>
              <w:t>1</w:t>
            </w:r>
          </w:p>
        </w:tc>
        <w:tc>
          <w:tcPr>
            <w:tcW w:w="1839" w:type="pct"/>
            <w:vAlign w:val="center"/>
          </w:tcPr>
          <w:p w14:paraId="719E0991">
            <w:pPr>
              <w:jc w:val="center"/>
              <w:rPr>
                <w:rFonts w:ascii="Times New Roman" w:hAnsi="Times New Roman"/>
                <w:sz w:val="24"/>
                <w:szCs w:val="24"/>
              </w:rPr>
            </w:pPr>
            <w:r>
              <w:rPr>
                <w:rFonts w:ascii="Times New Roman" w:hAnsi="Times New Roman"/>
                <w:sz w:val="24"/>
                <w:szCs w:val="24"/>
              </w:rPr>
              <w:t>感官要求</w:t>
            </w:r>
          </w:p>
        </w:tc>
        <w:tc>
          <w:tcPr>
            <w:tcW w:w="1322" w:type="pct"/>
            <w:vAlign w:val="center"/>
          </w:tcPr>
          <w:p w14:paraId="12EAC3BC">
            <w:pPr>
              <w:spacing w:line="300" w:lineRule="auto"/>
              <w:jc w:val="center"/>
              <w:rPr>
                <w:rFonts w:hint="eastAsia" w:ascii="Times New Roman" w:hAnsi="Times New Roman" w:eastAsia="宋体"/>
                <w:sz w:val="24"/>
                <w:szCs w:val="24"/>
                <w:lang w:eastAsia="zh-CN"/>
              </w:rPr>
            </w:pPr>
            <w:r>
              <w:rPr>
                <w:rFonts w:hint="eastAsia" w:ascii="Times New Roman" w:hAnsi="Times New Roman"/>
                <w:sz w:val="24"/>
                <w:szCs w:val="24"/>
                <w:lang w:eastAsia="zh-CN"/>
              </w:rPr>
              <w:t>GB 4806.7-2023</w:t>
            </w:r>
          </w:p>
        </w:tc>
        <w:tc>
          <w:tcPr>
            <w:tcW w:w="1415" w:type="pct"/>
            <w:vAlign w:val="center"/>
          </w:tcPr>
          <w:p w14:paraId="3E146E99">
            <w:pPr>
              <w:spacing w:line="300" w:lineRule="auto"/>
              <w:jc w:val="center"/>
              <w:rPr>
                <w:rFonts w:hint="eastAsia" w:ascii="Times New Roman" w:hAnsi="Times New Roman" w:eastAsia="宋体"/>
                <w:sz w:val="24"/>
                <w:szCs w:val="24"/>
                <w:lang w:eastAsia="zh-CN"/>
              </w:rPr>
            </w:pPr>
            <w:r>
              <w:rPr>
                <w:rFonts w:hint="eastAsia" w:ascii="Times New Roman" w:hAnsi="Times New Roman"/>
                <w:sz w:val="24"/>
                <w:szCs w:val="24"/>
                <w:lang w:eastAsia="zh-CN"/>
              </w:rPr>
              <w:t>GB 4806.7-2023</w:t>
            </w:r>
          </w:p>
        </w:tc>
      </w:tr>
      <w:tr w14:paraId="288747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 w:hRule="atLeast"/>
          <w:jc w:val="center"/>
        </w:trPr>
        <w:tc>
          <w:tcPr>
            <w:tcW w:w="423" w:type="pct"/>
            <w:vAlign w:val="center"/>
          </w:tcPr>
          <w:p w14:paraId="2957E40F">
            <w:pPr>
              <w:jc w:val="center"/>
              <w:rPr>
                <w:rFonts w:ascii="Times New Roman" w:hAnsi="Times New Roman"/>
                <w:sz w:val="24"/>
                <w:szCs w:val="24"/>
              </w:rPr>
            </w:pPr>
            <w:r>
              <w:rPr>
                <w:rFonts w:ascii="Times New Roman" w:hAnsi="Times New Roman"/>
                <w:sz w:val="24"/>
                <w:szCs w:val="24"/>
              </w:rPr>
              <w:t>2</w:t>
            </w:r>
          </w:p>
        </w:tc>
        <w:tc>
          <w:tcPr>
            <w:tcW w:w="1839" w:type="pct"/>
            <w:vAlign w:val="center"/>
          </w:tcPr>
          <w:p w14:paraId="1045D29A">
            <w:pPr>
              <w:jc w:val="center"/>
              <w:rPr>
                <w:rFonts w:ascii="Times New Roman" w:hAnsi="Times New Roman"/>
                <w:sz w:val="24"/>
                <w:szCs w:val="24"/>
              </w:rPr>
            </w:pPr>
            <w:r>
              <w:rPr>
                <w:rFonts w:ascii="Times New Roman" w:hAnsi="Times New Roman"/>
                <w:sz w:val="24"/>
                <w:szCs w:val="24"/>
              </w:rPr>
              <w:t>总迁移量</w:t>
            </w:r>
          </w:p>
        </w:tc>
        <w:tc>
          <w:tcPr>
            <w:tcW w:w="1322" w:type="pct"/>
            <w:vAlign w:val="top"/>
          </w:tcPr>
          <w:p w14:paraId="2CAC35AE">
            <w:pPr>
              <w:spacing w:line="300" w:lineRule="auto"/>
              <w:jc w:val="center"/>
              <w:rPr>
                <w:rFonts w:hint="eastAsia" w:ascii="Times New Roman" w:hAnsi="Times New Roman" w:eastAsia="宋体"/>
                <w:sz w:val="24"/>
                <w:szCs w:val="24"/>
                <w:lang w:eastAsia="zh-CN"/>
              </w:rPr>
            </w:pPr>
            <w:r>
              <w:rPr>
                <w:rFonts w:hint="eastAsia" w:ascii="Times New Roman" w:hAnsi="Times New Roman"/>
                <w:sz w:val="24"/>
                <w:szCs w:val="24"/>
                <w:lang w:eastAsia="zh-CN"/>
              </w:rPr>
              <w:t>GB 4806.7-2023</w:t>
            </w:r>
          </w:p>
        </w:tc>
        <w:tc>
          <w:tcPr>
            <w:tcW w:w="1415" w:type="pct"/>
            <w:vAlign w:val="center"/>
          </w:tcPr>
          <w:p w14:paraId="4B8091C4">
            <w:pPr>
              <w:spacing w:line="300" w:lineRule="auto"/>
              <w:jc w:val="center"/>
              <w:rPr>
                <w:rFonts w:ascii="Times New Roman" w:hAnsi="Times New Roman"/>
                <w:sz w:val="24"/>
                <w:szCs w:val="24"/>
              </w:rPr>
            </w:pPr>
            <w:r>
              <w:rPr>
                <w:rFonts w:ascii="Times New Roman" w:hAnsi="Times New Roman"/>
                <w:sz w:val="24"/>
                <w:szCs w:val="24"/>
              </w:rPr>
              <w:t>GB 31604.8-2021</w:t>
            </w:r>
          </w:p>
        </w:tc>
      </w:tr>
      <w:tr w14:paraId="358C69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 w:hRule="atLeast"/>
          <w:jc w:val="center"/>
        </w:trPr>
        <w:tc>
          <w:tcPr>
            <w:tcW w:w="423" w:type="pct"/>
            <w:vAlign w:val="center"/>
          </w:tcPr>
          <w:p w14:paraId="1EE0AD08">
            <w:pPr>
              <w:jc w:val="center"/>
              <w:rPr>
                <w:rFonts w:ascii="Times New Roman" w:hAnsi="Times New Roman"/>
                <w:sz w:val="24"/>
                <w:szCs w:val="24"/>
              </w:rPr>
            </w:pPr>
            <w:r>
              <w:rPr>
                <w:rFonts w:ascii="Times New Roman" w:hAnsi="Times New Roman"/>
                <w:sz w:val="24"/>
                <w:szCs w:val="24"/>
              </w:rPr>
              <w:t>3</w:t>
            </w:r>
          </w:p>
        </w:tc>
        <w:tc>
          <w:tcPr>
            <w:tcW w:w="1839" w:type="pct"/>
            <w:vAlign w:val="center"/>
          </w:tcPr>
          <w:p w14:paraId="44DB9959">
            <w:pPr>
              <w:jc w:val="center"/>
              <w:rPr>
                <w:rFonts w:ascii="Times New Roman" w:hAnsi="Times New Roman"/>
                <w:sz w:val="24"/>
                <w:szCs w:val="24"/>
              </w:rPr>
            </w:pPr>
            <w:r>
              <w:rPr>
                <w:rFonts w:ascii="Times New Roman" w:hAnsi="Times New Roman"/>
                <w:sz w:val="24"/>
                <w:szCs w:val="24"/>
              </w:rPr>
              <w:t>高锰酸钾消耗量</w:t>
            </w:r>
          </w:p>
        </w:tc>
        <w:tc>
          <w:tcPr>
            <w:tcW w:w="1322" w:type="pct"/>
            <w:vAlign w:val="center"/>
          </w:tcPr>
          <w:p w14:paraId="2C02D75E">
            <w:pPr>
              <w:spacing w:line="300" w:lineRule="auto"/>
              <w:jc w:val="center"/>
              <w:rPr>
                <w:rFonts w:hint="eastAsia" w:ascii="Times New Roman" w:hAnsi="Times New Roman" w:eastAsia="宋体"/>
                <w:sz w:val="24"/>
                <w:szCs w:val="24"/>
                <w:lang w:eastAsia="zh-CN"/>
              </w:rPr>
            </w:pPr>
            <w:r>
              <w:rPr>
                <w:rFonts w:hint="eastAsia" w:ascii="Times New Roman" w:hAnsi="Times New Roman"/>
                <w:sz w:val="24"/>
                <w:szCs w:val="24"/>
                <w:lang w:eastAsia="zh-CN"/>
              </w:rPr>
              <w:t>GB 4806.7-2023</w:t>
            </w:r>
          </w:p>
        </w:tc>
        <w:tc>
          <w:tcPr>
            <w:tcW w:w="1415" w:type="pct"/>
            <w:vAlign w:val="center"/>
          </w:tcPr>
          <w:p w14:paraId="074B9F77">
            <w:pPr>
              <w:spacing w:line="300" w:lineRule="auto"/>
              <w:jc w:val="center"/>
              <w:rPr>
                <w:rFonts w:ascii="Times New Roman" w:hAnsi="Times New Roman"/>
                <w:sz w:val="24"/>
                <w:szCs w:val="24"/>
              </w:rPr>
            </w:pPr>
            <w:r>
              <w:rPr>
                <w:rFonts w:ascii="Times New Roman" w:hAnsi="Times New Roman"/>
                <w:sz w:val="24"/>
                <w:szCs w:val="24"/>
              </w:rPr>
              <w:t>GB 31604.2-2016</w:t>
            </w:r>
          </w:p>
        </w:tc>
      </w:tr>
      <w:tr w14:paraId="1D558B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 w:hRule="atLeast"/>
          <w:jc w:val="center"/>
        </w:trPr>
        <w:tc>
          <w:tcPr>
            <w:tcW w:w="423" w:type="pct"/>
            <w:vAlign w:val="center"/>
          </w:tcPr>
          <w:p w14:paraId="185CD311">
            <w:pPr>
              <w:jc w:val="center"/>
              <w:rPr>
                <w:rFonts w:ascii="Times New Roman" w:hAnsi="Times New Roman"/>
                <w:sz w:val="24"/>
                <w:szCs w:val="24"/>
              </w:rPr>
            </w:pPr>
            <w:r>
              <w:rPr>
                <w:rFonts w:ascii="Times New Roman" w:hAnsi="Times New Roman"/>
                <w:sz w:val="24"/>
                <w:szCs w:val="24"/>
              </w:rPr>
              <w:t>4</w:t>
            </w:r>
          </w:p>
        </w:tc>
        <w:tc>
          <w:tcPr>
            <w:tcW w:w="1839" w:type="pct"/>
            <w:vAlign w:val="center"/>
          </w:tcPr>
          <w:p w14:paraId="229EC00B">
            <w:pPr>
              <w:jc w:val="center"/>
              <w:rPr>
                <w:rFonts w:ascii="Times New Roman" w:hAnsi="Times New Roman"/>
                <w:sz w:val="24"/>
                <w:szCs w:val="24"/>
              </w:rPr>
            </w:pPr>
            <w:r>
              <w:rPr>
                <w:rFonts w:ascii="Times New Roman" w:hAnsi="Times New Roman"/>
                <w:sz w:val="24"/>
                <w:szCs w:val="24"/>
              </w:rPr>
              <w:t>重金属（以Pb计）</w:t>
            </w:r>
          </w:p>
        </w:tc>
        <w:tc>
          <w:tcPr>
            <w:tcW w:w="1322" w:type="pct"/>
            <w:vAlign w:val="center"/>
          </w:tcPr>
          <w:p w14:paraId="2F19A42E">
            <w:pPr>
              <w:spacing w:line="300" w:lineRule="auto"/>
              <w:jc w:val="center"/>
              <w:rPr>
                <w:rFonts w:hint="eastAsia" w:ascii="Times New Roman" w:hAnsi="Times New Roman" w:eastAsia="宋体"/>
                <w:sz w:val="24"/>
                <w:szCs w:val="24"/>
                <w:lang w:eastAsia="zh-CN"/>
              </w:rPr>
            </w:pPr>
            <w:r>
              <w:rPr>
                <w:rFonts w:hint="eastAsia" w:ascii="Times New Roman" w:hAnsi="Times New Roman"/>
                <w:sz w:val="24"/>
                <w:szCs w:val="24"/>
                <w:lang w:eastAsia="zh-CN"/>
              </w:rPr>
              <w:t>GB 4806.7-2023</w:t>
            </w:r>
          </w:p>
        </w:tc>
        <w:tc>
          <w:tcPr>
            <w:tcW w:w="1415" w:type="pct"/>
            <w:vAlign w:val="center"/>
          </w:tcPr>
          <w:p w14:paraId="7F694485">
            <w:pPr>
              <w:spacing w:line="300" w:lineRule="auto"/>
              <w:jc w:val="center"/>
              <w:rPr>
                <w:rFonts w:ascii="Times New Roman" w:hAnsi="Times New Roman"/>
                <w:sz w:val="24"/>
                <w:szCs w:val="24"/>
              </w:rPr>
            </w:pPr>
            <w:r>
              <w:rPr>
                <w:rFonts w:ascii="Times New Roman" w:hAnsi="Times New Roman"/>
                <w:sz w:val="24"/>
                <w:szCs w:val="24"/>
              </w:rPr>
              <w:t>GB 31604.9-2016</w:t>
            </w:r>
          </w:p>
        </w:tc>
      </w:tr>
      <w:tr w14:paraId="75F913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 w:hRule="atLeast"/>
          <w:jc w:val="center"/>
        </w:trPr>
        <w:tc>
          <w:tcPr>
            <w:tcW w:w="423" w:type="pct"/>
            <w:vAlign w:val="center"/>
          </w:tcPr>
          <w:p w14:paraId="13B296EA">
            <w:pPr>
              <w:jc w:val="center"/>
              <w:rPr>
                <w:rFonts w:ascii="Times New Roman" w:hAnsi="Times New Roman"/>
                <w:sz w:val="24"/>
                <w:szCs w:val="24"/>
              </w:rPr>
            </w:pPr>
            <w:r>
              <w:rPr>
                <w:rFonts w:ascii="Times New Roman" w:hAnsi="Times New Roman"/>
                <w:sz w:val="24"/>
                <w:szCs w:val="24"/>
              </w:rPr>
              <w:t>5</w:t>
            </w:r>
          </w:p>
        </w:tc>
        <w:tc>
          <w:tcPr>
            <w:tcW w:w="1839" w:type="pct"/>
            <w:vAlign w:val="center"/>
          </w:tcPr>
          <w:p w14:paraId="01628505">
            <w:pPr>
              <w:jc w:val="center"/>
              <w:rPr>
                <w:rFonts w:ascii="Times New Roman" w:hAnsi="Times New Roman"/>
                <w:sz w:val="24"/>
                <w:szCs w:val="24"/>
              </w:rPr>
            </w:pPr>
            <w:r>
              <w:rPr>
                <w:rFonts w:ascii="Times New Roman" w:hAnsi="Times New Roman"/>
                <w:sz w:val="24"/>
                <w:szCs w:val="24"/>
              </w:rPr>
              <w:t>脱色试验</w:t>
            </w:r>
          </w:p>
          <w:p w14:paraId="07E23ED8">
            <w:pPr>
              <w:jc w:val="center"/>
              <w:rPr>
                <w:rFonts w:ascii="Times New Roman" w:hAnsi="Times New Roman"/>
                <w:sz w:val="24"/>
                <w:szCs w:val="24"/>
              </w:rPr>
            </w:pPr>
            <w:r>
              <w:rPr>
                <w:rFonts w:ascii="Times New Roman" w:hAnsi="Times New Roman"/>
                <w:sz w:val="24"/>
                <w:szCs w:val="24"/>
              </w:rPr>
              <w:t xml:space="preserve">（限添加了着色剂的产品） </w:t>
            </w:r>
          </w:p>
        </w:tc>
        <w:tc>
          <w:tcPr>
            <w:tcW w:w="1322" w:type="pct"/>
            <w:vAlign w:val="center"/>
          </w:tcPr>
          <w:p w14:paraId="2DBE2B56">
            <w:pPr>
              <w:spacing w:line="300" w:lineRule="auto"/>
              <w:jc w:val="center"/>
              <w:rPr>
                <w:rFonts w:hint="eastAsia" w:ascii="Times New Roman" w:hAnsi="Times New Roman" w:eastAsia="宋体"/>
                <w:sz w:val="24"/>
                <w:szCs w:val="24"/>
                <w:lang w:eastAsia="zh-CN"/>
              </w:rPr>
            </w:pPr>
            <w:r>
              <w:rPr>
                <w:rFonts w:hint="eastAsia" w:ascii="Times New Roman" w:hAnsi="Times New Roman"/>
                <w:sz w:val="24"/>
                <w:szCs w:val="24"/>
                <w:lang w:eastAsia="zh-CN"/>
              </w:rPr>
              <w:t>GB 4806.7-2023</w:t>
            </w:r>
          </w:p>
        </w:tc>
        <w:tc>
          <w:tcPr>
            <w:tcW w:w="1415" w:type="pct"/>
            <w:vAlign w:val="center"/>
          </w:tcPr>
          <w:p w14:paraId="3EBE007A">
            <w:pPr>
              <w:spacing w:line="300" w:lineRule="auto"/>
              <w:jc w:val="center"/>
              <w:rPr>
                <w:rFonts w:ascii="Times New Roman" w:hAnsi="Times New Roman"/>
                <w:sz w:val="24"/>
                <w:szCs w:val="24"/>
              </w:rPr>
            </w:pPr>
            <w:r>
              <w:rPr>
                <w:rFonts w:ascii="Times New Roman" w:hAnsi="Times New Roman"/>
                <w:sz w:val="24"/>
                <w:szCs w:val="24"/>
              </w:rPr>
              <w:t>GB 31604.7-2023</w:t>
            </w:r>
          </w:p>
        </w:tc>
      </w:tr>
    </w:tbl>
    <w:p w14:paraId="68F2565A">
      <w:pPr>
        <w:snapToGrid w:val="0"/>
        <w:spacing w:line="500" w:lineRule="exact"/>
        <w:ind w:firstLine="480" w:firstLineChars="200"/>
        <w:rPr>
          <w:rFonts w:ascii="宋体" w:hAnsi="宋体" w:cs="宋体"/>
          <w:color w:val="000000"/>
          <w:sz w:val="24"/>
          <w:szCs w:val="24"/>
        </w:rPr>
      </w:pPr>
      <w:r>
        <w:rPr>
          <w:rFonts w:ascii="宋体" w:hAnsi="宋体" w:cs="宋体"/>
          <w:color w:val="000000"/>
          <w:sz w:val="24"/>
          <w:szCs w:val="24"/>
        </w:rPr>
        <w:t>执行企业标准、团体标准、地方标准的产品，检验项目参照上述内容执行。</w:t>
      </w:r>
    </w:p>
    <w:p w14:paraId="2C418BCF">
      <w:pPr>
        <w:snapToGrid w:val="0"/>
        <w:spacing w:line="500" w:lineRule="exact"/>
        <w:ind w:firstLine="480" w:firstLineChars="200"/>
        <w:rPr>
          <w:rFonts w:ascii="宋体" w:hAnsi="宋体" w:cs="宋体"/>
          <w:color w:val="000000"/>
          <w:sz w:val="24"/>
          <w:szCs w:val="24"/>
        </w:rPr>
      </w:pPr>
      <w:r>
        <w:rPr>
          <w:rFonts w:ascii="宋体" w:hAnsi="宋体" w:cs="宋体"/>
          <w:color w:val="000000"/>
          <w:sz w:val="24"/>
          <w:szCs w:val="24"/>
        </w:rPr>
        <w:t>凡是注日期的文件，其随后所有的修改单（不包括勘误的内容）或修订版不适用于本细则。凡是不注日期的文件，其最新版本适用于本细则。</w:t>
      </w:r>
    </w:p>
    <w:p w14:paraId="52ED9C47">
      <w:pPr>
        <w:spacing w:line="360" w:lineRule="auto"/>
        <w:rPr>
          <w:rFonts w:ascii="Times New Roman" w:hAnsi="Times New Roman"/>
          <w:b/>
          <w:color w:val="000000"/>
          <w:sz w:val="24"/>
          <w:szCs w:val="24"/>
        </w:rPr>
      </w:pPr>
      <w:r>
        <w:rPr>
          <w:rFonts w:ascii="Times New Roman" w:hAnsi="Times New Roman"/>
          <w:b/>
          <w:color w:val="000000"/>
          <w:sz w:val="24"/>
          <w:szCs w:val="24"/>
        </w:rPr>
        <w:t>3 判定规则</w:t>
      </w:r>
    </w:p>
    <w:p w14:paraId="400443FC">
      <w:pPr>
        <w:snapToGrid w:val="0"/>
        <w:spacing w:line="440" w:lineRule="exact"/>
        <w:rPr>
          <w:rFonts w:ascii="Times New Roman" w:hAnsi="Times New Roman"/>
          <w:color w:val="000000"/>
          <w:sz w:val="24"/>
          <w:szCs w:val="24"/>
        </w:rPr>
      </w:pPr>
      <w:r>
        <w:rPr>
          <w:rFonts w:ascii="Times New Roman" w:hAnsi="Times New Roman"/>
          <w:b/>
          <w:color w:val="000000"/>
          <w:sz w:val="24"/>
          <w:szCs w:val="24"/>
        </w:rPr>
        <w:t>3.1依据标准</w:t>
      </w:r>
    </w:p>
    <w:p w14:paraId="6FA71237">
      <w:pPr>
        <w:spacing w:line="360" w:lineRule="auto"/>
        <w:ind w:firstLine="480" w:firstLineChars="200"/>
        <w:jc w:val="left"/>
        <w:rPr>
          <w:rFonts w:ascii="Times New Roman" w:hAnsi="Times New Roman" w:cs="Times New Roman"/>
          <w:sz w:val="24"/>
        </w:rPr>
      </w:pPr>
      <w:bookmarkStart w:id="0" w:name="_GoBack"/>
      <w:bookmarkEnd w:id="0"/>
      <w:r>
        <w:rPr>
          <w:rFonts w:ascii="Times New Roman" w:hAnsi="Times New Roman" w:cs="Times New Roman"/>
          <w:sz w:val="24"/>
        </w:rPr>
        <w:t>GB 4806.7-20</w:t>
      </w:r>
      <w:r>
        <w:rPr>
          <w:rFonts w:hint="eastAsia" w:ascii="Times New Roman" w:hAnsi="Times New Roman" w:cs="Times New Roman"/>
          <w:sz w:val="24"/>
        </w:rPr>
        <w:t>23</w:t>
      </w:r>
      <w:r>
        <w:rPr>
          <w:rFonts w:ascii="Times New Roman" w:hAnsi="Times New Roman" w:cs="Times New Roman"/>
          <w:sz w:val="24"/>
        </w:rPr>
        <w:t xml:space="preserve">  食品安全国家标准 食品接触用塑料材料及制品</w:t>
      </w:r>
    </w:p>
    <w:p w14:paraId="346B1373">
      <w:pPr>
        <w:spacing w:line="360" w:lineRule="auto"/>
        <w:ind w:firstLine="420" w:firstLineChars="200"/>
        <w:jc w:val="left"/>
        <w:rPr>
          <w:rFonts w:ascii="Times New Roman" w:hAnsi="Times New Roman"/>
          <w:sz w:val="24"/>
        </w:rPr>
      </w:pPr>
      <w:r>
        <w:fldChar w:fldCharType="begin"/>
      </w:r>
      <w:r>
        <w:instrText xml:space="preserve"> HYPERLINK "http://www.bzsb.info/javascript:void(0);" </w:instrText>
      </w:r>
      <w:r>
        <w:fldChar w:fldCharType="separate"/>
      </w:r>
      <w:r>
        <w:rPr>
          <w:rFonts w:ascii="Times New Roman" w:hAnsi="Times New Roman"/>
          <w:sz w:val="24"/>
        </w:rPr>
        <w:t>GB/T 18006.1-2009</w:t>
      </w:r>
      <w:r>
        <w:rPr>
          <w:rFonts w:ascii="Times New Roman" w:hAnsi="Times New Roman"/>
          <w:sz w:val="24"/>
        </w:rPr>
        <w:fldChar w:fldCharType="end"/>
      </w:r>
      <w:r>
        <w:rPr>
          <w:rFonts w:ascii="Times New Roman" w:hAnsi="Times New Roman"/>
          <w:sz w:val="24"/>
        </w:rPr>
        <w:t xml:space="preserve"> 塑料一次性餐饮具通用技术要求</w:t>
      </w:r>
    </w:p>
    <w:p w14:paraId="6E61D3F0">
      <w:pPr>
        <w:adjustRightInd w:val="0"/>
        <w:spacing w:line="360" w:lineRule="auto"/>
        <w:ind w:firstLine="480" w:firstLineChars="200"/>
        <w:jc w:val="left"/>
        <w:rPr>
          <w:rFonts w:ascii="Times New Roman" w:hAnsi="Times New Roman"/>
          <w:kern w:val="0"/>
          <w:sz w:val="24"/>
        </w:rPr>
      </w:pPr>
      <w:r>
        <w:rPr>
          <w:rFonts w:ascii="Times New Roman" w:hAnsi="Times New Roman"/>
          <w:kern w:val="0"/>
          <w:sz w:val="24"/>
        </w:rPr>
        <w:t>GB/T 24693-2009 聚丙烯饮用吸管</w:t>
      </w:r>
    </w:p>
    <w:p w14:paraId="41FE5BD3">
      <w:pPr>
        <w:adjustRightInd w:val="0"/>
        <w:spacing w:line="360" w:lineRule="auto"/>
        <w:ind w:firstLine="480" w:firstLineChars="200"/>
        <w:rPr>
          <w:rFonts w:ascii="Times New Roman" w:hAnsi="Times New Roman"/>
          <w:sz w:val="24"/>
        </w:rPr>
      </w:pPr>
      <w:r>
        <w:rPr>
          <w:rFonts w:ascii="Times New Roman" w:hAnsi="Times New Roman"/>
          <w:sz w:val="24"/>
        </w:rPr>
        <w:t>现行有效的企业标准、团体标准、地方标准及产品明示质量要求。</w:t>
      </w:r>
    </w:p>
    <w:p w14:paraId="33435174">
      <w:pPr>
        <w:snapToGrid w:val="0"/>
        <w:spacing w:line="440" w:lineRule="exact"/>
        <w:rPr>
          <w:rFonts w:ascii="Times New Roman" w:hAnsi="Times New Roman"/>
          <w:b/>
          <w:color w:val="000000"/>
          <w:sz w:val="24"/>
          <w:szCs w:val="24"/>
        </w:rPr>
      </w:pPr>
      <w:r>
        <w:rPr>
          <w:rFonts w:ascii="Times New Roman" w:hAnsi="Times New Roman"/>
          <w:b/>
          <w:color w:val="000000"/>
          <w:sz w:val="24"/>
          <w:szCs w:val="24"/>
        </w:rPr>
        <w:t>3.2判定原则</w:t>
      </w:r>
    </w:p>
    <w:p w14:paraId="6EB8CA45">
      <w:pPr>
        <w:snapToGrid w:val="0"/>
        <w:spacing w:line="440" w:lineRule="exact"/>
        <w:ind w:firstLine="480" w:firstLineChars="200"/>
        <w:rPr>
          <w:rFonts w:ascii="宋体" w:hAnsi="宋体" w:cs="宋体"/>
          <w:color w:val="000000"/>
          <w:sz w:val="24"/>
          <w:szCs w:val="24"/>
        </w:rPr>
      </w:pPr>
      <w:r>
        <w:rPr>
          <w:rFonts w:hint="eastAsia" w:ascii="宋体" w:hAnsi="宋体" w:cs="宋体"/>
          <w:color w:val="000000"/>
          <w:sz w:val="24"/>
          <w:szCs w:val="24"/>
        </w:rPr>
        <w:t>经检验，检验项目全部合格，判定为被抽查产品所检项目未发现不合格；检验项目中任一项或一项以上不合格，判定为被抽查产品不合格。</w:t>
      </w:r>
    </w:p>
    <w:p w14:paraId="4670428F">
      <w:pPr>
        <w:snapToGrid w:val="0"/>
        <w:spacing w:line="440" w:lineRule="exact"/>
        <w:ind w:firstLine="480" w:firstLineChars="200"/>
        <w:rPr>
          <w:rFonts w:ascii="宋体" w:hAnsi="宋体" w:cs="宋体"/>
          <w:color w:val="000000"/>
          <w:sz w:val="24"/>
          <w:szCs w:val="24"/>
        </w:rPr>
      </w:pPr>
      <w:r>
        <w:rPr>
          <w:rFonts w:hint="eastAsia" w:ascii="宋体" w:hAnsi="宋体" w:cs="宋体"/>
          <w:color w:val="000000"/>
          <w:sz w:val="24"/>
          <w:szCs w:val="24"/>
        </w:rPr>
        <w:t>若被检产品明示的质量要求高于本细则中检验项目依据的标准要求时，应按被检产品明示的质量要求判定。</w:t>
      </w:r>
    </w:p>
    <w:p w14:paraId="5969A8FF">
      <w:pPr>
        <w:snapToGrid w:val="0"/>
        <w:spacing w:line="440" w:lineRule="exact"/>
        <w:ind w:firstLine="480" w:firstLineChars="200"/>
        <w:rPr>
          <w:rFonts w:ascii="宋体" w:hAnsi="宋体" w:cs="宋体"/>
          <w:color w:val="000000"/>
          <w:sz w:val="24"/>
          <w:szCs w:val="24"/>
        </w:rPr>
      </w:pPr>
      <w:r>
        <w:rPr>
          <w:rFonts w:hint="eastAsia" w:ascii="宋体" w:hAnsi="宋体" w:cs="宋体"/>
          <w:color w:val="000000"/>
          <w:sz w:val="24"/>
          <w:szCs w:val="24"/>
        </w:rPr>
        <w:t>若被检产品明示的质量要求低于本细则中检验项目依据的强制性标准要求时，应按照强制性标准要求判定。</w:t>
      </w:r>
    </w:p>
    <w:p w14:paraId="146400A7">
      <w:pPr>
        <w:snapToGrid w:val="0"/>
        <w:spacing w:line="440" w:lineRule="exact"/>
        <w:ind w:firstLine="480" w:firstLineChars="200"/>
        <w:rPr>
          <w:rFonts w:ascii="宋体" w:hAnsi="宋体" w:cs="宋体"/>
          <w:color w:val="000000"/>
          <w:sz w:val="24"/>
          <w:szCs w:val="24"/>
        </w:rPr>
      </w:pPr>
      <w:r>
        <w:rPr>
          <w:rFonts w:hint="eastAsia" w:ascii="宋体" w:hAnsi="宋体" w:cs="宋体"/>
          <w:color w:val="000000"/>
          <w:sz w:val="24"/>
          <w:szCs w:val="24"/>
        </w:rPr>
        <w:t>若被检产品明示的质量要求低于或包含本细则中检验项目依据的推荐性标准要求时，应以被检产品明示的质量要求判定。</w:t>
      </w:r>
    </w:p>
    <w:p w14:paraId="2643B7AB">
      <w:pPr>
        <w:snapToGrid w:val="0"/>
        <w:spacing w:line="440" w:lineRule="exact"/>
        <w:ind w:firstLine="480" w:firstLineChars="200"/>
        <w:rPr>
          <w:rFonts w:ascii="宋体" w:hAnsi="宋体" w:cs="宋体"/>
          <w:color w:val="000000"/>
          <w:sz w:val="24"/>
          <w:szCs w:val="24"/>
        </w:rPr>
      </w:pPr>
      <w:r>
        <w:rPr>
          <w:rFonts w:hint="eastAsia" w:ascii="宋体" w:hAnsi="宋体" w:cs="宋体"/>
          <w:color w:val="000000"/>
          <w:sz w:val="24"/>
          <w:szCs w:val="24"/>
        </w:rPr>
        <w:t>若被检产品明示的质量要求缺少本细则中检验项目依据的强制性标准要求时，应按照强制性标准要求判定。</w:t>
      </w:r>
    </w:p>
    <w:p w14:paraId="79AE620C">
      <w:pPr>
        <w:snapToGrid w:val="0"/>
        <w:spacing w:line="440" w:lineRule="exact"/>
        <w:ind w:firstLine="480" w:firstLineChars="200"/>
        <w:rPr>
          <w:rFonts w:ascii="Times New Roman" w:hAnsi="Times New Roman"/>
          <w:color w:val="000000"/>
          <w:sz w:val="24"/>
          <w:szCs w:val="24"/>
        </w:rPr>
      </w:pPr>
      <w:r>
        <w:rPr>
          <w:rFonts w:hint="eastAsia" w:ascii="宋体" w:hAnsi="宋体" w:cs="宋体"/>
          <w:color w:val="000000"/>
          <w:sz w:val="24"/>
          <w:szCs w:val="24"/>
        </w:rPr>
        <w:t>若被检产品明示的质量要求缺少本细则中检验项目依据的推荐性标准要求时，该项目不参与判定。</w:t>
      </w:r>
    </w:p>
    <w:sectPr>
      <w:footerReference r:id="rId3" w:type="default"/>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A00002EF" w:usb1="4000207B" w:usb2="00000000" w:usb3="00000000" w:csb0="2000009F" w:csb1="00000000"/>
  </w:font>
  <w:font w:name="Verdana">
    <w:panose1 w:val="020B0604030504040204"/>
    <w:charset w:val="00"/>
    <w:family w:val="swiss"/>
    <w:pitch w:val="default"/>
    <w:sig w:usb0="A10006FF" w:usb1="4000205B" w:usb2="0000001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910274">
    <w:pPr>
      <w:pStyle w:val="2"/>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58420" cy="139700"/>
              <wp:effectExtent l="0" t="0" r="0" b="0"/>
              <wp:wrapNone/>
              <wp:docPr id="1859485283" name="文本框 1025"/>
              <wp:cNvGraphicFramePr/>
              <a:graphic xmlns:a="http://schemas.openxmlformats.org/drawingml/2006/main">
                <a:graphicData uri="http://schemas.microsoft.com/office/word/2010/wordprocessingShape">
                  <wps:wsp>
                    <wps:cNvSpPr txBox="1">
                      <a:spLocks noChangeArrowheads="1"/>
                    </wps:cNvSpPr>
                    <wps:spPr bwMode="auto">
                      <a:xfrm>
                        <a:off x="0" y="0"/>
                        <a:ext cx="58420" cy="139700"/>
                      </a:xfrm>
                      <a:prstGeom prst="rect">
                        <a:avLst/>
                      </a:prstGeom>
                      <a:noFill/>
                      <a:ln>
                        <a:noFill/>
                      </a:ln>
                    </wps:spPr>
                    <wps:txbx>
                      <w:txbxContent>
                        <w:p w14:paraId="5EBFBAA6">
                          <w:pPr>
                            <w:pStyle w:val="2"/>
                          </w:pPr>
                          <w:r>
                            <w:fldChar w:fldCharType="begin"/>
                          </w:r>
                          <w:r>
                            <w:instrText xml:space="preserve"> PAGE  \* MERGEFORMAT </w:instrText>
                          </w:r>
                          <w:r>
                            <w:fldChar w:fldCharType="separate"/>
                          </w:r>
                          <w:r>
                            <w:t>1</w:t>
                          </w:r>
                          <w:r>
                            <w:fldChar w:fldCharType="end"/>
                          </w:r>
                        </w:p>
                      </w:txbxContent>
                    </wps:txbx>
                    <wps:bodyPr rot="0" vert="horz" wrap="none" lIns="0" tIns="0" rIns="0" bIns="0" anchor="t" anchorCtr="0" upright="1">
                      <a:spAutoFit/>
                    </wps:bodyPr>
                  </wps:wsp>
                </a:graphicData>
              </a:graphic>
            </wp:anchor>
          </w:drawing>
        </mc:Choice>
        <mc:Fallback>
          <w:pict>
            <v:shape id="文本框 1025" o:spid="_x0000_s1026" o:spt="202" type="#_x0000_t202" style="position:absolute;left:0pt;margin-top:0pt;height:11pt;width:4.6pt;mso-position-horizontal:center;mso-position-horizontal-relative:margin;mso-wrap-style:none;z-index:251659264;mso-width-relative:page;mso-height-relative:page;" filled="f" stroked="f" coordsize="21600,21600" o:gfxdata="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">
              <v:fill on="f" focussize="0,0"/>
              <v:stroke on="f"/>
              <v:imagedata o:title=""/>
              <o:lock v:ext="edit" aspectratio="f"/>
              <v:textbox inset="0mm,0mm,0mm,0mm" style="mso-fit-shape-to-text:t;">
                <w:txbxContent>
                  <w:p w14:paraId="5EBFBAA6">
                    <w:pPr>
                      <w:pStyle w:val="2"/>
                    </w:pPr>
                    <w:r>
                      <w:fldChar w:fldCharType="begin"/>
                    </w:r>
                    <w:r>
                      <w:instrText xml:space="preserve"> PAGE  \* MERGEFORMAT </w:instrText>
                    </w:r>
                    <w:r>
                      <w:fldChar w:fldCharType="separate"/>
                    </w:r>
                    <w:r>
                      <w:t>1</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7DE0D37"/>
    <w:multiLevelType w:val="multilevel"/>
    <w:tmpl w:val="07DE0D37"/>
    <w:lvl w:ilvl="0" w:tentative="0">
      <w:start w:val="2"/>
      <w:numFmt w:val="decimal"/>
      <w:lvlText w:val="%1"/>
      <w:lvlJc w:val="left"/>
      <w:pPr>
        <w:ind w:left="360" w:hanging="360"/>
      </w:pPr>
      <w:rPr>
        <w:rFonts w:hint="default"/>
      </w:r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DMwODViY2ViZWQ4YmRiMTI4MzMxMjFkNGVlMDY5NzQifQ=="/>
  </w:docVars>
  <w:rsids>
    <w:rsidRoot w:val="006F1AF3"/>
    <w:rsid w:val="00010091"/>
    <w:rsid w:val="000A78B4"/>
    <w:rsid w:val="000D374E"/>
    <w:rsid w:val="00145170"/>
    <w:rsid w:val="0016489C"/>
    <w:rsid w:val="001672FB"/>
    <w:rsid w:val="001E0F69"/>
    <w:rsid w:val="002272B5"/>
    <w:rsid w:val="00253385"/>
    <w:rsid w:val="002B5788"/>
    <w:rsid w:val="002F428A"/>
    <w:rsid w:val="00306E13"/>
    <w:rsid w:val="00361EAD"/>
    <w:rsid w:val="00391A10"/>
    <w:rsid w:val="004926BF"/>
    <w:rsid w:val="004B140F"/>
    <w:rsid w:val="004C7C84"/>
    <w:rsid w:val="0052139E"/>
    <w:rsid w:val="00530445"/>
    <w:rsid w:val="005705EB"/>
    <w:rsid w:val="005974E7"/>
    <w:rsid w:val="005A36E3"/>
    <w:rsid w:val="00627835"/>
    <w:rsid w:val="00630F87"/>
    <w:rsid w:val="00693487"/>
    <w:rsid w:val="006E797F"/>
    <w:rsid w:val="006F1AF3"/>
    <w:rsid w:val="00781947"/>
    <w:rsid w:val="007C6B21"/>
    <w:rsid w:val="00814FA1"/>
    <w:rsid w:val="0085030A"/>
    <w:rsid w:val="00896F7D"/>
    <w:rsid w:val="008F02C9"/>
    <w:rsid w:val="00914368"/>
    <w:rsid w:val="00916334"/>
    <w:rsid w:val="00962670"/>
    <w:rsid w:val="009940B7"/>
    <w:rsid w:val="009C6DEF"/>
    <w:rsid w:val="00A13565"/>
    <w:rsid w:val="00A5252A"/>
    <w:rsid w:val="00B87FF3"/>
    <w:rsid w:val="00BF29A6"/>
    <w:rsid w:val="00C35E97"/>
    <w:rsid w:val="00C42DFA"/>
    <w:rsid w:val="00C83602"/>
    <w:rsid w:val="00CD6BCE"/>
    <w:rsid w:val="00DE7DAB"/>
    <w:rsid w:val="00E2059F"/>
    <w:rsid w:val="00E41CA9"/>
    <w:rsid w:val="00E443F0"/>
    <w:rsid w:val="00E627A7"/>
    <w:rsid w:val="00F043A6"/>
    <w:rsid w:val="00F2767B"/>
    <w:rsid w:val="00F46C10"/>
    <w:rsid w:val="00F8030E"/>
    <w:rsid w:val="00FF57B7"/>
    <w:rsid w:val="02736C18"/>
    <w:rsid w:val="037526E0"/>
    <w:rsid w:val="049E2AAA"/>
    <w:rsid w:val="08810D30"/>
    <w:rsid w:val="08A30004"/>
    <w:rsid w:val="09E11136"/>
    <w:rsid w:val="0D2F71D1"/>
    <w:rsid w:val="122C7864"/>
    <w:rsid w:val="12475601"/>
    <w:rsid w:val="17F029C5"/>
    <w:rsid w:val="21350FE0"/>
    <w:rsid w:val="21861385"/>
    <w:rsid w:val="22B83352"/>
    <w:rsid w:val="26451DF0"/>
    <w:rsid w:val="27622CBE"/>
    <w:rsid w:val="29C03070"/>
    <w:rsid w:val="2AF41556"/>
    <w:rsid w:val="2F6E13C6"/>
    <w:rsid w:val="33BB388C"/>
    <w:rsid w:val="34E03F10"/>
    <w:rsid w:val="3D1411FD"/>
    <w:rsid w:val="40D06DCD"/>
    <w:rsid w:val="410D3255"/>
    <w:rsid w:val="448E5922"/>
    <w:rsid w:val="465355D4"/>
    <w:rsid w:val="4D6C2208"/>
    <w:rsid w:val="4F874FD6"/>
    <w:rsid w:val="4FA461B8"/>
    <w:rsid w:val="55683324"/>
    <w:rsid w:val="56D24E01"/>
    <w:rsid w:val="5FBF4A38"/>
    <w:rsid w:val="62192DFA"/>
    <w:rsid w:val="63BB3749"/>
    <w:rsid w:val="64460A80"/>
    <w:rsid w:val="671B4E94"/>
    <w:rsid w:val="68626001"/>
    <w:rsid w:val="6BD000B6"/>
    <w:rsid w:val="707D5F22"/>
    <w:rsid w:val="708E7F10"/>
    <w:rsid w:val="73786198"/>
    <w:rsid w:val="79C51957"/>
    <w:rsid w:val="7A3A5984"/>
    <w:rsid w:val="7D55454B"/>
    <w:rsid w:val="FC5E46C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6"/>
    <w:qFormat/>
    <w:uiPriority w:val="0"/>
    <w:pPr>
      <w:tabs>
        <w:tab w:val="center" w:pos="4153"/>
        <w:tab w:val="right" w:pos="8306"/>
      </w:tabs>
      <w:snapToGrid w:val="0"/>
      <w:jc w:val="left"/>
    </w:pPr>
    <w:rPr>
      <w:sz w:val="18"/>
      <w:szCs w:val="18"/>
    </w:rPr>
  </w:style>
  <w:style w:type="paragraph" w:styleId="3">
    <w:name w:val="header"/>
    <w:basedOn w:val="1"/>
    <w:link w:val="7"/>
    <w:qFormat/>
    <w:uiPriority w:val="0"/>
    <w:pPr>
      <w:pBdr>
        <w:bottom w:val="single" w:color="auto" w:sz="6" w:space="1"/>
      </w:pBdr>
      <w:tabs>
        <w:tab w:val="center" w:pos="4153"/>
        <w:tab w:val="right" w:pos="8306"/>
      </w:tabs>
      <w:snapToGrid w:val="0"/>
      <w:jc w:val="center"/>
    </w:pPr>
    <w:rPr>
      <w:sz w:val="18"/>
      <w:szCs w:val="18"/>
    </w:rPr>
  </w:style>
  <w:style w:type="character" w:customStyle="1" w:styleId="6">
    <w:name w:val="页脚 字符"/>
    <w:basedOn w:val="5"/>
    <w:link w:val="2"/>
    <w:qFormat/>
    <w:uiPriority w:val="0"/>
    <w:rPr>
      <w:rFonts w:ascii="Calibri" w:hAnsi="Calibri"/>
      <w:kern w:val="2"/>
      <w:sz w:val="18"/>
      <w:szCs w:val="18"/>
    </w:rPr>
  </w:style>
  <w:style w:type="character" w:customStyle="1" w:styleId="7">
    <w:name w:val="页眉 字符"/>
    <w:basedOn w:val="5"/>
    <w:link w:val="3"/>
    <w:qFormat/>
    <w:uiPriority w:val="0"/>
    <w:rPr>
      <w:rFonts w:ascii="Calibri" w:hAnsi="Calibri"/>
      <w:kern w:val="2"/>
      <w:sz w:val="18"/>
      <w:szCs w:val="18"/>
    </w:rPr>
  </w:style>
  <w:style w:type="paragraph" w:customStyle="1" w:styleId="8">
    <w:name w:val="Char"/>
    <w:basedOn w:val="1"/>
    <w:qFormat/>
    <w:uiPriority w:val="0"/>
    <w:pPr>
      <w:widowControl/>
      <w:spacing w:after="160" w:line="240" w:lineRule="exact"/>
      <w:jc w:val="left"/>
    </w:pPr>
    <w:rPr>
      <w:rFonts w:ascii="Verdana" w:hAnsi="Verdana"/>
      <w:kern w:val="0"/>
      <w:sz w:val="18"/>
      <w:szCs w:val="20"/>
      <w:lang w:eastAsia="en-US"/>
    </w:rPr>
  </w:style>
  <w:style w:type="paragraph" w:customStyle="1" w:styleId="9">
    <w:name w:val="Char Char1 Char Char"/>
    <w:basedOn w:val="1"/>
    <w:qFormat/>
    <w:uiPriority w:val="0"/>
    <w:pPr>
      <w:widowControl/>
      <w:spacing w:after="160" w:line="240" w:lineRule="exact"/>
      <w:jc w:val="left"/>
    </w:pPr>
    <w:rPr>
      <w:rFonts w:ascii="Verdana" w:hAnsi="Verdana"/>
      <w:kern w:val="0"/>
      <w:sz w:val="18"/>
      <w:szCs w:val="20"/>
      <w:lang w:eastAsia="en-US"/>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Www</Company>
  <Pages>3</Pages>
  <Words>1287</Words>
  <Characters>2026</Characters>
  <Lines>25</Lines>
  <Paragraphs>7</Paragraphs>
  <TotalTime>0</TotalTime>
  <ScaleCrop>false</ScaleCrop>
  <LinksUpToDate>false</LinksUpToDate>
  <CharactersWithSpaces>2120</CharactersWithSpaces>
  <Application>WPS Office_12.1.0.21171_F1E327BC-269C-435d-A152-05C5408002CA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2024-06-25T09:24:00Z</dcterms:created>
  <dc:creator>PC1729</dc:creator>
  <cp:lastModifiedBy>PC1817</cp:lastModifiedBy>
  <dcterms:modified xsi:type="dcterms:W3CDTF">2025-05-28T06:46:02Z</dcterms:modified>
  <dc:title>江西省市场监督管理局2020年生物质固体成型燃料产品</dc:title>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2052-12.1.0.21171</vt:lpwstr>
  </property>
  <property fmtid="{D5CDD505-2E9C-101B-9397-08002B2CF9AE}" pid="3" name="ICV">
    <vt:lpwstr>2ED2BEF5C0D3455C8E2102018F0390D9_13</vt:lpwstr>
  </property>
  <property fmtid="{D5CDD505-2E9C-101B-9397-08002B2CF9AE}" pid="4" name="KSOTemplateDocerSaveRecord">
    <vt:lpwstr>eyJoZGlkIjoiYWQ1OTAzMmYxNzZhMjdmNjExYTYwODIyZTFjYTM5NWIifQ==</vt:lpwstr>
  </property>
</Properties>
</file>