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FF6D38EC">
      <w:pPr>
        <w:jc w:val="center"/>
        <w:rPr>
          <w:rFonts w:ascii="仿宋" w:hAnsi="仿宋" w:eastAsia="仿宋" w:cs="仿宋"/>
          <w:b/>
          <w:bCs/>
          <w:color w:val="000000"/>
          <w:sz w:val="44"/>
          <w:szCs w:val="44"/>
        </w:rPr>
      </w:pPr>
      <w:r>
        <w:rPr>
          <w:rFonts w:hint="eastAsia" w:ascii="仿宋" w:hAnsi="仿宋" w:eastAsia="仿宋" w:cs="仿宋"/>
          <w:b/>
          <w:bCs/>
          <w:color w:val="000000"/>
          <w:sz w:val="44"/>
          <w:szCs w:val="44"/>
          <w:lang w:val="en-US" w:eastAsia="zh-CN"/>
        </w:rPr>
        <w:t>南昌市</w:t>
      </w:r>
      <w:r>
        <w:rPr>
          <w:rFonts w:hint="eastAsia" w:ascii="仿宋" w:hAnsi="仿宋" w:eastAsia="仿宋" w:cs="仿宋"/>
          <w:b/>
          <w:bCs/>
          <w:color w:val="000000"/>
          <w:sz w:val="44"/>
          <w:szCs w:val="44"/>
        </w:rPr>
        <w:t>非复合膜袋产品质量监督抽查</w:t>
      </w:r>
    </w:p>
    <w:p w14:paraId="E01DB1FC">
      <w:pPr>
        <w:jc w:val="center"/>
        <w:rPr>
          <w:rFonts w:ascii="仿宋" w:hAnsi="仿宋" w:eastAsia="仿宋" w:cs="仿宋"/>
          <w:b/>
          <w:bCs/>
          <w:color w:val="000000"/>
          <w:sz w:val="44"/>
          <w:szCs w:val="44"/>
        </w:rPr>
      </w:pPr>
      <w:r>
        <w:rPr>
          <w:rFonts w:hint="eastAsia" w:ascii="仿宋" w:hAnsi="仿宋" w:eastAsia="仿宋" w:cs="仿宋"/>
          <w:b/>
          <w:bCs/>
          <w:color w:val="000000"/>
          <w:sz w:val="44"/>
          <w:szCs w:val="44"/>
        </w:rPr>
        <w:t>实施细则（202</w:t>
      </w:r>
      <w:r>
        <w:rPr>
          <w:rFonts w:ascii="仿宋" w:hAnsi="仿宋" w:eastAsia="仿宋" w:cs="仿宋"/>
          <w:b/>
          <w:bCs/>
          <w:color w:val="000000"/>
          <w:sz w:val="44"/>
          <w:szCs w:val="44"/>
        </w:rPr>
        <w:t>5</w:t>
      </w:r>
      <w:r>
        <w:rPr>
          <w:rFonts w:hint="eastAsia" w:ascii="仿宋" w:hAnsi="仿宋" w:eastAsia="仿宋" w:cs="仿宋"/>
          <w:b/>
          <w:bCs/>
          <w:color w:val="000000"/>
          <w:sz w:val="44"/>
          <w:szCs w:val="44"/>
        </w:rPr>
        <w:t>年版）</w:t>
      </w:r>
    </w:p>
    <w:p w14:paraId="6E175E70">
      <w:pPr>
        <w:adjustRightInd w:val="0"/>
        <w:snapToGrid w:val="0"/>
        <w:spacing w:line="440" w:lineRule="exact"/>
        <w:jc w:val="center"/>
        <w:rPr>
          <w:rFonts w:eastAsia="仿宋"/>
          <w:b/>
          <w:bCs/>
          <w:sz w:val="36"/>
          <w:szCs w:val="36"/>
          <w:highlight w:val="lightGray"/>
        </w:rPr>
      </w:pPr>
    </w:p>
    <w:p w14:paraId="28C56A10">
      <w:pPr>
        <w:adjustRightInd w:val="0"/>
        <w:snapToGrid w:val="0"/>
        <w:spacing w:line="440" w:lineRule="exact"/>
        <w:rPr>
          <w:b/>
          <w:bCs/>
          <w:highlight w:val="lightGray"/>
        </w:rPr>
      </w:pPr>
      <w:r>
        <w:rPr>
          <w:b/>
          <w:bCs/>
        </w:rPr>
        <w:t>1 抽样方法</w:t>
      </w:r>
    </w:p>
    <w:p w14:paraId="8BB425B2">
      <w:pPr>
        <w:snapToGrid w:val="0"/>
        <w:spacing w:line="440" w:lineRule="exact"/>
        <w:ind w:firstLine="420" w:firstLineChars="200"/>
      </w:pPr>
      <w:r>
        <w:t>以随机抽样的方式在被抽样生产者、销售者的待销产品中抽取。</w:t>
      </w:r>
    </w:p>
    <w:p w14:paraId="04EFB148">
      <w:pPr>
        <w:snapToGrid w:val="0"/>
        <w:spacing w:line="440" w:lineRule="exact"/>
        <w:ind w:firstLine="420" w:firstLineChars="200"/>
      </w:pPr>
      <w:r>
        <w:t>随机数一般可使用随机数表、随机数骰子或扑克牌等方法产生。</w:t>
      </w:r>
    </w:p>
    <w:p w14:paraId="58F08973">
      <w:pPr>
        <w:snapToGrid w:val="0"/>
        <w:spacing w:line="440" w:lineRule="exact"/>
        <w:ind w:firstLine="420" w:firstLineChars="200"/>
      </w:pPr>
      <w:r>
        <w:t>抽查样品基数满足抽样数量即可。</w:t>
      </w:r>
    </w:p>
    <w:p w14:paraId="6EA7632D">
      <w:pPr>
        <w:snapToGrid w:val="0"/>
        <w:spacing w:line="440" w:lineRule="exact"/>
        <w:ind w:firstLine="420" w:firstLineChars="200"/>
      </w:pPr>
      <w:r>
        <w:t>抽样数量:</w:t>
      </w:r>
    </w:p>
    <w:p w14:paraId="C5876340">
      <w:pPr>
        <w:snapToGrid w:val="0"/>
        <w:spacing w:line="440" w:lineRule="exact"/>
        <w:ind w:firstLine="420" w:firstLineChars="200"/>
      </w:pPr>
      <w:r>
        <w:t>膜类产品</w:t>
      </w:r>
      <w:r>
        <w:rPr>
          <w:rFonts w:hint="eastAsia"/>
        </w:rPr>
        <w:t>：每批次产品抽取样品</w:t>
      </w:r>
      <w:r>
        <w:t>3卷，将每卷膜外层除去2m，每卷膜各抽取2.5m</w:t>
      </w:r>
      <w:r>
        <w:rPr>
          <w:vertAlign w:val="superscript"/>
        </w:rPr>
        <w:t>2</w:t>
      </w:r>
      <w:r>
        <w:t>×2，其中两份作为检验样品，一份作为备用样品；</w:t>
      </w:r>
    </w:p>
    <w:p w14:paraId="1D21ABE8">
      <w:pPr>
        <w:snapToGrid w:val="0"/>
        <w:spacing w:line="440" w:lineRule="exact"/>
        <w:ind w:firstLine="420" w:firstLineChars="200"/>
      </w:pPr>
      <w:r>
        <w:t>袋类产品：</w:t>
      </w:r>
      <w:r>
        <w:rPr>
          <w:rFonts w:hint="eastAsia"/>
        </w:rPr>
        <w:t>每批次产品抽取样品从3箱中抽取60个，其中40个作为检验样品，20个作为备用样品。</w:t>
      </w:r>
    </w:p>
    <w:p w14:paraId="3ED9A097">
      <w:pPr>
        <w:snapToGrid w:val="0"/>
        <w:spacing w:line="440" w:lineRule="exact"/>
        <w:ind w:firstLine="420" w:firstLineChars="200"/>
      </w:pPr>
      <w:r>
        <w:t>保鲜膜</w:t>
      </w:r>
      <w:r>
        <w:rPr>
          <w:rFonts w:hint="eastAsia"/>
        </w:rPr>
        <w:t>袋</w:t>
      </w:r>
      <w:r>
        <w:t>类</w:t>
      </w:r>
      <w:r>
        <w:rPr>
          <w:rFonts w:hint="eastAsia"/>
        </w:rPr>
        <w:t>产品：每批次产品抽取样品3卷，其中2卷作为检验样品，1卷作为备用样品。</w:t>
      </w:r>
    </w:p>
    <w:p w14:paraId="2E2153E7">
      <w:pPr>
        <w:adjustRightInd w:val="0"/>
        <w:snapToGrid w:val="0"/>
        <w:spacing w:line="440" w:lineRule="exact"/>
        <w:rPr>
          <w:b/>
          <w:bCs/>
        </w:rPr>
      </w:pPr>
      <w:r>
        <w:rPr>
          <w:b/>
          <w:bCs/>
        </w:rPr>
        <w:t>2 检验依据</w:t>
      </w:r>
    </w:p>
    <w:p w14:paraId="51FF7BB8">
      <w:pPr>
        <w:jc w:val="center"/>
      </w:pPr>
      <w:r>
        <w:t>非复合膜袋</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3581"/>
        <w:gridCol w:w="2071"/>
        <w:gridCol w:w="2087"/>
      </w:tblGrid>
      <w:tr w14:paraId="D707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F6E9C851">
            <w:pPr>
              <w:jc w:val="center"/>
            </w:pPr>
            <w:r>
              <w:t>序号</w:t>
            </w:r>
          </w:p>
        </w:tc>
        <w:tc>
          <w:tcPr>
            <w:tcW w:w="3581" w:type="dxa"/>
            <w:tcBorders>
              <w:top w:val="single" w:color="auto" w:sz="4" w:space="0"/>
              <w:left w:val="single" w:color="auto" w:sz="4" w:space="0"/>
              <w:bottom w:val="single" w:color="auto" w:sz="4" w:space="0"/>
              <w:right w:val="single" w:color="auto" w:sz="4" w:space="0"/>
            </w:tcBorders>
            <w:vAlign w:val="center"/>
          </w:tcPr>
          <w:p w14:paraId="4D216F7E">
            <w:pPr>
              <w:jc w:val="center"/>
            </w:pPr>
            <w:r>
              <w:t>检验项目</w:t>
            </w:r>
          </w:p>
        </w:tc>
        <w:tc>
          <w:tcPr>
            <w:tcW w:w="2071" w:type="dxa"/>
            <w:tcBorders>
              <w:top w:val="single" w:color="auto" w:sz="4" w:space="0"/>
              <w:left w:val="single" w:color="auto" w:sz="4" w:space="0"/>
              <w:bottom w:val="single" w:color="auto" w:sz="4" w:space="0"/>
              <w:right w:val="single" w:color="auto" w:sz="4" w:space="0"/>
            </w:tcBorders>
            <w:vAlign w:val="center"/>
          </w:tcPr>
          <w:p w14:paraId="4BA57793">
            <w:pPr>
              <w:jc w:val="center"/>
            </w:pPr>
            <w:r>
              <w:rPr>
                <w:rFonts w:hint="eastAsia"/>
                <w:lang w:eastAsia="zh-CN"/>
              </w:rPr>
              <w:t>检验依据</w:t>
            </w:r>
          </w:p>
        </w:tc>
        <w:tc>
          <w:tcPr>
            <w:tcW w:w="2087" w:type="dxa"/>
            <w:tcBorders>
              <w:top w:val="single" w:color="auto" w:sz="4" w:space="0"/>
              <w:left w:val="single" w:color="auto" w:sz="4" w:space="0"/>
              <w:bottom w:val="single" w:color="auto" w:sz="4" w:space="0"/>
              <w:right w:val="single" w:color="auto" w:sz="4" w:space="0"/>
            </w:tcBorders>
            <w:vAlign w:val="center"/>
          </w:tcPr>
          <w:p w14:paraId="BE015BBB">
            <w:pPr>
              <w:jc w:val="center"/>
            </w:pPr>
            <w:r>
              <w:t>检验方法</w:t>
            </w:r>
          </w:p>
        </w:tc>
      </w:tr>
      <w:tr w14:paraId="ECCC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3996F926">
            <w:pPr>
              <w:jc w:val="center"/>
            </w:pPr>
            <w:r>
              <w:t>1</w:t>
            </w:r>
          </w:p>
        </w:tc>
        <w:tc>
          <w:tcPr>
            <w:tcW w:w="3581" w:type="dxa"/>
            <w:tcBorders>
              <w:top w:val="single" w:color="auto" w:sz="4" w:space="0"/>
              <w:left w:val="single" w:color="auto" w:sz="4" w:space="0"/>
              <w:bottom w:val="single" w:color="auto" w:sz="4" w:space="0"/>
              <w:right w:val="single" w:color="auto" w:sz="4" w:space="0"/>
            </w:tcBorders>
            <w:vAlign w:val="center"/>
          </w:tcPr>
          <w:p w14:paraId="9B5256E7">
            <w:pPr>
              <w:jc w:val="center"/>
            </w:pPr>
            <w:r>
              <w:rPr>
                <w:rFonts w:hint="eastAsia"/>
              </w:rPr>
              <w:t>感官要求</w:t>
            </w:r>
          </w:p>
        </w:tc>
        <w:tc>
          <w:tcPr>
            <w:tcW w:w="2071" w:type="dxa"/>
            <w:tcBorders>
              <w:top w:val="single" w:color="auto" w:sz="4" w:space="0"/>
              <w:left w:val="single" w:color="auto" w:sz="4" w:space="0"/>
              <w:bottom w:val="single" w:color="auto" w:sz="4" w:space="0"/>
              <w:right w:val="single" w:color="auto" w:sz="4" w:space="0"/>
            </w:tcBorders>
            <w:vAlign w:val="center"/>
          </w:tcPr>
          <w:p w14:paraId="E87F600F">
            <w:pPr>
              <w:jc w:val="center"/>
              <w:rPr>
                <w:rFonts w:hint="eastAsia"/>
              </w:rPr>
            </w:pPr>
            <w:r>
              <w:rPr>
                <w:rFonts w:hint="default"/>
                <w:lang w:val="en-US"/>
              </w:rPr>
              <w:t>GB 4806.7-2023</w:t>
            </w:r>
          </w:p>
        </w:tc>
        <w:tc>
          <w:tcPr>
            <w:tcW w:w="2087" w:type="dxa"/>
            <w:tcBorders>
              <w:top w:val="single" w:color="auto" w:sz="4" w:space="0"/>
              <w:left w:val="single" w:color="auto" w:sz="4" w:space="0"/>
              <w:bottom w:val="single" w:color="auto" w:sz="4" w:space="0"/>
              <w:right w:val="single" w:color="auto" w:sz="4" w:space="0"/>
            </w:tcBorders>
            <w:vAlign w:val="center"/>
          </w:tcPr>
          <w:p w14:paraId="42005CCE">
            <w:pPr>
              <w:jc w:val="center"/>
            </w:pPr>
            <w:r>
              <w:rPr>
                <w:rFonts w:hint="eastAsia"/>
              </w:rPr>
              <w:t>GB 4806.7—2023</w:t>
            </w:r>
          </w:p>
        </w:tc>
      </w:tr>
      <w:tr w14:paraId="43A7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7B17127C">
            <w:pPr>
              <w:jc w:val="center"/>
            </w:pPr>
            <w:r>
              <w:t>2</w:t>
            </w:r>
          </w:p>
        </w:tc>
        <w:tc>
          <w:tcPr>
            <w:tcW w:w="3581" w:type="dxa"/>
            <w:tcBorders>
              <w:top w:val="single" w:color="auto" w:sz="4" w:space="0"/>
              <w:left w:val="single" w:color="auto" w:sz="4" w:space="0"/>
              <w:bottom w:val="single" w:color="auto" w:sz="4" w:space="0"/>
              <w:right w:val="single" w:color="auto" w:sz="4" w:space="0"/>
            </w:tcBorders>
            <w:vAlign w:val="center"/>
          </w:tcPr>
          <w:p w14:paraId="009B2167">
            <w:pPr>
              <w:jc w:val="center"/>
            </w:pPr>
            <w:r>
              <w:rPr>
                <w:rFonts w:hint="eastAsia"/>
              </w:rPr>
              <w:t>总迁移量</w:t>
            </w:r>
          </w:p>
        </w:tc>
        <w:tc>
          <w:tcPr>
            <w:tcW w:w="2071" w:type="dxa"/>
            <w:tcBorders>
              <w:top w:val="single" w:color="auto" w:sz="4" w:space="0"/>
              <w:left w:val="single" w:color="auto" w:sz="4" w:space="0"/>
              <w:bottom w:val="single" w:color="auto" w:sz="4" w:space="0"/>
              <w:right w:val="single" w:color="auto" w:sz="4" w:space="0"/>
            </w:tcBorders>
            <w:vAlign w:val="center"/>
          </w:tcPr>
          <w:p w14:paraId="26396BD6">
            <w:pPr>
              <w:jc w:val="center"/>
              <w:rPr>
                <w:rFonts w:hint="eastAsia"/>
              </w:rPr>
            </w:pPr>
            <w:r>
              <w:rPr>
                <w:rFonts w:hint="default" w:ascii="Times New Roman" w:hAnsi="Times New Roman" w:eastAsia="宋体" w:cs="Times New Roman"/>
                <w:b w:val="0"/>
                <w:bCs w:val="0"/>
                <w:i w:val="0"/>
                <w:iCs w:val="0"/>
                <w:color w:val="auto"/>
                <w:kern w:val="2"/>
                <w:sz w:val="21"/>
                <w:szCs w:val="21"/>
                <w:highlight w:val="none"/>
                <w:vertAlign w:val="baseline"/>
                <w:lang w:val="en-US" w:eastAsia="zh-CN" w:bidi="ar-SA"/>
              </w:rPr>
              <w:t>GB 4806.7-2023</w:t>
            </w:r>
          </w:p>
        </w:tc>
        <w:tc>
          <w:tcPr>
            <w:tcW w:w="2087" w:type="dxa"/>
            <w:tcBorders>
              <w:top w:val="single" w:color="auto" w:sz="4" w:space="0"/>
              <w:left w:val="single" w:color="auto" w:sz="4" w:space="0"/>
              <w:bottom w:val="single" w:color="auto" w:sz="4" w:space="0"/>
              <w:right w:val="single" w:color="auto" w:sz="4" w:space="0"/>
            </w:tcBorders>
            <w:vAlign w:val="center"/>
          </w:tcPr>
          <w:p w14:paraId="EC7E337B">
            <w:pPr>
              <w:jc w:val="center"/>
            </w:pPr>
            <w:r>
              <w:rPr>
                <w:rFonts w:hint="eastAsia"/>
              </w:rPr>
              <w:t>GB 31604.8—2021</w:t>
            </w:r>
          </w:p>
        </w:tc>
      </w:tr>
      <w:tr w14:paraId="8BA1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A428E8B8">
            <w:pPr>
              <w:jc w:val="center"/>
            </w:pPr>
            <w:r>
              <w:t>3</w:t>
            </w:r>
          </w:p>
        </w:tc>
        <w:tc>
          <w:tcPr>
            <w:tcW w:w="3581" w:type="dxa"/>
            <w:tcBorders>
              <w:top w:val="single" w:color="auto" w:sz="4" w:space="0"/>
              <w:left w:val="single" w:color="auto" w:sz="4" w:space="0"/>
              <w:bottom w:val="single" w:color="auto" w:sz="4" w:space="0"/>
              <w:right w:val="single" w:color="auto" w:sz="4" w:space="0"/>
            </w:tcBorders>
            <w:vAlign w:val="center"/>
          </w:tcPr>
          <w:p w14:paraId="307B743A">
            <w:pPr>
              <w:jc w:val="center"/>
            </w:pPr>
            <w:r>
              <w:rPr>
                <w:rFonts w:hint="eastAsia"/>
              </w:rPr>
              <w:t>高锰酸钾消耗量</w:t>
            </w:r>
          </w:p>
        </w:tc>
        <w:tc>
          <w:tcPr>
            <w:tcW w:w="2071" w:type="dxa"/>
            <w:tcBorders>
              <w:top w:val="single" w:color="auto" w:sz="4" w:space="0"/>
              <w:left w:val="single" w:color="auto" w:sz="4" w:space="0"/>
              <w:bottom w:val="single" w:color="auto" w:sz="4" w:space="0"/>
              <w:right w:val="single" w:color="auto" w:sz="4" w:space="0"/>
            </w:tcBorders>
            <w:vAlign w:val="center"/>
          </w:tcPr>
          <w:p w14:paraId="9E1A3D5F">
            <w:pPr>
              <w:jc w:val="center"/>
              <w:rPr>
                <w:rFonts w:hint="eastAsia"/>
              </w:rPr>
            </w:pPr>
            <w:r>
              <w:rPr>
                <w:rFonts w:hint="default" w:ascii="Times New Roman" w:hAnsi="Times New Roman" w:eastAsia="宋体" w:cs="Times New Roman"/>
                <w:b w:val="0"/>
                <w:bCs w:val="0"/>
                <w:i w:val="0"/>
                <w:iCs w:val="0"/>
                <w:color w:val="auto"/>
                <w:kern w:val="2"/>
                <w:sz w:val="21"/>
                <w:szCs w:val="21"/>
                <w:highlight w:val="none"/>
                <w:vertAlign w:val="baseline"/>
                <w:lang w:val="en-US" w:eastAsia="zh-CN" w:bidi="ar-SA"/>
              </w:rPr>
              <w:t>GB 4806.7-2023</w:t>
            </w:r>
          </w:p>
        </w:tc>
        <w:tc>
          <w:tcPr>
            <w:tcW w:w="2087" w:type="dxa"/>
            <w:tcBorders>
              <w:top w:val="single" w:color="auto" w:sz="4" w:space="0"/>
              <w:left w:val="single" w:color="auto" w:sz="4" w:space="0"/>
              <w:bottom w:val="single" w:color="auto" w:sz="4" w:space="0"/>
              <w:right w:val="single" w:color="auto" w:sz="4" w:space="0"/>
            </w:tcBorders>
            <w:vAlign w:val="center"/>
          </w:tcPr>
          <w:p w14:paraId="1EDC9061">
            <w:pPr>
              <w:jc w:val="center"/>
            </w:pPr>
            <w:r>
              <w:rPr>
                <w:rFonts w:hint="eastAsia"/>
              </w:rPr>
              <w:t>GB 31604.2—2016</w:t>
            </w:r>
          </w:p>
        </w:tc>
      </w:tr>
      <w:tr w14:paraId="A9F7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04255218">
            <w:pPr>
              <w:jc w:val="center"/>
              <w:rPr>
                <w:rFonts w:hint="eastAsia" w:eastAsia="宋体"/>
                <w:lang w:val="en-US" w:eastAsia="zh-CN"/>
              </w:rPr>
            </w:pPr>
            <w:r>
              <w:rPr>
                <w:rFonts w:hint="eastAsia"/>
                <w:lang w:val="en-US" w:eastAsia="zh-CN"/>
              </w:rPr>
              <w:t>4</w:t>
            </w:r>
          </w:p>
        </w:tc>
        <w:tc>
          <w:tcPr>
            <w:tcW w:w="3581" w:type="dxa"/>
            <w:tcBorders>
              <w:top w:val="single" w:color="auto" w:sz="4" w:space="0"/>
              <w:left w:val="single" w:color="auto" w:sz="4" w:space="0"/>
              <w:bottom w:val="single" w:color="auto" w:sz="4" w:space="0"/>
              <w:right w:val="single" w:color="auto" w:sz="4" w:space="0"/>
            </w:tcBorders>
            <w:vAlign w:val="center"/>
          </w:tcPr>
          <w:p w14:paraId="21B852C4">
            <w:pPr>
              <w:jc w:val="center"/>
            </w:pPr>
            <w:r>
              <w:rPr>
                <w:rFonts w:hint="eastAsia"/>
              </w:rPr>
              <w:t>重金属(以Pb 计)</w:t>
            </w:r>
          </w:p>
        </w:tc>
        <w:tc>
          <w:tcPr>
            <w:tcW w:w="2071" w:type="dxa"/>
            <w:tcBorders>
              <w:top w:val="single" w:color="auto" w:sz="4" w:space="0"/>
              <w:left w:val="single" w:color="auto" w:sz="4" w:space="0"/>
              <w:bottom w:val="single" w:color="auto" w:sz="4" w:space="0"/>
              <w:right w:val="single" w:color="auto" w:sz="4" w:space="0"/>
            </w:tcBorders>
            <w:vAlign w:val="center"/>
          </w:tcPr>
          <w:p w14:paraId="B1D6FA39">
            <w:pPr>
              <w:jc w:val="center"/>
              <w:rPr>
                <w:rFonts w:hint="eastAsia"/>
              </w:rPr>
            </w:pPr>
            <w:r>
              <w:rPr>
                <w:rFonts w:hint="default" w:ascii="Times New Roman" w:hAnsi="Times New Roman" w:eastAsia="宋体" w:cs="Times New Roman"/>
                <w:b w:val="0"/>
                <w:bCs w:val="0"/>
                <w:i w:val="0"/>
                <w:iCs w:val="0"/>
                <w:color w:val="auto"/>
                <w:kern w:val="2"/>
                <w:sz w:val="21"/>
                <w:szCs w:val="21"/>
                <w:highlight w:val="none"/>
                <w:vertAlign w:val="baseline"/>
                <w:lang w:val="en-US" w:eastAsia="zh-CN" w:bidi="ar-SA"/>
              </w:rPr>
              <w:t>GB 4806.7-2023</w:t>
            </w:r>
          </w:p>
        </w:tc>
        <w:tc>
          <w:tcPr>
            <w:tcW w:w="2087" w:type="dxa"/>
            <w:tcBorders>
              <w:top w:val="single" w:color="auto" w:sz="4" w:space="0"/>
              <w:left w:val="single" w:color="auto" w:sz="4" w:space="0"/>
              <w:bottom w:val="single" w:color="auto" w:sz="4" w:space="0"/>
              <w:right w:val="single" w:color="auto" w:sz="4" w:space="0"/>
            </w:tcBorders>
            <w:vAlign w:val="center"/>
          </w:tcPr>
          <w:p w14:paraId="7A50DCD1">
            <w:pPr>
              <w:jc w:val="center"/>
            </w:pPr>
            <w:r>
              <w:rPr>
                <w:rFonts w:hint="eastAsia"/>
              </w:rPr>
              <w:t>GB 31604.9—2016</w:t>
            </w:r>
          </w:p>
        </w:tc>
      </w:tr>
      <w:tr w14:paraId="C39A0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4DFCF236">
            <w:pPr>
              <w:jc w:val="center"/>
            </w:pPr>
            <w:r>
              <w:t>5</w:t>
            </w:r>
          </w:p>
        </w:tc>
        <w:tc>
          <w:tcPr>
            <w:tcW w:w="3581" w:type="dxa"/>
            <w:tcBorders>
              <w:top w:val="single" w:color="auto" w:sz="4" w:space="0"/>
              <w:left w:val="single" w:color="auto" w:sz="4" w:space="0"/>
              <w:bottom w:val="single" w:color="auto" w:sz="4" w:space="0"/>
              <w:right w:val="single" w:color="auto" w:sz="4" w:space="0"/>
            </w:tcBorders>
            <w:vAlign w:val="center"/>
          </w:tcPr>
          <w:p w14:paraId="2DE73DEE">
            <w:pPr>
              <w:jc w:val="center"/>
            </w:pPr>
            <w:r>
              <w:rPr>
                <w:rFonts w:hint="eastAsia"/>
              </w:rPr>
              <w:t>芳香族伯胺迁移总量</w:t>
            </w:r>
          </w:p>
        </w:tc>
        <w:tc>
          <w:tcPr>
            <w:tcW w:w="2071" w:type="dxa"/>
            <w:tcBorders>
              <w:top w:val="single" w:color="auto" w:sz="4" w:space="0"/>
              <w:left w:val="single" w:color="auto" w:sz="4" w:space="0"/>
              <w:bottom w:val="single" w:color="auto" w:sz="4" w:space="0"/>
              <w:right w:val="single" w:color="auto" w:sz="4" w:space="0"/>
            </w:tcBorders>
            <w:vAlign w:val="center"/>
          </w:tcPr>
          <w:p w14:paraId="3310F9B8">
            <w:pPr>
              <w:jc w:val="center"/>
              <w:rPr>
                <w:rFonts w:hint="eastAsia"/>
              </w:rPr>
            </w:pPr>
            <w:r>
              <w:rPr>
                <w:rFonts w:hint="default" w:ascii="Times New Roman" w:hAnsi="Times New Roman" w:eastAsia="宋体" w:cs="Times New Roman"/>
                <w:b w:val="0"/>
                <w:bCs w:val="0"/>
                <w:i w:val="0"/>
                <w:iCs w:val="0"/>
                <w:color w:val="auto"/>
                <w:kern w:val="2"/>
                <w:sz w:val="21"/>
                <w:szCs w:val="21"/>
                <w:highlight w:val="none"/>
                <w:vertAlign w:val="baseline"/>
                <w:lang w:val="en-US" w:eastAsia="zh-CN" w:bidi="ar-SA"/>
              </w:rPr>
              <w:t>GB 4806.7-2023</w:t>
            </w:r>
          </w:p>
        </w:tc>
        <w:tc>
          <w:tcPr>
            <w:tcW w:w="2087" w:type="dxa"/>
            <w:tcBorders>
              <w:top w:val="single" w:color="auto" w:sz="4" w:space="0"/>
              <w:left w:val="single" w:color="auto" w:sz="4" w:space="0"/>
              <w:bottom w:val="single" w:color="auto" w:sz="4" w:space="0"/>
              <w:right w:val="single" w:color="auto" w:sz="4" w:space="0"/>
            </w:tcBorders>
            <w:vAlign w:val="center"/>
          </w:tcPr>
          <w:p w14:paraId="9ABD40D1">
            <w:pPr>
              <w:jc w:val="center"/>
            </w:pPr>
            <w:r>
              <w:rPr>
                <w:rFonts w:hint="eastAsia"/>
              </w:rPr>
              <w:t>GB 31604.52—2021</w:t>
            </w:r>
          </w:p>
        </w:tc>
      </w:tr>
      <w:tr w14:paraId="4CFA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187738B0">
            <w:pPr>
              <w:jc w:val="center"/>
            </w:pPr>
            <w:r>
              <w:t>6</w:t>
            </w:r>
          </w:p>
        </w:tc>
        <w:tc>
          <w:tcPr>
            <w:tcW w:w="3581" w:type="dxa"/>
            <w:tcBorders>
              <w:top w:val="single" w:color="auto" w:sz="4" w:space="0"/>
              <w:left w:val="single" w:color="auto" w:sz="4" w:space="0"/>
              <w:bottom w:val="single" w:color="auto" w:sz="4" w:space="0"/>
              <w:right w:val="single" w:color="auto" w:sz="4" w:space="0"/>
            </w:tcBorders>
            <w:vAlign w:val="center"/>
          </w:tcPr>
          <w:p w14:paraId="11EAEEF0">
            <w:pPr>
              <w:jc w:val="center"/>
              <w:rPr>
                <w:rFonts w:hint="eastAsia"/>
              </w:rPr>
            </w:pPr>
            <w:r>
              <w:rPr>
                <w:rFonts w:hint="eastAsia"/>
              </w:rPr>
              <w:t>脱色试验</w:t>
            </w:r>
          </w:p>
        </w:tc>
        <w:tc>
          <w:tcPr>
            <w:tcW w:w="2071" w:type="dxa"/>
            <w:tcBorders>
              <w:top w:val="single" w:color="auto" w:sz="4" w:space="0"/>
              <w:left w:val="single" w:color="auto" w:sz="4" w:space="0"/>
              <w:bottom w:val="single" w:color="auto" w:sz="4" w:space="0"/>
              <w:right w:val="single" w:color="auto" w:sz="4" w:space="0"/>
            </w:tcBorders>
            <w:vAlign w:val="center"/>
          </w:tcPr>
          <w:p w14:paraId="D8D35C7E">
            <w:pPr>
              <w:jc w:val="center"/>
              <w:rPr>
                <w:rFonts w:hint="eastAsia"/>
              </w:rPr>
            </w:pPr>
            <w:r>
              <w:rPr>
                <w:rFonts w:hint="default" w:ascii="Times New Roman" w:hAnsi="Times New Roman" w:eastAsia="宋体" w:cs="Times New Roman"/>
                <w:b w:val="0"/>
                <w:bCs w:val="0"/>
                <w:i w:val="0"/>
                <w:iCs w:val="0"/>
                <w:color w:val="auto"/>
                <w:kern w:val="2"/>
                <w:sz w:val="21"/>
                <w:szCs w:val="21"/>
                <w:highlight w:val="none"/>
                <w:vertAlign w:val="baseline"/>
                <w:lang w:val="en-US" w:eastAsia="zh-CN" w:bidi="ar-SA"/>
              </w:rPr>
              <w:t>GB 4806.7-2023</w:t>
            </w:r>
          </w:p>
        </w:tc>
        <w:tc>
          <w:tcPr>
            <w:tcW w:w="2087" w:type="dxa"/>
            <w:tcBorders>
              <w:top w:val="single" w:color="auto" w:sz="4" w:space="0"/>
              <w:left w:val="single" w:color="auto" w:sz="4" w:space="0"/>
              <w:bottom w:val="single" w:color="auto" w:sz="4" w:space="0"/>
              <w:right w:val="single" w:color="auto" w:sz="4" w:space="0"/>
            </w:tcBorders>
            <w:vAlign w:val="center"/>
          </w:tcPr>
          <w:p w14:paraId="2BA5F510">
            <w:pPr>
              <w:jc w:val="center"/>
            </w:pPr>
            <w:r>
              <w:rPr>
                <w:rFonts w:hint="eastAsia"/>
              </w:rPr>
              <w:t>GB 31604.7—2023</w:t>
            </w:r>
          </w:p>
        </w:tc>
      </w:tr>
      <w:tr w14:paraId="C792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A12EDC55">
            <w:pPr>
              <w:jc w:val="center"/>
              <w:rPr>
                <w:rFonts w:hint="default" w:eastAsia="宋体"/>
                <w:lang w:val="en-US" w:eastAsia="zh-CN"/>
              </w:rPr>
            </w:pPr>
            <w:r>
              <w:rPr>
                <w:rFonts w:hint="eastAsia"/>
                <w:lang w:val="en-US" w:eastAsia="zh-CN"/>
              </w:rPr>
              <w:t>7</w:t>
            </w:r>
          </w:p>
        </w:tc>
        <w:tc>
          <w:tcPr>
            <w:tcW w:w="3581" w:type="dxa"/>
            <w:tcBorders>
              <w:top w:val="single" w:color="auto" w:sz="4" w:space="0"/>
              <w:left w:val="single" w:color="auto" w:sz="4" w:space="0"/>
              <w:bottom w:val="single" w:color="auto" w:sz="4" w:space="0"/>
              <w:right w:val="single" w:color="auto" w:sz="4" w:space="0"/>
            </w:tcBorders>
            <w:vAlign w:val="center"/>
          </w:tcPr>
          <w:p w14:paraId="B00F2E72">
            <w:pPr>
              <w:jc w:val="center"/>
              <w:rPr>
                <w:rFonts w:hint="eastAsia"/>
              </w:rPr>
            </w:pPr>
            <w:r>
              <w:rPr>
                <w:rFonts w:hint="eastAsia"/>
              </w:rPr>
              <w:t>封合强度</w:t>
            </w:r>
          </w:p>
        </w:tc>
        <w:tc>
          <w:tcPr>
            <w:tcW w:w="2071" w:type="dxa"/>
            <w:tcBorders>
              <w:top w:val="single" w:color="auto" w:sz="4" w:space="0"/>
              <w:left w:val="single" w:color="auto" w:sz="4" w:space="0"/>
              <w:bottom w:val="single" w:color="auto" w:sz="4" w:space="0"/>
              <w:right w:val="single" w:color="auto" w:sz="4" w:space="0"/>
            </w:tcBorders>
            <w:vAlign w:val="center"/>
          </w:tcPr>
          <w:p w14:paraId="DEC70D77">
            <w:pPr>
              <w:jc w:val="center"/>
              <w:rPr>
                <w:rFonts w:hint="default" w:ascii="Times New Roman" w:hAnsi="Times New Roman" w:eastAsia="宋体" w:cs="Times New Roman"/>
                <w:b w:val="0"/>
                <w:bCs w:val="0"/>
                <w:i w:val="0"/>
                <w:i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i w:val="0"/>
                <w:iCs w:val="0"/>
                <w:color w:val="auto"/>
                <w:kern w:val="2"/>
                <w:sz w:val="21"/>
                <w:szCs w:val="21"/>
                <w:highlight w:val="none"/>
                <w:vertAlign w:val="baseline"/>
                <w:lang w:val="en-US" w:eastAsia="zh-CN" w:bidi="ar-SA"/>
              </w:rPr>
              <w:t>BB/T 0039-2013</w:t>
            </w:r>
          </w:p>
          <w:p w14:paraId="91E8B73D">
            <w:pPr>
              <w:jc w:val="cente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t>产品明示标准</w:t>
            </w:r>
          </w:p>
        </w:tc>
        <w:tc>
          <w:tcPr>
            <w:tcW w:w="2087" w:type="dxa"/>
            <w:tcBorders>
              <w:top w:val="single" w:color="auto" w:sz="4" w:space="0"/>
              <w:left w:val="single" w:color="auto" w:sz="4" w:space="0"/>
              <w:bottom w:val="single" w:color="auto" w:sz="4" w:space="0"/>
              <w:right w:val="single" w:color="auto" w:sz="4" w:space="0"/>
            </w:tcBorders>
            <w:vAlign w:val="center"/>
          </w:tcPr>
          <w:p w14:paraId="7E3C38A8">
            <w:pPr>
              <w:jc w:val="center"/>
              <w:rPr>
                <w:rFonts w:hint="default" w:ascii="Times New Roman" w:hAnsi="Times New Roman" w:eastAsia="宋体" w:cs="Times New Roman"/>
                <w:b w:val="0"/>
                <w:bCs w:val="0"/>
                <w:i w:val="0"/>
                <w:i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t>QB/T 2358-1998</w:t>
            </w:r>
          </w:p>
        </w:tc>
      </w:tr>
      <w:tr w14:paraId="511B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032EE6D7">
            <w:pPr>
              <w:jc w:val="center"/>
              <w:rPr>
                <w:rFonts w:hint="default"/>
                <w:lang w:val="en-US" w:eastAsia="zh-CN"/>
              </w:rPr>
            </w:pPr>
            <w:r>
              <w:rPr>
                <w:rFonts w:hint="eastAsia"/>
                <w:lang w:val="en-US" w:eastAsia="zh-CN"/>
              </w:rPr>
              <w:t>8</w:t>
            </w:r>
          </w:p>
        </w:tc>
        <w:tc>
          <w:tcPr>
            <w:tcW w:w="3581" w:type="dxa"/>
            <w:tcBorders>
              <w:top w:val="single" w:color="auto" w:sz="4" w:space="0"/>
              <w:left w:val="single" w:color="auto" w:sz="4" w:space="0"/>
              <w:bottom w:val="single" w:color="auto" w:sz="4" w:space="0"/>
              <w:right w:val="single" w:color="auto" w:sz="4" w:space="0"/>
            </w:tcBorders>
            <w:vAlign w:val="center"/>
          </w:tcPr>
          <w:p w14:paraId="00A75153">
            <w:pPr>
              <w:jc w:val="center"/>
              <w:rPr>
                <w:rFonts w:hint="eastAsia"/>
              </w:rPr>
            </w:pPr>
            <w:r>
              <w:rPr>
                <w:rFonts w:hint="eastAsia"/>
                <w:lang w:val="en-US" w:eastAsia="zh-CN"/>
              </w:rPr>
              <w:t>拉伸强度</w:t>
            </w:r>
          </w:p>
        </w:tc>
        <w:tc>
          <w:tcPr>
            <w:tcW w:w="2071" w:type="dxa"/>
            <w:tcBorders>
              <w:top w:val="single" w:color="auto" w:sz="4" w:space="0"/>
              <w:left w:val="single" w:color="auto" w:sz="4" w:space="0"/>
              <w:bottom w:val="single" w:color="auto" w:sz="4" w:space="0"/>
              <w:right w:val="single" w:color="auto" w:sz="4" w:space="0"/>
            </w:tcBorders>
            <w:vAlign w:val="center"/>
          </w:tcPr>
          <w:p w14:paraId="115F282E">
            <w:pPr>
              <w:jc w:val="cente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t xml:space="preserve">GB/T 4456-2008 </w:t>
            </w:r>
          </w:p>
          <w:p w14:paraId="04511491">
            <w:pPr>
              <w:jc w:val="cente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t>GB/T 10003-2008</w:t>
            </w:r>
          </w:p>
          <w:p w14:paraId="7649FD9A">
            <w:pPr>
              <w:jc w:val="cente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t>产品明示标准</w:t>
            </w:r>
          </w:p>
        </w:tc>
        <w:tc>
          <w:tcPr>
            <w:tcW w:w="2087" w:type="dxa"/>
            <w:tcBorders>
              <w:top w:val="single" w:color="auto" w:sz="4" w:space="0"/>
              <w:left w:val="single" w:color="auto" w:sz="4" w:space="0"/>
              <w:bottom w:val="single" w:color="auto" w:sz="4" w:space="0"/>
              <w:right w:val="single" w:color="auto" w:sz="4" w:space="0"/>
            </w:tcBorders>
            <w:vAlign w:val="center"/>
          </w:tcPr>
          <w:p w14:paraId="6F3B3364">
            <w:pPr>
              <w:jc w:val="cente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t>GB/T 1040.3-2006</w:t>
            </w:r>
          </w:p>
        </w:tc>
      </w:tr>
      <w:tr w14:paraId="5559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14:paraId="68403D46">
            <w:pPr>
              <w:jc w:val="center"/>
              <w:rPr>
                <w:rFonts w:hint="default"/>
                <w:lang w:val="en-US" w:eastAsia="zh-CN"/>
              </w:rPr>
            </w:pPr>
            <w:r>
              <w:rPr>
                <w:rFonts w:hint="eastAsia"/>
                <w:lang w:val="en-US" w:eastAsia="zh-CN"/>
              </w:rPr>
              <w:t>9</w:t>
            </w:r>
          </w:p>
        </w:tc>
        <w:tc>
          <w:tcPr>
            <w:tcW w:w="3581" w:type="dxa"/>
            <w:tcBorders>
              <w:top w:val="single" w:color="auto" w:sz="4" w:space="0"/>
              <w:left w:val="single" w:color="auto" w:sz="4" w:space="0"/>
              <w:bottom w:val="single" w:color="auto" w:sz="4" w:space="0"/>
              <w:right w:val="single" w:color="auto" w:sz="4" w:space="0"/>
            </w:tcBorders>
            <w:vAlign w:val="center"/>
          </w:tcPr>
          <w:p w14:paraId="34C113A4">
            <w:pPr>
              <w:jc w:val="center"/>
              <w:rPr>
                <w:rFonts w:hint="eastAsia"/>
              </w:rPr>
            </w:pPr>
            <w:r>
              <w:rPr>
                <w:rFonts w:hint="eastAsia"/>
                <w:lang w:val="en-US" w:eastAsia="zh-CN"/>
              </w:rPr>
              <w:t>断裂标称应变</w:t>
            </w:r>
          </w:p>
        </w:tc>
        <w:tc>
          <w:tcPr>
            <w:tcW w:w="2071" w:type="dxa"/>
            <w:tcBorders>
              <w:top w:val="single" w:color="auto" w:sz="4" w:space="0"/>
              <w:left w:val="single" w:color="auto" w:sz="4" w:space="0"/>
              <w:bottom w:val="single" w:color="auto" w:sz="4" w:space="0"/>
              <w:right w:val="single" w:color="auto" w:sz="4" w:space="0"/>
            </w:tcBorders>
            <w:vAlign w:val="center"/>
          </w:tcPr>
          <w:p w14:paraId="00BEFADD">
            <w:pPr>
              <w:jc w:val="cente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t xml:space="preserve">GB/T 4456-2008 </w:t>
            </w:r>
          </w:p>
          <w:p w14:paraId="1ECA6110">
            <w:pPr>
              <w:jc w:val="cente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t>GB/T 10003-2008</w:t>
            </w:r>
          </w:p>
          <w:p w14:paraId="1E227787">
            <w:pPr>
              <w:jc w:val="cente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t>产品明示标准</w:t>
            </w:r>
          </w:p>
        </w:tc>
        <w:tc>
          <w:tcPr>
            <w:tcW w:w="2087" w:type="dxa"/>
            <w:tcBorders>
              <w:top w:val="single" w:color="auto" w:sz="4" w:space="0"/>
              <w:left w:val="single" w:color="auto" w:sz="4" w:space="0"/>
              <w:bottom w:val="single" w:color="auto" w:sz="4" w:space="0"/>
              <w:right w:val="single" w:color="auto" w:sz="4" w:space="0"/>
            </w:tcBorders>
            <w:vAlign w:val="center"/>
          </w:tcPr>
          <w:p w14:paraId="2C6F289F">
            <w:pPr>
              <w:jc w:val="cente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i w:val="0"/>
                <w:iCs w:val="0"/>
                <w:color w:val="auto"/>
                <w:kern w:val="2"/>
                <w:sz w:val="21"/>
                <w:szCs w:val="21"/>
                <w:highlight w:val="none"/>
                <w:vertAlign w:val="baseline"/>
                <w:lang w:val="en-US" w:eastAsia="zh-CN" w:bidi="ar-SA"/>
              </w:rPr>
              <w:t>GB/T 1040.3-2006</w:t>
            </w:r>
          </w:p>
        </w:tc>
      </w:tr>
      <w:tr w14:paraId="0D75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16" w:type="dxa"/>
            <w:gridSpan w:val="4"/>
            <w:tcBorders>
              <w:top w:val="single" w:color="auto" w:sz="4" w:space="0"/>
              <w:left w:val="single" w:color="auto" w:sz="4" w:space="0"/>
              <w:bottom w:val="single" w:color="auto" w:sz="4" w:space="0"/>
              <w:right w:val="single" w:color="auto" w:sz="4" w:space="0"/>
            </w:tcBorders>
            <w:vAlign w:val="center"/>
          </w:tcPr>
          <w:p w14:paraId="28E5BFF3">
            <w:pPr>
              <w:adjustRightInd w:val="0"/>
              <w:snapToGrid w:val="0"/>
              <w:ind w:firstLine="420"/>
              <w:jc w:val="left"/>
              <w:rPr>
                <w:color w:val="000000"/>
              </w:rPr>
            </w:pPr>
            <w:r>
              <w:rPr>
                <w:rFonts w:hint="eastAsia"/>
              </w:rPr>
              <w:t>注：</w:t>
            </w:r>
            <w:r>
              <w:rPr>
                <w:rFonts w:hint="eastAsia"/>
                <w:color w:val="000000"/>
              </w:rPr>
              <w:t>1</w:t>
            </w:r>
            <w:r>
              <w:rPr>
                <w:color w:val="000000"/>
              </w:rPr>
              <w:t>.</w:t>
            </w:r>
            <w:r>
              <w:rPr>
                <w:rFonts w:hint="eastAsia"/>
                <w:color w:val="000000"/>
              </w:rPr>
              <w:t>芳香族伯胺迁移总量仅</w:t>
            </w:r>
            <w:r>
              <w:rPr>
                <w:color w:val="000000"/>
              </w:rPr>
              <w:t>适用于</w:t>
            </w:r>
            <w:r>
              <w:rPr>
                <w:rFonts w:hint="eastAsia"/>
                <w:color w:val="000000"/>
              </w:rPr>
              <w:t>含有芳香族异氰酸酯和偶氮类着色剂等可能产生芳香族伯胺类物质的产品</w:t>
            </w:r>
            <w:r>
              <w:rPr>
                <w:color w:val="000000"/>
              </w:rPr>
              <w:t>。</w:t>
            </w:r>
          </w:p>
          <w:p w14:paraId="61099225">
            <w:pPr>
              <w:numPr>
                <w:ilvl w:val="0"/>
                <w:numId w:val="0"/>
              </w:numPr>
              <w:spacing w:line="300" w:lineRule="auto"/>
              <w:ind w:firstLine="420" w:firstLineChars="200"/>
              <w:rPr>
                <w:bCs/>
              </w:rPr>
            </w:pPr>
            <w:r>
              <w:rPr>
                <w:rFonts w:hint="eastAsia"/>
                <w:color w:val="000000"/>
                <w:lang w:val="en-US" w:eastAsia="zh-CN"/>
              </w:rPr>
              <w:t>2.</w:t>
            </w:r>
            <w:r>
              <w:rPr>
                <w:rFonts w:hint="eastAsia"/>
                <w:color w:val="000000"/>
              </w:rPr>
              <w:t>脱色试验仅适用于添加了着色剂的产品。</w:t>
            </w:r>
          </w:p>
        </w:tc>
      </w:tr>
    </w:tbl>
    <w:p w14:paraId="D00AD74D">
      <w:pPr>
        <w:snapToGrid w:val="0"/>
        <w:spacing w:line="440" w:lineRule="exact"/>
        <w:ind w:firstLine="420" w:firstLineChars="200"/>
      </w:pPr>
      <w:r>
        <w:rPr>
          <w:rFonts w:hint="eastAsia"/>
        </w:rPr>
        <w:t>物理指标项目根据产品标准及检测方法是否符合细则要求，确定此项目是否需要检测。特定物质迁移限量项目应根据所生产产品的具体材质品种在GB 4806.7-2023 标准及相关公告中的具体要求进行，如针对具体材质品种无该项要求，则不需要检验。</w:t>
      </w:r>
    </w:p>
    <w:p w14:paraId="452CE375">
      <w:pPr>
        <w:snapToGrid w:val="0"/>
        <w:spacing w:line="440" w:lineRule="exact"/>
        <w:ind w:firstLine="420" w:firstLineChars="200"/>
      </w:pPr>
      <w:r>
        <w:t>执行企业标准、团体标准、地方标准的产品，检验项目参照上述内容执行。</w:t>
      </w:r>
    </w:p>
    <w:p w14:paraId="AFB29E8A">
      <w:pPr>
        <w:snapToGrid w:val="0"/>
        <w:spacing w:line="440" w:lineRule="exact"/>
        <w:ind w:firstLine="420" w:firstLineChars="200"/>
      </w:pPr>
      <w:r>
        <w:t>凡是注日期的文件，其随后所有的修改单（不包括勘误的内容）或修订版不适用于本细则。凡是不注日期的文件，其最新版本适用于本细则。</w:t>
      </w:r>
    </w:p>
    <w:p w14:paraId="50159053">
      <w:pPr>
        <w:adjustRightInd w:val="0"/>
        <w:snapToGrid w:val="0"/>
        <w:spacing w:line="440" w:lineRule="exact"/>
        <w:rPr>
          <w:b/>
          <w:bCs/>
        </w:rPr>
      </w:pPr>
      <w:r>
        <w:rPr>
          <w:b/>
          <w:bCs/>
        </w:rPr>
        <w:t>3 判定规则</w:t>
      </w:r>
    </w:p>
    <w:p w14:paraId="B76905AC">
      <w:pPr>
        <w:adjustRightInd w:val="0"/>
        <w:snapToGrid w:val="0"/>
        <w:spacing w:line="440" w:lineRule="exact"/>
        <w:jc w:val="left"/>
        <w:rPr>
          <w:b/>
          <w:bCs/>
        </w:rPr>
      </w:pPr>
      <w:r>
        <w:rPr>
          <w:b/>
          <w:bCs/>
        </w:rPr>
        <w:t>3.1依据标准</w:t>
      </w:r>
    </w:p>
    <w:p w14:paraId="67AE7240">
      <w:pPr>
        <w:snapToGrid w:val="0"/>
        <w:spacing w:line="440" w:lineRule="exact"/>
        <w:ind w:firstLine="396" w:firstLineChars="200"/>
        <w:rPr>
          <w:spacing w:val="-6"/>
        </w:rPr>
      </w:pPr>
      <w:r>
        <w:rPr>
          <w:rFonts w:hint="eastAsia"/>
          <w:spacing w:val="-6"/>
        </w:rPr>
        <w:t>GB/T 10457-2021 食品用塑料自粘保鲜膜质量通则</w:t>
      </w:r>
    </w:p>
    <w:p w14:paraId="102400F1">
      <w:pPr>
        <w:snapToGrid w:val="0"/>
        <w:spacing w:line="440" w:lineRule="exact"/>
        <w:ind w:firstLine="396" w:firstLineChars="200"/>
        <w:rPr>
          <w:spacing w:val="-6"/>
        </w:rPr>
      </w:pPr>
      <w:r>
        <w:rPr>
          <w:spacing w:val="-6"/>
        </w:rPr>
        <w:t>GB/T 4456-2008 包装用聚乙烯吹塑薄膜</w:t>
      </w:r>
    </w:p>
    <w:p w14:paraId="65C1E5E6">
      <w:pPr>
        <w:snapToGrid w:val="0"/>
        <w:spacing w:line="440" w:lineRule="exact"/>
        <w:ind w:firstLine="396" w:firstLineChars="200"/>
        <w:rPr>
          <w:spacing w:val="-6"/>
        </w:rPr>
      </w:pPr>
      <w:r>
        <w:rPr>
          <w:spacing w:val="-6"/>
        </w:rPr>
        <w:t>GB/T 10003-2008 普通用途双向拉伸聚丙烯(BOPP)薄膜</w:t>
      </w:r>
    </w:p>
    <w:p w14:paraId="31C85A13">
      <w:pPr>
        <w:snapToGrid w:val="0"/>
        <w:spacing w:line="440" w:lineRule="exact"/>
        <w:ind w:firstLine="396" w:firstLineChars="200"/>
        <w:rPr>
          <w:spacing w:val="-6"/>
        </w:rPr>
      </w:pPr>
      <w:r>
        <w:rPr>
          <w:spacing w:val="-6"/>
        </w:rPr>
        <w:t>BB/T 0039-2013 商品零售包装袋</w:t>
      </w:r>
    </w:p>
    <w:p w14:paraId="58170048">
      <w:pPr>
        <w:snapToGrid w:val="0"/>
        <w:spacing w:line="440" w:lineRule="exact"/>
        <w:ind w:firstLine="396" w:firstLineChars="200"/>
        <w:rPr>
          <w:spacing w:val="-6"/>
        </w:rPr>
      </w:pPr>
      <w:r>
        <w:rPr>
          <w:rFonts w:hint="eastAsia"/>
          <w:spacing w:val="-6"/>
        </w:rPr>
        <w:t>GB 4806.7-2023  食品安全国家标准 食品接触用塑料材料及制品</w:t>
      </w:r>
    </w:p>
    <w:p w14:paraId="881EB0D7">
      <w:pPr>
        <w:snapToGrid w:val="0"/>
        <w:spacing w:line="440" w:lineRule="exact"/>
        <w:ind w:firstLine="420" w:firstLineChars="200"/>
      </w:pPr>
      <w:r>
        <w:t>现行有效的企业标准、团体标准、地方标准及产品明示质量要求</w:t>
      </w:r>
    </w:p>
    <w:p w14:paraId="928207D1">
      <w:pPr>
        <w:adjustRightInd w:val="0"/>
        <w:snapToGrid w:val="0"/>
        <w:spacing w:line="440" w:lineRule="exact"/>
        <w:jc w:val="left"/>
        <w:rPr>
          <w:b/>
          <w:bCs/>
          <w:highlight w:val="lightGray"/>
        </w:rPr>
      </w:pPr>
      <w:r>
        <w:rPr>
          <w:b/>
          <w:bCs/>
        </w:rPr>
        <w:t>3.2判定原则</w:t>
      </w:r>
    </w:p>
    <w:p w14:paraId="8C75E570">
      <w:pPr>
        <w:snapToGrid w:val="0"/>
        <w:spacing w:line="400" w:lineRule="exact"/>
        <w:ind w:firstLine="420" w:firstLineChars="200"/>
      </w:pPr>
      <w:r>
        <w:t>经检验，检验项目全部合格，判定为被抽查产品所检项目未发现不合格；检验项目中任一项或一项以上不合格，判定为被抽查产品不合格。</w:t>
      </w:r>
    </w:p>
    <w:p w14:paraId="50CBB525">
      <w:pPr>
        <w:snapToGrid w:val="0"/>
        <w:spacing w:line="400" w:lineRule="exact"/>
        <w:ind w:firstLine="417" w:firstLineChars="199"/>
      </w:pPr>
      <w:r>
        <w:t>若被检产品明示的质量要求高于本细则中检验项目依据的标准要求时，应按被检产品明示的质量要求判定。</w:t>
      </w:r>
    </w:p>
    <w:p w14:paraId="C2E6A0FF">
      <w:pPr>
        <w:snapToGrid w:val="0"/>
        <w:spacing w:line="400" w:lineRule="exact"/>
        <w:ind w:firstLine="417" w:firstLineChars="199"/>
      </w:pPr>
      <w:r>
        <w:t>若被检产品明示的质量要求低于本细则中检验项目依据的强制性标准要求时，应按照强制性标准要求判定。</w:t>
      </w:r>
    </w:p>
    <w:p w14:paraId="EDD8BC49">
      <w:pPr>
        <w:snapToGrid w:val="0"/>
        <w:spacing w:line="400" w:lineRule="exact"/>
        <w:ind w:firstLine="417" w:firstLineChars="199"/>
      </w:pPr>
      <w:r>
        <w:t>若被检产品明示的质量要求低于或包含本细则中检验项目依据的推荐性标准要求时，应以被检产品明示的质量要求判定。</w:t>
      </w:r>
    </w:p>
    <w:p w14:paraId="3AFBDA2C">
      <w:pPr>
        <w:snapToGrid w:val="0"/>
        <w:spacing w:line="400" w:lineRule="exact"/>
        <w:ind w:firstLine="417" w:firstLineChars="199"/>
      </w:pPr>
      <w:r>
        <w:t>若被检产品明示的质量要求缺少本细则中检验项目依据的强制性标准要求时，应按照强制</w:t>
      </w:r>
      <w:bookmarkStart w:id="0" w:name="_GoBack"/>
      <w:bookmarkEnd w:id="0"/>
      <w:r>
        <w:t>性标准要求判定。</w:t>
      </w:r>
    </w:p>
    <w:p w14:paraId="FF7C8158">
      <w:pPr>
        <w:snapToGrid w:val="0"/>
        <w:spacing w:line="400" w:lineRule="exact"/>
        <w:ind w:firstLine="417" w:firstLineChars="199"/>
      </w:pPr>
      <w:r>
        <w:t>若被检产品明示的质量要求缺少本细则中检验项目依据的推荐性标准要求时，该项目不参与判定。</w:t>
      </w:r>
    </w:p>
    <w:sectPr>
      <w:footerReference r:id="rId4" w:type="first"/>
      <w:footerReference r:id="rId3" w:type="default"/>
      <w:pgSz w:w="11906" w:h="16838"/>
      <w:pgMar w:top="1440" w:right="1803" w:bottom="1440" w:left="1803" w:header="851" w:footer="119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21844">
    <w:pPr>
      <w:pStyle w:val="4"/>
      <w:rPr>
        <w:rFonts w:cs="Calibri"/>
      </w:rP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60325" cy="154940"/>
              <wp:effectExtent l="0" t="0" r="0" b="0"/>
              <wp:wrapNone/>
              <wp:docPr id="4097" name="文本框 1"/>
              <wp:cNvGraphicFramePr/>
              <a:graphic xmlns:a="http://schemas.openxmlformats.org/drawingml/2006/main">
                <a:graphicData uri="http://schemas.microsoft.com/office/word/2010/wordprocessingShape">
                  <wps:wsp>
                    <wps:cNvSpPr/>
                    <wps:spPr>
                      <a:xfrm>
                        <a:off x="0" y="0"/>
                        <a:ext cx="60325" cy="154940"/>
                      </a:xfrm>
                      <a:prstGeom prst="rect">
                        <a:avLst/>
                      </a:prstGeom>
                      <a:ln>
                        <a:noFill/>
                      </a:ln>
                    </wps:spPr>
                    <wps:txbx>
                      <w:txbxContent>
                        <w:p w14:paraId="3065E5D9">
                          <w:pPr>
                            <w:pStyle w:val="4"/>
                            <w:rPr>
                              <w:rFonts w:eastAsia="宋体" w:cs="Calibri"/>
                            </w:rPr>
                          </w:pPr>
                          <w:r>
                            <w:fldChar w:fldCharType="begin"/>
                          </w:r>
                          <w:r>
                            <w:instrText xml:space="preserve"> PAGE  \* MERGEFORMAT </w:instrText>
                          </w:r>
                          <w:r>
                            <w:fldChar w:fldCharType="separate"/>
                          </w:r>
                          <w:r>
                            <w:t>3</w:t>
                          </w:r>
                          <w:r>
                            <w:fldChar w:fldCharType="end"/>
                          </w:r>
                        </w:p>
                      </w:txbxContent>
                    </wps:txbx>
                    <wps:bodyPr vert="horz" wrap="none" lIns="0" tIns="0" rIns="0" bIns="0" anchor="t" upright="1">
                      <a:spAutoFit/>
                    </wps:bodyPr>
                  </wps:wsp>
                </a:graphicData>
              </a:graphic>
            </wp:anchor>
          </w:drawing>
        </mc:Choice>
        <mc:Fallback>
          <w:pict>
            <v:rect id="文本框 1" o:spid="_x0000_s1026" o:spt="1" style="position:absolute;left:0pt;margin-top:0pt;height:12.2pt;width:4.75pt;mso-position-horizontal:center;mso-position-horizontal-relative:margin;mso-wrap-style:none;z-index:251659264;mso-width-relative:page;mso-height-relative:page;" filled="f" stroked="f" coordsize="21600,21600" o:gfxdata="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gEMXa0QAAAAIBAAAPAAAAAAAAAAEAIAAAACIA&#10;AABkcnMvZG93bnJldi54bWxQSwECFAAUAAAACACHTuJAdWV6WNcBAACbAwAADgAAAAAAAAABACAA&#10;AAAgAQAAZHJzL2Uyb0RvYy54bWxQSwUGAAAAAAYABgBZAQAAaQUAAAAA&#10;">
              <v:fill on="f" focussize="0,0"/>
              <v:stroke on="f"/>
              <v:imagedata o:title=""/>
              <o:lock v:ext="edit" aspectratio="f"/>
              <v:textbox inset="0mm,0mm,0mm,0mm" style="mso-fit-shape-to-text:t;">
                <w:txbxContent>
                  <w:p w14:paraId="3065E5D9">
                    <w:pPr>
                      <w:pStyle w:val="4"/>
                      <w:rPr>
                        <w:rFonts w:eastAsia="宋体" w:cs="Calibri"/>
                      </w:rPr>
                    </w:pPr>
                    <w:r>
                      <w:fldChar w:fldCharType="begin"/>
                    </w:r>
                    <w:r>
                      <w:instrText xml:space="preserve"> PAGE  \* MERGEFORMAT </w:instrText>
                    </w:r>
                    <w:r>
                      <w:fldChar w:fldCharType="separate"/>
                    </w:r>
                    <w:r>
                      <w:t>3</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F0620254">
    <w:pPr>
      <w:pStyle w:val="4"/>
      <w:rPr>
        <w:rFonts w:cs="Calibri"/>
      </w:rP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60325" cy="154940"/>
              <wp:effectExtent l="0" t="0" r="0" b="0"/>
              <wp:wrapNone/>
              <wp:docPr id="4098" name="文本框 2"/>
              <wp:cNvGraphicFramePr/>
              <a:graphic xmlns:a="http://schemas.openxmlformats.org/drawingml/2006/main">
                <a:graphicData uri="http://schemas.microsoft.com/office/word/2010/wordprocessingShape">
                  <wps:wsp>
                    <wps:cNvSpPr/>
                    <wps:spPr>
                      <a:xfrm>
                        <a:off x="0" y="0"/>
                        <a:ext cx="60325" cy="154940"/>
                      </a:xfrm>
                      <a:prstGeom prst="rect">
                        <a:avLst/>
                      </a:prstGeom>
                      <a:ln>
                        <a:noFill/>
                      </a:ln>
                    </wps:spPr>
                    <wps:txbx>
                      <w:txbxContent>
                        <w:p w14:paraId="B75C8650">
                          <w:pPr>
                            <w:pStyle w:val="4"/>
                            <w:rPr>
                              <w:rFonts w:eastAsia="宋体" w:cs="Calibri"/>
                            </w:rPr>
                          </w:pPr>
                          <w:r>
                            <w:fldChar w:fldCharType="begin"/>
                          </w:r>
                          <w:r>
                            <w:instrText xml:space="preserve"> PAGE  \* MERGEFORMAT </w:instrText>
                          </w:r>
                          <w:r>
                            <w:fldChar w:fldCharType="separate"/>
                          </w:r>
                          <w:r>
                            <w:t>1</w:t>
                          </w:r>
                          <w:r>
                            <w:fldChar w:fldCharType="end"/>
                          </w:r>
                        </w:p>
                      </w:txbxContent>
                    </wps:txbx>
                    <wps:bodyPr vert="horz" wrap="none" lIns="0" tIns="0" rIns="0" bIns="0" anchor="t" upright="1">
                      <a:spAutoFit/>
                    </wps:bodyPr>
                  </wps:wsp>
                </a:graphicData>
              </a:graphic>
            </wp:anchor>
          </w:drawing>
        </mc:Choice>
        <mc:Fallback>
          <w:pict>
            <v:rect id="文本框 2" o:spid="_x0000_s1026" o:spt="1" style="position:absolute;left:0pt;margin-top:0pt;height:12.2pt;width:4.75pt;mso-position-horizontal:center;mso-position-horizontal-relative:margin;mso-wrap-style:none;z-index:251659264;mso-width-relative:page;mso-height-relative:page;" filled="f" stroked="f" coordsize="21600,21600" o:gfxdata="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CAQxdrRAAAAAgEAAA8AAAAAAAAAAQAgAAAAIgAA&#10;AGRycy9kb3ducmV2LnhtbFBLAQIUABQAAAAIAIdO4kABXfIp1gEAAJsDAAAOAAAAAAAAAAEAIAAA&#10;ACABAABkcnMvZTJvRG9jLnhtbFBLBQYAAAAABgAGAFkBAABoBQAAAAA=&#10;">
              <v:fill on="f" focussize="0,0"/>
              <v:stroke on="f"/>
              <v:imagedata o:title=""/>
              <o:lock v:ext="edit" aspectratio="f"/>
              <v:textbox inset="0mm,0mm,0mm,0mm" style="mso-fit-shape-to-text:t;">
                <w:txbxContent>
                  <w:p w14:paraId="B75C8650">
                    <w:pPr>
                      <w:pStyle w:val="4"/>
                      <w:rPr>
                        <w:rFonts w:eastAsia="宋体" w:cs="Calibri"/>
                      </w:rPr>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oNotHyphenateCaps/>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0C2BF3"/>
    <w:rsid w:val="0B28263F"/>
    <w:rsid w:val="11906FC7"/>
    <w:rsid w:val="26CE33C3"/>
    <w:rsid w:val="38557E86"/>
    <w:rsid w:val="389F29B2"/>
    <w:rsid w:val="3E1E2E85"/>
    <w:rsid w:val="59475421"/>
    <w:rsid w:val="61424122"/>
    <w:rsid w:val="74D71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qFormat/>
    <w:uiPriority w:val="1"/>
  </w:style>
  <w:style w:type="table" w:default="1" w:styleId="6">
    <w:name w:val="Normal Table"/>
    <w:qFormat/>
    <w:uiPriority w:val="99"/>
    <w:tblPr>
      <w:tblCellMar>
        <w:top w:w="0" w:type="dxa"/>
        <w:left w:w="108" w:type="dxa"/>
        <w:bottom w:w="0" w:type="dxa"/>
        <w:right w:w="108" w:type="dxa"/>
      </w:tblCellMar>
    </w:tblPr>
  </w:style>
  <w:style w:type="paragraph" w:styleId="2">
    <w:name w:val="annotation text"/>
    <w:basedOn w:val="1"/>
    <w:link w:val="8"/>
    <w:qFormat/>
    <w:uiPriority w:val="99"/>
    <w:pPr>
      <w:jc w:val="left"/>
    </w:pPr>
    <w:rPr>
      <w:kern w:val="0"/>
    </w:rPr>
  </w:style>
  <w:style w:type="paragraph" w:styleId="3">
    <w:name w:val="Balloon Text"/>
    <w:basedOn w:val="1"/>
    <w:link w:val="9"/>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rFonts w:ascii="等线" w:hAnsi="等线" w:eastAsia="等线"/>
      <w:kern w:val="0"/>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rFonts w:ascii="等线" w:hAnsi="等线" w:eastAsia="等线"/>
      <w:kern w:val="0"/>
      <w:sz w:val="18"/>
      <w:szCs w:val="18"/>
    </w:rPr>
  </w:style>
  <w:style w:type="character" w:customStyle="1" w:styleId="8">
    <w:name w:val="批注文字 字符"/>
    <w:link w:val="2"/>
    <w:qFormat/>
    <w:uiPriority w:val="99"/>
    <w:rPr>
      <w:rFonts w:ascii="Calibri" w:hAnsi="Calibri" w:eastAsia="宋体" w:cs="Calibri"/>
      <w:sz w:val="21"/>
      <w:szCs w:val="21"/>
    </w:rPr>
  </w:style>
  <w:style w:type="character" w:customStyle="1" w:styleId="9">
    <w:name w:val="批注框文本 字符"/>
    <w:link w:val="3"/>
    <w:qFormat/>
    <w:uiPriority w:val="99"/>
    <w:rPr>
      <w:rFonts w:ascii="Calibri" w:hAnsi="Calibri" w:eastAsia="宋体" w:cs="Calibri"/>
      <w:kern w:val="2"/>
      <w:sz w:val="18"/>
      <w:szCs w:val="18"/>
    </w:rPr>
  </w:style>
  <w:style w:type="character" w:customStyle="1" w:styleId="10">
    <w:name w:val="页脚 字符"/>
    <w:link w:val="4"/>
    <w:qFormat/>
    <w:uiPriority w:val="99"/>
    <w:rPr>
      <w:sz w:val="18"/>
      <w:szCs w:val="18"/>
    </w:rPr>
  </w:style>
  <w:style w:type="character" w:customStyle="1" w:styleId="11">
    <w:name w:val="页眉 字符"/>
    <w:link w:val="5"/>
    <w:qFormat/>
    <w:uiPriority w:val="99"/>
    <w:rPr>
      <w:sz w:val="18"/>
      <w:szCs w:val="18"/>
    </w:rPr>
  </w:style>
  <w:style w:type="paragraph" w:customStyle="1" w:styleId="12">
    <w:name w:val="修订1"/>
    <w:qFormat/>
    <w:uiPriority w:val="99"/>
    <w:rPr>
      <w:rFonts w:ascii="Calibri" w:hAnsi="Calibri" w:eastAsia="宋体" w:cs="Calibri"/>
      <w:kern w:val="2"/>
      <w:sz w:val="21"/>
      <w:szCs w:val="21"/>
      <w:lang w:val="en-US" w:eastAsia="zh-CN" w:bidi="ar-SA"/>
    </w:rPr>
  </w:style>
  <w:style w:type="paragraph" w:customStyle="1" w:styleId="13">
    <w:name w:val="Table Text"/>
    <w:basedOn w:val="1"/>
    <w:semiHidden/>
    <w:qFormat/>
    <w:uiPriority w:val="0"/>
    <w:rPr>
      <w:rFonts w:ascii="仿宋" w:hAnsi="仿宋" w:eastAsia="仿宋" w:cs="仿宋"/>
      <w:sz w:val="24"/>
      <w:szCs w:val="24"/>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1080</Words>
  <Characters>1393</Characters>
  <Paragraphs>93</Paragraphs>
  <TotalTime>1</TotalTime>
  <ScaleCrop>false</ScaleCrop>
  <LinksUpToDate>false</LinksUpToDate>
  <CharactersWithSpaces>1433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2025-02-26T02:36:00Z</dcterms:created>
  <dc:creator>lenovo</dc:creator>
  <cp:lastModifiedBy>Administrator</cp:lastModifiedBy>
  <dcterms:modified xsi:type="dcterms:W3CDTF">2025-06-18T07:32:08Z</dcterms:modified>
  <dc:title>童鞋产品质量国家监督抽查实施细则</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076583b12baf4a9b80c6737ce8c3d3d0_23</vt:lpwstr>
  </property>
  <property fmtid="{D5CDD505-2E9C-101B-9397-08002B2CF9AE}" pid="4" name="KSOTemplateDocerSaveRecord">
    <vt:lpwstr>eyJoZGlkIjoiYzRhYzA1YjBmNWU1NTk5YTQ5YjBjMTY2MWFlZGEzN2IifQ==</vt:lpwstr>
  </property>
</Properties>
</file>