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87A11">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南昌市可降解制塑料品（吸管）产品质量监督抽查实施细则（202</w:t>
      </w:r>
      <w:r>
        <w:rPr>
          <w:rFonts w:hint="eastAsia" w:ascii="宋体" w:hAnsi="宋体" w:eastAsia="宋体" w:cs="宋体"/>
          <w:b/>
          <w:bCs/>
          <w:color w:val="000000"/>
          <w:sz w:val="36"/>
          <w:szCs w:val="36"/>
          <w:lang w:eastAsia="zh-CN"/>
        </w:rPr>
        <w:t>5</w:t>
      </w:r>
      <w:r>
        <w:rPr>
          <w:rFonts w:hint="eastAsia" w:ascii="宋体" w:hAnsi="宋体" w:eastAsia="宋体" w:cs="宋体"/>
          <w:b/>
          <w:bCs/>
          <w:color w:val="000000"/>
          <w:sz w:val="36"/>
          <w:szCs w:val="36"/>
          <w:lang w:eastAsia="zh-CN"/>
        </w:rPr>
        <w:t>年版）</w:t>
      </w:r>
    </w:p>
    <w:p w14:paraId="6F4042E0">
      <w:pPr>
        <w:snapToGrid w:val="0"/>
        <w:spacing w:line="440" w:lineRule="exact"/>
        <w:jc w:val="center"/>
        <w:rPr>
          <w:rFonts w:eastAsia="方正小标宋简体"/>
          <w:color w:val="000000"/>
          <w:sz w:val="32"/>
          <w:szCs w:val="32"/>
        </w:rPr>
      </w:pPr>
      <w:bookmarkStart w:id="0" w:name="_GoBack"/>
      <w:bookmarkEnd w:id="0"/>
    </w:p>
    <w:p w14:paraId="2C283B2A">
      <w:pPr>
        <w:snapToGrid w:val="0"/>
        <w:spacing w:line="440" w:lineRule="exact"/>
        <w:rPr>
          <w:rFonts w:ascii="宋体" w:hAnsi="宋体"/>
          <w:b/>
          <w:color w:val="000000"/>
          <w:sz w:val="24"/>
          <w:szCs w:val="24"/>
        </w:rPr>
      </w:pPr>
      <w:r>
        <w:rPr>
          <w:rFonts w:ascii="宋体" w:hAnsi="宋体"/>
          <w:b/>
          <w:color w:val="000000"/>
          <w:sz w:val="24"/>
          <w:szCs w:val="24"/>
        </w:rPr>
        <w:t>1 抽样方法</w:t>
      </w:r>
    </w:p>
    <w:p w14:paraId="6F25B064">
      <w:pPr>
        <w:snapToGrid w:val="0"/>
        <w:spacing w:line="440" w:lineRule="exact"/>
        <w:ind w:firstLine="417" w:firstLineChars="199"/>
        <w:rPr>
          <w:color w:val="000000"/>
          <w:szCs w:val="21"/>
        </w:rPr>
      </w:pPr>
      <w:r>
        <w:rPr>
          <w:rFonts w:hint="eastAsia"/>
          <w:color w:val="000000"/>
          <w:szCs w:val="21"/>
        </w:rPr>
        <w:t>以随机抽样的方式在被抽样生产者、销售者的待销产品中抽取。</w:t>
      </w:r>
    </w:p>
    <w:p w14:paraId="3E9FEBE0">
      <w:pPr>
        <w:snapToGrid w:val="0"/>
        <w:spacing w:line="440" w:lineRule="exact"/>
        <w:ind w:firstLine="417" w:firstLineChars="199"/>
        <w:rPr>
          <w:color w:val="000000"/>
          <w:szCs w:val="21"/>
        </w:rPr>
      </w:pPr>
      <w:r>
        <w:rPr>
          <w:rFonts w:hint="eastAsia"/>
          <w:color w:val="000000"/>
          <w:szCs w:val="21"/>
        </w:rPr>
        <w:t>随机数一般可使用随机数表、随机数骰子或扑克牌等方法产生。</w:t>
      </w:r>
    </w:p>
    <w:p w14:paraId="3336B256">
      <w:pPr>
        <w:snapToGrid w:val="0"/>
        <w:spacing w:line="440" w:lineRule="exact"/>
        <w:ind w:firstLine="417" w:firstLineChars="199"/>
        <w:rPr>
          <w:color w:val="000000"/>
          <w:szCs w:val="21"/>
        </w:rPr>
      </w:pPr>
      <w:r>
        <w:rPr>
          <w:rFonts w:hint="eastAsia"/>
          <w:color w:val="000000"/>
          <w:szCs w:val="21"/>
        </w:rPr>
        <w:t>抽查样品基数满足抽样数量即可。</w:t>
      </w:r>
    </w:p>
    <w:p w14:paraId="7DC1C5CA">
      <w:pPr>
        <w:snapToGrid w:val="0"/>
        <w:spacing w:line="440" w:lineRule="exact"/>
        <w:ind w:firstLine="417" w:firstLineChars="199"/>
        <w:rPr>
          <w:color w:val="000000"/>
          <w:szCs w:val="21"/>
        </w:rPr>
      </w:pPr>
      <w:r>
        <w:rPr>
          <w:rFonts w:hint="eastAsia"/>
          <w:color w:val="000000"/>
          <w:szCs w:val="21"/>
        </w:rPr>
        <w:t>具体抽样数量</w:t>
      </w:r>
      <w:r>
        <w:rPr>
          <w:color w:val="000000"/>
          <w:szCs w:val="21"/>
        </w:rPr>
        <w:t>:</w:t>
      </w:r>
    </w:p>
    <w:p w14:paraId="52EB1691">
      <w:pPr>
        <w:snapToGrid w:val="0"/>
        <w:spacing w:line="440" w:lineRule="exact"/>
        <w:ind w:firstLine="417" w:firstLineChars="199"/>
        <w:rPr>
          <w:szCs w:val="21"/>
        </w:rPr>
      </w:pPr>
      <w:r>
        <w:rPr>
          <w:rFonts w:hint="eastAsia"/>
          <w:szCs w:val="21"/>
        </w:rPr>
        <w:t>吸管</w:t>
      </w:r>
      <w:r>
        <w:rPr>
          <w:szCs w:val="21"/>
        </w:rPr>
        <w:t>:</w:t>
      </w:r>
      <w:r>
        <w:rPr>
          <w:rFonts w:hint="eastAsia"/>
          <w:szCs w:val="21"/>
        </w:rPr>
        <w:t>每种样品抽样数量为150克加200支，样品分三份独立包装，一份样品为150克（用于生物分解率测试），另外2份分别100支/份（其中一份用检样，一份用于备样）。</w:t>
      </w:r>
    </w:p>
    <w:p w14:paraId="17AD54DD">
      <w:pPr>
        <w:snapToGrid w:val="0"/>
        <w:spacing w:line="440" w:lineRule="exact"/>
        <w:ind w:firstLine="420" w:firstLineChars="200"/>
        <w:rPr>
          <w:rFonts w:ascii="宋体" w:hAnsi="宋体"/>
          <w:b/>
          <w:color w:val="000000"/>
          <w:sz w:val="24"/>
          <w:szCs w:val="24"/>
        </w:rPr>
      </w:pPr>
      <w:r>
        <w:rPr>
          <w:szCs w:val="21"/>
        </w:rPr>
        <w:t>产品抽样数量可根据样品的实际大小，在满足检验的条件下做适当调整</w:t>
      </w:r>
      <w:r>
        <w:rPr>
          <w:rFonts w:hint="eastAsia"/>
          <w:szCs w:val="21"/>
        </w:rPr>
        <w:t>。</w:t>
      </w:r>
    </w:p>
    <w:p w14:paraId="6F75FCFF">
      <w:pPr>
        <w:snapToGrid w:val="0"/>
        <w:spacing w:line="440" w:lineRule="exact"/>
        <w:rPr>
          <w:rFonts w:ascii="宋体" w:hAnsi="宋体"/>
          <w:b/>
          <w:color w:val="000000"/>
          <w:sz w:val="24"/>
          <w:szCs w:val="24"/>
        </w:rPr>
      </w:pPr>
      <w:r>
        <w:rPr>
          <w:rFonts w:ascii="宋体" w:hAnsi="宋体"/>
          <w:b/>
          <w:color w:val="000000"/>
          <w:sz w:val="24"/>
          <w:szCs w:val="24"/>
        </w:rPr>
        <w:t>2 检验依据</w:t>
      </w:r>
    </w:p>
    <w:p w14:paraId="13BB7370">
      <w:pPr>
        <w:jc w:val="center"/>
      </w:pP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520"/>
        <w:gridCol w:w="2846"/>
        <w:gridCol w:w="2381"/>
      </w:tblGrid>
      <w:tr w14:paraId="4EC8D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5" w:type="dxa"/>
            <w:tcBorders>
              <w:top w:val="single" w:color="auto" w:sz="4" w:space="0"/>
              <w:left w:val="single" w:color="auto" w:sz="4" w:space="0"/>
              <w:bottom w:val="single" w:color="auto" w:sz="4" w:space="0"/>
              <w:right w:val="single" w:color="auto" w:sz="4" w:space="0"/>
            </w:tcBorders>
            <w:vAlign w:val="center"/>
          </w:tcPr>
          <w:p w14:paraId="70A16AE0">
            <w:pPr>
              <w:jc w:val="center"/>
            </w:pPr>
            <w:r>
              <w:t>序号</w:t>
            </w:r>
          </w:p>
        </w:tc>
        <w:tc>
          <w:tcPr>
            <w:tcW w:w="2456" w:type="dxa"/>
            <w:tcBorders>
              <w:top w:val="single" w:color="auto" w:sz="4" w:space="0"/>
              <w:left w:val="single" w:color="auto" w:sz="4" w:space="0"/>
              <w:bottom w:val="single" w:color="auto" w:sz="4" w:space="0"/>
              <w:right w:val="single" w:color="auto" w:sz="4" w:space="0"/>
            </w:tcBorders>
            <w:vAlign w:val="center"/>
          </w:tcPr>
          <w:p w14:paraId="550B1FFF">
            <w:pPr>
              <w:jc w:val="center"/>
            </w:pPr>
            <w:r>
              <w:t>检验项目</w:t>
            </w:r>
          </w:p>
        </w:tc>
        <w:tc>
          <w:tcPr>
            <w:tcW w:w="2774" w:type="dxa"/>
            <w:tcBorders>
              <w:top w:val="single" w:color="auto" w:sz="4" w:space="0"/>
              <w:left w:val="single" w:color="auto" w:sz="4" w:space="0"/>
              <w:bottom w:val="single" w:color="auto" w:sz="4" w:space="0"/>
              <w:right w:val="single" w:color="auto" w:sz="4" w:space="0"/>
            </w:tcBorders>
            <w:vAlign w:val="center"/>
          </w:tcPr>
          <w:p w14:paraId="1ECAF0E9">
            <w:pPr>
              <w:jc w:val="center"/>
            </w:pPr>
            <w:r>
              <w:rPr>
                <w:rFonts w:hint="eastAsia"/>
                <w:lang w:eastAsia="zh-CN"/>
              </w:rPr>
              <w:t>检验依据</w:t>
            </w:r>
          </w:p>
        </w:tc>
        <w:tc>
          <w:tcPr>
            <w:tcW w:w="2320" w:type="dxa"/>
            <w:tcBorders>
              <w:top w:val="single" w:color="auto" w:sz="4" w:space="0"/>
              <w:left w:val="single" w:color="auto" w:sz="4" w:space="0"/>
              <w:bottom w:val="single" w:color="auto" w:sz="4" w:space="0"/>
              <w:right w:val="single" w:color="auto" w:sz="4" w:space="0"/>
            </w:tcBorders>
            <w:vAlign w:val="center"/>
          </w:tcPr>
          <w:p w14:paraId="5C3EDA80">
            <w:pPr>
              <w:jc w:val="center"/>
            </w:pPr>
            <w:r>
              <w:t>检验方法</w:t>
            </w:r>
          </w:p>
        </w:tc>
      </w:tr>
      <w:tr w14:paraId="500F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5" w:type="dxa"/>
            <w:tcBorders>
              <w:top w:val="single" w:color="auto" w:sz="4" w:space="0"/>
              <w:left w:val="single" w:color="auto" w:sz="4" w:space="0"/>
              <w:bottom w:val="single" w:color="auto" w:sz="4" w:space="0"/>
              <w:right w:val="single" w:color="auto" w:sz="4" w:space="0"/>
            </w:tcBorders>
            <w:vAlign w:val="center"/>
          </w:tcPr>
          <w:p w14:paraId="21B032D0">
            <w:pPr>
              <w:jc w:val="center"/>
            </w:pPr>
            <w:r>
              <w:t>1</w:t>
            </w:r>
          </w:p>
        </w:tc>
        <w:tc>
          <w:tcPr>
            <w:tcW w:w="2456" w:type="dxa"/>
            <w:tcBorders>
              <w:top w:val="single" w:color="auto" w:sz="4" w:space="0"/>
              <w:left w:val="single" w:color="auto" w:sz="4" w:space="0"/>
              <w:bottom w:val="single" w:color="auto" w:sz="4" w:space="0"/>
              <w:right w:val="single" w:color="auto" w:sz="4" w:space="0"/>
            </w:tcBorders>
            <w:vAlign w:val="center"/>
          </w:tcPr>
          <w:p w14:paraId="412474C5">
            <w:pPr>
              <w:jc w:val="center"/>
            </w:pPr>
            <w:r>
              <w:rPr>
                <w:rFonts w:hint="eastAsia"/>
              </w:rPr>
              <w:t>感官要求</w:t>
            </w:r>
          </w:p>
        </w:tc>
        <w:tc>
          <w:tcPr>
            <w:tcW w:w="2774" w:type="dxa"/>
            <w:tcBorders>
              <w:top w:val="single" w:color="auto" w:sz="4" w:space="0"/>
              <w:left w:val="single" w:color="auto" w:sz="4" w:space="0"/>
              <w:bottom w:val="single" w:color="auto" w:sz="4" w:space="0"/>
              <w:right w:val="single" w:color="auto" w:sz="4" w:space="0"/>
            </w:tcBorders>
            <w:vAlign w:val="center"/>
          </w:tcPr>
          <w:p w14:paraId="3B422387">
            <w:pPr>
              <w:jc w:val="center"/>
              <w:rPr>
                <w:rFonts w:hint="eastAsia"/>
              </w:rPr>
            </w:pPr>
            <w: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t>GB 4806.7-2023</w:t>
            </w:r>
          </w:p>
        </w:tc>
        <w:tc>
          <w:tcPr>
            <w:tcW w:w="2320" w:type="dxa"/>
            <w:tcBorders>
              <w:top w:val="single" w:color="auto" w:sz="4" w:space="0"/>
              <w:left w:val="single" w:color="auto" w:sz="4" w:space="0"/>
              <w:bottom w:val="single" w:color="auto" w:sz="4" w:space="0"/>
              <w:right w:val="single" w:color="auto" w:sz="4" w:space="0"/>
            </w:tcBorders>
            <w:vAlign w:val="center"/>
          </w:tcPr>
          <w:p w14:paraId="7AC80B09">
            <w:pPr>
              <w:jc w:val="center"/>
            </w:pPr>
            <w:r>
              <w:rPr>
                <w:rFonts w:hint="eastAsia"/>
              </w:rPr>
              <w:t>GB 4806.7—2023</w:t>
            </w:r>
          </w:p>
        </w:tc>
      </w:tr>
      <w:tr w14:paraId="2CF3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5" w:type="dxa"/>
            <w:tcBorders>
              <w:top w:val="single" w:color="auto" w:sz="4" w:space="0"/>
              <w:left w:val="single" w:color="auto" w:sz="4" w:space="0"/>
              <w:bottom w:val="single" w:color="auto" w:sz="4" w:space="0"/>
              <w:right w:val="single" w:color="auto" w:sz="4" w:space="0"/>
            </w:tcBorders>
            <w:vAlign w:val="center"/>
          </w:tcPr>
          <w:p w14:paraId="679E6EE2">
            <w:pPr>
              <w:jc w:val="center"/>
            </w:pPr>
            <w:r>
              <w:t>2</w:t>
            </w:r>
          </w:p>
        </w:tc>
        <w:tc>
          <w:tcPr>
            <w:tcW w:w="2456" w:type="dxa"/>
            <w:tcBorders>
              <w:top w:val="single" w:color="auto" w:sz="4" w:space="0"/>
              <w:left w:val="single" w:color="auto" w:sz="4" w:space="0"/>
              <w:bottom w:val="single" w:color="auto" w:sz="4" w:space="0"/>
              <w:right w:val="single" w:color="auto" w:sz="4" w:space="0"/>
            </w:tcBorders>
            <w:vAlign w:val="center"/>
          </w:tcPr>
          <w:p w14:paraId="3C2BB436">
            <w:pPr>
              <w:jc w:val="center"/>
            </w:pPr>
            <w:r>
              <w:rPr>
                <w:rFonts w:hint="eastAsia"/>
              </w:rPr>
              <w:t>总迁移量</w:t>
            </w:r>
          </w:p>
        </w:tc>
        <w:tc>
          <w:tcPr>
            <w:tcW w:w="2774" w:type="dxa"/>
            <w:tcBorders>
              <w:top w:val="single" w:color="auto" w:sz="4" w:space="0"/>
              <w:left w:val="single" w:color="auto" w:sz="4" w:space="0"/>
              <w:bottom w:val="single" w:color="auto" w:sz="4" w:space="0"/>
              <w:right w:val="single" w:color="auto" w:sz="4" w:space="0"/>
            </w:tcBorders>
            <w:vAlign w:val="center"/>
          </w:tcPr>
          <w:p w14:paraId="39254BA7">
            <w:pPr>
              <w:jc w:val="center"/>
              <w:rPr>
                <w:rFonts w:hint="eastAsia"/>
              </w:rPr>
            </w:pPr>
            <w: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t>GB 4806.7-2023</w:t>
            </w:r>
          </w:p>
        </w:tc>
        <w:tc>
          <w:tcPr>
            <w:tcW w:w="2320" w:type="dxa"/>
            <w:tcBorders>
              <w:top w:val="single" w:color="auto" w:sz="4" w:space="0"/>
              <w:left w:val="single" w:color="auto" w:sz="4" w:space="0"/>
              <w:bottom w:val="single" w:color="auto" w:sz="4" w:space="0"/>
              <w:right w:val="single" w:color="auto" w:sz="4" w:space="0"/>
            </w:tcBorders>
            <w:vAlign w:val="center"/>
          </w:tcPr>
          <w:p w14:paraId="6EED1471">
            <w:pPr>
              <w:jc w:val="center"/>
            </w:pPr>
            <w:r>
              <w:rPr>
                <w:rFonts w:hint="eastAsia"/>
              </w:rPr>
              <w:t>GB 31604.8—2021</w:t>
            </w:r>
          </w:p>
        </w:tc>
      </w:tr>
      <w:tr w14:paraId="7C46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55" w:type="dxa"/>
            <w:tcBorders>
              <w:top w:val="single" w:color="auto" w:sz="4" w:space="0"/>
              <w:left w:val="single" w:color="auto" w:sz="4" w:space="0"/>
              <w:bottom w:val="single" w:color="auto" w:sz="4" w:space="0"/>
              <w:right w:val="single" w:color="auto" w:sz="4" w:space="0"/>
            </w:tcBorders>
            <w:vAlign w:val="center"/>
          </w:tcPr>
          <w:p w14:paraId="754FB8A3">
            <w:pPr>
              <w:jc w:val="center"/>
            </w:pPr>
            <w:r>
              <w:t>3</w:t>
            </w:r>
          </w:p>
        </w:tc>
        <w:tc>
          <w:tcPr>
            <w:tcW w:w="2456" w:type="dxa"/>
            <w:tcBorders>
              <w:top w:val="single" w:color="auto" w:sz="4" w:space="0"/>
              <w:left w:val="single" w:color="auto" w:sz="4" w:space="0"/>
              <w:bottom w:val="single" w:color="auto" w:sz="4" w:space="0"/>
              <w:right w:val="single" w:color="auto" w:sz="4" w:space="0"/>
            </w:tcBorders>
            <w:vAlign w:val="center"/>
          </w:tcPr>
          <w:p w14:paraId="0DD218AE">
            <w:pPr>
              <w:jc w:val="center"/>
            </w:pPr>
            <w:r>
              <w:rPr>
                <w:rFonts w:hint="eastAsia"/>
              </w:rPr>
              <w:t>高锰酸钾消耗量</w:t>
            </w:r>
          </w:p>
        </w:tc>
        <w:tc>
          <w:tcPr>
            <w:tcW w:w="2774" w:type="dxa"/>
            <w:tcBorders>
              <w:top w:val="single" w:color="auto" w:sz="4" w:space="0"/>
              <w:left w:val="single" w:color="auto" w:sz="4" w:space="0"/>
              <w:bottom w:val="single" w:color="auto" w:sz="4" w:space="0"/>
              <w:right w:val="single" w:color="auto" w:sz="4" w:space="0"/>
            </w:tcBorders>
            <w:vAlign w:val="center"/>
          </w:tcPr>
          <w:p w14:paraId="2D8868B2">
            <w:pPr>
              <w:jc w:val="center"/>
              <w:rPr>
                <w:rFonts w:hint="eastAsia"/>
              </w:rPr>
            </w:pPr>
            <w: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t>GB 4806.7-2023</w:t>
            </w:r>
          </w:p>
        </w:tc>
        <w:tc>
          <w:tcPr>
            <w:tcW w:w="2320" w:type="dxa"/>
            <w:tcBorders>
              <w:top w:val="single" w:color="auto" w:sz="4" w:space="0"/>
              <w:left w:val="single" w:color="auto" w:sz="4" w:space="0"/>
              <w:bottom w:val="single" w:color="auto" w:sz="4" w:space="0"/>
              <w:right w:val="single" w:color="auto" w:sz="4" w:space="0"/>
            </w:tcBorders>
            <w:vAlign w:val="center"/>
          </w:tcPr>
          <w:p w14:paraId="07A78978">
            <w:pPr>
              <w:jc w:val="center"/>
            </w:pPr>
            <w:r>
              <w:rPr>
                <w:rFonts w:hint="eastAsia"/>
              </w:rPr>
              <w:t>GB 31604.2—2016</w:t>
            </w:r>
          </w:p>
        </w:tc>
      </w:tr>
      <w:tr w14:paraId="536AA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5" w:type="dxa"/>
            <w:tcBorders>
              <w:top w:val="single" w:color="auto" w:sz="4" w:space="0"/>
              <w:left w:val="single" w:color="auto" w:sz="4" w:space="0"/>
              <w:bottom w:val="single" w:color="auto" w:sz="4" w:space="0"/>
              <w:right w:val="single" w:color="auto" w:sz="4" w:space="0"/>
            </w:tcBorders>
            <w:vAlign w:val="center"/>
          </w:tcPr>
          <w:p w14:paraId="6AEEB33B">
            <w:pPr>
              <w:jc w:val="center"/>
              <w:rPr>
                <w:rFonts w:hint="eastAsia" w:eastAsia="宋体"/>
                <w:lang w:eastAsia="zh-CN"/>
              </w:rPr>
            </w:pPr>
            <w:r>
              <w:rPr>
                <w:rFonts w:hint="eastAsia"/>
                <w:lang w:val="en-US" w:eastAsia="zh-CN"/>
              </w:rPr>
              <w:t>4</w:t>
            </w:r>
          </w:p>
        </w:tc>
        <w:tc>
          <w:tcPr>
            <w:tcW w:w="2456" w:type="dxa"/>
            <w:tcBorders>
              <w:top w:val="single" w:color="auto" w:sz="4" w:space="0"/>
              <w:left w:val="single" w:color="auto" w:sz="4" w:space="0"/>
              <w:bottom w:val="single" w:color="auto" w:sz="4" w:space="0"/>
              <w:right w:val="single" w:color="auto" w:sz="4" w:space="0"/>
            </w:tcBorders>
            <w:vAlign w:val="center"/>
          </w:tcPr>
          <w:p w14:paraId="66DECB3C">
            <w:pPr>
              <w:jc w:val="center"/>
            </w:pPr>
            <w:r>
              <w:rPr>
                <w:rFonts w:hint="eastAsia"/>
              </w:rPr>
              <w:t>重金属(以Pb 计)</w:t>
            </w:r>
          </w:p>
        </w:tc>
        <w:tc>
          <w:tcPr>
            <w:tcW w:w="2774" w:type="dxa"/>
            <w:tcBorders>
              <w:top w:val="single" w:color="auto" w:sz="4" w:space="0"/>
              <w:left w:val="single" w:color="auto" w:sz="4" w:space="0"/>
              <w:bottom w:val="single" w:color="auto" w:sz="4" w:space="0"/>
              <w:right w:val="single" w:color="auto" w:sz="4" w:space="0"/>
            </w:tcBorders>
            <w:vAlign w:val="center"/>
          </w:tcPr>
          <w:p w14:paraId="F8E3EB53">
            <w:pPr>
              <w:jc w:val="center"/>
              <w:rPr>
                <w:rFonts w:hint="eastAsia"/>
              </w:rPr>
            </w:pPr>
            <w: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t>GB 4806.7-2023</w:t>
            </w:r>
          </w:p>
        </w:tc>
        <w:tc>
          <w:tcPr>
            <w:tcW w:w="2320" w:type="dxa"/>
            <w:tcBorders>
              <w:top w:val="single" w:color="auto" w:sz="4" w:space="0"/>
              <w:left w:val="single" w:color="auto" w:sz="4" w:space="0"/>
              <w:bottom w:val="single" w:color="auto" w:sz="4" w:space="0"/>
              <w:right w:val="single" w:color="auto" w:sz="4" w:space="0"/>
            </w:tcBorders>
            <w:vAlign w:val="center"/>
          </w:tcPr>
          <w:p w14:paraId="4D439A58">
            <w:pPr>
              <w:jc w:val="center"/>
            </w:pPr>
            <w:r>
              <w:rPr>
                <w:rFonts w:hint="eastAsia"/>
              </w:rPr>
              <w:t>GB 31604.9—2016</w:t>
            </w:r>
          </w:p>
        </w:tc>
      </w:tr>
      <w:tr w14:paraId="3B3A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5" w:type="dxa"/>
            <w:tcBorders>
              <w:top w:val="single" w:color="auto" w:sz="4" w:space="0"/>
              <w:left w:val="single" w:color="auto" w:sz="4" w:space="0"/>
              <w:bottom w:val="single" w:color="auto" w:sz="4" w:space="0"/>
              <w:right w:val="single" w:color="auto" w:sz="4" w:space="0"/>
            </w:tcBorders>
            <w:vAlign w:val="center"/>
          </w:tcPr>
          <w:p w14:paraId="50DFDB75">
            <w:pPr>
              <w:jc w:val="center"/>
              <w:rPr>
                <w:rFonts w:hint="eastAsia" w:eastAsia="宋体"/>
                <w:lang w:eastAsia="zh-CN"/>
              </w:rPr>
            </w:pPr>
            <w:r>
              <w:rPr>
                <w:rFonts w:hint="eastAsia"/>
                <w:lang w:val="en-US" w:eastAsia="zh-CN"/>
              </w:rPr>
              <w:t>5</w:t>
            </w:r>
          </w:p>
        </w:tc>
        <w:tc>
          <w:tcPr>
            <w:tcW w:w="2456" w:type="dxa"/>
            <w:tcBorders>
              <w:top w:val="single" w:color="auto" w:sz="4" w:space="0"/>
              <w:left w:val="single" w:color="auto" w:sz="4" w:space="0"/>
              <w:bottom w:val="single" w:color="auto" w:sz="4" w:space="0"/>
              <w:right w:val="single" w:color="auto" w:sz="4" w:space="0"/>
            </w:tcBorders>
            <w:vAlign w:val="center"/>
          </w:tcPr>
          <w:p w14:paraId="50FF56F3">
            <w:pPr>
              <w:jc w:val="center"/>
            </w:pPr>
            <w:r>
              <w:rPr>
                <w:rFonts w:hint="eastAsia"/>
              </w:rPr>
              <w:t>脱色试验</w:t>
            </w:r>
          </w:p>
        </w:tc>
        <w:tc>
          <w:tcPr>
            <w:tcW w:w="2774" w:type="dxa"/>
            <w:tcBorders>
              <w:top w:val="single" w:color="auto" w:sz="4" w:space="0"/>
              <w:left w:val="single" w:color="auto" w:sz="4" w:space="0"/>
              <w:bottom w:val="single" w:color="auto" w:sz="4" w:space="0"/>
              <w:right w:val="single" w:color="auto" w:sz="4" w:space="0"/>
            </w:tcBorders>
            <w:vAlign w:val="center"/>
          </w:tcPr>
          <w:p w14:paraId="BE2D9A43">
            <w:pPr>
              <w:jc w:val="center"/>
              <w:rPr>
                <w:rFonts w:hint="eastAsia"/>
              </w:rPr>
            </w:pPr>
            <w:r>
              <w:rPr>
                <w:rFonts w:hint="default" w:ascii="Times New Roman" w:hAnsi="Times New Roman" w:eastAsia="宋体" w:cs="Times New Roman"/>
                <w:b w:val="0"/>
                <w:bCs w:val="0"/>
                <w:i w:val="0"/>
                <w:iCs w:val="0"/>
                <w:color w:val="auto"/>
                <w:kern w:val="2"/>
                <w:sz w:val="21"/>
                <w:szCs w:val="21"/>
                <w:highlight w:val="none"/>
                <w:vertAlign w:val="baseline"/>
                <w:lang w:val="en-US" w:eastAsia="zh-CN" w:bidi="ar-SA"/>
              </w:rPr>
              <w:t>GB 4806.7-2023</w:t>
            </w:r>
          </w:p>
        </w:tc>
        <w:tc>
          <w:tcPr>
            <w:tcW w:w="2320" w:type="dxa"/>
            <w:tcBorders>
              <w:top w:val="single" w:color="auto" w:sz="4" w:space="0"/>
              <w:left w:val="single" w:color="auto" w:sz="4" w:space="0"/>
              <w:bottom w:val="single" w:color="auto" w:sz="4" w:space="0"/>
              <w:right w:val="single" w:color="auto" w:sz="4" w:space="0"/>
            </w:tcBorders>
            <w:vAlign w:val="center"/>
          </w:tcPr>
          <w:p w14:paraId="1DF59C82">
            <w:pPr>
              <w:jc w:val="center"/>
            </w:pPr>
            <w:r>
              <w:rPr>
                <w:rFonts w:hint="eastAsia"/>
              </w:rPr>
              <w:t>GB 31604.7—2023</w:t>
            </w:r>
          </w:p>
        </w:tc>
      </w:tr>
      <w:tr w14:paraId="62FF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5" w:type="dxa"/>
            <w:tcBorders>
              <w:top w:val="single" w:color="auto" w:sz="4" w:space="0"/>
              <w:left w:val="single" w:color="auto" w:sz="4" w:space="0"/>
              <w:bottom w:val="single" w:color="auto" w:sz="4" w:space="0"/>
              <w:right w:val="single" w:color="auto" w:sz="4" w:space="0"/>
            </w:tcBorders>
            <w:vAlign w:val="center"/>
          </w:tcPr>
          <w:p w14:paraId="584783E3">
            <w:pPr>
              <w:jc w:val="center"/>
              <w:rPr>
                <w:rFonts w:hint="eastAsia" w:eastAsia="宋体"/>
                <w:lang w:eastAsia="zh-CN"/>
              </w:rPr>
            </w:pPr>
            <w:r>
              <w:rPr>
                <w:rFonts w:hint="eastAsia"/>
                <w:lang w:val="en-US" w:eastAsia="zh-CN"/>
              </w:rPr>
              <w:t>6</w:t>
            </w:r>
          </w:p>
        </w:tc>
        <w:tc>
          <w:tcPr>
            <w:tcW w:w="2456" w:type="dxa"/>
            <w:tcBorders>
              <w:top w:val="single" w:color="auto" w:sz="4" w:space="0"/>
              <w:left w:val="single" w:color="auto" w:sz="4" w:space="0"/>
              <w:bottom w:val="single" w:color="auto" w:sz="4" w:space="0"/>
              <w:right w:val="single" w:color="auto" w:sz="4" w:space="0"/>
            </w:tcBorders>
            <w:vAlign w:val="center"/>
          </w:tcPr>
          <w:p w14:paraId="63AC0BA3">
            <w:pPr>
              <w:jc w:val="center"/>
            </w:pPr>
            <w:r>
              <w:rPr>
                <w:rFonts w:hint="eastAsia"/>
              </w:rPr>
              <w:t>降解性能/生物分解率</w:t>
            </w:r>
          </w:p>
        </w:tc>
        <w:tc>
          <w:tcPr>
            <w:tcW w:w="2774" w:type="dxa"/>
            <w:tcBorders>
              <w:top w:val="single" w:color="auto" w:sz="4" w:space="0"/>
              <w:left w:val="single" w:color="auto" w:sz="4" w:space="0"/>
              <w:bottom w:val="single" w:color="auto" w:sz="4" w:space="0"/>
              <w:right w:val="single" w:color="auto" w:sz="4" w:space="0"/>
            </w:tcBorders>
            <w:vAlign w:val="center"/>
          </w:tcPr>
          <w:p w14:paraId="66CFF3A7">
            <w:pPr>
              <w:jc w:val="center"/>
              <w:rPr>
                <w:rFonts w:hint="default"/>
                <w:lang w:val="en-US" w:eastAsia="zh-CN"/>
              </w:rPr>
            </w:pPr>
            <w:r>
              <w:rPr>
                <w:rFonts w:hint="default"/>
                <w:lang w:val="en-US" w:eastAsia="zh-CN"/>
              </w:rPr>
              <w:t>QB/T 4633-2014</w:t>
            </w:r>
          </w:p>
          <w:p w14:paraId="45E89D95">
            <w:pPr>
              <w:jc w:val="center"/>
              <w:rPr>
                <w:rFonts w:hint="eastAsia"/>
                <w:lang w:val="en-US" w:eastAsia="zh-CN"/>
              </w:rPr>
            </w:pPr>
            <w:r>
              <w:rPr>
                <w:rFonts w:hint="default"/>
                <w:lang w:val="en-US" w:eastAsia="zh-CN"/>
              </w:rPr>
              <w:t>GB/T 41008-2021</w:t>
            </w:r>
          </w:p>
        </w:tc>
        <w:tc>
          <w:tcPr>
            <w:tcW w:w="2320" w:type="dxa"/>
            <w:tcBorders>
              <w:top w:val="single" w:color="auto" w:sz="4" w:space="0"/>
              <w:left w:val="single" w:color="auto" w:sz="4" w:space="0"/>
              <w:bottom w:val="single" w:color="auto" w:sz="4" w:space="0"/>
              <w:right w:val="single" w:color="auto" w:sz="4" w:space="0"/>
            </w:tcBorders>
            <w:vAlign w:val="center"/>
          </w:tcPr>
          <w:p w14:paraId="1E44BBBA">
            <w:pPr>
              <w:jc w:val="center"/>
              <w:rPr>
                <w:rFonts w:hint="default"/>
                <w:lang w:val="en-US" w:eastAsia="zh-CN"/>
              </w:rPr>
            </w:pPr>
            <w:r>
              <w:rPr>
                <w:rFonts w:hint="eastAsia"/>
                <w:lang w:val="en-US" w:eastAsia="zh-CN"/>
              </w:rPr>
              <w:t>GB/T 20197-2006</w:t>
            </w:r>
          </w:p>
          <w:p w14:paraId="23D43894">
            <w:pPr>
              <w:jc w:val="center"/>
              <w:rPr>
                <w:rFonts w:hint="default"/>
                <w:lang w:val="en-US" w:eastAsia="zh-CN"/>
              </w:rPr>
            </w:pPr>
            <w:r>
              <w:rPr>
                <w:rFonts w:hint="eastAsia"/>
                <w:lang w:val="en-US" w:eastAsia="zh-CN"/>
              </w:rPr>
              <w:t>GB/T 19277.1-2011</w:t>
            </w:r>
          </w:p>
        </w:tc>
      </w:tr>
      <w:tr w14:paraId="46DC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305" w:type="dxa"/>
            <w:gridSpan w:val="4"/>
            <w:tcBorders>
              <w:top w:val="single" w:color="auto" w:sz="4" w:space="0"/>
              <w:left w:val="single" w:color="auto" w:sz="4" w:space="0"/>
              <w:bottom w:val="single" w:color="auto" w:sz="4" w:space="0"/>
              <w:right w:val="single" w:color="auto" w:sz="4" w:space="0"/>
            </w:tcBorders>
            <w:vAlign w:val="center"/>
          </w:tcPr>
          <w:p w14:paraId="68B889DD">
            <w:pPr>
              <w:rPr>
                <w:bCs/>
              </w:rPr>
            </w:pPr>
            <w:r>
              <w:rPr>
                <w:rFonts w:hint="eastAsia"/>
              </w:rPr>
              <w:t>注：1.脱色试验仅适用于添加了着色剂的产品</w:t>
            </w:r>
            <w:r>
              <w:rPr>
                <w:rFonts w:hint="eastAsia"/>
                <w:lang w:eastAsia="zh-CN"/>
              </w:rPr>
              <w:t>；</w:t>
            </w:r>
            <w:r>
              <w:rPr>
                <w:rFonts w:hint="eastAsia"/>
              </w:rPr>
              <w:t>若可降解塑料制品产品是不直接接触食品的产品，不做食品安全国家标准项目。</w:t>
            </w:r>
          </w:p>
        </w:tc>
      </w:tr>
    </w:tbl>
    <w:p w14:paraId="2ED9AA79">
      <w:pPr>
        <w:adjustRightInd w:val="0"/>
        <w:snapToGrid w:val="0"/>
        <w:spacing w:line="440" w:lineRule="exact"/>
        <w:ind w:firstLine="411" w:firstLineChars="196"/>
        <w:rPr>
          <w:color w:val="000000"/>
          <w:szCs w:val="21"/>
        </w:rPr>
      </w:pPr>
      <w:r>
        <w:rPr>
          <w:rFonts w:hint="eastAsia"/>
          <w:color w:val="000000"/>
          <w:szCs w:val="21"/>
        </w:rPr>
        <w:t>执行企业标准、团体标准、地方标准的产品，检验项目参照上述内容执行。</w:t>
      </w:r>
    </w:p>
    <w:p w14:paraId="6211B79A">
      <w:pPr>
        <w:snapToGrid w:val="0"/>
        <w:spacing w:line="440" w:lineRule="exact"/>
        <w:ind w:firstLine="420" w:firstLineChars="200"/>
        <w:rPr>
          <w:rFonts w:ascii="宋体" w:hAnsi="宋体"/>
          <w:bCs/>
          <w:color w:val="000000"/>
          <w:sz w:val="24"/>
          <w:szCs w:val="24"/>
        </w:rPr>
      </w:pPr>
      <w:r>
        <w:rPr>
          <w:color w:val="000000"/>
          <w:szCs w:val="21"/>
        </w:rPr>
        <w:t>凡是注日期的文件，其随后所有的修改单（不包括勘误的内容）或修订版不适用于本细则。凡是不注日期的文件，其最新版本适用于本细则。</w:t>
      </w:r>
    </w:p>
    <w:p w14:paraId="1C614B6C">
      <w:pPr>
        <w:spacing w:line="360" w:lineRule="auto"/>
        <w:rPr>
          <w:rFonts w:ascii="宋体" w:hAnsi="宋体"/>
          <w:b/>
          <w:color w:val="000000"/>
          <w:sz w:val="24"/>
          <w:szCs w:val="24"/>
        </w:rPr>
      </w:pPr>
      <w:r>
        <w:rPr>
          <w:rFonts w:ascii="宋体" w:hAnsi="宋体"/>
          <w:b/>
          <w:color w:val="000000"/>
          <w:sz w:val="24"/>
          <w:szCs w:val="24"/>
        </w:rPr>
        <w:t>3 判定规则</w:t>
      </w:r>
    </w:p>
    <w:p w14:paraId="044D81BD">
      <w:pPr>
        <w:snapToGrid w:val="0"/>
        <w:spacing w:line="440" w:lineRule="exact"/>
        <w:rPr>
          <w:b/>
          <w:color w:val="000000"/>
          <w:sz w:val="24"/>
          <w:szCs w:val="24"/>
        </w:rPr>
      </w:pPr>
      <w:r>
        <w:rPr>
          <w:rFonts w:ascii="宋体" w:hAnsi="宋体"/>
          <w:b/>
          <w:color w:val="000000"/>
          <w:sz w:val="24"/>
          <w:szCs w:val="24"/>
        </w:rPr>
        <w:t>3.1依据</w:t>
      </w:r>
      <w:r>
        <w:rPr>
          <w:rFonts w:hint="eastAsia" w:ascii="宋体" w:hAnsi="宋体"/>
          <w:b/>
          <w:color w:val="000000"/>
          <w:sz w:val="24"/>
          <w:szCs w:val="24"/>
        </w:rPr>
        <w:t>标准</w:t>
      </w:r>
    </w:p>
    <w:p w14:paraId="2FFB215D">
      <w:pPr>
        <w:snapToGrid w:val="0"/>
        <w:spacing w:line="440" w:lineRule="exact"/>
        <w:ind w:firstLine="420" w:firstLineChars="200"/>
        <w:rPr>
          <w:color w:val="000000"/>
          <w:szCs w:val="21"/>
        </w:rPr>
      </w:pPr>
      <w:r>
        <w:rPr>
          <w:rFonts w:hint="eastAsia"/>
          <w:color w:val="000000"/>
          <w:szCs w:val="21"/>
        </w:rPr>
        <w:t>QB/T 4633-2014 《聚乳酸冷饮吸管》</w:t>
      </w:r>
    </w:p>
    <w:p w14:paraId="695F0738">
      <w:pPr>
        <w:snapToGrid w:val="0"/>
        <w:spacing w:line="440" w:lineRule="exact"/>
        <w:ind w:firstLine="420" w:firstLineChars="200"/>
        <w:rPr>
          <w:color w:val="000000"/>
          <w:szCs w:val="21"/>
        </w:rPr>
      </w:pPr>
      <w:r>
        <w:rPr>
          <w:rFonts w:hint="eastAsia"/>
          <w:color w:val="000000"/>
          <w:szCs w:val="21"/>
        </w:rPr>
        <w:t>GB/T 41008-2021《生物降解饮用吸管》</w:t>
      </w:r>
    </w:p>
    <w:p w14:paraId="3EDACFD1">
      <w:pPr>
        <w:snapToGrid w:val="0"/>
        <w:spacing w:line="440" w:lineRule="exact"/>
        <w:ind w:firstLine="420" w:firstLineChars="200"/>
        <w:rPr>
          <w:rFonts w:ascii="Times New Roman" w:hAnsi="Times New Roman"/>
        </w:rPr>
      </w:pPr>
      <w:r>
        <w:rPr>
          <w:rFonts w:hint="eastAsia" w:ascii="Times New Roman" w:hAnsi="Times New Roman"/>
        </w:rPr>
        <w:t xml:space="preserve">GB 4806.7-2023  </w:t>
      </w:r>
      <w:r>
        <w:rPr>
          <w:rFonts w:hint="eastAsia"/>
          <w:color w:val="000000"/>
          <w:szCs w:val="21"/>
        </w:rPr>
        <w:t>《</w:t>
      </w:r>
      <w:r>
        <w:rPr>
          <w:rFonts w:hint="eastAsia" w:ascii="Times New Roman" w:hAnsi="Times New Roman"/>
        </w:rPr>
        <w:t>食品安全国家标准 食品接触用塑料材料及制品</w:t>
      </w:r>
      <w:r>
        <w:rPr>
          <w:rFonts w:hint="eastAsia"/>
          <w:color w:val="000000"/>
          <w:szCs w:val="21"/>
        </w:rPr>
        <w:t>》</w:t>
      </w:r>
    </w:p>
    <w:p w14:paraId="44A1FC2B">
      <w:pPr>
        <w:snapToGrid w:val="0"/>
        <w:spacing w:line="440" w:lineRule="exact"/>
        <w:ind w:firstLine="420" w:firstLineChars="200"/>
        <w:rPr>
          <w:color w:val="000000"/>
          <w:szCs w:val="21"/>
        </w:rPr>
      </w:pPr>
      <w:r>
        <w:rPr>
          <w:rFonts w:hint="eastAsia"/>
          <w:color w:val="000000"/>
          <w:szCs w:val="21"/>
        </w:rPr>
        <w:t xml:space="preserve"> 现行有效的企业标准、团体标准、地方标准及产品明示质量要求</w:t>
      </w:r>
    </w:p>
    <w:p w14:paraId="7A0FDD01">
      <w:pPr>
        <w:spacing w:line="440" w:lineRule="exact"/>
        <w:ind w:right="142"/>
        <w:rPr>
          <w:rFonts w:ascii="宋体" w:hAnsi="宋体"/>
          <w:b/>
          <w:color w:val="000000"/>
          <w:sz w:val="24"/>
          <w:szCs w:val="24"/>
        </w:rPr>
      </w:pPr>
      <w:r>
        <w:rPr>
          <w:rFonts w:ascii="宋体" w:hAnsi="宋体"/>
          <w:b/>
          <w:color w:val="000000"/>
          <w:sz w:val="24"/>
          <w:szCs w:val="24"/>
        </w:rPr>
        <w:t>3.2判定原则</w:t>
      </w:r>
    </w:p>
    <w:p w14:paraId="457D74BF">
      <w:pPr>
        <w:snapToGrid w:val="0"/>
        <w:spacing w:line="400" w:lineRule="exact"/>
        <w:ind w:firstLine="420" w:firstLineChars="200"/>
      </w:pPr>
      <w:r>
        <w:t>经检验，检验项目全部合格，判定为被抽查产品所检项目未发现不合格；检验项目中任一项或一项以上不合格，判定为被抽查产品不合格。</w:t>
      </w:r>
    </w:p>
    <w:p w14:paraId="06E6CDBE">
      <w:pPr>
        <w:snapToGrid w:val="0"/>
        <w:spacing w:line="400" w:lineRule="exact"/>
        <w:ind w:firstLine="417" w:firstLineChars="199"/>
      </w:pPr>
      <w:r>
        <w:t>若被检产品明示的质量要求高于本细则中检验项目依据的标准要求时，应按被检产品明示的质量要求判定。</w:t>
      </w:r>
    </w:p>
    <w:p w14:paraId="73A07FE1">
      <w:pPr>
        <w:snapToGrid w:val="0"/>
        <w:spacing w:line="400" w:lineRule="exact"/>
        <w:ind w:firstLine="417" w:firstLineChars="199"/>
      </w:pPr>
      <w:r>
        <w:t>若被检产品明示的质量要求低于本细则中检验项目依据的强制性标准要求时，应按照强制性标准要求判定。</w:t>
      </w:r>
    </w:p>
    <w:p w14:paraId="31C03C67">
      <w:pPr>
        <w:snapToGrid w:val="0"/>
        <w:spacing w:line="400" w:lineRule="exact"/>
        <w:ind w:firstLine="417" w:firstLineChars="199"/>
      </w:pPr>
      <w:r>
        <w:t>若被检产品明示的质量要求低于或包含本细则中检验项目依据的推荐性标准要求时，应以被检产品明示的质量要求判定。</w:t>
      </w:r>
    </w:p>
    <w:p w14:paraId="1339B0C5">
      <w:pPr>
        <w:snapToGrid w:val="0"/>
        <w:spacing w:line="400" w:lineRule="exact"/>
        <w:ind w:firstLine="417" w:firstLineChars="199"/>
      </w:pPr>
      <w:r>
        <w:t>若被检产品明示的质量要求缺少本细则中检验项目依据的强制性标准要求时，应按照强制性标准要求判定。</w:t>
      </w:r>
    </w:p>
    <w:p w14:paraId="056961D4">
      <w:pPr>
        <w:snapToGrid w:val="0"/>
        <w:spacing w:line="400" w:lineRule="exact"/>
        <w:ind w:firstLine="417" w:firstLineChars="199"/>
      </w:pPr>
      <w:r>
        <w:t>若被检产品明示的质量要求缺少本细则中检验项目依据的推荐性标准要求时，该项目不参与判定。</w:t>
      </w:r>
    </w:p>
    <w:p w14:paraId="16F57CB3">
      <w:pPr>
        <w:rPr>
          <w:b/>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CC0308D5-866F-46A2-86DF-83B15081A3CC}"/>
  </w:font>
  <w:font w:name="仿宋">
    <w:panose1 w:val="02010609060101010101"/>
    <w:charset w:val="86"/>
    <w:family w:val="modern"/>
    <w:pitch w:val="default"/>
    <w:sig w:usb0="800002BF" w:usb1="38CF7CFA" w:usb2="00000016" w:usb3="00000000" w:csb0="00040001" w:csb1="00000000"/>
  </w:font>
  <w:font w:name="方正小标宋简体">
    <w:panose1 w:val="02010600010101010101"/>
    <w:charset w:val="86"/>
    <w:family w:val="auto"/>
    <w:pitch w:val="default"/>
    <w:sig w:usb0="00000001" w:usb1="080E0000" w:usb2="00000000" w:usb3="00000000" w:csb0="00040000" w:csb1="00000000"/>
    <w:embedRegular r:id="rId2" w:fontKey="{BFBBA19B-9B82-4A66-ADA9-F313A8999A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30C8A">
    <w:pPr>
      <w:pStyle w:val="2"/>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4097" name="文本框 1025"/>
              <wp:cNvGraphicFramePr/>
              <a:graphic xmlns:a="http://schemas.openxmlformats.org/drawingml/2006/main">
                <a:graphicData uri="http://schemas.microsoft.com/office/word/2010/wordprocessingShape">
                  <wps:wsp>
                    <wps:cNvSpPr/>
                    <wps:spPr>
                      <a:xfrm>
                        <a:off x="0" y="0"/>
                        <a:ext cx="58420" cy="139700"/>
                      </a:xfrm>
                      <a:prstGeom prst="rect">
                        <a:avLst/>
                      </a:prstGeom>
                      <a:ln>
                        <a:noFill/>
                      </a:ln>
                    </wps:spPr>
                    <wps:txbx>
                      <w:txbxContent>
                        <w:p w14:paraId="5AB74629">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upright="1">
                      <a:spAutoFit/>
                    </wps:bodyPr>
                  </wps:wsp>
                </a:graphicData>
              </a:graphic>
            </wp:anchor>
          </w:drawing>
        </mc:Choice>
        <mc:Fallback>
          <w:pict>
            <v:rect id="文本框 1025" o:spid="_x0000_s1026" o:spt="1"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kcZbZdAAAAACAQAADwAAAAAAAAABACAAAAAi&#10;AAAAZHJzL2Rvd25yZXYueG1sUEsBAhQAFAAAAAgAh07iQBDCoJfZAQAAngMAAA4AAAAAAAAAAQAg&#10;AAAAHwEAAGRycy9lMm9Eb2MueG1sUEsFBgAAAAAGAAYAWQEAAGoFAAAAAA==&#10;">
              <v:fill on="f" focussize="0,0"/>
              <v:stroke on="f"/>
              <v:imagedata o:title=""/>
              <o:lock v:ext="edit" aspectratio="f"/>
              <v:textbox inset="0mm,0mm,0mm,0mm" style="mso-fit-shape-to-text:t;">
                <w:txbxContent>
                  <w:p w14:paraId="5AB74629">
                    <w:pPr>
                      <w:pStyle w:val="2"/>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B53A21"/>
    <w:rsid w:val="0D033889"/>
    <w:rsid w:val="1AC9184D"/>
    <w:rsid w:val="3B9778CD"/>
    <w:rsid w:val="448654A3"/>
    <w:rsid w:val="4C7C283B"/>
    <w:rsid w:val="673449A4"/>
    <w:rsid w:val="677F38B1"/>
    <w:rsid w:val="7C1854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qFormat/>
    <w:uiPriority w:val="1"/>
  </w:style>
  <w:style w:type="table" w:default="1" w:styleId="4">
    <w:name w:val="Normal Table"/>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rFonts w:ascii="Calibri" w:hAnsi="Calibri" w:eastAsia="宋体" w:cs="宋体"/>
      <w:sz w:val="18"/>
      <w:szCs w:val="18"/>
    </w:rPr>
  </w:style>
  <w:style w:type="paragraph" w:styleId="3">
    <w:name w:val="header"/>
    <w:basedOn w:val="1"/>
    <w:link w:val="6"/>
    <w:qFormat/>
    <w:uiPriority w:val="99"/>
    <w:pPr>
      <w:pBdr>
        <w:bottom w:val="single" w:color="auto" w:sz="6" w:space="1"/>
      </w:pBdr>
      <w:tabs>
        <w:tab w:val="center" w:pos="4153"/>
        <w:tab w:val="right" w:pos="8306"/>
      </w:tabs>
      <w:snapToGrid w:val="0"/>
      <w:jc w:val="center"/>
    </w:pPr>
    <w:rPr>
      <w:rFonts w:ascii="Calibri" w:hAnsi="Calibri" w:eastAsia="宋体" w:cs="宋体"/>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0"/>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859</Words>
  <Characters>1063</Characters>
  <Paragraphs>162</Paragraphs>
  <TotalTime>4</TotalTime>
  <ScaleCrop>false</ScaleCrop>
  <LinksUpToDate>false</LinksUpToDate>
  <CharactersWithSpaces>1089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2025-02-26T02:44:00Z</dcterms:created>
  <dc:creator>潘孝伟</dc:creator>
  <cp:lastModifiedBy>weiy1ng</cp:lastModifiedBy>
  <dcterms:modified xsi:type="dcterms:W3CDTF">2025-06-20T10:20:36Z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53100EB048D44B7BAC57C6BFDFDB48F7_13</vt:lpwstr>
  </property>
  <property fmtid="{D5CDD505-2E9C-101B-9397-08002B2CF9AE}" pid="4" name="KSOTemplateDocerSaveRecord">
    <vt:lpwstr>eyJoZGlkIjoiZDRjNTI1MjFiZDYzM2Q0YjIwNzE0NTkzNGNlZGZjMTkiLCJ1c2VySWQiOiIyNDQ1OTgwODEifQ==</vt:lpwstr>
  </property>
</Properties>
</file>