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19E8D">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bCs/>
          <w:color w:val="000000"/>
          <w:sz w:val="32"/>
          <w:szCs w:val="32"/>
          <w:highlight w:val="none"/>
          <w:lang w:eastAsia="zh-CN"/>
        </w:rPr>
      </w:pPr>
      <w:r>
        <w:rPr>
          <w:rFonts w:hint="eastAsia" w:ascii="宋体" w:hAnsi="宋体" w:eastAsia="宋体" w:cs="宋体"/>
          <w:b/>
          <w:bCs/>
          <w:color w:val="000000"/>
          <w:sz w:val="32"/>
          <w:szCs w:val="32"/>
          <w:highlight w:val="none"/>
          <w:lang w:eastAsia="zh-CN"/>
        </w:rPr>
        <w:t>南昌市卫生巾（</w:t>
      </w:r>
      <w:r>
        <w:rPr>
          <w:rFonts w:hint="eastAsia" w:ascii="宋体" w:hAnsi="宋体" w:eastAsia="宋体" w:cs="宋体"/>
          <w:b/>
          <w:bCs/>
          <w:color w:val="000000"/>
          <w:sz w:val="32"/>
          <w:szCs w:val="32"/>
          <w:highlight w:val="none"/>
          <w:lang w:val="en-US" w:eastAsia="zh-CN"/>
        </w:rPr>
        <w:t>护垫</w:t>
      </w:r>
      <w:r>
        <w:rPr>
          <w:rFonts w:hint="eastAsia" w:ascii="宋体" w:hAnsi="宋体" w:eastAsia="宋体" w:cs="宋体"/>
          <w:b/>
          <w:bCs/>
          <w:color w:val="000000"/>
          <w:sz w:val="32"/>
          <w:szCs w:val="32"/>
          <w:highlight w:val="none"/>
          <w:lang w:eastAsia="zh-CN"/>
        </w:rPr>
        <w:t>）</w:t>
      </w:r>
      <w:r>
        <w:rPr>
          <w:rFonts w:hint="eastAsia" w:ascii="宋体" w:hAnsi="宋体" w:eastAsia="宋体" w:cs="宋体"/>
          <w:b/>
          <w:bCs/>
          <w:color w:val="000000"/>
          <w:sz w:val="32"/>
          <w:szCs w:val="32"/>
          <w:highlight w:val="none"/>
          <w:lang w:eastAsia="zh-CN"/>
        </w:rPr>
        <w:t>产品质量</w:t>
      </w:r>
      <w:r>
        <w:rPr>
          <w:rFonts w:hint="eastAsia" w:ascii="宋体" w:hAnsi="宋体" w:eastAsia="宋体" w:cs="宋体"/>
          <w:b/>
          <w:bCs/>
          <w:color w:val="000000"/>
          <w:sz w:val="32"/>
          <w:szCs w:val="32"/>
          <w:highlight w:val="none"/>
          <w:lang w:eastAsia="zh-CN"/>
        </w:rPr>
        <w:t>市级</w:t>
      </w:r>
      <w:r>
        <w:rPr>
          <w:rFonts w:hint="eastAsia" w:ascii="宋体" w:hAnsi="宋体" w:eastAsia="宋体" w:cs="宋体"/>
          <w:b/>
          <w:bCs/>
          <w:color w:val="000000"/>
          <w:sz w:val="32"/>
          <w:szCs w:val="32"/>
          <w:highlight w:val="none"/>
          <w:lang w:eastAsia="zh-CN"/>
        </w:rPr>
        <w:t>监督抽查实施细则</w:t>
      </w:r>
    </w:p>
    <w:p w14:paraId="733A0028">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color w:val="000000"/>
          <w:sz w:val="32"/>
          <w:szCs w:val="32"/>
          <w:lang w:eastAsia="zh-CN"/>
        </w:rPr>
      </w:pPr>
      <w:r>
        <w:rPr>
          <w:rFonts w:hint="eastAsia" w:ascii="宋体" w:hAnsi="宋体" w:eastAsia="宋体" w:cs="宋体"/>
          <w:b/>
          <w:bCs/>
          <w:color w:val="000000"/>
          <w:sz w:val="32"/>
          <w:szCs w:val="32"/>
          <w:lang w:eastAsia="zh-CN"/>
        </w:rPr>
        <w:t>（202</w:t>
      </w:r>
      <w:r>
        <w:rPr>
          <w:rFonts w:hint="eastAsia" w:ascii="宋体" w:hAnsi="宋体" w:eastAsia="宋体" w:cs="宋体"/>
          <w:b/>
          <w:bCs/>
          <w:color w:val="000000"/>
          <w:sz w:val="32"/>
          <w:szCs w:val="32"/>
          <w:lang w:val="en-US" w:eastAsia="zh-CN"/>
        </w:rPr>
        <w:t>5</w:t>
      </w:r>
      <w:r>
        <w:rPr>
          <w:rFonts w:hint="eastAsia" w:ascii="宋体" w:hAnsi="宋体" w:eastAsia="宋体" w:cs="宋体"/>
          <w:b/>
          <w:bCs/>
          <w:color w:val="000000"/>
          <w:sz w:val="32"/>
          <w:szCs w:val="32"/>
          <w:lang w:eastAsia="zh-CN"/>
        </w:rPr>
        <w:t>年版）</w:t>
      </w:r>
    </w:p>
    <w:p w14:paraId="1379A592">
      <w:pPr>
        <w:adjustRightInd w:val="0"/>
        <w:spacing w:line="300" w:lineRule="auto"/>
        <w:jc w:val="center"/>
        <w:rPr>
          <w:rFonts w:hint="eastAsia" w:ascii="宋体" w:hAnsi="宋体" w:eastAsia="宋体" w:cs="宋体"/>
          <w:b/>
          <w:bCs/>
          <w:sz w:val="21"/>
          <w:szCs w:val="21"/>
        </w:rPr>
      </w:pPr>
    </w:p>
    <w:p w14:paraId="3D5A39B0">
      <w:pPr>
        <w:snapToGrid w:val="0"/>
        <w:spacing w:line="440" w:lineRule="exact"/>
        <w:rPr>
          <w:rFonts w:hint="eastAsia" w:ascii="宋体" w:hAnsi="宋体" w:eastAsia="宋体" w:cs="宋体"/>
          <w:b/>
          <w:bCs w:val="0"/>
          <w:sz w:val="21"/>
          <w:szCs w:val="21"/>
        </w:rPr>
      </w:pPr>
      <w:r>
        <w:rPr>
          <w:rFonts w:hint="eastAsia" w:ascii="宋体" w:hAnsi="宋体" w:eastAsia="宋体" w:cs="宋体"/>
          <w:b/>
          <w:bCs w:val="0"/>
          <w:sz w:val="21"/>
          <w:szCs w:val="21"/>
        </w:rPr>
        <w:t>1</w:t>
      </w:r>
      <w:r>
        <w:rPr>
          <w:rFonts w:hint="eastAsia" w:ascii="宋体" w:hAnsi="宋体" w:eastAsia="宋体" w:cs="宋体"/>
          <w:b/>
          <w:bCs w:val="0"/>
          <w:sz w:val="21"/>
          <w:szCs w:val="21"/>
          <w:lang w:val="en-US" w:eastAsia="zh-CN"/>
        </w:rPr>
        <w:t>.</w:t>
      </w:r>
      <w:r>
        <w:rPr>
          <w:rFonts w:hint="eastAsia" w:ascii="宋体" w:hAnsi="宋体" w:eastAsia="宋体" w:cs="宋体"/>
          <w:b/>
          <w:bCs w:val="0"/>
          <w:sz w:val="21"/>
          <w:szCs w:val="21"/>
        </w:rPr>
        <w:t>抽样方法</w:t>
      </w:r>
    </w:p>
    <w:p w14:paraId="4FA5BCDD">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以随机抽样的方式在被抽样生产者、销售者的待销产品。</w:t>
      </w:r>
    </w:p>
    <w:p w14:paraId="334E482C">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随机数一般可使用随机数表等方法产生。</w:t>
      </w:r>
    </w:p>
    <w:p w14:paraId="0BBBFFAA">
      <w:pPr>
        <w:snapToGrid w:val="0"/>
        <w:spacing w:line="440" w:lineRule="exact"/>
        <w:ind w:firstLine="421"/>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抽样基数及数量</w:t>
      </w:r>
      <w:r>
        <w:rPr>
          <w:rFonts w:hint="eastAsia" w:ascii="宋体" w:hAnsi="宋体" w:cs="宋体"/>
          <w:color w:val="000000"/>
          <w:sz w:val="21"/>
          <w:szCs w:val="21"/>
          <w:highlight w:val="none"/>
          <w:lang w:val="en-US" w:eastAsia="zh-CN"/>
        </w:rPr>
        <w:t>：以同一批号的产品为抽样基数，抽样基数满足抽样数量即可。产品的抽样数量见表1，每包产品按10片计。</w:t>
      </w:r>
    </w:p>
    <w:p w14:paraId="58161BE1">
      <w:pPr>
        <w:adjustRightInd w:val="0"/>
        <w:spacing w:line="360" w:lineRule="auto"/>
        <w:jc w:val="center"/>
        <w:rPr>
          <w:szCs w:val="21"/>
        </w:rPr>
      </w:pPr>
      <w:r>
        <w:rPr>
          <w:rFonts w:hAnsi="宋体"/>
          <w:szCs w:val="21"/>
        </w:rPr>
        <w:t>表</w:t>
      </w:r>
      <w:r>
        <w:rPr>
          <w:rFonts w:hint="eastAsia"/>
          <w:szCs w:val="21"/>
          <w:lang w:val="en-US" w:eastAsia="zh-CN"/>
        </w:rPr>
        <w:t>1</w:t>
      </w:r>
      <w:r>
        <w:rPr>
          <w:szCs w:val="21"/>
        </w:rPr>
        <w:t xml:space="preserve"> </w:t>
      </w:r>
      <w:r>
        <w:rPr>
          <w:rFonts w:hAnsi="宋体"/>
          <w:szCs w:val="21"/>
        </w:rPr>
        <w:t>卫生巾（护垫）产品的抽样数量</w:t>
      </w:r>
    </w:p>
    <w:tbl>
      <w:tblPr>
        <w:tblStyle w:val="5"/>
        <w:tblW w:w="8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2"/>
        <w:gridCol w:w="2300"/>
        <w:gridCol w:w="1955"/>
        <w:gridCol w:w="1331"/>
      </w:tblGrid>
      <w:tr w14:paraId="30F4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2742" w:type="dxa"/>
            <w:noWrap w:val="0"/>
            <w:vAlign w:val="center"/>
          </w:tcPr>
          <w:p w14:paraId="4537938F">
            <w:pPr>
              <w:jc w:val="center"/>
              <w:rPr>
                <w:szCs w:val="21"/>
              </w:rPr>
            </w:pPr>
            <w:r>
              <w:rPr>
                <w:rFonts w:hAnsi="宋体"/>
                <w:szCs w:val="21"/>
              </w:rPr>
              <w:t>产品</w:t>
            </w:r>
          </w:p>
        </w:tc>
        <w:tc>
          <w:tcPr>
            <w:tcW w:w="2300" w:type="dxa"/>
            <w:noWrap w:val="0"/>
            <w:vAlign w:val="center"/>
          </w:tcPr>
          <w:p w14:paraId="4BE67B7A">
            <w:pPr>
              <w:jc w:val="center"/>
              <w:rPr>
                <w:szCs w:val="21"/>
              </w:rPr>
            </w:pPr>
            <w:r>
              <w:rPr>
                <w:rFonts w:hAnsi="宋体"/>
                <w:szCs w:val="21"/>
              </w:rPr>
              <w:t>抽样数量</w:t>
            </w:r>
          </w:p>
        </w:tc>
        <w:tc>
          <w:tcPr>
            <w:tcW w:w="1955" w:type="dxa"/>
            <w:noWrap w:val="0"/>
            <w:vAlign w:val="center"/>
          </w:tcPr>
          <w:p w14:paraId="1D59510E">
            <w:pPr>
              <w:jc w:val="center"/>
              <w:rPr>
                <w:szCs w:val="21"/>
              </w:rPr>
            </w:pPr>
            <w:r>
              <w:rPr>
                <w:rFonts w:hAnsi="宋体"/>
                <w:szCs w:val="21"/>
              </w:rPr>
              <w:t>检验数量</w:t>
            </w:r>
          </w:p>
        </w:tc>
        <w:tc>
          <w:tcPr>
            <w:tcW w:w="1331" w:type="dxa"/>
            <w:noWrap w:val="0"/>
            <w:vAlign w:val="center"/>
          </w:tcPr>
          <w:p w14:paraId="117D14CE">
            <w:pPr>
              <w:jc w:val="center"/>
              <w:rPr>
                <w:szCs w:val="21"/>
              </w:rPr>
            </w:pPr>
            <w:r>
              <w:rPr>
                <w:rFonts w:hAnsi="宋体"/>
                <w:szCs w:val="21"/>
              </w:rPr>
              <w:t>备样数量</w:t>
            </w:r>
          </w:p>
        </w:tc>
      </w:tr>
      <w:tr w14:paraId="179E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blHeader/>
          <w:jc w:val="center"/>
        </w:trPr>
        <w:tc>
          <w:tcPr>
            <w:tcW w:w="2742" w:type="dxa"/>
            <w:noWrap w:val="0"/>
            <w:vAlign w:val="center"/>
          </w:tcPr>
          <w:p w14:paraId="17C64D2A">
            <w:pPr>
              <w:jc w:val="center"/>
              <w:rPr>
                <w:szCs w:val="21"/>
              </w:rPr>
            </w:pPr>
            <w:r>
              <w:rPr>
                <w:rFonts w:hAnsi="宋体"/>
                <w:szCs w:val="21"/>
              </w:rPr>
              <w:t>卫生巾（护垫）</w:t>
            </w:r>
          </w:p>
        </w:tc>
        <w:tc>
          <w:tcPr>
            <w:tcW w:w="2300" w:type="dxa"/>
            <w:noWrap w:val="0"/>
            <w:vAlign w:val="center"/>
          </w:tcPr>
          <w:p w14:paraId="4E4899C1">
            <w:pPr>
              <w:jc w:val="center"/>
              <w:rPr>
                <w:szCs w:val="21"/>
              </w:rPr>
            </w:pPr>
            <w:r>
              <w:rPr>
                <w:rFonts w:hint="eastAsia"/>
                <w:szCs w:val="21"/>
                <w:lang w:val="en-US" w:eastAsia="zh-CN"/>
              </w:rPr>
              <w:t>12</w:t>
            </w:r>
            <w:r>
              <w:rPr>
                <w:rFonts w:hAnsi="宋体"/>
                <w:szCs w:val="21"/>
              </w:rPr>
              <w:t>包</w:t>
            </w:r>
          </w:p>
        </w:tc>
        <w:tc>
          <w:tcPr>
            <w:tcW w:w="1955" w:type="dxa"/>
            <w:noWrap w:val="0"/>
            <w:vAlign w:val="center"/>
          </w:tcPr>
          <w:p w14:paraId="15893557">
            <w:pPr>
              <w:jc w:val="center"/>
              <w:rPr>
                <w:szCs w:val="21"/>
              </w:rPr>
            </w:pPr>
            <w:r>
              <w:rPr>
                <w:rFonts w:hint="eastAsia" w:hAnsi="宋体"/>
                <w:szCs w:val="21"/>
                <w:lang w:val="en-US" w:eastAsia="zh-CN"/>
              </w:rPr>
              <w:t>9</w:t>
            </w:r>
            <w:r>
              <w:rPr>
                <w:rFonts w:hAnsi="宋体"/>
                <w:szCs w:val="21"/>
              </w:rPr>
              <w:t>包</w:t>
            </w:r>
          </w:p>
        </w:tc>
        <w:tc>
          <w:tcPr>
            <w:tcW w:w="1331" w:type="dxa"/>
            <w:noWrap w:val="0"/>
            <w:vAlign w:val="center"/>
          </w:tcPr>
          <w:p w14:paraId="6567199C">
            <w:pPr>
              <w:jc w:val="center"/>
              <w:rPr>
                <w:szCs w:val="21"/>
              </w:rPr>
            </w:pPr>
            <w:r>
              <w:rPr>
                <w:rFonts w:hint="eastAsia" w:hAnsi="宋体"/>
                <w:szCs w:val="21"/>
                <w:lang w:val="en-US" w:eastAsia="zh-CN"/>
              </w:rPr>
              <w:t>3</w:t>
            </w:r>
            <w:r>
              <w:rPr>
                <w:rFonts w:hAnsi="宋体"/>
                <w:szCs w:val="21"/>
              </w:rPr>
              <w:t>包</w:t>
            </w:r>
          </w:p>
        </w:tc>
      </w:tr>
    </w:tbl>
    <w:p w14:paraId="58721133">
      <w:pPr>
        <w:snapToGrid w:val="0"/>
        <w:spacing w:line="440" w:lineRule="exact"/>
        <w:rPr>
          <w:rFonts w:hint="eastAsia" w:ascii="宋体" w:hAnsi="宋体" w:eastAsia="宋体" w:cs="宋体"/>
          <w:sz w:val="21"/>
          <w:szCs w:val="21"/>
          <w:lang w:val="en-US" w:eastAsia="zh-CN"/>
        </w:rPr>
      </w:pPr>
      <w:r>
        <w:rPr>
          <w:rFonts w:hint="eastAsia" w:ascii="宋体" w:hAnsi="宋体" w:eastAsia="宋体" w:cs="宋体"/>
          <w:b/>
          <w:sz w:val="21"/>
          <w:szCs w:val="21"/>
        </w:rPr>
        <w:t>2</w:t>
      </w:r>
      <w:r>
        <w:rPr>
          <w:rFonts w:hint="eastAsia" w:ascii="宋体" w:hAnsi="宋体" w:eastAsia="宋体" w:cs="宋体"/>
          <w:b/>
          <w:sz w:val="21"/>
          <w:szCs w:val="21"/>
          <w:lang w:val="en-US" w:eastAsia="zh-CN"/>
        </w:rPr>
        <w:t>.</w:t>
      </w:r>
      <w:r>
        <w:rPr>
          <w:rFonts w:hint="eastAsia" w:ascii="宋体" w:hAnsi="宋体" w:eastAsia="宋体" w:cs="宋体"/>
          <w:b/>
          <w:sz w:val="21"/>
          <w:szCs w:val="21"/>
        </w:rPr>
        <w:t>检验依据</w:t>
      </w:r>
    </w:p>
    <w:p w14:paraId="52E085AA">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eastAsia="zh-CN" w:bidi="ar"/>
        </w:rPr>
        <w:t>表</w:t>
      </w:r>
      <w:r>
        <w:rPr>
          <w:rFonts w:hint="eastAsia" w:ascii="Times New Roman" w:hAnsi="Times New Roman" w:eastAsia="宋体" w:cs="Times New Roman"/>
          <w:color w:val="000000"/>
          <w:kern w:val="0"/>
          <w:sz w:val="21"/>
          <w:szCs w:val="21"/>
          <w:lang w:val="en-US" w:eastAsia="zh-CN" w:bidi="ar"/>
        </w:rPr>
        <w:t>2</w:t>
      </w:r>
      <w:r>
        <w:rPr>
          <w:rFonts w:hint="default" w:ascii="Times New Roman" w:hAnsi="Times New Roman" w:eastAsia="宋体" w:cs="Times New Roman"/>
          <w:color w:val="000000"/>
          <w:kern w:val="0"/>
          <w:sz w:val="21"/>
          <w:szCs w:val="21"/>
          <w:lang w:val="en-US" w:eastAsia="zh-CN" w:bidi="ar"/>
        </w:rPr>
        <w:t xml:space="preserve"> 卫生巾（护垫）</w:t>
      </w:r>
      <w:r>
        <w:rPr>
          <w:rFonts w:hint="default" w:ascii="Times New Roman" w:hAnsi="Times New Roman" w:eastAsia="宋体" w:cs="Times New Roman"/>
          <w:color w:val="000000"/>
          <w:kern w:val="0"/>
          <w:sz w:val="21"/>
          <w:szCs w:val="21"/>
          <w:lang w:bidi="ar"/>
        </w:rPr>
        <w:t>产品检验项目、依据及方法</w:t>
      </w:r>
    </w:p>
    <w:tbl>
      <w:tblPr>
        <w:tblStyle w:val="6"/>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2419"/>
        <w:gridCol w:w="2413"/>
        <w:gridCol w:w="2748"/>
      </w:tblGrid>
      <w:tr w14:paraId="1976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1DEB3A7E">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序号</w:t>
            </w:r>
          </w:p>
        </w:tc>
        <w:tc>
          <w:tcPr>
            <w:tcW w:w="2419" w:type="dxa"/>
            <w:noWrap w:val="0"/>
            <w:vAlign w:val="center"/>
          </w:tcPr>
          <w:p w14:paraId="6623E5B9">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检验项目</w:t>
            </w:r>
          </w:p>
        </w:tc>
        <w:tc>
          <w:tcPr>
            <w:tcW w:w="2413" w:type="dxa"/>
            <w:noWrap w:val="0"/>
            <w:vAlign w:val="center"/>
          </w:tcPr>
          <w:p w14:paraId="34BE8050">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检验依据</w:t>
            </w:r>
          </w:p>
        </w:tc>
        <w:tc>
          <w:tcPr>
            <w:tcW w:w="2748" w:type="dxa"/>
            <w:noWrap w:val="0"/>
            <w:vAlign w:val="center"/>
          </w:tcPr>
          <w:p w14:paraId="7BE1C74E">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检验方法</w:t>
            </w:r>
          </w:p>
        </w:tc>
      </w:tr>
      <w:tr w14:paraId="5D1A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294E2291">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1</w:t>
            </w:r>
          </w:p>
        </w:tc>
        <w:tc>
          <w:tcPr>
            <w:tcW w:w="2419" w:type="dxa"/>
            <w:noWrap w:val="0"/>
            <w:vAlign w:val="center"/>
          </w:tcPr>
          <w:p w14:paraId="54243034">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全长偏差</w:t>
            </w:r>
          </w:p>
        </w:tc>
        <w:tc>
          <w:tcPr>
            <w:tcW w:w="2413" w:type="dxa"/>
            <w:noWrap w:val="0"/>
            <w:vAlign w:val="center"/>
          </w:tcPr>
          <w:p w14:paraId="5E436F99">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7AF07D18">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r>
      <w:tr w14:paraId="4AD9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61E6DB5C">
            <w:pPr>
              <w:jc w:val="center"/>
              <w:rPr>
                <w:rFonts w:hint="eastAsia"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2</w:t>
            </w:r>
          </w:p>
        </w:tc>
        <w:tc>
          <w:tcPr>
            <w:tcW w:w="2419" w:type="dxa"/>
            <w:noWrap w:val="0"/>
            <w:vAlign w:val="center"/>
          </w:tcPr>
          <w:p w14:paraId="610C6869">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条质量偏差</w:t>
            </w:r>
            <w:r>
              <w:rPr>
                <w:rFonts w:hint="default" w:ascii="Times New Roman" w:hAnsi="Times New Roman" w:eastAsia="宋体" w:cs="Times New Roman"/>
                <w:color w:val="000000"/>
                <w:kern w:val="0"/>
                <w:sz w:val="21"/>
                <w:szCs w:val="21"/>
                <w:vertAlign w:val="superscript"/>
                <w:lang w:val="en-US" w:eastAsia="zh-CN" w:bidi="ar"/>
              </w:rPr>
              <w:t>a</w:t>
            </w:r>
          </w:p>
        </w:tc>
        <w:tc>
          <w:tcPr>
            <w:tcW w:w="2413" w:type="dxa"/>
            <w:noWrap w:val="0"/>
            <w:vAlign w:val="center"/>
          </w:tcPr>
          <w:p w14:paraId="4A8F47EA">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37C75DB2">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bidi="ar"/>
              </w:rPr>
              <w:t>GB/T 8939-2018</w:t>
            </w:r>
          </w:p>
        </w:tc>
      </w:tr>
      <w:tr w14:paraId="012C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27F9D13D">
            <w:pPr>
              <w:jc w:val="center"/>
              <w:rPr>
                <w:rFonts w:hint="eastAsia"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3</w:t>
            </w:r>
          </w:p>
        </w:tc>
        <w:tc>
          <w:tcPr>
            <w:tcW w:w="2419" w:type="dxa"/>
            <w:noWrap w:val="0"/>
            <w:vAlign w:val="center"/>
          </w:tcPr>
          <w:p w14:paraId="2B8A07BD">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eastAsia="zh-CN" w:bidi="ar"/>
              </w:rPr>
              <w:t>吸水倍率</w:t>
            </w:r>
          </w:p>
        </w:tc>
        <w:tc>
          <w:tcPr>
            <w:tcW w:w="2413" w:type="dxa"/>
            <w:noWrap w:val="0"/>
            <w:vAlign w:val="center"/>
          </w:tcPr>
          <w:p w14:paraId="19A63DFD">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18302975">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bidi="ar"/>
              </w:rPr>
              <w:t>GB/T 8939-2018</w:t>
            </w:r>
          </w:p>
        </w:tc>
      </w:tr>
      <w:tr w14:paraId="291F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04BDBADB">
            <w:pPr>
              <w:jc w:val="center"/>
              <w:rPr>
                <w:rFonts w:hint="eastAsia" w:ascii="Times New Roman" w:hAnsi="Times New Roman" w:eastAsia="宋体" w:cs="Times New Roman"/>
                <w:color w:val="000000"/>
                <w:kern w:val="0"/>
                <w:sz w:val="21"/>
                <w:szCs w:val="21"/>
                <w:lang w:eastAsia="zh-CN" w:bidi="ar"/>
              </w:rPr>
            </w:pPr>
            <w:r>
              <w:rPr>
                <w:rFonts w:hint="eastAsia" w:cs="Times New Roman"/>
                <w:color w:val="000000"/>
                <w:kern w:val="0"/>
                <w:sz w:val="21"/>
                <w:szCs w:val="21"/>
                <w:lang w:val="en-US" w:eastAsia="zh-CN" w:bidi="ar"/>
              </w:rPr>
              <w:t>4</w:t>
            </w:r>
          </w:p>
        </w:tc>
        <w:tc>
          <w:tcPr>
            <w:tcW w:w="2419" w:type="dxa"/>
            <w:noWrap w:val="0"/>
            <w:vAlign w:val="center"/>
          </w:tcPr>
          <w:p w14:paraId="271EE662">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eastAsia="zh-CN" w:bidi="ar"/>
              </w:rPr>
              <w:t>吸水速度</w:t>
            </w:r>
            <w:r>
              <w:rPr>
                <w:rFonts w:hint="default" w:ascii="Times New Roman" w:hAnsi="Times New Roman" w:eastAsia="宋体" w:cs="Times New Roman"/>
                <w:color w:val="000000"/>
                <w:kern w:val="0"/>
                <w:sz w:val="21"/>
                <w:szCs w:val="21"/>
                <w:vertAlign w:val="superscript"/>
                <w:lang w:val="en-US" w:eastAsia="zh-CN" w:bidi="ar"/>
              </w:rPr>
              <w:t>a</w:t>
            </w:r>
          </w:p>
        </w:tc>
        <w:tc>
          <w:tcPr>
            <w:tcW w:w="2413" w:type="dxa"/>
            <w:noWrap w:val="0"/>
            <w:vAlign w:val="center"/>
          </w:tcPr>
          <w:p w14:paraId="678DFBB3">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1151281C">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r>
      <w:tr w14:paraId="1BBE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692A7CCE">
            <w:pPr>
              <w:jc w:val="center"/>
              <w:rPr>
                <w:rFonts w:hint="eastAsia" w:ascii="Times New Roman" w:hAnsi="Times New Roman" w:eastAsia="宋体" w:cs="Times New Roman"/>
                <w:color w:val="000000"/>
                <w:kern w:val="0"/>
                <w:sz w:val="21"/>
                <w:szCs w:val="21"/>
                <w:lang w:eastAsia="zh-CN" w:bidi="ar"/>
              </w:rPr>
            </w:pPr>
            <w:r>
              <w:rPr>
                <w:rFonts w:hint="eastAsia" w:cs="Times New Roman"/>
                <w:color w:val="000000"/>
                <w:kern w:val="0"/>
                <w:sz w:val="21"/>
                <w:szCs w:val="21"/>
                <w:lang w:val="en-US" w:eastAsia="zh-CN" w:bidi="ar"/>
              </w:rPr>
              <w:t>5</w:t>
            </w:r>
          </w:p>
        </w:tc>
        <w:tc>
          <w:tcPr>
            <w:tcW w:w="2419" w:type="dxa"/>
            <w:noWrap w:val="0"/>
            <w:vAlign w:val="center"/>
          </w:tcPr>
          <w:p w14:paraId="45B05A93">
            <w:pPr>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pH值</w:t>
            </w:r>
          </w:p>
        </w:tc>
        <w:tc>
          <w:tcPr>
            <w:tcW w:w="2413" w:type="dxa"/>
            <w:noWrap w:val="0"/>
            <w:vAlign w:val="center"/>
          </w:tcPr>
          <w:p w14:paraId="18EE00DC">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38EE93DF">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r>
      <w:tr w14:paraId="196F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16723ADE">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w:t>
            </w:r>
          </w:p>
        </w:tc>
        <w:tc>
          <w:tcPr>
            <w:tcW w:w="2419" w:type="dxa"/>
            <w:noWrap w:val="0"/>
            <w:vAlign w:val="center"/>
          </w:tcPr>
          <w:p w14:paraId="1BA9623E">
            <w:pPr>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val="en-US" w:eastAsia="zh-CN" w:bidi="ar"/>
              </w:rPr>
              <w:t>甲醛含量</w:t>
            </w:r>
          </w:p>
        </w:tc>
        <w:tc>
          <w:tcPr>
            <w:tcW w:w="2413" w:type="dxa"/>
            <w:noWrap w:val="0"/>
            <w:vAlign w:val="center"/>
          </w:tcPr>
          <w:p w14:paraId="4FAA7097">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13D29D58">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bidi="ar"/>
              </w:rPr>
              <w:t>GB/T</w:t>
            </w:r>
            <w:r>
              <w:rPr>
                <w:rFonts w:hint="default" w:ascii="Times New Roman" w:hAnsi="Times New Roman" w:eastAsia="宋体" w:cs="Times New Roman"/>
                <w:color w:val="000000"/>
                <w:kern w:val="0"/>
                <w:sz w:val="21"/>
                <w:szCs w:val="21"/>
                <w:lang w:val="en-US" w:eastAsia="zh-CN" w:bidi="ar"/>
              </w:rPr>
              <w:t xml:space="preserve"> 34448-2017</w:t>
            </w:r>
          </w:p>
        </w:tc>
      </w:tr>
      <w:tr w14:paraId="7A81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66AE4A16">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w:t>
            </w:r>
          </w:p>
        </w:tc>
        <w:tc>
          <w:tcPr>
            <w:tcW w:w="2419" w:type="dxa"/>
            <w:noWrap w:val="0"/>
            <w:vAlign w:val="center"/>
          </w:tcPr>
          <w:p w14:paraId="7EF808F3">
            <w:pPr>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可迁移性荧光物质</w:t>
            </w:r>
          </w:p>
        </w:tc>
        <w:tc>
          <w:tcPr>
            <w:tcW w:w="2413" w:type="dxa"/>
            <w:noWrap w:val="0"/>
            <w:vAlign w:val="center"/>
          </w:tcPr>
          <w:p w14:paraId="4FBFA0EF">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c>
          <w:tcPr>
            <w:tcW w:w="2748" w:type="dxa"/>
            <w:noWrap w:val="0"/>
            <w:vAlign w:val="center"/>
          </w:tcPr>
          <w:p w14:paraId="22D0B1FA">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bidi="ar"/>
              </w:rPr>
              <w:t>GB/T 8939-2018</w:t>
            </w:r>
          </w:p>
        </w:tc>
      </w:tr>
      <w:tr w14:paraId="376B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4D1C0ADD">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8</w:t>
            </w:r>
          </w:p>
        </w:tc>
        <w:tc>
          <w:tcPr>
            <w:tcW w:w="2419" w:type="dxa"/>
            <w:noWrap w:val="0"/>
            <w:vAlign w:val="center"/>
          </w:tcPr>
          <w:p w14:paraId="578649CA">
            <w:pPr>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细菌菌落总数</w:t>
            </w:r>
          </w:p>
        </w:tc>
        <w:tc>
          <w:tcPr>
            <w:tcW w:w="2413" w:type="dxa"/>
            <w:noWrap w:val="0"/>
            <w:vAlign w:val="center"/>
          </w:tcPr>
          <w:p w14:paraId="2AE0D783">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3C1DCB46">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17A60194">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6BF527BE">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2B67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031CE5D1">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9</w:t>
            </w:r>
          </w:p>
        </w:tc>
        <w:tc>
          <w:tcPr>
            <w:tcW w:w="2419" w:type="dxa"/>
            <w:noWrap w:val="0"/>
            <w:vAlign w:val="center"/>
          </w:tcPr>
          <w:p w14:paraId="069FF896">
            <w:pPr>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i w:val="0"/>
                <w:iCs w:val="0"/>
                <w:color w:val="auto"/>
                <w:kern w:val="0"/>
                <w:sz w:val="21"/>
                <w:szCs w:val="21"/>
                <w:u w:val="none"/>
                <w:lang w:val="en-US" w:eastAsia="zh-CN" w:bidi="ar"/>
              </w:rPr>
              <w:t>大肠菌群</w:t>
            </w:r>
          </w:p>
        </w:tc>
        <w:tc>
          <w:tcPr>
            <w:tcW w:w="2413" w:type="dxa"/>
            <w:noWrap w:val="0"/>
            <w:vAlign w:val="center"/>
          </w:tcPr>
          <w:p w14:paraId="553BEA20">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5C24D208">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7385F9BF">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1B3B879B">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046A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6B4EDD1E">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10</w:t>
            </w:r>
          </w:p>
        </w:tc>
        <w:tc>
          <w:tcPr>
            <w:tcW w:w="2419" w:type="dxa"/>
            <w:noWrap w:val="0"/>
            <w:vAlign w:val="center"/>
          </w:tcPr>
          <w:p w14:paraId="0C04E9A8">
            <w:pPr>
              <w:jc w:val="center"/>
              <w:rPr>
                <w:rFonts w:hint="default" w:ascii="Times New Roman" w:hAnsi="Times New Roman" w:eastAsia="宋体" w:cs="Times New Roman"/>
                <w:color w:val="auto"/>
                <w:kern w:val="0"/>
                <w:sz w:val="21"/>
                <w:szCs w:val="21"/>
                <w:lang w:bidi="ar"/>
              </w:rPr>
            </w:pPr>
            <w:r>
              <w:rPr>
                <w:rFonts w:hint="eastAsia" w:asciiTheme="majorEastAsia" w:hAnsiTheme="majorEastAsia" w:eastAsiaTheme="majorEastAsia" w:cstheme="majorEastAsia"/>
                <w:color w:val="auto"/>
                <w:kern w:val="0"/>
                <w:sz w:val="24"/>
                <w:szCs w:val="24"/>
                <w:highlight w:val="none"/>
                <w:lang w:bidi="ar"/>
              </w:rPr>
              <w:t>绿脓杆菌/</w:t>
            </w:r>
            <w:r>
              <w:rPr>
                <w:rFonts w:hint="eastAsia" w:ascii="宋体" w:hAnsi="宋体" w:eastAsia="宋体" w:cs="宋体"/>
                <w:i w:val="0"/>
                <w:iCs w:val="0"/>
                <w:color w:val="auto"/>
                <w:kern w:val="0"/>
                <w:sz w:val="24"/>
                <w:szCs w:val="24"/>
                <w:u w:val="none"/>
                <w:lang w:val="en-US" w:eastAsia="zh-CN" w:bidi="ar"/>
              </w:rPr>
              <w:t>铜绿假单胞菌</w:t>
            </w:r>
          </w:p>
        </w:tc>
        <w:tc>
          <w:tcPr>
            <w:tcW w:w="2413" w:type="dxa"/>
            <w:noWrap w:val="0"/>
            <w:vAlign w:val="center"/>
          </w:tcPr>
          <w:p w14:paraId="0AF3FEEA">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48A7AC3A">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29CB74B2">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0DA33EBB">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37CD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6200FFC2">
            <w:pPr>
              <w:jc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11</w:t>
            </w:r>
          </w:p>
        </w:tc>
        <w:tc>
          <w:tcPr>
            <w:tcW w:w="2419" w:type="dxa"/>
            <w:noWrap w:val="0"/>
            <w:vAlign w:val="center"/>
          </w:tcPr>
          <w:p w14:paraId="4C357957">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金黄色葡萄球菌</w:t>
            </w:r>
          </w:p>
        </w:tc>
        <w:tc>
          <w:tcPr>
            <w:tcW w:w="2413" w:type="dxa"/>
            <w:noWrap w:val="0"/>
            <w:vAlign w:val="center"/>
          </w:tcPr>
          <w:p w14:paraId="32ABD620">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2DCD1B64">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2F16BA22">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43079BF5">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3143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132E7C0B">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r>
              <w:rPr>
                <w:rFonts w:hint="eastAsia" w:cs="Times New Roman"/>
                <w:color w:val="000000"/>
                <w:kern w:val="0"/>
                <w:sz w:val="21"/>
                <w:szCs w:val="21"/>
                <w:lang w:val="en-US" w:eastAsia="zh-CN" w:bidi="ar"/>
              </w:rPr>
              <w:t>2</w:t>
            </w:r>
          </w:p>
        </w:tc>
        <w:tc>
          <w:tcPr>
            <w:tcW w:w="2419" w:type="dxa"/>
            <w:noWrap w:val="0"/>
            <w:vAlign w:val="center"/>
          </w:tcPr>
          <w:p w14:paraId="0EC4055F">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溶血性链球菌</w:t>
            </w:r>
          </w:p>
        </w:tc>
        <w:tc>
          <w:tcPr>
            <w:tcW w:w="2413" w:type="dxa"/>
            <w:noWrap w:val="0"/>
            <w:vAlign w:val="center"/>
          </w:tcPr>
          <w:p w14:paraId="08548137">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1EC65774">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212D23BD">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176BDAFD">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70AF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22" w:type="dxa"/>
            <w:noWrap w:val="0"/>
            <w:vAlign w:val="center"/>
          </w:tcPr>
          <w:p w14:paraId="04565CB2">
            <w:pPr>
              <w:jc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1</w:t>
            </w:r>
            <w:r>
              <w:rPr>
                <w:rFonts w:hint="eastAsia" w:cs="Times New Roman"/>
                <w:color w:val="000000"/>
                <w:kern w:val="0"/>
                <w:sz w:val="21"/>
                <w:szCs w:val="21"/>
                <w:lang w:val="en-US" w:eastAsia="zh-CN" w:bidi="ar"/>
              </w:rPr>
              <w:t>3</w:t>
            </w:r>
          </w:p>
        </w:tc>
        <w:tc>
          <w:tcPr>
            <w:tcW w:w="2419" w:type="dxa"/>
            <w:noWrap w:val="0"/>
            <w:vAlign w:val="center"/>
          </w:tcPr>
          <w:p w14:paraId="4D9C7796">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真菌菌落总数</w:t>
            </w:r>
          </w:p>
        </w:tc>
        <w:tc>
          <w:tcPr>
            <w:tcW w:w="2413" w:type="dxa"/>
            <w:noWrap w:val="0"/>
            <w:vAlign w:val="center"/>
          </w:tcPr>
          <w:p w14:paraId="602F08A2">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4A42612F">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c>
          <w:tcPr>
            <w:tcW w:w="2748" w:type="dxa"/>
            <w:noWrap w:val="0"/>
            <w:vAlign w:val="center"/>
          </w:tcPr>
          <w:p w14:paraId="38D36FA3">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15979-2002</w:t>
            </w:r>
          </w:p>
          <w:p w14:paraId="52AAF91F">
            <w:pPr>
              <w:jc w:val="center"/>
              <w:rPr>
                <w:rFonts w:hint="default" w:ascii="Times New Roman" w:hAnsi="Times New Roman" w:eastAsia="宋体" w:cs="Times New Roman"/>
                <w:color w:val="000000"/>
                <w:kern w:val="0"/>
                <w:sz w:val="21"/>
                <w:szCs w:val="21"/>
                <w:lang w:bidi="ar"/>
              </w:rPr>
            </w:pPr>
            <w:r>
              <w:rPr>
                <w:rFonts w:hint="default" w:ascii="Times New Roman" w:hAnsi="Times New Roman" w:eastAsia="宋体" w:cs="Times New Roman"/>
                <w:color w:val="000000"/>
                <w:kern w:val="0"/>
                <w:sz w:val="21"/>
                <w:szCs w:val="21"/>
                <w:lang w:val="en-US" w:eastAsia="zh-CN" w:bidi="ar"/>
              </w:rPr>
              <w:t xml:space="preserve">GB </w:t>
            </w:r>
            <w:r>
              <w:rPr>
                <w:rFonts w:hint="default" w:ascii="Times New Roman" w:hAnsi="Times New Roman" w:eastAsia="宋体" w:cs="Times New Roman"/>
                <w:color w:val="000000"/>
                <w:kern w:val="0"/>
                <w:sz w:val="21"/>
                <w:szCs w:val="21"/>
                <w:lang w:bidi="ar"/>
              </w:rPr>
              <w:t>15979-20</w:t>
            </w:r>
            <w:r>
              <w:rPr>
                <w:rFonts w:hint="eastAsia" w:cs="Times New Roman"/>
                <w:color w:val="000000"/>
                <w:kern w:val="0"/>
                <w:sz w:val="21"/>
                <w:szCs w:val="21"/>
                <w:lang w:val="en-US" w:eastAsia="zh-CN" w:bidi="ar"/>
              </w:rPr>
              <w:t>24</w:t>
            </w:r>
          </w:p>
        </w:tc>
      </w:tr>
      <w:tr w14:paraId="0CC2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02" w:type="dxa"/>
            <w:gridSpan w:val="4"/>
            <w:noWrap w:val="0"/>
            <w:vAlign w:val="center"/>
          </w:tcPr>
          <w:p w14:paraId="141CD969">
            <w:pPr>
              <w:jc w:val="both"/>
              <w:rPr>
                <w:rFonts w:hint="default" w:ascii="Times New Roman" w:hAnsi="Times New Roman" w:eastAsia="宋体" w:cs="Times New Roman"/>
                <w:color w:val="000000"/>
                <w:kern w:val="0"/>
                <w:sz w:val="21"/>
                <w:szCs w:val="21"/>
                <w:lang w:val="en-US" w:eastAsia="zh-CN" w:bidi="ar"/>
              </w:rPr>
            </w:pPr>
            <w:bookmarkStart w:id="0" w:name="_Hlk40347690"/>
            <w:r>
              <w:rPr>
                <w:rFonts w:hint="default" w:ascii="Times New Roman" w:hAnsi="Times New Roman" w:eastAsia="宋体" w:cs="Times New Roman"/>
                <w:color w:val="000000"/>
                <w:kern w:val="0"/>
                <w:sz w:val="21"/>
                <w:szCs w:val="21"/>
                <w:lang w:val="en-US" w:eastAsia="zh-CN" w:bidi="ar"/>
              </w:rPr>
              <w:t>备注：a:卫生护垫不测</w:t>
            </w:r>
            <w:r>
              <w:rPr>
                <w:rFonts w:hint="eastAsia" w:cs="Times New Roman"/>
                <w:color w:val="000000"/>
                <w:kern w:val="0"/>
                <w:sz w:val="21"/>
                <w:szCs w:val="21"/>
                <w:lang w:val="en-US" w:eastAsia="zh-CN" w:bidi="ar"/>
              </w:rPr>
              <w:t>条质量偏差和</w:t>
            </w:r>
            <w:r>
              <w:rPr>
                <w:rFonts w:hint="default" w:ascii="Times New Roman" w:hAnsi="Times New Roman" w:eastAsia="宋体" w:cs="Times New Roman"/>
                <w:color w:val="000000"/>
                <w:kern w:val="0"/>
                <w:sz w:val="21"/>
                <w:szCs w:val="21"/>
                <w:lang w:val="en-US" w:eastAsia="zh-CN" w:bidi="ar"/>
              </w:rPr>
              <w:t>吸水速度</w:t>
            </w:r>
            <w:r>
              <w:rPr>
                <w:rFonts w:hint="eastAsia" w:cs="Times New Roman"/>
                <w:color w:val="000000"/>
                <w:kern w:val="0"/>
                <w:sz w:val="21"/>
                <w:szCs w:val="21"/>
                <w:lang w:val="en-US" w:eastAsia="zh-CN" w:bidi="ar"/>
              </w:rPr>
              <w:t>。</w:t>
            </w:r>
          </w:p>
        </w:tc>
      </w:tr>
      <w:bookmarkEnd w:id="0"/>
    </w:tbl>
    <w:p w14:paraId="207A3829">
      <w:pPr>
        <w:numPr>
          <w:ilvl w:val="0"/>
          <w:numId w:val="0"/>
        </w:numPr>
        <w:jc w:val="both"/>
        <w:rPr>
          <w:rFonts w:hint="default" w:ascii="Times New Roman" w:hAnsi="Times New Roman" w:eastAsia="宋体" w:cs="Times New Roman"/>
          <w:i w:val="0"/>
          <w:iCs w:val="0"/>
          <w:color w:val="000000"/>
          <w:kern w:val="0"/>
          <w:sz w:val="24"/>
          <w:szCs w:val="24"/>
          <w:u w:val="none"/>
          <w:vertAlign w:val="baseline"/>
          <w:lang w:val="en-US" w:eastAsia="zh-CN" w:bidi="ar"/>
        </w:rPr>
      </w:pPr>
    </w:p>
    <w:p w14:paraId="57A3944F">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执行企业标准、团体标准、地方标准的产品，检验项目参照上述内容执行。</w:t>
      </w:r>
    </w:p>
    <w:p w14:paraId="7DFB0372">
      <w:pPr>
        <w:keepNext w:val="0"/>
        <w:keepLines w:val="0"/>
        <w:pageBreakBefore w:val="0"/>
        <w:widowControl w:val="0"/>
        <w:kinsoku/>
        <w:wordWrap/>
        <w:overflowPunct/>
        <w:topLinePunct w:val="0"/>
        <w:autoSpaceDE/>
        <w:autoSpaceDN/>
        <w:bidi w:val="0"/>
        <w:adjustRightInd/>
        <w:snapToGrid w:val="0"/>
        <w:spacing w:line="440" w:lineRule="exact"/>
        <w:ind w:firstLine="420" w:firstLineChars="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凡是注日期的文件，其随后所有的修改单（不包括勘误的内容）或修订版不适用于本规范。凡是不注日期的文件，其最新版本适用于本细则。</w:t>
      </w:r>
    </w:p>
    <w:p w14:paraId="559DDFEB">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w:t>
      </w:r>
      <w:r>
        <w:rPr>
          <w:rFonts w:hint="eastAsia" w:ascii="宋体" w:hAnsi="宋体" w:eastAsia="宋体" w:cs="宋体"/>
          <w:b/>
          <w:sz w:val="21"/>
          <w:szCs w:val="21"/>
          <w:highlight w:val="none"/>
        </w:rPr>
        <w:t>判定规则</w:t>
      </w:r>
    </w:p>
    <w:p w14:paraId="4864BF2A">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3.1依据标准</w:t>
      </w:r>
    </w:p>
    <w:p w14:paraId="36BA8ACE">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下列文件凡是注明日期的，其随后所有的修改单或修订版均不适用于本细则。凡是不注明日期的，其最新版本适用于本细则。</w:t>
      </w:r>
    </w:p>
    <w:p w14:paraId="596DD88B">
      <w:pPr>
        <w:adjustRightInd w:val="0"/>
        <w:spacing w:line="360" w:lineRule="auto"/>
        <w:ind w:firstLine="420" w:firstLineChars="200"/>
        <w:rPr>
          <w:sz w:val="21"/>
          <w:szCs w:val="21"/>
        </w:rPr>
      </w:pPr>
      <w:r>
        <w:rPr>
          <w:sz w:val="21"/>
          <w:szCs w:val="21"/>
        </w:rPr>
        <w:t xml:space="preserve">GB/T 8939-2018 </w:t>
      </w:r>
      <w:r>
        <w:rPr>
          <w:rFonts w:hAnsi="宋体"/>
          <w:sz w:val="21"/>
          <w:szCs w:val="21"/>
        </w:rPr>
        <w:t>卫生巾</w:t>
      </w:r>
      <w:r>
        <w:rPr>
          <w:sz w:val="21"/>
          <w:szCs w:val="21"/>
        </w:rPr>
        <w:t>(</w:t>
      </w:r>
      <w:r>
        <w:rPr>
          <w:rFonts w:hAnsi="宋体"/>
          <w:sz w:val="21"/>
          <w:szCs w:val="21"/>
        </w:rPr>
        <w:t>护垫</w:t>
      </w:r>
      <w:r>
        <w:rPr>
          <w:sz w:val="21"/>
          <w:szCs w:val="21"/>
        </w:rPr>
        <w:t>)</w:t>
      </w:r>
    </w:p>
    <w:p w14:paraId="4853C1AC">
      <w:pPr>
        <w:adjustRightInd w:val="0"/>
        <w:spacing w:line="360" w:lineRule="auto"/>
        <w:ind w:firstLine="420" w:firstLineChars="200"/>
        <w:rPr>
          <w:sz w:val="21"/>
          <w:szCs w:val="21"/>
        </w:rPr>
      </w:pPr>
      <w:r>
        <w:rPr>
          <w:sz w:val="21"/>
          <w:szCs w:val="21"/>
        </w:rPr>
        <w:t>GB 15979-2002</w:t>
      </w:r>
      <w:r>
        <w:rPr>
          <w:rFonts w:hint="eastAsia"/>
          <w:sz w:val="21"/>
          <w:szCs w:val="21"/>
        </w:rPr>
        <w:t>《一次性使用卫生用品卫生标准》</w:t>
      </w:r>
    </w:p>
    <w:p w14:paraId="520C1C1C">
      <w:pPr>
        <w:snapToGrid w:val="0"/>
        <w:spacing w:line="440" w:lineRule="exact"/>
        <w:ind w:firstLine="417" w:firstLineChars="199"/>
        <w:rPr>
          <w:rFonts w:hint="eastAsia"/>
          <w:sz w:val="21"/>
          <w:szCs w:val="21"/>
        </w:rPr>
      </w:pPr>
      <w:r>
        <w:rPr>
          <w:sz w:val="21"/>
          <w:szCs w:val="21"/>
        </w:rPr>
        <w:t>GB 15979-2024</w:t>
      </w:r>
      <w:r>
        <w:rPr>
          <w:rFonts w:hint="eastAsia"/>
          <w:sz w:val="21"/>
          <w:szCs w:val="21"/>
        </w:rPr>
        <w:t>《一次性使用卫生用品卫生要求》</w:t>
      </w:r>
    </w:p>
    <w:p w14:paraId="206921BB">
      <w:pPr>
        <w:snapToGrid w:val="0"/>
        <w:spacing w:line="440" w:lineRule="exact"/>
        <w:ind w:firstLine="417" w:firstLineChars="199"/>
        <w:rPr>
          <w:rFonts w:hint="eastAsia" w:ascii="宋体" w:hAnsi="宋体" w:eastAsia="宋体" w:cs="宋体"/>
          <w:color w:val="000000"/>
          <w:sz w:val="21"/>
          <w:szCs w:val="21"/>
        </w:rPr>
      </w:pPr>
      <w:bookmarkStart w:id="1" w:name="_GoBack"/>
      <w:bookmarkEnd w:id="1"/>
      <w:r>
        <w:rPr>
          <w:rFonts w:hint="eastAsia" w:ascii="宋体" w:hAnsi="宋体" w:eastAsia="宋体" w:cs="宋体"/>
          <w:color w:val="000000"/>
          <w:sz w:val="21"/>
          <w:szCs w:val="21"/>
        </w:rPr>
        <w:t>现行有效的企业标准、团体标准、地方标准及产品明示质量要求。</w:t>
      </w:r>
    </w:p>
    <w:p w14:paraId="44645CAC">
      <w:pPr>
        <w:snapToGrid w:val="0"/>
        <w:spacing w:line="4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3.2 判定原则</w:t>
      </w:r>
    </w:p>
    <w:p w14:paraId="4F700947">
      <w:pPr>
        <w:snapToGrid w:val="0"/>
        <w:spacing w:line="4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经</w:t>
      </w:r>
      <w:r>
        <w:rPr>
          <w:rFonts w:hint="eastAsia" w:ascii="宋体" w:hAnsi="宋体" w:eastAsia="宋体" w:cs="宋体"/>
          <w:color w:val="000000"/>
          <w:sz w:val="21"/>
          <w:szCs w:val="21"/>
        </w:rPr>
        <w:t>检验，检验项目全部合格，判定为被抽查产品所检项目未发现不合格；检验项目中任一项或一项以上不合格，判定为被抽查产品不合格。</w:t>
      </w:r>
    </w:p>
    <w:p w14:paraId="24378517">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若被检产品明示的质量要求高于本细则中检验项目依据的标准要求时，应按被检产品明示的质量要求判定。</w:t>
      </w:r>
    </w:p>
    <w:p w14:paraId="3456C2B2">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若被检产品明示的质量要求低于本细则中检验项目依据的强制性标准要求时，应按照强制性标准要求判定。</w:t>
      </w:r>
    </w:p>
    <w:p w14:paraId="5C0F52B6">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若被检产品明示的质量要求低于或包含本细则中检验项目依据的推荐性标准要求时，应以被检产品明示的质量要求判定。</w:t>
      </w:r>
    </w:p>
    <w:p w14:paraId="535F671F">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若被检产品明示的质量要求缺少本细则中检验项目依据的强制性标准要求时，应按照强制性标准要求判定。</w:t>
      </w:r>
    </w:p>
    <w:p w14:paraId="371586BA">
      <w:pPr>
        <w:snapToGrid w:val="0"/>
        <w:spacing w:line="440" w:lineRule="exact"/>
        <w:ind w:firstLine="417" w:firstLineChars="199"/>
        <w:rPr>
          <w:rFonts w:hint="eastAsia" w:ascii="宋体" w:hAnsi="宋体" w:eastAsia="宋体" w:cs="宋体"/>
          <w:color w:val="000000"/>
          <w:sz w:val="21"/>
          <w:szCs w:val="21"/>
        </w:rPr>
      </w:pPr>
      <w:r>
        <w:rPr>
          <w:rFonts w:hint="eastAsia" w:ascii="宋体" w:hAnsi="宋体" w:eastAsia="宋体" w:cs="宋体"/>
          <w:color w:val="000000"/>
          <w:sz w:val="21"/>
          <w:szCs w:val="21"/>
        </w:rPr>
        <w:t>若被检产品明示的质量要求缺少本细则中检验项目依据的推荐性标准要求时，该项目不参与判定。</w:t>
      </w:r>
    </w:p>
    <w:p w14:paraId="0244CE9C">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hAnsi="宋体" w:eastAsia="宋体" w:cs="宋体"/>
          <w:color w:val="000000"/>
          <w:sz w:val="21"/>
          <w:szCs w:val="21"/>
          <w:highlight w:val="none"/>
        </w:rPr>
      </w:pPr>
    </w:p>
    <w:p w14:paraId="1CDE07A8">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hAnsi="宋体" w:eastAsia="宋体" w:cs="宋体"/>
          <w:color w:val="000000"/>
          <w:sz w:val="21"/>
          <w:szCs w:val="21"/>
          <w:highlight w:val="none"/>
        </w:rPr>
      </w:pP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8E2949E0-FCA8-44FE-A44B-D47DA2147BAC}"/>
  </w:font>
  <w:font w:name="仿宋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841F">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3A0C35E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E9B67">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6FE541C2">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3YTE5MDFkYzM1ZmE5YmUyN2U2ZjZlMDZiNTZmYmUifQ=="/>
  </w:docVars>
  <w:rsids>
    <w:rsidRoot w:val="00172A27"/>
    <w:rsid w:val="00012B0D"/>
    <w:rsid w:val="00025697"/>
    <w:rsid w:val="0004415E"/>
    <w:rsid w:val="00064A51"/>
    <w:rsid w:val="00160A81"/>
    <w:rsid w:val="00172A27"/>
    <w:rsid w:val="00186314"/>
    <w:rsid w:val="001B7DE6"/>
    <w:rsid w:val="001C444C"/>
    <w:rsid w:val="001F0EA8"/>
    <w:rsid w:val="001F5715"/>
    <w:rsid w:val="00206AFC"/>
    <w:rsid w:val="00213D44"/>
    <w:rsid w:val="002448CB"/>
    <w:rsid w:val="002A7CB8"/>
    <w:rsid w:val="003932D3"/>
    <w:rsid w:val="003E1F22"/>
    <w:rsid w:val="004710E5"/>
    <w:rsid w:val="00473E30"/>
    <w:rsid w:val="00493E98"/>
    <w:rsid w:val="004B7699"/>
    <w:rsid w:val="004C5730"/>
    <w:rsid w:val="004E1763"/>
    <w:rsid w:val="00540196"/>
    <w:rsid w:val="005708F4"/>
    <w:rsid w:val="0057097D"/>
    <w:rsid w:val="00583487"/>
    <w:rsid w:val="0061001F"/>
    <w:rsid w:val="00612F8D"/>
    <w:rsid w:val="00641999"/>
    <w:rsid w:val="00713BAB"/>
    <w:rsid w:val="007E2A33"/>
    <w:rsid w:val="007E75E8"/>
    <w:rsid w:val="00886D2D"/>
    <w:rsid w:val="00897941"/>
    <w:rsid w:val="008A67F4"/>
    <w:rsid w:val="008E2AA3"/>
    <w:rsid w:val="008F41FD"/>
    <w:rsid w:val="0092374C"/>
    <w:rsid w:val="00981B6F"/>
    <w:rsid w:val="009F62A2"/>
    <w:rsid w:val="00A0073C"/>
    <w:rsid w:val="00A109DC"/>
    <w:rsid w:val="00A9797D"/>
    <w:rsid w:val="00AC1025"/>
    <w:rsid w:val="00AC57F3"/>
    <w:rsid w:val="00B35A12"/>
    <w:rsid w:val="00B762BE"/>
    <w:rsid w:val="00B96F12"/>
    <w:rsid w:val="00BF77C3"/>
    <w:rsid w:val="00C343D9"/>
    <w:rsid w:val="00C84E5A"/>
    <w:rsid w:val="00CF7CFC"/>
    <w:rsid w:val="00D06481"/>
    <w:rsid w:val="00DD51A4"/>
    <w:rsid w:val="00E15AFC"/>
    <w:rsid w:val="00F27BB4"/>
    <w:rsid w:val="00F81988"/>
    <w:rsid w:val="00F9662F"/>
    <w:rsid w:val="00F97675"/>
    <w:rsid w:val="00FC0E01"/>
    <w:rsid w:val="02C81B1F"/>
    <w:rsid w:val="05E72587"/>
    <w:rsid w:val="065C5FD3"/>
    <w:rsid w:val="07280338"/>
    <w:rsid w:val="077A3CEC"/>
    <w:rsid w:val="094445B2"/>
    <w:rsid w:val="0BD31F12"/>
    <w:rsid w:val="0DCD315E"/>
    <w:rsid w:val="0FB56AC3"/>
    <w:rsid w:val="0FCF40FE"/>
    <w:rsid w:val="15A77B14"/>
    <w:rsid w:val="19596F42"/>
    <w:rsid w:val="1A635C3D"/>
    <w:rsid w:val="1DC721AF"/>
    <w:rsid w:val="1F8606F7"/>
    <w:rsid w:val="264D053E"/>
    <w:rsid w:val="270B5A71"/>
    <w:rsid w:val="275845E3"/>
    <w:rsid w:val="27B53C0C"/>
    <w:rsid w:val="2809530D"/>
    <w:rsid w:val="28A5355D"/>
    <w:rsid w:val="2B094D2D"/>
    <w:rsid w:val="2C036AB3"/>
    <w:rsid w:val="2C803B90"/>
    <w:rsid w:val="31A21D73"/>
    <w:rsid w:val="325269CF"/>
    <w:rsid w:val="33483AFB"/>
    <w:rsid w:val="34D87A93"/>
    <w:rsid w:val="355E6877"/>
    <w:rsid w:val="35F40F8A"/>
    <w:rsid w:val="3D3433C6"/>
    <w:rsid w:val="3DE84D67"/>
    <w:rsid w:val="3E613D17"/>
    <w:rsid w:val="42E12821"/>
    <w:rsid w:val="474D51D3"/>
    <w:rsid w:val="47CA2A58"/>
    <w:rsid w:val="48482AF2"/>
    <w:rsid w:val="4AA7341E"/>
    <w:rsid w:val="4D8A6527"/>
    <w:rsid w:val="52101A58"/>
    <w:rsid w:val="521F5647"/>
    <w:rsid w:val="52C6632C"/>
    <w:rsid w:val="52D90E94"/>
    <w:rsid w:val="555A5F3E"/>
    <w:rsid w:val="57B161EC"/>
    <w:rsid w:val="584D65AC"/>
    <w:rsid w:val="589A00DE"/>
    <w:rsid w:val="5BD67257"/>
    <w:rsid w:val="5CF74D38"/>
    <w:rsid w:val="5E0C3296"/>
    <w:rsid w:val="605817D3"/>
    <w:rsid w:val="61691F7C"/>
    <w:rsid w:val="65F7277D"/>
    <w:rsid w:val="6F241291"/>
    <w:rsid w:val="700759C5"/>
    <w:rsid w:val="70D94A29"/>
    <w:rsid w:val="74143FCA"/>
    <w:rsid w:val="755A447C"/>
    <w:rsid w:val="7677439C"/>
    <w:rsid w:val="78FE27F1"/>
    <w:rsid w:val="791D05B3"/>
    <w:rsid w:val="7BC6204D"/>
    <w:rsid w:val="7C042D6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qFormat/>
    <w:uiPriority w:val="99"/>
    <w:rPr>
      <w:sz w:val="18"/>
      <w:szCs w:val="18"/>
    </w:rPr>
  </w:style>
  <w:style w:type="paragraph" w:styleId="3">
    <w:name w:val="footer"/>
    <w:basedOn w:val="1"/>
    <w:link w:val="10"/>
    <w:autoRedefine/>
    <w:qFormat/>
    <w:uiPriority w:val="99"/>
    <w:pPr>
      <w:tabs>
        <w:tab w:val="center" w:pos="4153"/>
        <w:tab w:val="right" w:pos="8306"/>
      </w:tabs>
      <w:snapToGrid w:val="0"/>
      <w:jc w:val="left"/>
    </w:pPr>
    <w:rPr>
      <w:sz w:val="18"/>
      <w:szCs w:val="18"/>
    </w:rPr>
  </w:style>
  <w:style w:type="paragraph" w:styleId="4">
    <w:name w:val="header"/>
    <w:basedOn w:val="1"/>
    <w:link w:val="11"/>
    <w:autoRedefine/>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autoRedefine/>
    <w:qFormat/>
    <w:uiPriority w:val="99"/>
    <w:rPr>
      <w:rFonts w:cs="Times New Roman"/>
    </w:rPr>
  </w:style>
  <w:style w:type="character" w:customStyle="1" w:styleId="9">
    <w:name w:val="Balloon Text Char"/>
    <w:basedOn w:val="7"/>
    <w:link w:val="2"/>
    <w:autoRedefine/>
    <w:semiHidden/>
    <w:qFormat/>
    <w:locked/>
    <w:uiPriority w:val="99"/>
    <w:rPr>
      <w:rFonts w:ascii="Times New Roman" w:hAnsi="Times New Roman" w:cs="Times New Roman"/>
      <w:kern w:val="2"/>
      <w:sz w:val="18"/>
      <w:szCs w:val="18"/>
    </w:rPr>
  </w:style>
  <w:style w:type="character" w:customStyle="1" w:styleId="10">
    <w:name w:val="Footer Char"/>
    <w:basedOn w:val="7"/>
    <w:link w:val="3"/>
    <w:autoRedefine/>
    <w:semiHidden/>
    <w:qFormat/>
    <w:locked/>
    <w:uiPriority w:val="99"/>
    <w:rPr>
      <w:rFonts w:ascii="Times New Roman" w:hAnsi="Times New Roman" w:cs="Times New Roman"/>
      <w:sz w:val="18"/>
      <w:szCs w:val="18"/>
    </w:rPr>
  </w:style>
  <w:style w:type="character" w:customStyle="1" w:styleId="11">
    <w:name w:val="Header Char"/>
    <w:basedOn w:val="7"/>
    <w:link w:val="4"/>
    <w:autoRedefine/>
    <w:qFormat/>
    <w:locked/>
    <w:uiPriority w:val="99"/>
    <w:rPr>
      <w:rFonts w:ascii="Times New Roman" w:hAnsi="Times New Roman" w:eastAsia="宋体" w:cs="Times New Roman"/>
      <w:kern w:val="2"/>
      <w:sz w:val="18"/>
      <w:szCs w:val="18"/>
    </w:rPr>
  </w:style>
  <w:style w:type="paragraph" w:customStyle="1" w:styleId="12">
    <w:name w:val="表格内容"/>
    <w:basedOn w:val="1"/>
    <w:autoRedefine/>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Kingsoft</Company>
  <Pages>2</Pages>
  <Words>899</Words>
  <Characters>1323</Characters>
  <Lines>0</Lines>
  <Paragraphs>0</Paragraphs>
  <TotalTime>0</TotalTime>
  <ScaleCrop>false</ScaleCrop>
  <LinksUpToDate>false</LinksUpToDate>
  <CharactersWithSpaces>1366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王婷婷</cp:lastModifiedBy>
  <dcterms:modified xsi:type="dcterms:W3CDTF">2025-05-29T10:30:16Z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0E77568B85A4479FA22E407C11BFBD1E_13</vt:lpwstr>
  </property>
  <property fmtid="{D5CDD505-2E9C-101B-9397-08002B2CF9AE}" pid="4" name="KSOTemplateDocerSaveRecord">
    <vt:lpwstr>eyJoZGlkIjoiNTE4YTdkNjVlOWZlYzM3ZTM3OWE0ZWI4ZGE5YTE5ZWUiLCJ1c2VySWQiOiIxMTAyOTY0MjE2In0=</vt:lpwstr>
  </property>
</Properties>
</file>