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68AA3">
      <w:pPr>
        <w:keepNext w:val="0"/>
        <w:keepLines w:val="0"/>
        <w:pageBreakBefore w:val="0"/>
        <w:widowControl w:val="0"/>
        <w:kinsoku/>
        <w:wordWrap/>
        <w:overflowPunct/>
        <w:topLinePunct w:val="0"/>
        <w:autoSpaceDE/>
        <w:autoSpaceDN/>
        <w:bidi w:val="0"/>
        <w:snapToGrid w:val="0"/>
        <w:spacing w:line="500" w:lineRule="exact"/>
        <w:jc w:val="center"/>
        <w:textAlignment w:val="auto"/>
        <w:rPr>
          <w:rFonts w:hint="eastAsia" w:ascii="宋体" w:hAnsi="宋体" w:eastAsia="宋体" w:cs="宋体"/>
          <w:b/>
          <w:bCs/>
          <w:color w:val="000000"/>
          <w:sz w:val="36"/>
          <w:szCs w:val="36"/>
          <w:lang w:eastAsia="zh-CN"/>
        </w:rPr>
      </w:pPr>
      <w:r>
        <w:rPr>
          <w:rFonts w:hint="eastAsia" w:ascii="宋体" w:hAnsi="宋体" w:eastAsia="宋体" w:cs="宋体"/>
          <w:b/>
          <w:bCs/>
          <w:color w:val="000000"/>
          <w:sz w:val="36"/>
          <w:szCs w:val="36"/>
          <w:lang w:val="en-US" w:eastAsia="zh-CN"/>
        </w:rPr>
        <w:t>南昌市</w:t>
      </w:r>
      <w:r>
        <w:rPr>
          <w:rFonts w:hint="eastAsia" w:ascii="宋体" w:hAnsi="宋体" w:eastAsia="宋体" w:cs="宋体"/>
          <w:b/>
          <w:bCs/>
          <w:color w:val="000000"/>
          <w:sz w:val="36"/>
          <w:szCs w:val="36"/>
          <w:lang w:eastAsia="zh-CN"/>
        </w:rPr>
        <w:t>卫生纸产品质量监督抽查实施细则</w:t>
      </w:r>
    </w:p>
    <w:p w14:paraId="1408227D">
      <w:pPr>
        <w:keepNext w:val="0"/>
        <w:keepLines w:val="0"/>
        <w:pageBreakBefore w:val="0"/>
        <w:widowControl w:val="0"/>
        <w:kinsoku/>
        <w:wordWrap/>
        <w:overflowPunct/>
        <w:topLinePunct w:val="0"/>
        <w:autoSpaceDE/>
        <w:autoSpaceDN/>
        <w:bidi w:val="0"/>
        <w:snapToGrid w:val="0"/>
        <w:spacing w:line="500" w:lineRule="exact"/>
        <w:jc w:val="center"/>
        <w:textAlignment w:val="auto"/>
        <w:rPr>
          <w:rFonts w:hint="eastAsia" w:ascii="宋体" w:hAnsi="宋体" w:eastAsia="宋体" w:cs="宋体"/>
          <w:b/>
          <w:bCs/>
          <w:color w:val="000000"/>
          <w:sz w:val="36"/>
          <w:szCs w:val="36"/>
          <w:lang w:eastAsia="zh-CN"/>
        </w:rPr>
      </w:pPr>
      <w:r>
        <w:rPr>
          <w:rFonts w:hint="eastAsia" w:ascii="宋体" w:hAnsi="宋体" w:eastAsia="宋体" w:cs="宋体"/>
          <w:b/>
          <w:bCs/>
          <w:color w:val="000000"/>
          <w:sz w:val="36"/>
          <w:szCs w:val="36"/>
          <w:lang w:eastAsia="zh-CN"/>
        </w:rPr>
        <w:t>（202</w:t>
      </w:r>
      <w:r>
        <w:rPr>
          <w:rFonts w:hint="eastAsia" w:ascii="宋体" w:hAnsi="宋体" w:eastAsia="宋体" w:cs="宋体"/>
          <w:b/>
          <w:bCs/>
          <w:color w:val="000000"/>
          <w:sz w:val="36"/>
          <w:szCs w:val="36"/>
          <w:lang w:val="en-US" w:eastAsia="zh-CN"/>
        </w:rPr>
        <w:t>5</w:t>
      </w:r>
      <w:r>
        <w:rPr>
          <w:rFonts w:hint="eastAsia" w:ascii="宋体" w:hAnsi="宋体" w:eastAsia="宋体" w:cs="宋体"/>
          <w:b/>
          <w:bCs/>
          <w:color w:val="000000"/>
          <w:sz w:val="36"/>
          <w:szCs w:val="36"/>
          <w:lang w:eastAsia="zh-CN"/>
        </w:rPr>
        <w:t>年版）</w:t>
      </w:r>
      <w:bookmarkStart w:id="0" w:name="_GoBack"/>
      <w:bookmarkEnd w:id="0"/>
    </w:p>
    <w:p w14:paraId="534CF428">
      <w:pPr>
        <w:adjustRightInd w:val="0"/>
        <w:spacing w:line="300" w:lineRule="auto"/>
        <w:jc w:val="center"/>
        <w:rPr>
          <w:rFonts w:hint="eastAsia" w:ascii="宋体" w:hAnsi="宋体" w:eastAsia="宋体" w:cs="宋体"/>
          <w:b/>
          <w:bCs/>
          <w:sz w:val="21"/>
          <w:szCs w:val="21"/>
        </w:rPr>
      </w:pPr>
    </w:p>
    <w:p w14:paraId="0D1FDD06">
      <w:pPr>
        <w:snapToGrid w:val="0"/>
        <w:spacing w:line="440" w:lineRule="exact"/>
        <w:rPr>
          <w:rFonts w:hint="eastAsia" w:ascii="宋体" w:hAnsi="宋体" w:eastAsia="宋体" w:cs="宋体"/>
          <w:b/>
          <w:bCs w:val="0"/>
          <w:sz w:val="21"/>
          <w:szCs w:val="21"/>
        </w:rPr>
      </w:pPr>
      <w:r>
        <w:rPr>
          <w:rFonts w:hint="eastAsia" w:ascii="宋体" w:hAnsi="宋体" w:eastAsia="宋体" w:cs="宋体"/>
          <w:b/>
          <w:bCs w:val="0"/>
          <w:sz w:val="21"/>
          <w:szCs w:val="21"/>
        </w:rPr>
        <w:t>1</w:t>
      </w:r>
      <w:r>
        <w:rPr>
          <w:rFonts w:hint="eastAsia" w:ascii="宋体" w:hAnsi="宋体" w:eastAsia="宋体" w:cs="宋体"/>
          <w:b/>
          <w:bCs w:val="0"/>
          <w:sz w:val="21"/>
          <w:szCs w:val="21"/>
          <w:lang w:val="en-US" w:eastAsia="zh-CN"/>
        </w:rPr>
        <w:t>.</w:t>
      </w:r>
      <w:r>
        <w:rPr>
          <w:rFonts w:hint="eastAsia" w:ascii="宋体" w:hAnsi="宋体" w:eastAsia="宋体" w:cs="宋体"/>
          <w:b/>
          <w:bCs w:val="0"/>
          <w:sz w:val="21"/>
          <w:szCs w:val="21"/>
        </w:rPr>
        <w:t>抽样方法</w:t>
      </w:r>
    </w:p>
    <w:p w14:paraId="3328B80F">
      <w:pPr>
        <w:keepNext w:val="0"/>
        <w:keepLines w:val="0"/>
        <w:pageBreakBefore w:val="0"/>
        <w:widowControl w:val="0"/>
        <w:kinsoku/>
        <w:wordWrap/>
        <w:overflowPunct/>
        <w:topLinePunct w:val="0"/>
        <w:autoSpaceDE/>
        <w:autoSpaceDN/>
        <w:bidi w:val="0"/>
        <w:adjustRightInd/>
        <w:snapToGrid w:val="0"/>
        <w:spacing w:line="440" w:lineRule="exact"/>
        <w:ind w:firstLine="420" w:firstLineChars="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以随机抽样的方式在被抽样生产者、销售者的待销产品。</w:t>
      </w:r>
    </w:p>
    <w:p w14:paraId="6793D957">
      <w:pPr>
        <w:keepNext w:val="0"/>
        <w:keepLines w:val="0"/>
        <w:pageBreakBefore w:val="0"/>
        <w:widowControl w:val="0"/>
        <w:kinsoku/>
        <w:wordWrap/>
        <w:overflowPunct/>
        <w:topLinePunct w:val="0"/>
        <w:autoSpaceDE/>
        <w:autoSpaceDN/>
        <w:bidi w:val="0"/>
        <w:adjustRightInd/>
        <w:snapToGrid w:val="0"/>
        <w:spacing w:line="440" w:lineRule="exact"/>
        <w:ind w:firstLine="420" w:firstLineChars="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随机数一般可使用随机数表等方法产生。</w:t>
      </w:r>
    </w:p>
    <w:p w14:paraId="3E6C753D">
      <w:pPr>
        <w:snapToGrid w:val="0"/>
        <w:spacing w:line="440" w:lineRule="exact"/>
        <w:ind w:firstLine="421"/>
        <w:rPr>
          <w:rFonts w:hint="default" w:ascii="宋体" w:hAnsi="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抽样基数及数量</w:t>
      </w:r>
      <w:r>
        <w:rPr>
          <w:rFonts w:hint="eastAsia" w:ascii="宋体" w:hAnsi="宋体" w:cs="宋体"/>
          <w:color w:val="000000"/>
          <w:sz w:val="21"/>
          <w:szCs w:val="21"/>
          <w:highlight w:val="none"/>
          <w:lang w:val="en-US" w:eastAsia="zh-CN"/>
        </w:rPr>
        <w:t>：以同一批号的产品为抽样基数，抽样基数满足抽样数量即可。产品的抽样数量见表1。</w:t>
      </w:r>
    </w:p>
    <w:p w14:paraId="48F69C68">
      <w:pPr>
        <w:snapToGrid w:val="0"/>
        <w:spacing w:line="440" w:lineRule="exact"/>
        <w:ind w:firstLine="421"/>
        <w:jc w:val="center"/>
        <w:rPr>
          <w:rFonts w:hint="eastAsia" w:ascii="宋体" w:hAnsi="宋体" w:cs="宋体"/>
          <w:color w:val="000000"/>
          <w:sz w:val="21"/>
          <w:szCs w:val="21"/>
          <w:highlight w:val="none"/>
          <w:lang w:val="en-US" w:eastAsia="zh-CN"/>
        </w:rPr>
      </w:pPr>
      <w:r>
        <w:rPr>
          <w:rFonts w:hint="default" w:ascii="Times New Roman" w:hAnsi="Times New Roman" w:eastAsia="宋体" w:cs="Times New Roman"/>
          <w:sz w:val="21"/>
          <w:szCs w:val="21"/>
        </w:rPr>
        <w:t>表</w:t>
      </w:r>
      <w:r>
        <w:rPr>
          <w:rFonts w:hint="default" w:ascii="Times New Roman" w:hAnsi="Times New Roman" w:eastAsia="宋体" w:cs="Times New Roman"/>
          <w:sz w:val="21"/>
          <w:szCs w:val="21"/>
          <w:lang w:val="en-US" w:eastAsia="zh-CN"/>
        </w:rPr>
        <w:t>1</w:t>
      </w:r>
      <w:r>
        <w:rPr>
          <w:rFonts w:hint="default" w:ascii="Times New Roman" w:hAnsi="Times New Roman" w:eastAsia="宋体" w:cs="Times New Roman"/>
          <w:sz w:val="21"/>
          <w:szCs w:val="21"/>
        </w:rPr>
        <w:t xml:space="preserve"> </w:t>
      </w:r>
      <w:r>
        <w:rPr>
          <w:rFonts w:hint="eastAsia"/>
          <w:sz w:val="21"/>
          <w:szCs w:val="21"/>
        </w:rPr>
        <w:t>卫</w:t>
      </w:r>
      <w:r>
        <w:rPr>
          <w:rFonts w:hint="eastAsia" w:ascii="宋体" w:hAnsi="宋体" w:cs="宋体"/>
          <w:color w:val="000000"/>
          <w:sz w:val="21"/>
          <w:szCs w:val="21"/>
          <w:highlight w:val="none"/>
          <w:lang w:val="en-US" w:eastAsia="zh-CN"/>
        </w:rPr>
        <w:t>生纸(含卫生纸原纸)产品的抽样数量</w:t>
      </w:r>
    </w:p>
    <w:tbl>
      <w:tblPr>
        <w:tblStyle w:val="5"/>
        <w:tblW w:w="83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0"/>
        <w:gridCol w:w="1935"/>
        <w:gridCol w:w="2490"/>
        <w:gridCol w:w="2580"/>
      </w:tblGrid>
      <w:tr w14:paraId="1427A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blHeader/>
          <w:jc w:val="center"/>
        </w:trPr>
        <w:tc>
          <w:tcPr>
            <w:tcW w:w="1330" w:type="dxa"/>
            <w:noWrap w:val="0"/>
            <w:vAlign w:val="center"/>
          </w:tcPr>
          <w:p w14:paraId="256DFDE5">
            <w:pPr>
              <w:snapToGrid w:val="0"/>
              <w:spacing w:line="440" w:lineRule="exact"/>
              <w:jc w:val="center"/>
              <w:rPr>
                <w:rFonts w:hint="eastAsia" w:ascii="宋体" w:hAnsi="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产品</w:t>
            </w:r>
          </w:p>
        </w:tc>
        <w:tc>
          <w:tcPr>
            <w:tcW w:w="1935" w:type="dxa"/>
            <w:noWrap w:val="0"/>
            <w:vAlign w:val="center"/>
          </w:tcPr>
          <w:p w14:paraId="1395CE24">
            <w:pPr>
              <w:snapToGrid w:val="0"/>
              <w:spacing w:line="440" w:lineRule="exact"/>
              <w:jc w:val="center"/>
              <w:rPr>
                <w:rFonts w:hint="eastAsia" w:ascii="宋体" w:hAnsi="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抽样数量</w:t>
            </w:r>
          </w:p>
        </w:tc>
        <w:tc>
          <w:tcPr>
            <w:tcW w:w="2490" w:type="dxa"/>
            <w:noWrap w:val="0"/>
            <w:vAlign w:val="center"/>
          </w:tcPr>
          <w:p w14:paraId="2AB401C7">
            <w:pPr>
              <w:snapToGrid w:val="0"/>
              <w:spacing w:line="440" w:lineRule="exact"/>
              <w:jc w:val="center"/>
              <w:rPr>
                <w:rFonts w:hint="eastAsia" w:ascii="宋体" w:hAnsi="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检验样数量</w:t>
            </w:r>
          </w:p>
        </w:tc>
        <w:tc>
          <w:tcPr>
            <w:tcW w:w="2580" w:type="dxa"/>
            <w:noWrap w:val="0"/>
            <w:vAlign w:val="center"/>
          </w:tcPr>
          <w:p w14:paraId="4922DE1A">
            <w:pPr>
              <w:snapToGrid w:val="0"/>
              <w:spacing w:line="440" w:lineRule="exact"/>
              <w:jc w:val="center"/>
              <w:rPr>
                <w:rFonts w:hint="eastAsia" w:ascii="宋体" w:hAnsi="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备样数量</w:t>
            </w:r>
          </w:p>
        </w:tc>
      </w:tr>
      <w:tr w14:paraId="7BF03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blHeader/>
          <w:jc w:val="center"/>
        </w:trPr>
        <w:tc>
          <w:tcPr>
            <w:tcW w:w="1330" w:type="dxa"/>
            <w:noWrap w:val="0"/>
            <w:vAlign w:val="center"/>
          </w:tcPr>
          <w:p w14:paraId="25B3EACE">
            <w:pPr>
              <w:snapToGrid w:val="0"/>
              <w:spacing w:line="440" w:lineRule="exact"/>
              <w:jc w:val="center"/>
              <w:rPr>
                <w:rFonts w:hint="eastAsia" w:ascii="宋体" w:hAnsi="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卫生纸</w:t>
            </w:r>
          </w:p>
        </w:tc>
        <w:tc>
          <w:tcPr>
            <w:tcW w:w="1935" w:type="dxa"/>
            <w:noWrap w:val="0"/>
            <w:vAlign w:val="center"/>
          </w:tcPr>
          <w:p w14:paraId="299F85BE">
            <w:pPr>
              <w:snapToGrid w:val="0"/>
              <w:spacing w:line="440" w:lineRule="exact"/>
              <w:jc w:val="center"/>
              <w:rPr>
                <w:rFonts w:hint="eastAsia" w:ascii="宋体" w:hAnsi="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10个独立包装</w:t>
            </w:r>
          </w:p>
        </w:tc>
        <w:tc>
          <w:tcPr>
            <w:tcW w:w="2490" w:type="dxa"/>
            <w:noWrap w:val="0"/>
            <w:vAlign w:val="center"/>
          </w:tcPr>
          <w:p w14:paraId="2D424B46">
            <w:pPr>
              <w:snapToGrid w:val="0"/>
              <w:spacing w:line="440" w:lineRule="exact"/>
              <w:jc w:val="center"/>
              <w:rPr>
                <w:rFonts w:hint="eastAsia" w:ascii="宋体" w:hAnsi="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9个独立包装</w:t>
            </w:r>
          </w:p>
        </w:tc>
        <w:tc>
          <w:tcPr>
            <w:tcW w:w="2580" w:type="dxa"/>
            <w:noWrap w:val="0"/>
            <w:vAlign w:val="center"/>
          </w:tcPr>
          <w:p w14:paraId="48972957">
            <w:pPr>
              <w:snapToGrid w:val="0"/>
              <w:spacing w:line="440" w:lineRule="exact"/>
              <w:jc w:val="center"/>
              <w:rPr>
                <w:rFonts w:hint="eastAsia" w:ascii="宋体" w:hAnsi="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1个独立包装</w:t>
            </w:r>
          </w:p>
        </w:tc>
      </w:tr>
    </w:tbl>
    <w:p w14:paraId="232AF314">
      <w:pPr>
        <w:snapToGrid w:val="0"/>
        <w:spacing w:line="440" w:lineRule="exact"/>
        <w:rPr>
          <w:rFonts w:hint="eastAsia" w:ascii="宋体" w:hAnsi="宋体" w:eastAsia="宋体" w:cs="宋体"/>
          <w:sz w:val="21"/>
          <w:szCs w:val="21"/>
          <w:lang w:val="en-US" w:eastAsia="zh-CN"/>
        </w:rPr>
      </w:pPr>
      <w:r>
        <w:rPr>
          <w:rFonts w:hint="eastAsia" w:ascii="宋体" w:hAnsi="宋体" w:eastAsia="宋体" w:cs="宋体"/>
          <w:b/>
          <w:sz w:val="21"/>
          <w:szCs w:val="21"/>
        </w:rPr>
        <w:t>2</w:t>
      </w:r>
      <w:r>
        <w:rPr>
          <w:rFonts w:hint="eastAsia" w:ascii="宋体" w:hAnsi="宋体" w:eastAsia="宋体" w:cs="宋体"/>
          <w:b/>
          <w:sz w:val="21"/>
          <w:szCs w:val="21"/>
          <w:lang w:val="en-US" w:eastAsia="zh-CN"/>
        </w:rPr>
        <w:t>.</w:t>
      </w:r>
      <w:r>
        <w:rPr>
          <w:rFonts w:hint="eastAsia" w:ascii="宋体" w:hAnsi="宋体" w:eastAsia="宋体" w:cs="宋体"/>
          <w:b/>
          <w:sz w:val="21"/>
          <w:szCs w:val="21"/>
        </w:rPr>
        <w:t>检验依据</w:t>
      </w:r>
    </w:p>
    <w:p w14:paraId="53C193C3">
      <w:pPr>
        <w:jc w:val="center"/>
        <w:rPr>
          <w:rFonts w:ascii="宋体" w:hAnsi="宋体" w:cs="宋体"/>
          <w:color w:val="000000"/>
          <w:kern w:val="0"/>
          <w:sz w:val="21"/>
          <w:szCs w:val="21"/>
          <w:lang w:bidi="ar"/>
        </w:rPr>
      </w:pPr>
      <w:r>
        <w:rPr>
          <w:rFonts w:hint="default" w:ascii="Times New Roman" w:hAnsi="Times New Roman" w:eastAsia="宋体" w:cs="Times New Roman"/>
          <w:sz w:val="21"/>
          <w:szCs w:val="21"/>
        </w:rPr>
        <w:t>表</w:t>
      </w:r>
      <w:r>
        <w:rPr>
          <w:rFonts w:hint="eastAsia" w:ascii="Times New Roman" w:hAnsi="Times New Roman" w:eastAsia="宋体" w:cs="Times New Roman"/>
          <w:sz w:val="21"/>
          <w:szCs w:val="21"/>
          <w:lang w:val="en-US" w:eastAsia="zh-CN"/>
        </w:rPr>
        <w:t>2</w:t>
      </w:r>
      <w:r>
        <w:rPr>
          <w:rFonts w:hint="eastAsia" w:hAnsi="宋体"/>
          <w:bCs/>
          <w:sz w:val="21"/>
          <w:szCs w:val="21"/>
          <w:lang w:eastAsia="zh-CN"/>
        </w:rPr>
        <w:t>卫生纸</w:t>
      </w:r>
      <w:r>
        <w:rPr>
          <w:rFonts w:hint="eastAsia" w:ascii="宋体" w:hAnsi="宋体" w:cs="宋体"/>
          <w:color w:val="000000"/>
          <w:kern w:val="0"/>
          <w:sz w:val="21"/>
          <w:szCs w:val="21"/>
          <w:lang w:bidi="ar"/>
        </w:rPr>
        <w:t>产品检验项目、依据及方法</w:t>
      </w:r>
    </w:p>
    <w:tbl>
      <w:tblPr>
        <w:tblStyle w:val="5"/>
        <w:tblW w:w="0" w:type="auto"/>
        <w:tblInd w:w="1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1"/>
        <w:gridCol w:w="2407"/>
        <w:gridCol w:w="2427"/>
        <w:gridCol w:w="2842"/>
      </w:tblGrid>
      <w:tr w14:paraId="56A3B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2" w:type="dxa"/>
            <w:noWrap w:val="0"/>
            <w:vAlign w:val="center"/>
          </w:tcPr>
          <w:p w14:paraId="0305F661">
            <w:pPr>
              <w:jc w:val="center"/>
              <w:rPr>
                <w:rFonts w:ascii="宋体" w:hAnsi="宋体" w:cs="宋体"/>
                <w:color w:val="000000"/>
                <w:kern w:val="0"/>
                <w:sz w:val="21"/>
                <w:szCs w:val="21"/>
                <w:lang w:bidi="ar"/>
              </w:rPr>
            </w:pPr>
            <w:r>
              <w:rPr>
                <w:rFonts w:hint="eastAsia" w:ascii="宋体" w:hAnsi="宋体" w:cs="宋体"/>
                <w:color w:val="000000"/>
                <w:kern w:val="0"/>
                <w:sz w:val="21"/>
                <w:szCs w:val="21"/>
                <w:lang w:bidi="ar"/>
              </w:rPr>
              <w:t>序号</w:t>
            </w:r>
          </w:p>
        </w:tc>
        <w:tc>
          <w:tcPr>
            <w:tcW w:w="2681" w:type="dxa"/>
            <w:noWrap w:val="0"/>
            <w:vAlign w:val="center"/>
          </w:tcPr>
          <w:p w14:paraId="7DC1DF31">
            <w:pPr>
              <w:jc w:val="center"/>
              <w:rPr>
                <w:rFonts w:ascii="宋体" w:hAnsi="宋体" w:cs="宋体"/>
                <w:color w:val="000000"/>
                <w:kern w:val="0"/>
                <w:sz w:val="21"/>
                <w:szCs w:val="21"/>
                <w:lang w:bidi="ar"/>
              </w:rPr>
            </w:pPr>
            <w:r>
              <w:rPr>
                <w:rFonts w:hint="eastAsia" w:ascii="宋体" w:hAnsi="宋体" w:cs="宋体"/>
                <w:color w:val="000000"/>
                <w:kern w:val="0"/>
                <w:sz w:val="21"/>
                <w:szCs w:val="21"/>
                <w:lang w:bidi="ar"/>
              </w:rPr>
              <w:t>检验项目</w:t>
            </w:r>
          </w:p>
        </w:tc>
        <w:tc>
          <w:tcPr>
            <w:tcW w:w="2587" w:type="dxa"/>
            <w:noWrap w:val="0"/>
            <w:vAlign w:val="center"/>
          </w:tcPr>
          <w:p w14:paraId="374AB0AF">
            <w:pPr>
              <w:jc w:val="center"/>
              <w:rPr>
                <w:rFonts w:ascii="宋体" w:hAnsi="宋体" w:cs="宋体"/>
                <w:color w:val="000000"/>
                <w:kern w:val="0"/>
                <w:sz w:val="21"/>
                <w:szCs w:val="21"/>
                <w:lang w:bidi="ar"/>
              </w:rPr>
            </w:pPr>
            <w:r>
              <w:rPr>
                <w:rFonts w:hint="eastAsia" w:ascii="宋体" w:hAnsi="宋体" w:cs="宋体"/>
                <w:color w:val="000000"/>
                <w:kern w:val="0"/>
                <w:sz w:val="21"/>
                <w:szCs w:val="21"/>
                <w:lang w:bidi="ar"/>
              </w:rPr>
              <w:t>检验依据</w:t>
            </w:r>
          </w:p>
        </w:tc>
        <w:tc>
          <w:tcPr>
            <w:tcW w:w="3060" w:type="dxa"/>
            <w:noWrap w:val="0"/>
            <w:vAlign w:val="center"/>
          </w:tcPr>
          <w:p w14:paraId="7F89F9B1">
            <w:pPr>
              <w:jc w:val="center"/>
              <w:rPr>
                <w:rFonts w:ascii="宋体" w:hAnsi="宋体" w:cs="宋体"/>
                <w:color w:val="000000"/>
                <w:kern w:val="0"/>
                <w:sz w:val="21"/>
                <w:szCs w:val="21"/>
                <w:lang w:bidi="ar"/>
              </w:rPr>
            </w:pPr>
            <w:r>
              <w:rPr>
                <w:rFonts w:hint="eastAsia" w:ascii="宋体" w:hAnsi="宋体" w:cs="宋体"/>
                <w:color w:val="000000"/>
                <w:kern w:val="0"/>
                <w:sz w:val="21"/>
                <w:szCs w:val="21"/>
                <w:lang w:bidi="ar"/>
              </w:rPr>
              <w:t>检验方法</w:t>
            </w:r>
          </w:p>
        </w:tc>
      </w:tr>
      <w:tr w14:paraId="17A84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2" w:type="dxa"/>
            <w:noWrap w:val="0"/>
            <w:vAlign w:val="center"/>
          </w:tcPr>
          <w:p w14:paraId="5302E3CF">
            <w:pPr>
              <w:jc w:val="center"/>
              <w:rPr>
                <w:rFonts w:hint="eastAsia" w:ascii="宋体" w:hAnsi="宋体" w:cs="宋体"/>
                <w:color w:val="000000"/>
                <w:kern w:val="0"/>
                <w:sz w:val="21"/>
                <w:szCs w:val="21"/>
                <w:lang w:bidi="ar"/>
              </w:rPr>
            </w:pPr>
            <w:r>
              <w:rPr>
                <w:rFonts w:hint="eastAsia" w:ascii="宋体" w:hAnsi="宋体" w:cs="宋体"/>
                <w:color w:val="000000"/>
                <w:kern w:val="0"/>
                <w:sz w:val="21"/>
                <w:szCs w:val="21"/>
                <w:lang w:bidi="ar"/>
              </w:rPr>
              <w:t>1</w:t>
            </w:r>
          </w:p>
        </w:tc>
        <w:tc>
          <w:tcPr>
            <w:tcW w:w="2681" w:type="dxa"/>
            <w:noWrap w:val="0"/>
            <w:vAlign w:val="center"/>
          </w:tcPr>
          <w:p w14:paraId="0A1162BE">
            <w:pPr>
              <w:jc w:val="center"/>
              <w:rPr>
                <w:rFonts w:ascii="宋体" w:hAnsi="宋体" w:cs="宋体"/>
                <w:kern w:val="0"/>
                <w:sz w:val="21"/>
                <w:szCs w:val="21"/>
                <w:lang w:bidi="ar"/>
              </w:rPr>
            </w:pPr>
            <w:r>
              <w:rPr>
                <w:rFonts w:hint="eastAsia" w:ascii="宋体" w:hAnsi="宋体" w:cs="宋体"/>
                <w:kern w:val="0"/>
                <w:sz w:val="21"/>
                <w:szCs w:val="21"/>
                <w:lang w:bidi="ar"/>
              </w:rPr>
              <w:t>灰分</w:t>
            </w:r>
          </w:p>
        </w:tc>
        <w:tc>
          <w:tcPr>
            <w:tcW w:w="2587" w:type="dxa"/>
            <w:noWrap w:val="0"/>
            <w:vAlign w:val="center"/>
          </w:tcPr>
          <w:p w14:paraId="5D2C41EC">
            <w:pPr>
              <w:jc w:val="center"/>
              <w:rPr>
                <w:rFonts w:ascii="宋体" w:hAnsi="宋体" w:cs="宋体"/>
                <w:color w:val="000000"/>
                <w:kern w:val="0"/>
                <w:sz w:val="21"/>
                <w:szCs w:val="21"/>
              </w:rPr>
            </w:pPr>
            <w:r>
              <w:rPr>
                <w:rFonts w:ascii="宋体" w:hAnsi="宋体" w:cs="宋体"/>
                <w:color w:val="000000"/>
                <w:kern w:val="0"/>
                <w:sz w:val="21"/>
                <w:szCs w:val="21"/>
              </w:rPr>
              <w:t>GB/T 20810-2018</w:t>
            </w:r>
          </w:p>
        </w:tc>
        <w:tc>
          <w:tcPr>
            <w:tcW w:w="3060" w:type="dxa"/>
            <w:noWrap w:val="0"/>
            <w:vAlign w:val="center"/>
          </w:tcPr>
          <w:p w14:paraId="1FA44C85">
            <w:pPr>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GB/T 742-2018</w:t>
            </w:r>
          </w:p>
        </w:tc>
      </w:tr>
      <w:tr w14:paraId="77475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2" w:type="dxa"/>
            <w:noWrap w:val="0"/>
            <w:vAlign w:val="center"/>
          </w:tcPr>
          <w:p w14:paraId="3A6C31E3">
            <w:pPr>
              <w:jc w:val="center"/>
              <w:rPr>
                <w:rFonts w:ascii="宋体" w:hAnsi="宋体" w:cs="宋体"/>
                <w:color w:val="000000"/>
                <w:kern w:val="0"/>
                <w:sz w:val="21"/>
                <w:szCs w:val="21"/>
                <w:lang w:bidi="ar"/>
              </w:rPr>
            </w:pPr>
            <w:r>
              <w:rPr>
                <w:rFonts w:hint="eastAsia" w:ascii="宋体" w:hAnsi="宋体" w:cs="宋体"/>
                <w:color w:val="000000"/>
                <w:kern w:val="0"/>
                <w:sz w:val="21"/>
                <w:szCs w:val="21"/>
                <w:lang w:bidi="ar"/>
              </w:rPr>
              <w:t>2</w:t>
            </w:r>
          </w:p>
        </w:tc>
        <w:tc>
          <w:tcPr>
            <w:tcW w:w="2681" w:type="dxa"/>
            <w:noWrap w:val="0"/>
            <w:vAlign w:val="center"/>
          </w:tcPr>
          <w:p w14:paraId="7770FE8F">
            <w:pPr>
              <w:jc w:val="center"/>
              <w:rPr>
                <w:rFonts w:hint="eastAsia" w:ascii="宋体" w:hAnsi="宋体" w:cs="宋体"/>
                <w:kern w:val="0"/>
                <w:sz w:val="21"/>
                <w:szCs w:val="21"/>
                <w:lang w:bidi="ar"/>
              </w:rPr>
            </w:pPr>
            <w:r>
              <w:rPr>
                <w:rFonts w:hint="eastAsia" w:ascii="宋体" w:hAnsi="宋体" w:cs="宋体"/>
                <w:kern w:val="0"/>
                <w:sz w:val="21"/>
                <w:szCs w:val="21"/>
                <w:lang w:bidi="ar"/>
              </w:rPr>
              <w:t>可迁移性荧光物质</w:t>
            </w:r>
          </w:p>
        </w:tc>
        <w:tc>
          <w:tcPr>
            <w:tcW w:w="2587" w:type="dxa"/>
            <w:noWrap w:val="0"/>
            <w:vAlign w:val="center"/>
          </w:tcPr>
          <w:p w14:paraId="78421F7A">
            <w:pPr>
              <w:jc w:val="center"/>
              <w:rPr>
                <w:rFonts w:hint="eastAsia" w:ascii="宋体" w:hAnsi="宋体" w:cs="宋体"/>
                <w:color w:val="000000"/>
                <w:kern w:val="0"/>
                <w:sz w:val="21"/>
                <w:szCs w:val="21"/>
                <w:lang w:bidi="ar"/>
              </w:rPr>
            </w:pPr>
            <w:r>
              <w:rPr>
                <w:rFonts w:ascii="宋体" w:hAnsi="宋体" w:cs="宋体"/>
                <w:color w:val="000000"/>
                <w:kern w:val="0"/>
                <w:sz w:val="21"/>
                <w:szCs w:val="21"/>
              </w:rPr>
              <w:t>GB/T 20810-2018</w:t>
            </w:r>
          </w:p>
        </w:tc>
        <w:tc>
          <w:tcPr>
            <w:tcW w:w="3060" w:type="dxa"/>
            <w:noWrap w:val="0"/>
            <w:vAlign w:val="center"/>
          </w:tcPr>
          <w:p w14:paraId="67FF7602">
            <w:pPr>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GB/T 20810-2018</w:t>
            </w:r>
          </w:p>
          <w:p w14:paraId="2B7DA32B">
            <w:pPr>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GB/T 27741-2018</w:t>
            </w:r>
          </w:p>
        </w:tc>
      </w:tr>
      <w:tr w14:paraId="5C645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2" w:type="dxa"/>
            <w:noWrap w:val="0"/>
            <w:vAlign w:val="center"/>
          </w:tcPr>
          <w:p w14:paraId="76EDD34A">
            <w:pPr>
              <w:jc w:val="center"/>
              <w:rPr>
                <w:rFonts w:ascii="宋体" w:hAnsi="宋体" w:cs="宋体"/>
                <w:color w:val="000000"/>
                <w:kern w:val="0"/>
                <w:sz w:val="21"/>
                <w:szCs w:val="21"/>
                <w:lang w:bidi="ar"/>
              </w:rPr>
            </w:pPr>
            <w:r>
              <w:rPr>
                <w:rFonts w:hint="eastAsia" w:ascii="宋体" w:hAnsi="宋体" w:cs="宋体"/>
                <w:color w:val="000000"/>
                <w:kern w:val="0"/>
                <w:sz w:val="21"/>
                <w:szCs w:val="21"/>
                <w:lang w:bidi="ar"/>
              </w:rPr>
              <w:t>3</w:t>
            </w:r>
          </w:p>
        </w:tc>
        <w:tc>
          <w:tcPr>
            <w:tcW w:w="2681" w:type="dxa"/>
            <w:noWrap w:val="0"/>
            <w:vAlign w:val="center"/>
          </w:tcPr>
          <w:p w14:paraId="221859A0">
            <w:pPr>
              <w:jc w:val="center"/>
              <w:rPr>
                <w:rFonts w:hint="eastAsia" w:ascii="宋体" w:hAnsi="宋体" w:cs="宋体"/>
                <w:kern w:val="0"/>
                <w:sz w:val="21"/>
                <w:szCs w:val="21"/>
                <w:lang w:bidi="ar"/>
              </w:rPr>
            </w:pPr>
            <w:r>
              <w:rPr>
                <w:rFonts w:hint="eastAsia" w:ascii="宋体" w:hAnsi="宋体" w:cs="宋体"/>
                <w:kern w:val="0"/>
                <w:sz w:val="21"/>
                <w:szCs w:val="21"/>
                <w:lang w:bidi="ar"/>
              </w:rPr>
              <w:t>细菌菌落总数</w:t>
            </w:r>
          </w:p>
        </w:tc>
        <w:tc>
          <w:tcPr>
            <w:tcW w:w="2587" w:type="dxa"/>
            <w:noWrap w:val="0"/>
            <w:vAlign w:val="center"/>
          </w:tcPr>
          <w:p w14:paraId="2ED518CD">
            <w:pPr>
              <w:jc w:val="center"/>
              <w:rPr>
                <w:rFonts w:hint="eastAsia" w:ascii="宋体" w:hAnsi="宋体" w:cs="宋体"/>
                <w:color w:val="000000"/>
                <w:kern w:val="0"/>
                <w:sz w:val="21"/>
                <w:szCs w:val="21"/>
                <w:lang w:bidi="ar"/>
              </w:rPr>
            </w:pPr>
            <w:r>
              <w:rPr>
                <w:rFonts w:ascii="宋体" w:hAnsi="宋体" w:cs="宋体"/>
                <w:color w:val="000000"/>
                <w:kern w:val="0"/>
                <w:sz w:val="21"/>
                <w:szCs w:val="21"/>
              </w:rPr>
              <w:t>GB/T 20810-2018</w:t>
            </w:r>
          </w:p>
        </w:tc>
        <w:tc>
          <w:tcPr>
            <w:tcW w:w="3060" w:type="dxa"/>
            <w:noWrap w:val="0"/>
            <w:vAlign w:val="center"/>
          </w:tcPr>
          <w:p w14:paraId="740728E1">
            <w:pPr>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GB/T 20810-2018</w:t>
            </w:r>
          </w:p>
        </w:tc>
      </w:tr>
      <w:tr w14:paraId="196A8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2" w:type="dxa"/>
            <w:noWrap w:val="0"/>
            <w:vAlign w:val="center"/>
          </w:tcPr>
          <w:p w14:paraId="1E52EABD">
            <w:pPr>
              <w:jc w:val="center"/>
              <w:rPr>
                <w:rFonts w:ascii="宋体" w:hAnsi="宋体" w:cs="宋体"/>
                <w:color w:val="000000"/>
                <w:kern w:val="0"/>
                <w:sz w:val="21"/>
                <w:szCs w:val="21"/>
                <w:lang w:bidi="ar"/>
              </w:rPr>
            </w:pPr>
            <w:r>
              <w:rPr>
                <w:rFonts w:hint="eastAsia" w:ascii="宋体" w:hAnsi="宋体" w:cs="宋体"/>
                <w:color w:val="000000"/>
                <w:kern w:val="0"/>
                <w:sz w:val="21"/>
                <w:szCs w:val="21"/>
                <w:lang w:bidi="ar"/>
              </w:rPr>
              <w:t>4</w:t>
            </w:r>
          </w:p>
        </w:tc>
        <w:tc>
          <w:tcPr>
            <w:tcW w:w="2681" w:type="dxa"/>
            <w:noWrap w:val="0"/>
            <w:vAlign w:val="center"/>
          </w:tcPr>
          <w:p w14:paraId="78E38075">
            <w:pPr>
              <w:jc w:val="center"/>
              <w:rPr>
                <w:rFonts w:hint="eastAsia" w:ascii="宋体" w:hAnsi="宋体" w:cs="宋体"/>
                <w:kern w:val="0"/>
                <w:sz w:val="21"/>
                <w:szCs w:val="21"/>
                <w:lang w:bidi="ar"/>
              </w:rPr>
            </w:pPr>
            <w:r>
              <w:rPr>
                <w:rFonts w:hint="eastAsia" w:ascii="宋体" w:hAnsi="宋体" w:cs="宋体"/>
                <w:kern w:val="0"/>
                <w:sz w:val="21"/>
                <w:szCs w:val="21"/>
                <w:lang w:bidi="ar"/>
              </w:rPr>
              <w:t>大肠菌群</w:t>
            </w:r>
          </w:p>
        </w:tc>
        <w:tc>
          <w:tcPr>
            <w:tcW w:w="2587" w:type="dxa"/>
            <w:noWrap w:val="0"/>
            <w:vAlign w:val="center"/>
          </w:tcPr>
          <w:p w14:paraId="55005124">
            <w:pPr>
              <w:jc w:val="center"/>
              <w:rPr>
                <w:rFonts w:hint="eastAsia" w:ascii="宋体" w:hAnsi="宋体" w:cs="宋体"/>
                <w:color w:val="000000"/>
                <w:kern w:val="0"/>
                <w:sz w:val="21"/>
                <w:szCs w:val="21"/>
                <w:lang w:bidi="ar"/>
              </w:rPr>
            </w:pPr>
            <w:r>
              <w:rPr>
                <w:rFonts w:ascii="宋体" w:hAnsi="宋体" w:cs="宋体"/>
                <w:color w:val="000000"/>
                <w:kern w:val="0"/>
                <w:sz w:val="21"/>
                <w:szCs w:val="21"/>
              </w:rPr>
              <w:t>GB/T 20810-2018</w:t>
            </w:r>
          </w:p>
        </w:tc>
        <w:tc>
          <w:tcPr>
            <w:tcW w:w="3060" w:type="dxa"/>
            <w:noWrap w:val="0"/>
            <w:vAlign w:val="center"/>
          </w:tcPr>
          <w:p w14:paraId="412F1100">
            <w:pPr>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GB/T 20810-2018</w:t>
            </w:r>
          </w:p>
        </w:tc>
      </w:tr>
      <w:tr w14:paraId="1501E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2" w:type="dxa"/>
            <w:noWrap w:val="0"/>
            <w:vAlign w:val="center"/>
          </w:tcPr>
          <w:p w14:paraId="27A77691">
            <w:pPr>
              <w:jc w:val="center"/>
              <w:rPr>
                <w:rFonts w:ascii="宋体" w:hAnsi="宋体" w:cs="宋体"/>
                <w:color w:val="000000"/>
                <w:kern w:val="0"/>
                <w:sz w:val="21"/>
                <w:szCs w:val="21"/>
                <w:lang w:bidi="ar"/>
              </w:rPr>
            </w:pPr>
            <w:r>
              <w:rPr>
                <w:rFonts w:hint="eastAsia" w:ascii="宋体" w:hAnsi="宋体" w:cs="宋体"/>
                <w:color w:val="000000"/>
                <w:kern w:val="0"/>
                <w:sz w:val="21"/>
                <w:szCs w:val="21"/>
                <w:lang w:bidi="ar"/>
              </w:rPr>
              <w:t>5</w:t>
            </w:r>
          </w:p>
        </w:tc>
        <w:tc>
          <w:tcPr>
            <w:tcW w:w="2681" w:type="dxa"/>
            <w:noWrap w:val="0"/>
            <w:vAlign w:val="center"/>
          </w:tcPr>
          <w:p w14:paraId="7C2CE5A3">
            <w:pPr>
              <w:jc w:val="center"/>
              <w:rPr>
                <w:rFonts w:hint="eastAsia" w:ascii="宋体" w:hAnsi="宋体" w:cs="宋体"/>
                <w:kern w:val="0"/>
                <w:sz w:val="21"/>
                <w:szCs w:val="21"/>
                <w:lang w:bidi="ar"/>
              </w:rPr>
            </w:pPr>
            <w:r>
              <w:rPr>
                <w:rFonts w:hint="eastAsia" w:ascii="宋体" w:hAnsi="宋体" w:cs="宋体"/>
                <w:kern w:val="0"/>
                <w:sz w:val="21"/>
                <w:szCs w:val="21"/>
                <w:lang w:bidi="ar"/>
              </w:rPr>
              <w:t>金黄色葡萄球菌</w:t>
            </w:r>
          </w:p>
        </w:tc>
        <w:tc>
          <w:tcPr>
            <w:tcW w:w="2587" w:type="dxa"/>
            <w:noWrap w:val="0"/>
            <w:vAlign w:val="center"/>
          </w:tcPr>
          <w:p w14:paraId="0F44988A">
            <w:pPr>
              <w:jc w:val="center"/>
              <w:rPr>
                <w:rFonts w:hint="eastAsia" w:ascii="宋体" w:hAnsi="宋体" w:cs="宋体"/>
                <w:color w:val="000000"/>
                <w:kern w:val="0"/>
                <w:sz w:val="21"/>
                <w:szCs w:val="21"/>
                <w:lang w:bidi="ar"/>
              </w:rPr>
            </w:pPr>
            <w:r>
              <w:rPr>
                <w:rFonts w:ascii="宋体" w:hAnsi="宋体" w:cs="宋体"/>
                <w:color w:val="000000"/>
                <w:kern w:val="0"/>
                <w:sz w:val="21"/>
                <w:szCs w:val="21"/>
              </w:rPr>
              <w:t>GB/T 20810-2018</w:t>
            </w:r>
          </w:p>
        </w:tc>
        <w:tc>
          <w:tcPr>
            <w:tcW w:w="3060" w:type="dxa"/>
            <w:noWrap w:val="0"/>
            <w:vAlign w:val="center"/>
          </w:tcPr>
          <w:p w14:paraId="000532B2">
            <w:pPr>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GB/T 20810-2018</w:t>
            </w:r>
          </w:p>
        </w:tc>
      </w:tr>
      <w:tr w14:paraId="57175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2" w:type="dxa"/>
            <w:noWrap w:val="0"/>
            <w:vAlign w:val="center"/>
          </w:tcPr>
          <w:p w14:paraId="2D07A10B">
            <w:pPr>
              <w:jc w:val="center"/>
              <w:rPr>
                <w:rFonts w:ascii="宋体" w:hAnsi="宋体" w:cs="宋体"/>
                <w:color w:val="000000"/>
                <w:kern w:val="0"/>
                <w:sz w:val="21"/>
                <w:szCs w:val="21"/>
                <w:lang w:bidi="ar"/>
              </w:rPr>
            </w:pPr>
            <w:r>
              <w:rPr>
                <w:rFonts w:hint="eastAsia" w:ascii="宋体" w:hAnsi="宋体" w:cs="宋体"/>
                <w:color w:val="000000"/>
                <w:kern w:val="0"/>
                <w:sz w:val="21"/>
                <w:szCs w:val="21"/>
                <w:lang w:bidi="ar"/>
              </w:rPr>
              <w:t>6</w:t>
            </w:r>
          </w:p>
        </w:tc>
        <w:tc>
          <w:tcPr>
            <w:tcW w:w="2681" w:type="dxa"/>
            <w:noWrap w:val="0"/>
            <w:vAlign w:val="center"/>
          </w:tcPr>
          <w:p w14:paraId="201F4C61">
            <w:pPr>
              <w:jc w:val="center"/>
              <w:rPr>
                <w:rFonts w:hint="eastAsia" w:ascii="宋体" w:hAnsi="宋体" w:eastAsia="宋体" w:cs="宋体"/>
                <w:kern w:val="0"/>
                <w:sz w:val="21"/>
                <w:szCs w:val="21"/>
                <w:lang w:eastAsia="zh-CN" w:bidi="ar"/>
              </w:rPr>
            </w:pPr>
            <w:r>
              <w:rPr>
                <w:rFonts w:hint="eastAsia" w:ascii="宋体" w:hAnsi="宋体" w:cs="宋体"/>
                <w:kern w:val="0"/>
                <w:sz w:val="21"/>
                <w:szCs w:val="21"/>
                <w:lang w:eastAsia="zh-CN" w:bidi="ar"/>
              </w:rPr>
              <w:t>溶血性链球菌</w:t>
            </w:r>
          </w:p>
        </w:tc>
        <w:tc>
          <w:tcPr>
            <w:tcW w:w="2587" w:type="dxa"/>
            <w:noWrap w:val="0"/>
            <w:vAlign w:val="center"/>
          </w:tcPr>
          <w:p w14:paraId="67AFB722">
            <w:pPr>
              <w:jc w:val="center"/>
              <w:rPr>
                <w:rFonts w:hint="eastAsia" w:ascii="宋体" w:hAnsi="宋体" w:cs="宋体"/>
                <w:color w:val="000000"/>
                <w:kern w:val="0"/>
                <w:sz w:val="21"/>
                <w:szCs w:val="21"/>
                <w:lang w:bidi="ar"/>
              </w:rPr>
            </w:pPr>
            <w:r>
              <w:rPr>
                <w:rFonts w:ascii="宋体" w:hAnsi="宋体" w:cs="宋体"/>
                <w:color w:val="000000"/>
                <w:kern w:val="0"/>
                <w:sz w:val="21"/>
                <w:szCs w:val="21"/>
              </w:rPr>
              <w:t>GB/T 20810-2018</w:t>
            </w:r>
          </w:p>
        </w:tc>
        <w:tc>
          <w:tcPr>
            <w:tcW w:w="3060" w:type="dxa"/>
            <w:noWrap w:val="0"/>
            <w:vAlign w:val="center"/>
          </w:tcPr>
          <w:p w14:paraId="254A5C2A">
            <w:pPr>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GB/T 20810-2018</w:t>
            </w:r>
          </w:p>
        </w:tc>
      </w:tr>
    </w:tbl>
    <w:p w14:paraId="0CD71CB2">
      <w:pPr>
        <w:keepNext w:val="0"/>
        <w:keepLines w:val="0"/>
        <w:pageBreakBefore w:val="0"/>
        <w:widowControl w:val="0"/>
        <w:kinsoku/>
        <w:wordWrap/>
        <w:overflowPunct/>
        <w:topLinePunct w:val="0"/>
        <w:autoSpaceDE/>
        <w:autoSpaceDN/>
        <w:bidi w:val="0"/>
        <w:adjustRightInd/>
        <w:snapToGrid w:val="0"/>
        <w:spacing w:line="440" w:lineRule="exact"/>
        <w:ind w:firstLine="420" w:firstLineChars="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执行企业标准、团体标准、地方标准的产品，检验项目参照上述内容执行。</w:t>
      </w:r>
    </w:p>
    <w:p w14:paraId="7C104206">
      <w:pPr>
        <w:keepNext w:val="0"/>
        <w:keepLines w:val="0"/>
        <w:pageBreakBefore w:val="0"/>
        <w:widowControl w:val="0"/>
        <w:kinsoku/>
        <w:wordWrap/>
        <w:overflowPunct/>
        <w:topLinePunct w:val="0"/>
        <w:autoSpaceDE/>
        <w:autoSpaceDN/>
        <w:bidi w:val="0"/>
        <w:adjustRightInd/>
        <w:snapToGrid w:val="0"/>
        <w:spacing w:line="440" w:lineRule="exact"/>
        <w:ind w:firstLine="420" w:firstLineChars="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凡是注日期的文件，其随后所有的修改单（不包括勘误的内容）或修订版不适用于本规范。凡是不注日期的文件，其最新版本适用于本细则。</w:t>
      </w:r>
    </w:p>
    <w:p w14:paraId="0D9CEC43">
      <w:pPr>
        <w:snapToGrid w:val="0"/>
        <w:spacing w:line="440" w:lineRule="exact"/>
        <w:rPr>
          <w:rFonts w:hint="eastAsia" w:ascii="宋体" w:hAnsi="宋体" w:eastAsia="宋体" w:cs="宋体"/>
          <w:b/>
          <w:sz w:val="21"/>
          <w:szCs w:val="21"/>
          <w:highlight w:val="none"/>
        </w:rPr>
      </w:pPr>
      <w:r>
        <w:rPr>
          <w:rFonts w:hint="eastAsia" w:ascii="宋体" w:hAnsi="宋体" w:eastAsia="宋体" w:cs="宋体"/>
          <w:b/>
          <w:sz w:val="21"/>
          <w:szCs w:val="21"/>
          <w:highlight w:val="none"/>
        </w:rPr>
        <w:t>3</w:t>
      </w:r>
      <w:r>
        <w:rPr>
          <w:rFonts w:hint="eastAsia" w:ascii="宋体" w:hAnsi="宋体" w:eastAsia="宋体" w:cs="宋体"/>
          <w:b/>
          <w:sz w:val="21"/>
          <w:szCs w:val="21"/>
          <w:highlight w:val="none"/>
          <w:lang w:val="en-US" w:eastAsia="zh-CN"/>
        </w:rPr>
        <w:t>.</w:t>
      </w:r>
      <w:r>
        <w:rPr>
          <w:rFonts w:hint="eastAsia" w:ascii="宋体" w:hAnsi="宋体" w:eastAsia="宋体" w:cs="宋体"/>
          <w:b/>
          <w:sz w:val="21"/>
          <w:szCs w:val="21"/>
          <w:highlight w:val="none"/>
        </w:rPr>
        <w:t>判定规则</w:t>
      </w:r>
    </w:p>
    <w:p w14:paraId="6C990A41">
      <w:pPr>
        <w:snapToGrid w:val="0"/>
        <w:spacing w:line="440" w:lineRule="exact"/>
        <w:rPr>
          <w:rFonts w:hint="eastAsia" w:ascii="宋体" w:hAnsi="宋体" w:eastAsia="宋体" w:cs="宋体"/>
          <w:b/>
          <w:sz w:val="21"/>
          <w:szCs w:val="21"/>
          <w:highlight w:val="none"/>
        </w:rPr>
      </w:pPr>
      <w:r>
        <w:rPr>
          <w:rFonts w:hint="eastAsia" w:ascii="宋体" w:hAnsi="宋体" w:eastAsia="宋体" w:cs="宋体"/>
          <w:b/>
          <w:sz w:val="21"/>
          <w:szCs w:val="21"/>
          <w:highlight w:val="none"/>
        </w:rPr>
        <w:t>3.1依据标准</w:t>
      </w:r>
    </w:p>
    <w:p w14:paraId="5B166AF8">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下列文件凡是注明日期的，其随后所有的修改单或修订版均不适用于本细则。凡是不注明日期的，其最新版本适用于本细则。</w:t>
      </w:r>
    </w:p>
    <w:p w14:paraId="6EF95A7F">
      <w:pPr>
        <w:snapToGrid w:val="0"/>
        <w:spacing w:line="440" w:lineRule="exact"/>
        <w:ind w:firstLine="417" w:firstLineChars="199"/>
        <w:rPr>
          <w:rFonts w:hint="eastAsia"/>
          <w:sz w:val="21"/>
          <w:szCs w:val="21"/>
        </w:rPr>
      </w:pPr>
      <w:r>
        <w:rPr>
          <w:rFonts w:ascii="宋体" w:hAnsi="宋体" w:cs="宋体"/>
          <w:color w:val="000000"/>
          <w:kern w:val="0"/>
          <w:sz w:val="21"/>
          <w:szCs w:val="21"/>
        </w:rPr>
        <w:t>GB/T 20810-2018</w:t>
      </w:r>
      <w:r>
        <w:rPr>
          <w:rFonts w:hint="eastAsia"/>
          <w:sz w:val="21"/>
          <w:szCs w:val="21"/>
        </w:rPr>
        <w:t>《卫生纸(含卫生纸原纸)》</w:t>
      </w:r>
    </w:p>
    <w:p w14:paraId="0EFF1DD0">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现行有效的企业标准、团体标准、地方标准及产品明示质量要求。</w:t>
      </w:r>
    </w:p>
    <w:p w14:paraId="596C5D74">
      <w:pPr>
        <w:snapToGrid w:val="0"/>
        <w:spacing w:line="440" w:lineRule="exact"/>
        <w:rPr>
          <w:rFonts w:hint="eastAsia" w:ascii="宋体" w:hAnsi="宋体" w:eastAsia="宋体" w:cs="宋体"/>
          <w:b/>
          <w:sz w:val="21"/>
          <w:szCs w:val="21"/>
          <w:highlight w:val="none"/>
        </w:rPr>
      </w:pPr>
      <w:r>
        <w:rPr>
          <w:rFonts w:hint="eastAsia" w:ascii="宋体" w:hAnsi="宋体" w:eastAsia="宋体" w:cs="宋体"/>
          <w:b/>
          <w:sz w:val="21"/>
          <w:szCs w:val="21"/>
          <w:highlight w:val="none"/>
        </w:rPr>
        <w:t>3.2 判定原则</w:t>
      </w:r>
    </w:p>
    <w:p w14:paraId="66236638">
      <w:pPr>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经</w:t>
      </w:r>
      <w:r>
        <w:rPr>
          <w:rFonts w:hint="eastAsia" w:ascii="宋体" w:hAnsi="宋体" w:eastAsia="宋体" w:cs="宋体"/>
          <w:color w:val="000000"/>
          <w:sz w:val="21"/>
          <w:szCs w:val="21"/>
        </w:rPr>
        <w:t>检验，检验项目全部合格，判定为被抽查产品所检项目未发现不合格；检验项目中任一项或一项以上不合格，判定为被抽查产品不合格。</w:t>
      </w:r>
    </w:p>
    <w:p w14:paraId="07AB3602">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若被检产品明示的质量要求高于本细则中检验项目依据的标准要求时，应按被检产品明示的质量要求判定。</w:t>
      </w:r>
    </w:p>
    <w:p w14:paraId="23A61B45">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若被检产品明示的质量要求低于本细则中检验项目依据的强制性标准要求时，应按照强制性标准要求判定。</w:t>
      </w:r>
    </w:p>
    <w:p w14:paraId="292AE07A">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若被检产品明示的质量要求低于或包含本细则中检验项目依据的推荐性标准要求时，应以被检产品明示的质量要求判定。</w:t>
      </w:r>
    </w:p>
    <w:p w14:paraId="74D6D12C">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若被检产品明示的质量要求缺少本细则中检验项目依据的强制性标准要求时，应按照强制性标准要求判定。</w:t>
      </w:r>
    </w:p>
    <w:p w14:paraId="2749D156">
      <w:pPr>
        <w:snapToGrid w:val="0"/>
        <w:spacing w:line="440" w:lineRule="exact"/>
        <w:ind w:firstLine="417" w:firstLineChars="199"/>
        <w:rPr>
          <w:rFonts w:hint="eastAsia" w:ascii="宋体" w:hAnsi="宋体" w:eastAsia="宋体" w:cs="宋体"/>
          <w:color w:val="000000"/>
          <w:sz w:val="21"/>
          <w:szCs w:val="21"/>
          <w:highlight w:val="none"/>
        </w:rPr>
      </w:pPr>
      <w:r>
        <w:rPr>
          <w:rFonts w:hint="eastAsia" w:ascii="宋体" w:hAnsi="宋体" w:eastAsia="宋体" w:cs="宋体"/>
          <w:color w:val="000000"/>
          <w:sz w:val="21"/>
          <w:szCs w:val="21"/>
        </w:rPr>
        <w:t>若被检产品明示的质量要求缺少本细则中检验项目依据的推荐性标准要求时，该项目不参与判定。</w:t>
      </w:r>
    </w:p>
    <w:sectPr>
      <w:footerReference r:id="rId3" w:type="default"/>
      <w:footerReference r:id="rId4" w:type="even"/>
      <w:pgSz w:w="11906" w:h="16838"/>
      <w:pgMar w:top="1440" w:right="1803" w:bottom="1440" w:left="1803"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85E68EAB-39DC-4476-B4A1-993D9E9EDB17}"/>
  </w:font>
  <w:font w:name="仿宋_GB2312">
    <w:altName w:val="仿宋"/>
    <w:panose1 w:val="02010609030101010101"/>
    <w:charset w:val="86"/>
    <w:family w:val="modern"/>
    <w:pitch w:val="default"/>
    <w:sig w:usb0="00000000" w:usb1="00000000" w:usb2="00000000" w:usb3="00000000" w:csb0="00040000" w:csb1="00000000"/>
  </w:font>
  <w:font w:name="Sim Sun">
    <w:altName w:val="宋体"/>
    <w:panose1 w:val="00000000000000000000"/>
    <w:charset w:val="86"/>
    <w:family w:val="swiss"/>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8EEA7">
    <w:pPr>
      <w:pStyle w:val="3"/>
      <w:framePr w:wrap="around" w:vAnchor="text" w:hAnchor="margin" w:xAlign="center" w:y="1"/>
      <w:rPr>
        <w:rStyle w:val="8"/>
      </w:rPr>
    </w:pPr>
    <w:r>
      <w:rPr>
        <w:rStyle w:val="8"/>
      </w:rPr>
      <w:fldChar w:fldCharType="begin"/>
    </w:r>
    <w:r>
      <w:rPr>
        <w:rStyle w:val="8"/>
      </w:rPr>
      <w:instrText xml:space="preserve">PAGE  </w:instrText>
    </w:r>
    <w:r>
      <w:rPr>
        <w:rStyle w:val="8"/>
      </w:rPr>
      <w:fldChar w:fldCharType="separate"/>
    </w:r>
    <w:r>
      <w:rPr>
        <w:rStyle w:val="8"/>
      </w:rPr>
      <w:t>1</w:t>
    </w:r>
    <w:r>
      <w:rPr>
        <w:rStyle w:val="8"/>
      </w:rPr>
      <w:fldChar w:fldCharType="end"/>
    </w:r>
  </w:p>
  <w:p w14:paraId="4F61BEE5">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45EC1">
    <w:pPr>
      <w:pStyle w:val="3"/>
      <w:framePr w:wrap="around" w:vAnchor="text" w:hAnchor="margin" w:xAlign="center" w:y="1"/>
      <w:rPr>
        <w:rStyle w:val="8"/>
      </w:rPr>
    </w:pPr>
    <w:r>
      <w:rPr>
        <w:rStyle w:val="8"/>
      </w:rPr>
      <w:fldChar w:fldCharType="begin"/>
    </w:r>
    <w:r>
      <w:rPr>
        <w:rStyle w:val="8"/>
      </w:rPr>
      <w:instrText xml:space="preserve">PAGE  </w:instrText>
    </w:r>
    <w:r>
      <w:rPr>
        <w:rStyle w:val="8"/>
      </w:rPr>
      <w:fldChar w:fldCharType="end"/>
    </w:r>
  </w:p>
  <w:p w14:paraId="2395A457">
    <w:pPr>
      <w:pStyle w:val="3"/>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VhYTExOTI3ZGJhYmUxZWY5OTFjNzM4MDYyZGIyZDUifQ=="/>
  </w:docVars>
  <w:rsids>
    <w:rsidRoot w:val="00172A27"/>
    <w:rsid w:val="00012B0D"/>
    <w:rsid w:val="00025697"/>
    <w:rsid w:val="0004415E"/>
    <w:rsid w:val="00064A51"/>
    <w:rsid w:val="00160A81"/>
    <w:rsid w:val="00172A27"/>
    <w:rsid w:val="00186314"/>
    <w:rsid w:val="001B7DE6"/>
    <w:rsid w:val="001C444C"/>
    <w:rsid w:val="001F0EA8"/>
    <w:rsid w:val="001F5715"/>
    <w:rsid w:val="00206AFC"/>
    <w:rsid w:val="00213D44"/>
    <w:rsid w:val="002448CB"/>
    <w:rsid w:val="002A7CB8"/>
    <w:rsid w:val="003932D3"/>
    <w:rsid w:val="003E1F22"/>
    <w:rsid w:val="004710E5"/>
    <w:rsid w:val="00473E30"/>
    <w:rsid w:val="00493E98"/>
    <w:rsid w:val="004B7699"/>
    <w:rsid w:val="004C5730"/>
    <w:rsid w:val="004E1763"/>
    <w:rsid w:val="00540196"/>
    <w:rsid w:val="005708F4"/>
    <w:rsid w:val="0057097D"/>
    <w:rsid w:val="00583487"/>
    <w:rsid w:val="0061001F"/>
    <w:rsid w:val="00612F8D"/>
    <w:rsid w:val="00641999"/>
    <w:rsid w:val="00713BAB"/>
    <w:rsid w:val="007E2A33"/>
    <w:rsid w:val="007E75E8"/>
    <w:rsid w:val="00886D2D"/>
    <w:rsid w:val="00897941"/>
    <w:rsid w:val="008A67F4"/>
    <w:rsid w:val="008E2AA3"/>
    <w:rsid w:val="008F41FD"/>
    <w:rsid w:val="0092374C"/>
    <w:rsid w:val="00981B6F"/>
    <w:rsid w:val="009F62A2"/>
    <w:rsid w:val="00A0073C"/>
    <w:rsid w:val="00A109DC"/>
    <w:rsid w:val="00A9797D"/>
    <w:rsid w:val="00AC1025"/>
    <w:rsid w:val="00AC57F3"/>
    <w:rsid w:val="00B35A12"/>
    <w:rsid w:val="00B762BE"/>
    <w:rsid w:val="00B96F12"/>
    <w:rsid w:val="00BF77C3"/>
    <w:rsid w:val="00C343D9"/>
    <w:rsid w:val="00C84E5A"/>
    <w:rsid w:val="00CF7CFC"/>
    <w:rsid w:val="00D06481"/>
    <w:rsid w:val="00DD51A4"/>
    <w:rsid w:val="00E15AFC"/>
    <w:rsid w:val="00F27BB4"/>
    <w:rsid w:val="00F81988"/>
    <w:rsid w:val="00F9662F"/>
    <w:rsid w:val="00F97675"/>
    <w:rsid w:val="00FC0E01"/>
    <w:rsid w:val="01DE1F2F"/>
    <w:rsid w:val="05E72587"/>
    <w:rsid w:val="065C5FD3"/>
    <w:rsid w:val="07280338"/>
    <w:rsid w:val="077A3CEC"/>
    <w:rsid w:val="094445B2"/>
    <w:rsid w:val="0BBC5900"/>
    <w:rsid w:val="0BD31F12"/>
    <w:rsid w:val="0DCD315E"/>
    <w:rsid w:val="0EC46D35"/>
    <w:rsid w:val="0FB56AC3"/>
    <w:rsid w:val="0FCF40FE"/>
    <w:rsid w:val="132F2114"/>
    <w:rsid w:val="15A77B14"/>
    <w:rsid w:val="19596F42"/>
    <w:rsid w:val="1A635C3D"/>
    <w:rsid w:val="1A7252CF"/>
    <w:rsid w:val="1AA328E6"/>
    <w:rsid w:val="1DC721AF"/>
    <w:rsid w:val="1EF90C18"/>
    <w:rsid w:val="1F8606F7"/>
    <w:rsid w:val="224E236C"/>
    <w:rsid w:val="23284114"/>
    <w:rsid w:val="24165CAC"/>
    <w:rsid w:val="264D053E"/>
    <w:rsid w:val="275845E3"/>
    <w:rsid w:val="2809530D"/>
    <w:rsid w:val="28771609"/>
    <w:rsid w:val="289E74C8"/>
    <w:rsid w:val="28A5355D"/>
    <w:rsid w:val="2C036AB3"/>
    <w:rsid w:val="2C803B90"/>
    <w:rsid w:val="31A21D73"/>
    <w:rsid w:val="325269CF"/>
    <w:rsid w:val="34D87A93"/>
    <w:rsid w:val="34DE4287"/>
    <w:rsid w:val="355E6877"/>
    <w:rsid w:val="35F40F8A"/>
    <w:rsid w:val="39487007"/>
    <w:rsid w:val="3D3433C6"/>
    <w:rsid w:val="3D6949CB"/>
    <w:rsid w:val="3DE84D67"/>
    <w:rsid w:val="3E613D17"/>
    <w:rsid w:val="47CA2A58"/>
    <w:rsid w:val="48096DEF"/>
    <w:rsid w:val="48482AF2"/>
    <w:rsid w:val="4AA7341E"/>
    <w:rsid w:val="4D8A6527"/>
    <w:rsid w:val="4DC0189A"/>
    <w:rsid w:val="52101A58"/>
    <w:rsid w:val="521F5647"/>
    <w:rsid w:val="52C6632C"/>
    <w:rsid w:val="52D90E94"/>
    <w:rsid w:val="55C65767"/>
    <w:rsid w:val="57B161EC"/>
    <w:rsid w:val="584D65AC"/>
    <w:rsid w:val="589A00DE"/>
    <w:rsid w:val="598633F7"/>
    <w:rsid w:val="5BD67257"/>
    <w:rsid w:val="5BEC463A"/>
    <w:rsid w:val="605817D3"/>
    <w:rsid w:val="608B0F41"/>
    <w:rsid w:val="60EF2F4E"/>
    <w:rsid w:val="60F3411E"/>
    <w:rsid w:val="61691F7C"/>
    <w:rsid w:val="65F7277D"/>
    <w:rsid w:val="66214BD3"/>
    <w:rsid w:val="6A40796B"/>
    <w:rsid w:val="6B7E7A20"/>
    <w:rsid w:val="6D290EA3"/>
    <w:rsid w:val="6F241291"/>
    <w:rsid w:val="700759C5"/>
    <w:rsid w:val="70D94A29"/>
    <w:rsid w:val="74143FCA"/>
    <w:rsid w:val="755A447C"/>
    <w:rsid w:val="7677439C"/>
    <w:rsid w:val="76B72D03"/>
    <w:rsid w:val="78FE27F1"/>
    <w:rsid w:val="791D05B3"/>
    <w:rsid w:val="7A375522"/>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99"/>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qFormat/>
    <w:uiPriority w:val="99"/>
    <w:rPr>
      <w:sz w:val="18"/>
      <w:szCs w:val="18"/>
    </w:rPr>
  </w:style>
  <w:style w:type="paragraph" w:styleId="3">
    <w:name w:val="footer"/>
    <w:basedOn w:val="1"/>
    <w:link w:val="10"/>
    <w:qFormat/>
    <w:uiPriority w:val="99"/>
    <w:pPr>
      <w:tabs>
        <w:tab w:val="center" w:pos="4153"/>
        <w:tab w:val="right" w:pos="8306"/>
      </w:tabs>
      <w:snapToGrid w:val="0"/>
      <w:jc w:val="left"/>
    </w:pPr>
    <w:rPr>
      <w:sz w:val="18"/>
      <w:szCs w:val="18"/>
    </w:rPr>
  </w:style>
  <w:style w:type="paragraph" w:styleId="4">
    <w:name w:val="header"/>
    <w:basedOn w:val="1"/>
    <w:link w:val="11"/>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qFormat/>
    <w:uiPriority w:val="99"/>
    <w:rPr>
      <w:rFonts w:cs="Times New Roman"/>
    </w:rPr>
  </w:style>
  <w:style w:type="character" w:customStyle="1" w:styleId="9">
    <w:name w:val="Balloon Text Char"/>
    <w:basedOn w:val="7"/>
    <w:link w:val="2"/>
    <w:semiHidden/>
    <w:qFormat/>
    <w:locked/>
    <w:uiPriority w:val="99"/>
    <w:rPr>
      <w:rFonts w:ascii="Times New Roman" w:hAnsi="Times New Roman" w:cs="Times New Roman"/>
      <w:kern w:val="2"/>
      <w:sz w:val="18"/>
      <w:szCs w:val="18"/>
    </w:rPr>
  </w:style>
  <w:style w:type="character" w:customStyle="1" w:styleId="10">
    <w:name w:val="Footer Char"/>
    <w:basedOn w:val="7"/>
    <w:link w:val="3"/>
    <w:semiHidden/>
    <w:qFormat/>
    <w:locked/>
    <w:uiPriority w:val="99"/>
    <w:rPr>
      <w:rFonts w:ascii="Times New Roman" w:hAnsi="Times New Roman" w:cs="Times New Roman"/>
      <w:sz w:val="18"/>
      <w:szCs w:val="18"/>
    </w:rPr>
  </w:style>
  <w:style w:type="character" w:customStyle="1" w:styleId="11">
    <w:name w:val="Header Char"/>
    <w:basedOn w:val="7"/>
    <w:link w:val="4"/>
    <w:qFormat/>
    <w:locked/>
    <w:uiPriority w:val="99"/>
    <w:rPr>
      <w:rFonts w:ascii="Times New Roman" w:hAnsi="Times New Roman" w:eastAsia="宋体" w:cs="Times New Roman"/>
      <w:kern w:val="2"/>
      <w:sz w:val="18"/>
      <w:szCs w:val="18"/>
    </w:rPr>
  </w:style>
  <w:style w:type="paragraph" w:customStyle="1" w:styleId="12">
    <w:name w:val="表格内容"/>
    <w:basedOn w:val="1"/>
    <w:qFormat/>
    <w:uiPriority w:val="99"/>
    <w:pPr>
      <w:snapToGrid w:val="0"/>
      <w:spacing w:line="320" w:lineRule="exact"/>
      <w:jc w:val="center"/>
    </w:pPr>
    <w:rPr>
      <w:rFonts w:ascii="仿宋_GB2312" w:hAnsi="Calibri" w:eastAsia="仿宋_GB2312" w:cs="Sim Sun"/>
      <w:kern w:val="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Company>Kingsoft</Company>
  <Pages>2</Pages>
  <Words>781</Words>
  <Characters>958</Characters>
  <Lines>0</Lines>
  <Paragraphs>0</Paragraphs>
  <TotalTime>85</TotalTime>
  <ScaleCrop>false</ScaleCrop>
  <LinksUpToDate>false</LinksUpToDate>
  <CharactersWithSpaces>974</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2021-11-11T01:50:00Z</dcterms:created>
  <dc:creator>陈林茂</dc:creator>
  <cp:lastModifiedBy>weiy1ng</cp:lastModifiedBy>
  <dcterms:modified xsi:type="dcterms:W3CDTF">2025-06-20T10:23:17Z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DADD067EFD864CA49078964D3252640B_13</vt:lpwstr>
  </property>
  <property fmtid="{D5CDD505-2E9C-101B-9397-08002B2CF9AE}" pid="4" name="KSOTemplateDocerSaveRecord">
    <vt:lpwstr>eyJoZGlkIjoiZDRjNTI1MjFiZDYzM2Q0YjIwNzE0NTkzNGNlZGZjMTkiLCJ1c2VySWQiOiIyNDQ1OTgwODEifQ==</vt:lpwstr>
  </property>
</Properties>
</file>