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445EB">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r>
        <w:rPr>
          <w:rFonts w:hint="eastAsia" w:ascii="宋体" w:hAnsi="宋体" w:eastAsia="宋体" w:cs="宋体"/>
          <w:b/>
          <w:bCs/>
          <w:color w:val="000000"/>
          <w:sz w:val="36"/>
          <w:szCs w:val="36"/>
          <w:lang w:eastAsia="zh-CN"/>
        </w:rPr>
        <w:t>南昌市计算机（台式、便携式）产品质量监督抽查</w:t>
      </w:r>
    </w:p>
    <w:p w14:paraId="060E79BA">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r>
        <w:rPr>
          <w:rFonts w:hint="eastAsia" w:ascii="宋体" w:hAnsi="宋体" w:eastAsia="宋体" w:cs="宋体"/>
          <w:b/>
          <w:bCs/>
          <w:color w:val="000000"/>
          <w:sz w:val="36"/>
          <w:szCs w:val="36"/>
          <w:lang w:eastAsia="zh-CN"/>
        </w:rPr>
        <w:t>实施细则（2025年版）</w:t>
      </w:r>
    </w:p>
    <w:p w14:paraId="74609455">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1.抽样方法</w:t>
      </w:r>
    </w:p>
    <w:p w14:paraId="382770D3">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以随机抽样的方式在被抽样生产者、销售者的待销产品中抽取。</w:t>
      </w:r>
      <w:bookmarkStart w:id="0" w:name="_GoBack"/>
      <w:bookmarkEnd w:id="0"/>
    </w:p>
    <w:p w14:paraId="5C201083">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随机数一般可使用随机数表等方法产生。</w:t>
      </w:r>
    </w:p>
    <w:p w14:paraId="552664D4">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抽样数量2台，1台为检验样品，另1台为备用样品。</w:t>
      </w:r>
    </w:p>
    <w:p w14:paraId="3CF700CB">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2.检验依据</w:t>
      </w:r>
    </w:p>
    <w:p w14:paraId="6AE6352C">
      <w:pPr>
        <w:snapToGrid w:val="0"/>
        <w:spacing w:line="440" w:lineRule="exact"/>
        <w:jc w:val="center"/>
        <w:rPr>
          <w:rFonts w:hint="eastAsia" w:ascii="宋体" w:hAnsi="宋体" w:eastAsia="宋体" w:cs="宋体"/>
          <w:bCs/>
          <w:sz w:val="21"/>
          <w:szCs w:val="21"/>
        </w:rPr>
      </w:pPr>
      <w:r>
        <w:rPr>
          <w:rFonts w:hint="eastAsia" w:ascii="宋体" w:hAnsi="宋体" w:eastAsia="宋体" w:cs="宋体"/>
          <w:bCs/>
          <w:sz w:val="21"/>
          <w:szCs w:val="21"/>
        </w:rPr>
        <w:t>表1 计算机（台式、便携式）产品检验依据</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
        <w:gridCol w:w="3611"/>
        <w:gridCol w:w="3931"/>
      </w:tblGrid>
      <w:tr w14:paraId="5CC0A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vAlign w:val="center"/>
          </w:tcPr>
          <w:p w14:paraId="1C92D97D">
            <w:pPr>
              <w:snapToGrid w:val="0"/>
              <w:jc w:val="center"/>
              <w:rPr>
                <w:rFonts w:hint="eastAsia" w:ascii="宋体" w:hAnsi="宋体" w:eastAsia="宋体" w:cs="宋体"/>
                <w:sz w:val="21"/>
                <w:szCs w:val="21"/>
              </w:rPr>
            </w:pPr>
            <w:r>
              <w:rPr>
                <w:rFonts w:hint="eastAsia" w:ascii="宋体" w:hAnsi="宋体" w:eastAsia="宋体" w:cs="宋体"/>
                <w:sz w:val="21"/>
                <w:szCs w:val="21"/>
              </w:rPr>
              <w:t>序号</w:t>
            </w:r>
          </w:p>
        </w:tc>
        <w:tc>
          <w:tcPr>
            <w:tcW w:w="2120" w:type="pct"/>
            <w:tcBorders>
              <w:left w:val="nil"/>
            </w:tcBorders>
            <w:vAlign w:val="center"/>
          </w:tcPr>
          <w:p w14:paraId="48AE57AB">
            <w:pPr>
              <w:snapToGrid w:val="0"/>
              <w:jc w:val="center"/>
              <w:rPr>
                <w:rFonts w:hint="eastAsia" w:ascii="宋体" w:hAnsi="宋体" w:eastAsia="宋体" w:cs="宋体"/>
                <w:sz w:val="21"/>
                <w:szCs w:val="21"/>
              </w:rPr>
            </w:pPr>
            <w:r>
              <w:rPr>
                <w:rFonts w:hint="eastAsia" w:ascii="宋体" w:hAnsi="宋体" w:eastAsia="宋体" w:cs="宋体"/>
                <w:sz w:val="21"/>
                <w:szCs w:val="21"/>
              </w:rPr>
              <w:t>检验项目</w:t>
            </w:r>
          </w:p>
        </w:tc>
        <w:tc>
          <w:tcPr>
            <w:tcW w:w="2308" w:type="pct"/>
            <w:tcBorders>
              <w:left w:val="nil"/>
            </w:tcBorders>
            <w:vAlign w:val="center"/>
          </w:tcPr>
          <w:p w14:paraId="63660AFE">
            <w:pPr>
              <w:snapToGrid w:val="0"/>
              <w:jc w:val="center"/>
              <w:rPr>
                <w:rFonts w:hint="eastAsia" w:ascii="宋体" w:hAnsi="宋体" w:eastAsia="宋体" w:cs="宋体"/>
                <w:sz w:val="21"/>
                <w:szCs w:val="21"/>
              </w:rPr>
            </w:pPr>
            <w:r>
              <w:rPr>
                <w:rFonts w:hint="eastAsia" w:ascii="宋体" w:hAnsi="宋体" w:eastAsia="宋体" w:cs="宋体"/>
                <w:sz w:val="21"/>
                <w:szCs w:val="21"/>
              </w:rPr>
              <w:t>检验方法</w:t>
            </w:r>
          </w:p>
        </w:tc>
      </w:tr>
      <w:tr w14:paraId="7255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tcPr>
          <w:p w14:paraId="65699C90">
            <w:pPr>
              <w:snapToGrid w:val="0"/>
              <w:jc w:val="center"/>
              <w:rPr>
                <w:rFonts w:hint="eastAsia" w:ascii="宋体" w:hAnsi="宋体" w:eastAsia="宋体" w:cs="宋体"/>
                <w:sz w:val="21"/>
                <w:szCs w:val="21"/>
              </w:rPr>
            </w:pPr>
            <w:r>
              <w:rPr>
                <w:rFonts w:ascii="宋体" w:hAnsi="宋体" w:eastAsia="宋体" w:cs="宋体"/>
                <w:sz w:val="21"/>
                <w:szCs w:val="21"/>
              </w:rPr>
              <w:t>1</w:t>
            </w:r>
          </w:p>
        </w:tc>
        <w:tc>
          <w:tcPr>
            <w:tcW w:w="2120" w:type="pct"/>
            <w:tcBorders>
              <w:top w:val="single" w:color="auto" w:sz="4" w:space="0"/>
              <w:left w:val="single" w:color="auto" w:sz="4" w:space="0"/>
              <w:bottom w:val="single" w:color="auto" w:sz="4" w:space="0"/>
              <w:right w:val="single" w:color="auto" w:sz="4" w:space="0"/>
            </w:tcBorders>
            <w:vAlign w:val="center"/>
          </w:tcPr>
          <w:p w14:paraId="1FA82970">
            <w:pPr>
              <w:snapToGrid w:val="0"/>
              <w:jc w:val="center"/>
              <w:rPr>
                <w:rFonts w:hint="eastAsia" w:ascii="宋体" w:hAnsi="宋体" w:eastAsia="宋体" w:cs="宋体"/>
                <w:sz w:val="21"/>
                <w:szCs w:val="21"/>
              </w:rPr>
            </w:pPr>
            <w:r>
              <w:rPr>
                <w:rFonts w:hint="eastAsia" w:ascii="宋体" w:hAnsi="宋体" w:eastAsia="宋体" w:cs="宋体"/>
                <w:sz w:val="21"/>
                <w:szCs w:val="21"/>
              </w:rPr>
              <w:t>电气间隙</w:t>
            </w:r>
          </w:p>
        </w:tc>
        <w:tc>
          <w:tcPr>
            <w:tcW w:w="2308" w:type="pct"/>
            <w:tcBorders>
              <w:top w:val="single" w:color="auto" w:sz="4" w:space="0"/>
              <w:left w:val="single" w:color="auto" w:sz="4" w:space="0"/>
              <w:bottom w:val="single" w:color="auto" w:sz="4" w:space="0"/>
              <w:right w:val="single" w:color="auto" w:sz="4" w:space="0"/>
            </w:tcBorders>
            <w:vAlign w:val="center"/>
          </w:tcPr>
          <w:p w14:paraId="114A8176">
            <w:pPr>
              <w:snapToGrid w:val="0"/>
              <w:jc w:val="center"/>
              <w:rPr>
                <w:rFonts w:eastAsia="宋体"/>
                <w:sz w:val="21"/>
                <w:szCs w:val="21"/>
              </w:rPr>
            </w:pPr>
            <w:r>
              <w:rPr>
                <w:rFonts w:eastAsia="宋体"/>
                <w:sz w:val="21"/>
                <w:szCs w:val="21"/>
              </w:rPr>
              <w:t>GB 4943.1—2022</w:t>
            </w:r>
          </w:p>
        </w:tc>
      </w:tr>
      <w:tr w14:paraId="1749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vAlign w:val="center"/>
          </w:tcPr>
          <w:p w14:paraId="4BD91FBA">
            <w:pPr>
              <w:snapToGrid w:val="0"/>
              <w:jc w:val="center"/>
              <w:rPr>
                <w:rFonts w:hint="eastAsia" w:ascii="宋体" w:hAnsi="宋体" w:eastAsia="宋体" w:cs="宋体"/>
                <w:sz w:val="21"/>
                <w:szCs w:val="21"/>
              </w:rPr>
            </w:pPr>
            <w:r>
              <w:rPr>
                <w:rFonts w:hint="eastAsia" w:ascii="宋体" w:hAnsi="宋体" w:eastAsia="宋体" w:cs="宋体"/>
                <w:sz w:val="21"/>
                <w:szCs w:val="21"/>
              </w:rPr>
              <w:t>2</w:t>
            </w:r>
          </w:p>
        </w:tc>
        <w:tc>
          <w:tcPr>
            <w:tcW w:w="2120" w:type="pct"/>
            <w:tcBorders>
              <w:top w:val="single" w:color="auto" w:sz="4" w:space="0"/>
              <w:left w:val="single" w:color="auto" w:sz="4" w:space="0"/>
              <w:bottom w:val="single" w:color="auto" w:sz="4" w:space="0"/>
              <w:right w:val="single" w:color="auto" w:sz="4" w:space="0"/>
            </w:tcBorders>
            <w:vAlign w:val="center"/>
          </w:tcPr>
          <w:p w14:paraId="63A2F8D0">
            <w:pPr>
              <w:snapToGrid w:val="0"/>
              <w:jc w:val="center"/>
              <w:rPr>
                <w:rFonts w:hint="eastAsia" w:ascii="宋体" w:hAnsi="宋体" w:eastAsia="宋体" w:cs="宋体"/>
                <w:sz w:val="21"/>
                <w:szCs w:val="21"/>
              </w:rPr>
            </w:pPr>
            <w:r>
              <w:rPr>
                <w:rFonts w:hint="eastAsia" w:ascii="宋体" w:hAnsi="宋体" w:eastAsia="宋体" w:cs="宋体"/>
                <w:sz w:val="21"/>
                <w:szCs w:val="21"/>
              </w:rPr>
              <w:t>爬电距离</w:t>
            </w:r>
          </w:p>
        </w:tc>
        <w:tc>
          <w:tcPr>
            <w:tcW w:w="2308" w:type="pct"/>
            <w:tcBorders>
              <w:top w:val="single" w:color="auto" w:sz="4" w:space="0"/>
              <w:left w:val="single" w:color="auto" w:sz="4" w:space="0"/>
              <w:bottom w:val="single" w:color="auto" w:sz="4" w:space="0"/>
              <w:right w:val="single" w:color="auto" w:sz="4" w:space="0"/>
            </w:tcBorders>
            <w:vAlign w:val="center"/>
          </w:tcPr>
          <w:p w14:paraId="7E302005">
            <w:pPr>
              <w:snapToGrid w:val="0"/>
              <w:jc w:val="center"/>
              <w:rPr>
                <w:rFonts w:eastAsia="宋体"/>
                <w:sz w:val="21"/>
                <w:szCs w:val="21"/>
              </w:rPr>
            </w:pPr>
            <w:r>
              <w:rPr>
                <w:rFonts w:eastAsia="宋体"/>
                <w:sz w:val="21"/>
                <w:szCs w:val="21"/>
              </w:rPr>
              <w:t>GB 4943.1—2022</w:t>
            </w:r>
          </w:p>
        </w:tc>
      </w:tr>
      <w:tr w14:paraId="11C8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vAlign w:val="center"/>
          </w:tcPr>
          <w:p w14:paraId="75CA27FD">
            <w:pPr>
              <w:snapToGrid w:val="0"/>
              <w:jc w:val="center"/>
              <w:rPr>
                <w:rFonts w:hint="eastAsia" w:ascii="宋体" w:hAnsi="宋体" w:eastAsia="宋体" w:cs="宋体"/>
                <w:sz w:val="21"/>
                <w:szCs w:val="21"/>
              </w:rPr>
            </w:pPr>
            <w:r>
              <w:rPr>
                <w:rFonts w:hint="eastAsia" w:ascii="宋体" w:hAnsi="宋体" w:eastAsia="宋体" w:cs="宋体"/>
                <w:sz w:val="21"/>
                <w:szCs w:val="21"/>
              </w:rPr>
              <w:t>3</w:t>
            </w:r>
          </w:p>
        </w:tc>
        <w:tc>
          <w:tcPr>
            <w:tcW w:w="2120" w:type="pct"/>
            <w:tcBorders>
              <w:top w:val="single" w:color="auto" w:sz="4" w:space="0"/>
              <w:left w:val="single" w:color="auto" w:sz="4" w:space="0"/>
              <w:bottom w:val="single" w:color="auto" w:sz="4" w:space="0"/>
              <w:right w:val="single" w:color="auto" w:sz="4" w:space="0"/>
            </w:tcBorders>
            <w:vAlign w:val="center"/>
          </w:tcPr>
          <w:p w14:paraId="676D1D94">
            <w:pPr>
              <w:snapToGrid w:val="0"/>
              <w:jc w:val="center"/>
              <w:rPr>
                <w:rFonts w:hint="eastAsia" w:ascii="宋体" w:hAnsi="宋体" w:eastAsia="宋体" w:cs="宋体"/>
                <w:sz w:val="21"/>
                <w:szCs w:val="21"/>
              </w:rPr>
            </w:pPr>
            <w:r>
              <w:rPr>
                <w:rFonts w:hint="eastAsia" w:ascii="宋体" w:hAnsi="宋体" w:eastAsia="宋体" w:cs="宋体"/>
                <w:sz w:val="21"/>
                <w:szCs w:val="21"/>
              </w:rPr>
              <w:t>断开连接器后电容器的放电</w:t>
            </w:r>
          </w:p>
        </w:tc>
        <w:tc>
          <w:tcPr>
            <w:tcW w:w="2308" w:type="pct"/>
            <w:tcBorders>
              <w:top w:val="single" w:color="auto" w:sz="4" w:space="0"/>
              <w:left w:val="single" w:color="auto" w:sz="4" w:space="0"/>
              <w:bottom w:val="single" w:color="auto" w:sz="4" w:space="0"/>
              <w:right w:val="single" w:color="auto" w:sz="4" w:space="0"/>
            </w:tcBorders>
            <w:vAlign w:val="center"/>
          </w:tcPr>
          <w:p w14:paraId="60149C97">
            <w:pPr>
              <w:snapToGrid w:val="0"/>
              <w:jc w:val="center"/>
              <w:rPr>
                <w:rFonts w:eastAsia="宋体"/>
                <w:sz w:val="21"/>
                <w:szCs w:val="21"/>
              </w:rPr>
            </w:pPr>
            <w:r>
              <w:rPr>
                <w:rFonts w:eastAsia="宋体"/>
                <w:sz w:val="21"/>
                <w:szCs w:val="21"/>
              </w:rPr>
              <w:t>GB 4943.1—2022</w:t>
            </w:r>
          </w:p>
        </w:tc>
      </w:tr>
      <w:tr w14:paraId="4EDB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vAlign w:val="center"/>
          </w:tcPr>
          <w:p w14:paraId="4B63B414">
            <w:pPr>
              <w:snapToGrid w:val="0"/>
              <w:jc w:val="center"/>
              <w:rPr>
                <w:rFonts w:hint="eastAsia" w:ascii="宋体" w:hAnsi="宋体" w:eastAsia="宋体" w:cs="宋体"/>
                <w:sz w:val="21"/>
                <w:szCs w:val="21"/>
              </w:rPr>
            </w:pPr>
            <w:r>
              <w:rPr>
                <w:rFonts w:hint="eastAsia" w:ascii="宋体" w:hAnsi="宋体" w:eastAsia="宋体" w:cs="宋体"/>
                <w:sz w:val="21"/>
                <w:szCs w:val="21"/>
              </w:rPr>
              <w:t>4</w:t>
            </w:r>
          </w:p>
        </w:tc>
        <w:tc>
          <w:tcPr>
            <w:tcW w:w="2120" w:type="pct"/>
            <w:tcBorders>
              <w:top w:val="single" w:color="auto" w:sz="4" w:space="0"/>
              <w:left w:val="single" w:color="auto" w:sz="4" w:space="0"/>
              <w:bottom w:val="single" w:color="auto" w:sz="4" w:space="0"/>
              <w:right w:val="single" w:color="auto" w:sz="4" w:space="0"/>
            </w:tcBorders>
            <w:vAlign w:val="center"/>
          </w:tcPr>
          <w:p w14:paraId="4B004712">
            <w:pPr>
              <w:snapToGrid w:val="0"/>
              <w:jc w:val="center"/>
              <w:rPr>
                <w:rFonts w:hint="eastAsia" w:ascii="宋体" w:hAnsi="宋体" w:eastAsia="宋体" w:cs="宋体"/>
                <w:sz w:val="21"/>
                <w:szCs w:val="21"/>
              </w:rPr>
            </w:pPr>
            <w:r>
              <w:rPr>
                <w:rFonts w:hint="eastAsia" w:ascii="宋体" w:hAnsi="宋体" w:eastAsia="宋体" w:cs="宋体"/>
                <w:sz w:val="21"/>
                <w:szCs w:val="21"/>
              </w:rPr>
              <w:t>设备标志</w:t>
            </w:r>
          </w:p>
        </w:tc>
        <w:tc>
          <w:tcPr>
            <w:tcW w:w="2308" w:type="pct"/>
            <w:tcBorders>
              <w:top w:val="single" w:color="auto" w:sz="4" w:space="0"/>
              <w:left w:val="single" w:color="auto" w:sz="4" w:space="0"/>
              <w:bottom w:val="single" w:color="auto" w:sz="4" w:space="0"/>
              <w:right w:val="single" w:color="auto" w:sz="4" w:space="0"/>
            </w:tcBorders>
            <w:vAlign w:val="center"/>
          </w:tcPr>
          <w:p w14:paraId="64B35547">
            <w:pPr>
              <w:snapToGrid w:val="0"/>
              <w:jc w:val="center"/>
              <w:rPr>
                <w:rFonts w:eastAsia="宋体"/>
                <w:sz w:val="21"/>
                <w:szCs w:val="21"/>
              </w:rPr>
            </w:pPr>
            <w:r>
              <w:rPr>
                <w:rFonts w:eastAsia="宋体"/>
                <w:sz w:val="21"/>
                <w:szCs w:val="21"/>
              </w:rPr>
              <w:t>GB 4943.1—2022</w:t>
            </w:r>
          </w:p>
        </w:tc>
      </w:tr>
      <w:tr w14:paraId="654D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tcPr>
          <w:p w14:paraId="54D23018">
            <w:pPr>
              <w:snapToGrid w:val="0"/>
              <w:jc w:val="center"/>
              <w:rPr>
                <w:rFonts w:hint="eastAsia" w:ascii="宋体" w:hAnsi="宋体" w:eastAsia="宋体" w:cs="宋体"/>
                <w:sz w:val="21"/>
                <w:szCs w:val="21"/>
              </w:rPr>
            </w:pPr>
            <w:r>
              <w:rPr>
                <w:rFonts w:hint="eastAsia" w:ascii="宋体" w:hAnsi="宋体" w:eastAsia="宋体" w:cs="宋体"/>
                <w:sz w:val="21"/>
                <w:szCs w:val="21"/>
              </w:rPr>
              <w:t>5</w:t>
            </w:r>
          </w:p>
        </w:tc>
        <w:tc>
          <w:tcPr>
            <w:tcW w:w="2120" w:type="pct"/>
            <w:tcBorders>
              <w:top w:val="single" w:color="auto" w:sz="4" w:space="0"/>
              <w:left w:val="single" w:color="auto" w:sz="4" w:space="0"/>
              <w:bottom w:val="single" w:color="auto" w:sz="4" w:space="0"/>
              <w:right w:val="single" w:color="auto" w:sz="4" w:space="0"/>
            </w:tcBorders>
            <w:vAlign w:val="center"/>
          </w:tcPr>
          <w:p w14:paraId="1E8BF2D2">
            <w:pPr>
              <w:snapToGrid w:val="0"/>
              <w:jc w:val="center"/>
              <w:rPr>
                <w:rFonts w:hint="eastAsia" w:ascii="宋体" w:hAnsi="宋体" w:eastAsia="宋体" w:cs="宋体"/>
                <w:sz w:val="21"/>
                <w:szCs w:val="21"/>
              </w:rPr>
            </w:pPr>
            <w:r>
              <w:rPr>
                <w:rFonts w:hint="eastAsia" w:ascii="宋体" w:hAnsi="宋体" w:eastAsia="宋体" w:cs="宋体"/>
                <w:sz w:val="21"/>
                <w:szCs w:val="21"/>
              </w:rPr>
              <w:t>1GHz以下辐射发射</w:t>
            </w:r>
          </w:p>
        </w:tc>
        <w:tc>
          <w:tcPr>
            <w:tcW w:w="2308" w:type="pct"/>
            <w:tcBorders>
              <w:top w:val="single" w:color="auto" w:sz="4" w:space="0"/>
              <w:left w:val="single" w:color="auto" w:sz="4" w:space="0"/>
              <w:bottom w:val="single" w:color="auto" w:sz="4" w:space="0"/>
              <w:right w:val="single" w:color="auto" w:sz="4" w:space="0"/>
            </w:tcBorders>
            <w:vAlign w:val="center"/>
          </w:tcPr>
          <w:p w14:paraId="79EF1D8E">
            <w:pPr>
              <w:snapToGrid w:val="0"/>
              <w:jc w:val="center"/>
              <w:rPr>
                <w:rFonts w:eastAsia="宋体"/>
                <w:sz w:val="21"/>
                <w:szCs w:val="21"/>
              </w:rPr>
            </w:pPr>
            <w:r>
              <w:rPr>
                <w:rFonts w:eastAsia="宋体"/>
                <w:sz w:val="21"/>
                <w:szCs w:val="21"/>
              </w:rPr>
              <w:t>GB/T 9254.1—2021</w:t>
            </w:r>
          </w:p>
        </w:tc>
      </w:tr>
    </w:tbl>
    <w:p w14:paraId="1DDA79DD">
      <w:pPr>
        <w:snapToGrid w:val="0"/>
        <w:spacing w:line="440" w:lineRule="exact"/>
        <w:ind w:firstLine="420"/>
        <w:rPr>
          <w:rFonts w:hint="eastAsia" w:ascii="宋体" w:hAnsi="宋体" w:eastAsia="宋体" w:cs="宋体"/>
          <w:sz w:val="21"/>
          <w:szCs w:val="21"/>
        </w:rPr>
      </w:pPr>
      <w:r>
        <w:rPr>
          <w:rFonts w:hint="eastAsia" w:ascii="宋体" w:hAnsi="宋体" w:eastAsia="宋体" w:cs="宋体"/>
          <w:sz w:val="21"/>
          <w:szCs w:val="21"/>
        </w:rPr>
        <w:t>执行企业标准、团体标准、地方标准的产品，检验项目参照上述内容执行。</w:t>
      </w:r>
    </w:p>
    <w:p w14:paraId="6181D705">
      <w:pPr>
        <w:snapToGrid w:val="0"/>
        <w:spacing w:line="440" w:lineRule="exact"/>
        <w:ind w:firstLine="420"/>
        <w:rPr>
          <w:rFonts w:hint="eastAsia" w:ascii="宋体" w:hAnsi="宋体" w:eastAsia="宋体" w:cs="宋体"/>
          <w:sz w:val="21"/>
          <w:szCs w:val="21"/>
        </w:rPr>
      </w:pPr>
      <w:r>
        <w:rPr>
          <w:rFonts w:hint="eastAsia" w:ascii="宋体" w:hAnsi="宋体" w:eastAsia="宋体" w:cs="宋体"/>
          <w:sz w:val="21"/>
          <w:szCs w:val="21"/>
        </w:rPr>
        <w:t>凡是注日期的文件，其随后所有的修改单（不包括勘误的内容）或修订版不适用于本细则。凡是不注日期的文件，其最新版本适用于本细则。</w:t>
      </w:r>
    </w:p>
    <w:p w14:paraId="48A45541">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3.判定规则</w:t>
      </w:r>
    </w:p>
    <w:p w14:paraId="63677168">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3.1依据标准</w:t>
      </w:r>
    </w:p>
    <w:p w14:paraId="127697F9">
      <w:pPr>
        <w:snapToGrid w:val="0"/>
        <w:spacing w:line="440" w:lineRule="exact"/>
        <w:ind w:firstLine="420" w:firstLineChars="200"/>
        <w:rPr>
          <w:rFonts w:hint="eastAsia" w:ascii="宋体" w:hAnsi="宋体" w:eastAsia="宋体" w:cs="宋体"/>
          <w:sz w:val="21"/>
          <w:szCs w:val="21"/>
        </w:rPr>
      </w:pPr>
      <w:r>
        <w:rPr>
          <w:rFonts w:eastAsia="宋体"/>
          <w:sz w:val="21"/>
          <w:szCs w:val="21"/>
        </w:rPr>
        <w:t>GB 4943.1—2022</w:t>
      </w:r>
      <w:r>
        <w:rPr>
          <w:rFonts w:hint="eastAsia" w:ascii="宋体" w:hAnsi="宋体" w:eastAsia="宋体" w:cs="宋体"/>
          <w:sz w:val="21"/>
          <w:szCs w:val="21"/>
        </w:rPr>
        <w:t xml:space="preserve"> 音视频、信息技术和通信技术设备 第</w:t>
      </w:r>
      <w:r>
        <w:rPr>
          <w:rFonts w:hint="eastAsia" w:eastAsia="宋体"/>
          <w:sz w:val="21"/>
          <w:szCs w:val="21"/>
        </w:rPr>
        <w:t>1</w:t>
      </w:r>
      <w:r>
        <w:rPr>
          <w:rFonts w:hint="eastAsia" w:ascii="宋体" w:hAnsi="宋体" w:eastAsia="宋体" w:cs="宋体"/>
          <w:sz w:val="21"/>
          <w:szCs w:val="21"/>
        </w:rPr>
        <w:t>部分：安全要求</w:t>
      </w:r>
    </w:p>
    <w:p w14:paraId="6AB0E23A">
      <w:pPr>
        <w:snapToGrid w:val="0"/>
        <w:spacing w:line="440" w:lineRule="exact"/>
        <w:ind w:firstLine="420" w:firstLineChars="200"/>
        <w:rPr>
          <w:rFonts w:hint="eastAsia" w:ascii="宋体" w:hAnsi="宋体" w:eastAsia="宋体" w:cs="宋体"/>
          <w:sz w:val="21"/>
          <w:szCs w:val="21"/>
        </w:rPr>
      </w:pPr>
      <w:r>
        <w:rPr>
          <w:rFonts w:hint="eastAsia" w:eastAsia="宋体"/>
          <w:sz w:val="21"/>
          <w:szCs w:val="21"/>
        </w:rPr>
        <w:t>GB/T 9254.1—2021</w:t>
      </w:r>
      <w:r>
        <w:rPr>
          <w:rFonts w:hint="eastAsia" w:ascii="宋体" w:hAnsi="宋体" w:eastAsia="宋体" w:cs="宋体"/>
          <w:sz w:val="21"/>
          <w:szCs w:val="21"/>
        </w:rPr>
        <w:t xml:space="preserve"> 信息技术设备、多媒体设备和接收机 电磁兼容 第</w:t>
      </w:r>
      <w:r>
        <w:rPr>
          <w:rFonts w:hint="eastAsia" w:eastAsia="宋体"/>
          <w:sz w:val="21"/>
          <w:szCs w:val="21"/>
        </w:rPr>
        <w:t>1</w:t>
      </w:r>
      <w:r>
        <w:rPr>
          <w:rFonts w:hint="eastAsia" w:ascii="宋体" w:hAnsi="宋体" w:eastAsia="宋体" w:cs="宋体"/>
          <w:sz w:val="21"/>
          <w:szCs w:val="21"/>
        </w:rPr>
        <w:t>部分：发射要求</w:t>
      </w:r>
    </w:p>
    <w:p w14:paraId="1DE71731">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现行有效的企业标准、团体标准、地方标准及产品明示质量要求</w:t>
      </w:r>
    </w:p>
    <w:p w14:paraId="45717D0E">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3.2判定原则</w:t>
      </w:r>
    </w:p>
    <w:p w14:paraId="2DD75C27">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经检验，检验项目全部合格，判定为被抽查产品所检项目未发现不合格；检验项目中任一项或一项以上不合格，判定为被抽查产品不合格。</w:t>
      </w:r>
    </w:p>
    <w:p w14:paraId="39F70462">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若被检产品明示的质量要求高于本细则中检验项目依据的标准要求时，应按被检产品明示的质量要求判定。</w:t>
      </w:r>
    </w:p>
    <w:p w14:paraId="546FF0A0">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若被检产品明示的质量要求低于本细则中检验项目依据的强制性标准要求时，应按照强制性标准要求判定。</w:t>
      </w:r>
    </w:p>
    <w:p w14:paraId="656F1FD6">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若被检产品明示的质量要求低于或包含本细则中检验项目依据的推荐性标准要求时，应以被检产品明示的质量要求判定。</w:t>
      </w:r>
    </w:p>
    <w:p w14:paraId="73253C4A">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若被检产品明示的质量要求缺少本细则中检验项目依据的强制性标准要求时，应按照强制性标准要求判定。</w:t>
      </w:r>
    </w:p>
    <w:p w14:paraId="7686E422">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若被检产品明示的质量要求缺少本细则中检验项目依据的推荐性标准要求时，该项目不参与判定。</w:t>
      </w:r>
    </w:p>
    <w:p w14:paraId="2FEAD2EE">
      <w:pPr>
        <w:snapToGrid w:val="0"/>
        <w:spacing w:line="440" w:lineRule="exact"/>
        <w:ind w:firstLine="417" w:firstLineChars="199"/>
        <w:rPr>
          <w:rFonts w:hint="eastAsia" w:ascii="宋体" w:hAnsi="宋体" w:eastAsia="宋体" w:cs="宋体"/>
          <w:sz w:val="21"/>
          <w:szCs w:val="21"/>
        </w:rPr>
      </w:pPr>
    </w:p>
    <w:sectPr>
      <w:footerReference r:id="rId3" w:type="default"/>
      <w:footerReference r:id="rId4" w:type="even"/>
      <w:pgSz w:w="11906" w:h="16838"/>
      <w:pgMar w:top="1440" w:right="1803" w:bottom="1440" w:left="1803"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Sim Sun">
    <w:altName w:val="宋体"/>
    <w:panose1 w:val="00000000000000000000"/>
    <w:charset w:val="86"/>
    <w:family w:val="swiss"/>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9F6B2">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14:paraId="40D9CD20">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0448E">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2762DABF">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2M1MjBhOGExZjZmYmZkNGIwNWYxNDk1OTcxNWRkZmMifQ=="/>
  </w:docVars>
  <w:rsids>
    <w:rsidRoot w:val="00172A27"/>
    <w:rsid w:val="00005594"/>
    <w:rsid w:val="00012B0D"/>
    <w:rsid w:val="00025697"/>
    <w:rsid w:val="0004415E"/>
    <w:rsid w:val="00064A51"/>
    <w:rsid w:val="0006593C"/>
    <w:rsid w:val="00073CC1"/>
    <w:rsid w:val="000B3F85"/>
    <w:rsid w:val="000D0E62"/>
    <w:rsid w:val="00160A81"/>
    <w:rsid w:val="00172A27"/>
    <w:rsid w:val="00184E9C"/>
    <w:rsid w:val="00186060"/>
    <w:rsid w:val="00186314"/>
    <w:rsid w:val="00186514"/>
    <w:rsid w:val="00186D99"/>
    <w:rsid w:val="001B7DE6"/>
    <w:rsid w:val="001C444C"/>
    <w:rsid w:val="001F0EA8"/>
    <w:rsid w:val="001F5715"/>
    <w:rsid w:val="00206AFC"/>
    <w:rsid w:val="00213D44"/>
    <w:rsid w:val="002448CB"/>
    <w:rsid w:val="00295271"/>
    <w:rsid w:val="002A6137"/>
    <w:rsid w:val="002A7CB8"/>
    <w:rsid w:val="002F1239"/>
    <w:rsid w:val="00367188"/>
    <w:rsid w:val="003932D3"/>
    <w:rsid w:val="003E1F22"/>
    <w:rsid w:val="004351C5"/>
    <w:rsid w:val="004710E5"/>
    <w:rsid w:val="00473E30"/>
    <w:rsid w:val="00493E98"/>
    <w:rsid w:val="004B7699"/>
    <w:rsid w:val="004C5730"/>
    <w:rsid w:val="004E1763"/>
    <w:rsid w:val="004F05EA"/>
    <w:rsid w:val="004F5F82"/>
    <w:rsid w:val="00540196"/>
    <w:rsid w:val="005708F4"/>
    <w:rsid w:val="0057097D"/>
    <w:rsid w:val="00583487"/>
    <w:rsid w:val="005A3FB1"/>
    <w:rsid w:val="005C2640"/>
    <w:rsid w:val="005E6087"/>
    <w:rsid w:val="0061001F"/>
    <w:rsid w:val="00612F8D"/>
    <w:rsid w:val="00641999"/>
    <w:rsid w:val="00655281"/>
    <w:rsid w:val="006E124F"/>
    <w:rsid w:val="00713BAB"/>
    <w:rsid w:val="007429A8"/>
    <w:rsid w:val="007466EB"/>
    <w:rsid w:val="0079291F"/>
    <w:rsid w:val="007B7325"/>
    <w:rsid w:val="007E2A33"/>
    <w:rsid w:val="007E75E8"/>
    <w:rsid w:val="00850F67"/>
    <w:rsid w:val="00886D2D"/>
    <w:rsid w:val="00897941"/>
    <w:rsid w:val="008A67F4"/>
    <w:rsid w:val="008C221C"/>
    <w:rsid w:val="008C357F"/>
    <w:rsid w:val="008C502E"/>
    <w:rsid w:val="008C7720"/>
    <w:rsid w:val="008E2AA3"/>
    <w:rsid w:val="008F41FD"/>
    <w:rsid w:val="008F6909"/>
    <w:rsid w:val="0092374C"/>
    <w:rsid w:val="00981B6F"/>
    <w:rsid w:val="00995EA7"/>
    <w:rsid w:val="009A559B"/>
    <w:rsid w:val="009F3CF8"/>
    <w:rsid w:val="009F62A2"/>
    <w:rsid w:val="00A0073C"/>
    <w:rsid w:val="00A028AC"/>
    <w:rsid w:val="00A10496"/>
    <w:rsid w:val="00A109DC"/>
    <w:rsid w:val="00A47C32"/>
    <w:rsid w:val="00A55146"/>
    <w:rsid w:val="00A551D5"/>
    <w:rsid w:val="00A9797D"/>
    <w:rsid w:val="00AC1025"/>
    <w:rsid w:val="00AC57F3"/>
    <w:rsid w:val="00AF477F"/>
    <w:rsid w:val="00B145F8"/>
    <w:rsid w:val="00B35A12"/>
    <w:rsid w:val="00B56900"/>
    <w:rsid w:val="00B762BE"/>
    <w:rsid w:val="00B96F12"/>
    <w:rsid w:val="00BB34B4"/>
    <w:rsid w:val="00BF77C3"/>
    <w:rsid w:val="00C343D9"/>
    <w:rsid w:val="00C84E5A"/>
    <w:rsid w:val="00C9474C"/>
    <w:rsid w:val="00CA14E5"/>
    <w:rsid w:val="00CF7CFC"/>
    <w:rsid w:val="00D06481"/>
    <w:rsid w:val="00D44111"/>
    <w:rsid w:val="00D96EEC"/>
    <w:rsid w:val="00DC5E73"/>
    <w:rsid w:val="00DD28C6"/>
    <w:rsid w:val="00DD51A4"/>
    <w:rsid w:val="00DE66A1"/>
    <w:rsid w:val="00E15AFC"/>
    <w:rsid w:val="00E50E0E"/>
    <w:rsid w:val="00EE0A88"/>
    <w:rsid w:val="00F03B58"/>
    <w:rsid w:val="00F27BB4"/>
    <w:rsid w:val="00F46258"/>
    <w:rsid w:val="00F81988"/>
    <w:rsid w:val="00F948EC"/>
    <w:rsid w:val="00F9662F"/>
    <w:rsid w:val="00F97675"/>
    <w:rsid w:val="00FC0E01"/>
    <w:rsid w:val="00FE672B"/>
    <w:rsid w:val="05E72587"/>
    <w:rsid w:val="07280338"/>
    <w:rsid w:val="0BD31F12"/>
    <w:rsid w:val="0FB56AC3"/>
    <w:rsid w:val="12A145C7"/>
    <w:rsid w:val="17F952AF"/>
    <w:rsid w:val="19596F42"/>
    <w:rsid w:val="1DC721AF"/>
    <w:rsid w:val="2AA05BAA"/>
    <w:rsid w:val="2C803B90"/>
    <w:rsid w:val="2CA97818"/>
    <w:rsid w:val="2F221D74"/>
    <w:rsid w:val="36F11CCA"/>
    <w:rsid w:val="3D3433C6"/>
    <w:rsid w:val="3DE84D67"/>
    <w:rsid w:val="3E3C2856"/>
    <w:rsid w:val="44DF11EE"/>
    <w:rsid w:val="48482AF2"/>
    <w:rsid w:val="4D8A6527"/>
    <w:rsid w:val="53DD679A"/>
    <w:rsid w:val="555D3535"/>
    <w:rsid w:val="56D61DB5"/>
    <w:rsid w:val="57B161EC"/>
    <w:rsid w:val="5E8B7B16"/>
    <w:rsid w:val="605817D3"/>
    <w:rsid w:val="620B1CA4"/>
    <w:rsid w:val="6A107FF5"/>
    <w:rsid w:val="71FF7239"/>
    <w:rsid w:val="77080813"/>
    <w:rsid w:val="78FE27F1"/>
    <w:rsid w:val="791D05B3"/>
    <w:rsid w:val="7AD940F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24"/>
      <w:szCs w:val="24"/>
      <w:lang w:val="en-US" w:eastAsia="zh-CN" w:bidi="ar-SA"/>
    </w:rPr>
  </w:style>
  <w:style w:type="paragraph" w:styleId="2">
    <w:name w:val="heading 2"/>
    <w:basedOn w:val="1"/>
    <w:next w:val="1"/>
    <w:qFormat/>
    <w:locked/>
    <w:uiPriority w:val="0"/>
    <w:pPr>
      <w:keepNext/>
      <w:keepLines/>
      <w:spacing w:before="260" w:after="260" w:line="413" w:lineRule="auto"/>
      <w:outlineLvl w:val="1"/>
    </w:pPr>
    <w:rPr>
      <w:rFonts w:ascii="Arial" w:hAnsi="Arial" w:eastAsia="黑体"/>
      <w:b/>
      <w:bCs/>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9"/>
    <w:semiHidden/>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qFormat/>
    <w:uiPriority w:val="99"/>
    <w:rPr>
      <w:rFonts w:cs="Times New Roman"/>
    </w:rPr>
  </w:style>
  <w:style w:type="character" w:customStyle="1" w:styleId="9">
    <w:name w:val="批注框文本 字符"/>
    <w:link w:val="3"/>
    <w:semiHidden/>
    <w:qFormat/>
    <w:locked/>
    <w:uiPriority w:val="99"/>
    <w:rPr>
      <w:rFonts w:ascii="Times New Roman" w:hAnsi="Times New Roman" w:cs="Times New Roman"/>
      <w:kern w:val="2"/>
      <w:sz w:val="18"/>
      <w:szCs w:val="18"/>
    </w:rPr>
  </w:style>
  <w:style w:type="character" w:customStyle="1" w:styleId="10">
    <w:name w:val="页脚 字符"/>
    <w:link w:val="4"/>
    <w:semiHidden/>
    <w:qFormat/>
    <w:locked/>
    <w:uiPriority w:val="99"/>
    <w:rPr>
      <w:rFonts w:ascii="Times New Roman" w:hAnsi="Times New Roman" w:cs="Times New Roman"/>
      <w:sz w:val="18"/>
      <w:szCs w:val="18"/>
    </w:rPr>
  </w:style>
  <w:style w:type="character" w:customStyle="1" w:styleId="11">
    <w:name w:val="页眉 字符"/>
    <w:link w:val="5"/>
    <w:qFormat/>
    <w:locked/>
    <w:uiPriority w:val="99"/>
    <w:rPr>
      <w:rFonts w:ascii="Times New Roman" w:hAnsi="Times New Roman" w:eastAsia="宋体" w:cs="Times New Roman"/>
      <w:kern w:val="2"/>
      <w:sz w:val="18"/>
      <w:szCs w:val="18"/>
    </w:rPr>
  </w:style>
  <w:style w:type="paragraph" w:customStyle="1" w:styleId="12">
    <w:name w:val="表格内容"/>
    <w:basedOn w:val="1"/>
    <w:qFormat/>
    <w:uiPriority w:val="99"/>
    <w:pPr>
      <w:snapToGrid w:val="0"/>
      <w:spacing w:line="320" w:lineRule="exact"/>
      <w:jc w:val="center"/>
    </w:pPr>
    <w:rPr>
      <w:rFonts w:ascii="仿宋_GB2312" w:hAnsi="Calibri" w:eastAsia="仿宋_GB2312" w:cs="Sim Sun"/>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2</Pages>
  <Words>681</Words>
  <Characters>773</Characters>
  <Lines>27</Lines>
  <Paragraphs>41</Paragraphs>
  <TotalTime>8</TotalTime>
  <ScaleCrop>false</ScaleCrop>
  <LinksUpToDate>false</LinksUpToDate>
  <CharactersWithSpaces>786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2021-11-11T01:50:00Z</dcterms:created>
  <dc:creator>陈林茂</dc:creator>
  <cp:lastModifiedBy>周飞雁</cp:lastModifiedBy>
  <dcterms:modified xsi:type="dcterms:W3CDTF">2025-06-27T06:53:03Z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F27D2AFF03BA41C2AADED25763077976</vt:lpwstr>
  </property>
  <property fmtid="{D5CDD505-2E9C-101B-9397-08002B2CF9AE}" pid="4" name="KSOTemplateDocerSaveRecord">
    <vt:lpwstr>eyJoZGlkIjoiNGFkZjg3NGJkZTJlNTE4ZTZiZWJkY2NkYTliYjkxYjkifQ==</vt:lpwstr>
  </property>
</Properties>
</file>