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23AC0">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763383B">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江西安义高新园区管委会2024年法治政府</w:t>
      </w:r>
    </w:p>
    <w:p w14:paraId="396CB967">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建设工作情况报告</w:t>
      </w:r>
    </w:p>
    <w:p w14:paraId="5B31DA80">
      <w:pPr>
        <w:keepNext w:val="0"/>
        <w:keepLines w:val="0"/>
        <w:widowControl/>
        <w:suppressLineNumbers w:val="0"/>
        <w:spacing w:before="0" w:beforeAutospacing="1" w:after="0" w:afterAutospacing="1"/>
        <w:ind w:left="0" w:right="0"/>
        <w:jc w:val="left"/>
      </w:pPr>
    </w:p>
    <w:p w14:paraId="5A88522F">
      <w:pPr>
        <w:keepNext w:val="0"/>
        <w:keepLines w:val="0"/>
        <w:pageBreakBefore w:val="0"/>
        <w:widowControl/>
        <w:suppressLineNumbers w:val="0"/>
        <w:wordWrap/>
        <w:overflowPunct/>
        <w:topLinePunct w:val="0"/>
        <w:bidi w:val="0"/>
        <w:spacing w:before="0" w:beforeAutospacing="0" w:after="0" w:afterAutospacing="0" w:line="560" w:lineRule="exact"/>
        <w:ind w:left="0" w:leftChars="0" w:right="0"/>
        <w:jc w:val="left"/>
        <w:rPr>
          <w:rFonts w:hint="eastAsia" w:ascii="仿宋" w:hAnsi="仿宋" w:eastAsia="仿宋" w:cs="仿宋"/>
          <w:sz w:val="32"/>
          <w:szCs w:val="32"/>
        </w:rPr>
      </w:pPr>
      <w:r>
        <w:rPr>
          <w:rFonts w:hint="eastAsia" w:ascii="仿宋" w:hAnsi="仿宋" w:eastAsia="仿宋" w:cs="仿宋"/>
          <w:kern w:val="2"/>
          <w:sz w:val="32"/>
          <w:szCs w:val="32"/>
          <w:lang w:val="en-US" w:eastAsia="zh-CN" w:bidi="ar"/>
        </w:rPr>
        <w:t>中共安义县委、安义县人民政府：</w:t>
      </w:r>
    </w:p>
    <w:p w14:paraId="4662595A">
      <w:pPr>
        <w:keepNext w:val="0"/>
        <w:keepLines w:val="0"/>
        <w:pageBreakBefore w:val="0"/>
        <w:widowControl w:val="0"/>
        <w:suppressLineNumbers w:val="0"/>
        <w:wordWrap/>
        <w:overflowPunct/>
        <w:topLinePunct w:val="0"/>
        <w:bidi w:val="0"/>
        <w:spacing w:before="0" w:beforeAutospacing="0" w:after="0" w:afterAutospacing="0" w:line="560" w:lineRule="exact"/>
        <w:ind w:left="0" w:leftChars="0" w:right="0" w:firstLine="640" w:firstLineChars="200"/>
        <w:jc w:val="left"/>
        <w:rPr>
          <w:rFonts w:hint="eastAsia" w:ascii="仿宋" w:hAnsi="仿宋" w:eastAsia="仿宋" w:cs="仿宋"/>
          <w:sz w:val="32"/>
          <w:szCs w:val="32"/>
        </w:rPr>
      </w:pPr>
      <w:r>
        <w:rPr>
          <w:rFonts w:hint="eastAsia" w:ascii="仿宋" w:hAnsi="仿宋" w:eastAsia="仿宋" w:cs="仿宋"/>
          <w:kern w:val="2"/>
          <w:sz w:val="32"/>
          <w:szCs w:val="32"/>
          <w:lang w:val="en-US" w:eastAsia="zh-CN" w:bidi="ar"/>
        </w:rPr>
        <w:t>2024年，江西安义高新园区管委会紧紧围绕省、市、县委县政府的工作部署，坚持以习近平新时代中国特色社会主义思想为指导，认真学习贯彻党的二十大精神以及习近平总书记关于法治政府建设的重要指示精神，切实落实党政主要负责人履行推进法治建设第一责任人的工作要求，把法治建设与工业振兴相融合，较好地落实了法治政府建设相关工作。现将江西安义高新园区管委会2024年法治政府建设工作情况报告如下。</w:t>
      </w:r>
    </w:p>
    <w:p w14:paraId="25B3551C">
      <w:pPr>
        <w:keepNext w:val="0"/>
        <w:keepLines w:val="0"/>
        <w:pageBreakBefore w:val="0"/>
        <w:widowControl w:val="0"/>
        <w:suppressLineNumbers w:val="0"/>
        <w:wordWrap/>
        <w:overflowPunct/>
        <w:topLinePunct w:val="0"/>
        <w:autoSpaceDE w:val="0"/>
        <w:autoSpaceDN/>
        <w:bidi w:val="0"/>
        <w:spacing w:before="0" w:beforeAutospacing="0" w:after="0" w:afterAutospacing="0" w:line="560" w:lineRule="exact"/>
        <w:ind w:left="0" w:leftChars="0" w:right="0" w:firstLine="640" w:firstLineChars="200"/>
        <w:jc w:val="left"/>
        <w:rPr>
          <w:rFonts w:hint="eastAsia" w:ascii="黑体" w:hAnsi="黑体" w:eastAsia="黑体" w:cs="黑体"/>
          <w:sz w:val="32"/>
          <w:szCs w:val="32"/>
        </w:rPr>
      </w:pPr>
      <w:r>
        <w:rPr>
          <w:rFonts w:hint="eastAsia" w:ascii="黑体" w:hAnsi="黑体" w:eastAsia="黑体" w:cs="黑体"/>
          <w:kern w:val="2"/>
          <w:sz w:val="32"/>
          <w:szCs w:val="32"/>
          <w:lang w:val="en-US" w:eastAsia="zh-CN" w:bidi="ar"/>
        </w:rPr>
        <w:t>一、2024年度推进法治政府建设的主要举措和成效</w:t>
      </w:r>
    </w:p>
    <w:p w14:paraId="6E8E361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kern w:val="2"/>
          <w:sz w:val="32"/>
          <w:szCs w:val="32"/>
          <w:vertAlign w:val="baseline"/>
          <w:lang w:val="en-US" w:eastAsia="zh-CN" w:bidi="ar"/>
        </w:rPr>
        <w:t>（一）学习贯彻习近平法治思想情况</w:t>
      </w:r>
    </w:p>
    <w:p w14:paraId="24B5C6E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0" w:firstLineChars="200"/>
        <w:jc w:val="both"/>
        <w:textAlignment w:val="baseline"/>
        <w:rPr>
          <w:rFonts w:hint="eastAsia" w:ascii="仿宋" w:hAnsi="仿宋" w:eastAsia="仿宋" w:cs="仿宋"/>
          <w:sz w:val="32"/>
          <w:szCs w:val="32"/>
        </w:rPr>
      </w:pPr>
      <w:r>
        <w:rPr>
          <w:rFonts w:hint="eastAsia" w:ascii="仿宋" w:hAnsi="仿宋" w:eastAsia="仿宋" w:cs="仿宋"/>
          <w:snapToGrid w:val="0"/>
          <w:kern w:val="0"/>
          <w:sz w:val="32"/>
          <w:szCs w:val="32"/>
          <w:vertAlign w:val="baseline"/>
          <w:lang w:val="en-US" w:eastAsia="zh-CN" w:bidi="ar"/>
        </w:rPr>
        <w:t>安义高新园区管委会将法治理论</w:t>
      </w:r>
      <w:r>
        <w:rPr>
          <w:rFonts w:hint="eastAsia" w:ascii="仿宋" w:hAnsi="仿宋" w:eastAsia="仿宋" w:cs="仿宋"/>
          <w:kern w:val="0"/>
          <w:sz w:val="32"/>
          <w:szCs w:val="32"/>
          <w:vertAlign w:val="baseline"/>
          <w:lang w:val="en-US" w:eastAsia="zh-CN" w:bidi="ar"/>
        </w:rPr>
        <w:t>学习贯彻</w:t>
      </w:r>
      <w:r>
        <w:rPr>
          <w:rFonts w:hint="eastAsia" w:ascii="仿宋" w:hAnsi="仿宋" w:eastAsia="仿宋" w:cs="仿宋"/>
          <w:snapToGrid w:val="0"/>
          <w:kern w:val="0"/>
          <w:sz w:val="32"/>
          <w:szCs w:val="32"/>
          <w:vertAlign w:val="baseline"/>
          <w:lang w:val="en-US" w:eastAsia="zh-CN" w:bidi="ar"/>
        </w:rPr>
        <w:t>到党工委中心组学习之中，深入学习了习近平总书记关于《坚持走中国特色社会主义法治道路 更好推进中国特色社会主义法治体系建设》等重要论述，以及《学深悟透做实习近平法治思想 奋力开辟全面依法治国新境界》等内容，切实提升对</w:t>
      </w:r>
      <w:r>
        <w:rPr>
          <w:rFonts w:hint="eastAsia" w:ascii="仿宋" w:hAnsi="仿宋" w:eastAsia="仿宋" w:cs="仿宋"/>
          <w:kern w:val="0"/>
          <w:sz w:val="32"/>
          <w:szCs w:val="32"/>
          <w:vertAlign w:val="baseline"/>
          <w:lang w:val="en-US" w:eastAsia="zh-CN" w:bidi="ar"/>
        </w:rPr>
        <w:t>中国特色社会主义共同理想</w:t>
      </w:r>
      <w:r>
        <w:rPr>
          <w:rFonts w:hint="eastAsia" w:ascii="仿宋" w:hAnsi="仿宋" w:eastAsia="仿宋" w:cs="仿宋"/>
          <w:snapToGrid w:val="0"/>
          <w:kern w:val="0"/>
          <w:sz w:val="32"/>
          <w:szCs w:val="32"/>
          <w:vertAlign w:val="baseline"/>
          <w:lang w:val="en-US" w:eastAsia="zh-CN" w:bidi="ar"/>
        </w:rPr>
        <w:t>的领悟力、洞察力、执行力。习近平法治思想是全面依法治国政治方向和正确道路的重要论述，是对社会公平正义的价值追求和依法保障人民权益的系统阐述。全面系统学习、完整准确理解习近平法治思想，是各项工作开展的基本准则和重要指引。2024年7月，县政府副县长、园区党工委书记赵伟主持召开了安义高新园区管委会党工委</w:t>
      </w:r>
      <w:r>
        <w:rPr>
          <w:rFonts w:hint="eastAsia" w:ascii="仿宋" w:hAnsi="仿宋" w:eastAsia="仿宋" w:cs="仿宋"/>
          <w:kern w:val="0"/>
          <w:sz w:val="32"/>
          <w:szCs w:val="32"/>
          <w:vertAlign w:val="baseline"/>
          <w:lang w:val="en-US" w:eastAsia="zh-CN" w:bidi="ar"/>
        </w:rPr>
        <w:t>理论学习中心组</w:t>
      </w:r>
      <w:r>
        <w:rPr>
          <w:rFonts w:hint="eastAsia" w:ascii="仿宋" w:hAnsi="仿宋" w:eastAsia="仿宋" w:cs="仿宋"/>
          <w:snapToGrid w:val="0"/>
          <w:kern w:val="0"/>
          <w:sz w:val="32"/>
          <w:szCs w:val="32"/>
          <w:vertAlign w:val="baseline"/>
          <w:lang w:val="en-US" w:eastAsia="zh-CN" w:bidi="ar"/>
        </w:rPr>
        <w:t>专题学习，</w:t>
      </w:r>
      <w:r>
        <w:rPr>
          <w:rFonts w:hint="eastAsia" w:ascii="仿宋" w:hAnsi="仿宋" w:eastAsia="仿宋" w:cs="仿宋"/>
          <w:kern w:val="0"/>
          <w:sz w:val="32"/>
          <w:szCs w:val="32"/>
          <w:vertAlign w:val="baseline"/>
          <w:lang w:val="en-US" w:eastAsia="zh-CN" w:bidi="ar"/>
        </w:rPr>
        <w:t>深入学习贯彻习近平法治思想</w:t>
      </w:r>
      <w:r>
        <w:rPr>
          <w:rFonts w:hint="eastAsia" w:ascii="仿宋" w:hAnsi="仿宋" w:eastAsia="仿宋" w:cs="仿宋"/>
          <w:snapToGrid w:val="0"/>
          <w:kern w:val="0"/>
          <w:sz w:val="32"/>
          <w:szCs w:val="32"/>
          <w:vertAlign w:val="baseline"/>
          <w:lang w:val="en-US" w:eastAsia="zh-CN" w:bidi="ar"/>
        </w:rPr>
        <w:t>，主要通过集体学习与个人学习的方式相结合。</w:t>
      </w:r>
    </w:p>
    <w:p w14:paraId="56A285D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kern w:val="2"/>
          <w:sz w:val="32"/>
          <w:szCs w:val="32"/>
          <w:vertAlign w:val="baseline"/>
          <w:lang w:val="en-US" w:eastAsia="zh-CN" w:bidi="ar"/>
        </w:rPr>
        <w:t>（二）部署开展主题实践活动情况</w:t>
      </w:r>
    </w:p>
    <w:p w14:paraId="314B58AE">
      <w:pPr>
        <w:keepNext w:val="0"/>
        <w:keepLines w:val="0"/>
        <w:pageBreakBefore w:val="0"/>
        <w:widowControl w:val="0"/>
        <w:suppressLineNumbers w:val="0"/>
        <w:wordWrap/>
        <w:overflowPunct/>
        <w:topLinePunct w:val="0"/>
        <w:autoSpaceDE w:val="0"/>
        <w:autoSpaceDN/>
        <w:bidi w:val="0"/>
        <w:spacing w:before="0" w:beforeAutospacing="0" w:after="0" w:afterAutospacing="0" w:line="560" w:lineRule="exact"/>
        <w:ind w:left="0" w:leftChars="0" w:right="0" w:firstLine="640" w:firstLineChars="200"/>
        <w:jc w:val="both"/>
        <w:rPr>
          <w:rFonts w:hint="eastAsia" w:ascii="仿宋" w:hAnsi="仿宋" w:eastAsia="仿宋" w:cs="仿宋"/>
          <w:sz w:val="32"/>
          <w:szCs w:val="32"/>
        </w:rPr>
      </w:pPr>
      <w:r>
        <w:rPr>
          <w:rFonts w:hint="eastAsia" w:ascii="仿宋" w:hAnsi="仿宋" w:eastAsia="仿宋" w:cs="仿宋"/>
          <w:b w:val="0"/>
          <w:bCs w:val="0"/>
          <w:kern w:val="2"/>
          <w:sz w:val="32"/>
          <w:szCs w:val="32"/>
          <w:lang w:val="en-US" w:eastAsia="zh-CN" w:bidi="ar"/>
        </w:rPr>
        <w:t>组织开展“安全生产月”宣传咨询日活动。2024年6</w:t>
      </w:r>
      <w:r>
        <w:rPr>
          <w:rFonts w:hint="eastAsia" w:ascii="仿宋" w:hAnsi="仿宋" w:eastAsia="仿宋" w:cs="仿宋"/>
          <w:kern w:val="2"/>
          <w:sz w:val="32"/>
          <w:szCs w:val="32"/>
          <w:lang w:val="en-US" w:eastAsia="zh-CN" w:bidi="ar"/>
        </w:rPr>
        <w:t>月14日，安义高新园区管委会开展了第23个全国“安全生产月”活动，主要围绕“人人讲安全 个个会应急一畅通生命通道”的活动主题，充分利用宣传媒体，开展了形式多样、内容丰富的安全活动，向企业发放安全宣传册100余份，随后组织企业集中观看了《生命重于泰山》等安全警示教育片。</w:t>
      </w:r>
    </w:p>
    <w:p w14:paraId="746C96AC">
      <w:pPr>
        <w:keepNext w:val="0"/>
        <w:keepLines w:val="0"/>
        <w:pageBreakBefore w:val="0"/>
        <w:widowControl w:val="0"/>
        <w:suppressLineNumbers w:val="0"/>
        <w:wordWrap/>
        <w:overflowPunct/>
        <w:topLinePunct w:val="0"/>
        <w:autoSpaceDE w:val="0"/>
        <w:autoSpaceDN/>
        <w:bidi w:val="0"/>
        <w:spacing w:before="0" w:beforeAutospacing="0" w:after="0" w:afterAutospacing="0" w:line="560" w:lineRule="exact"/>
        <w:ind w:left="0" w:leftChars="0" w:right="0" w:firstLine="640" w:firstLineChars="20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2024年11月15日下午，由安义高新园区管委会、安义县司法局联合组织举办了第一期安义县“拓市场 抢订单 稳增长”助企行动法律大讲堂活动，园区44家规上企业代表参会。此外，2024年以来，安义高新园区管委会还组织园区企业开展了2次《中华人民共和国民法典》宣传，开展了2次《平安建设条例》宣传，开展了1次法律援助法进企业宣传活动，开展了1次法院送法进企业宣传活动，开展了2次《中华人民共和国反有组织犯罪法》宣传活动，开展了12次反电信网络诈骗宣传工作，积极发动企业员工下载反诈APP，共发放相关宣传资料2000余份，切实提高企业法治意识，进一步落实法治政府建设要求，以法治举措助力企业发展。</w:t>
      </w:r>
    </w:p>
    <w:p w14:paraId="1ECF9F3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kern w:val="2"/>
          <w:sz w:val="32"/>
          <w:szCs w:val="32"/>
          <w:vertAlign w:val="baseline"/>
          <w:lang w:val="en-US" w:eastAsia="zh-CN" w:bidi="ar"/>
        </w:rPr>
        <w:t>（三）落实部门普法责任情况</w:t>
      </w:r>
    </w:p>
    <w:p w14:paraId="7A21317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0" w:firstLineChars="200"/>
        <w:jc w:val="both"/>
        <w:textAlignment w:val="baseline"/>
        <w:rPr>
          <w:rFonts w:hint="eastAsia" w:ascii="仿宋" w:hAnsi="仿宋" w:eastAsia="仿宋" w:cs="仿宋"/>
          <w:sz w:val="32"/>
          <w:szCs w:val="32"/>
        </w:rPr>
      </w:pPr>
      <w:r>
        <w:rPr>
          <w:rFonts w:hint="eastAsia" w:ascii="仿宋" w:hAnsi="仿宋" w:eastAsia="仿宋" w:cs="仿宋"/>
          <w:kern w:val="2"/>
          <w:sz w:val="32"/>
          <w:szCs w:val="32"/>
          <w:vertAlign w:val="baseline"/>
          <w:lang w:val="en-US" w:eastAsia="zh-CN" w:bidi="ar"/>
        </w:rPr>
        <w:t>严格落实“谁执法谁普法”普法责任制，积极开展普法宣传，在国家安全周、民法典、宪法宣传周等重要时间节点，向干部职工推送中华人民共和国国家安全法律法规、宪法知识等内容，按照上级有关要求，组织干部按时完成普法学习考试；同时，加强社会法治理念宣教，对园区企业普及《中华人民共和国民法典》《中华人民共和国安全生产法》《中华人民共和国反有组织犯罪法》《反电信网络诈骗》等法律法规，增强园区企业及员工的法治思想、法律意识，将普法工作落在实处。</w:t>
      </w:r>
    </w:p>
    <w:p w14:paraId="24ADD106">
      <w:pPr>
        <w:keepNext w:val="0"/>
        <w:keepLines w:val="0"/>
        <w:pageBreakBefore w:val="0"/>
        <w:widowControl w:val="0"/>
        <w:suppressLineNumbers w:val="0"/>
        <w:wordWrap/>
        <w:overflowPunct/>
        <w:topLinePunct w:val="0"/>
        <w:autoSpaceDE w:val="0"/>
        <w:autoSpaceDN/>
        <w:bidi w:val="0"/>
        <w:spacing w:before="0" w:beforeAutospacing="0" w:after="0" w:afterAutospacing="0" w:line="560" w:lineRule="exact"/>
        <w:ind w:left="0" w:leftChars="0" w:right="0" w:firstLine="640" w:firstLineChars="200"/>
        <w:jc w:val="left"/>
        <w:rPr>
          <w:rFonts w:hint="eastAsia" w:ascii="黑体" w:hAnsi="黑体" w:eastAsia="黑体" w:cs="黑体"/>
          <w:sz w:val="32"/>
          <w:szCs w:val="32"/>
        </w:rPr>
      </w:pPr>
      <w:r>
        <w:rPr>
          <w:rFonts w:hint="eastAsia" w:ascii="黑体" w:hAnsi="黑体" w:eastAsia="黑体" w:cs="黑体"/>
          <w:kern w:val="2"/>
          <w:sz w:val="32"/>
          <w:szCs w:val="32"/>
          <w:lang w:val="en-US" w:eastAsia="zh-CN" w:bidi="ar"/>
        </w:rPr>
        <w:t>二、2024年度推进法治政府建设存在的不足和原因</w:t>
      </w:r>
    </w:p>
    <w:p w14:paraId="79E601B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0" w:firstLineChars="200"/>
        <w:jc w:val="both"/>
        <w:textAlignment w:val="baseline"/>
        <w:rPr>
          <w:rFonts w:hint="eastAsia" w:ascii="仿宋" w:hAnsi="仿宋" w:eastAsia="仿宋" w:cs="仿宋"/>
          <w:sz w:val="32"/>
          <w:szCs w:val="32"/>
        </w:rPr>
      </w:pPr>
      <w:r>
        <w:rPr>
          <w:rFonts w:hint="eastAsia" w:ascii="仿宋" w:hAnsi="仿宋" w:eastAsia="仿宋" w:cs="仿宋"/>
          <w:kern w:val="2"/>
          <w:sz w:val="32"/>
          <w:szCs w:val="32"/>
          <w:vertAlign w:val="baseline"/>
          <w:lang w:val="en-US" w:eastAsia="zh-CN" w:bidi="ar"/>
        </w:rPr>
        <w:t>安义高新园区管委会在法治政府建设方面取得了一些成绩，但也存在一些问题和不足。</w:t>
      </w:r>
      <w:r>
        <w:rPr>
          <w:rFonts w:hint="eastAsia" w:ascii="仿宋" w:hAnsi="仿宋" w:eastAsia="仿宋" w:cs="仿宋"/>
          <w:b/>
          <w:bCs/>
          <w:kern w:val="2"/>
          <w:sz w:val="32"/>
          <w:szCs w:val="32"/>
          <w:vertAlign w:val="baseline"/>
          <w:lang w:val="en-US" w:eastAsia="zh-CN" w:bidi="ar"/>
        </w:rPr>
        <w:t>不足主要表现在：</w:t>
      </w:r>
      <w:r>
        <w:rPr>
          <w:rFonts w:hint="eastAsia" w:ascii="仿宋" w:hAnsi="仿宋" w:eastAsia="仿宋" w:cs="仿宋"/>
          <w:kern w:val="2"/>
          <w:sz w:val="32"/>
          <w:szCs w:val="32"/>
          <w:vertAlign w:val="baseline"/>
          <w:lang w:val="en-US" w:eastAsia="zh-CN" w:bidi="ar"/>
        </w:rPr>
        <w:t>一是园区干部的法治建设工作能力和水平还需提高；二是决策民主化、科学化、法治化建设还需深化；三是普法宣传还需进一步加强。</w:t>
      </w:r>
      <w:r>
        <w:rPr>
          <w:rFonts w:hint="eastAsia" w:ascii="仿宋" w:hAnsi="仿宋" w:eastAsia="仿宋" w:cs="仿宋"/>
          <w:b/>
          <w:bCs/>
          <w:kern w:val="2"/>
          <w:sz w:val="32"/>
          <w:szCs w:val="32"/>
          <w:vertAlign w:val="baseline"/>
          <w:lang w:val="en-US" w:eastAsia="zh-CN" w:bidi="ar"/>
        </w:rPr>
        <w:t>不足的主要原因有</w:t>
      </w:r>
      <w:r>
        <w:rPr>
          <w:rFonts w:hint="eastAsia" w:ascii="仿宋" w:hAnsi="仿宋" w:eastAsia="仿宋" w:cs="仿宋"/>
          <w:kern w:val="2"/>
          <w:sz w:val="32"/>
          <w:szCs w:val="32"/>
          <w:vertAlign w:val="baseline"/>
          <w:lang w:val="en-US" w:eastAsia="zh-CN" w:bidi="ar"/>
        </w:rPr>
        <w:t>：1、园区管委会干部缺乏系统性、集中性的学习，对法治理念及知识认识的不全面，对工作开展产生一定的障碍；2、与相关职能部门联动性不强，没有形成合力，与企业联系不够紧密，对于企业的法治需求了解的不彻底；3、普法宣传不够全面，存在死角，宣传方式单一，不够丰富，宣传力度不强，宣传频率不高。</w:t>
      </w:r>
    </w:p>
    <w:p w14:paraId="0D3D0631">
      <w:pPr>
        <w:keepNext w:val="0"/>
        <w:keepLines w:val="0"/>
        <w:pageBreakBefore w:val="0"/>
        <w:widowControl w:val="0"/>
        <w:suppressLineNumbers w:val="0"/>
        <w:wordWrap/>
        <w:overflowPunct/>
        <w:topLinePunct w:val="0"/>
        <w:autoSpaceDE w:val="0"/>
        <w:autoSpaceDN/>
        <w:bidi w:val="0"/>
        <w:spacing w:before="0" w:beforeAutospacing="0" w:after="0" w:afterAutospacing="0" w:line="560" w:lineRule="exact"/>
        <w:ind w:left="0" w:leftChars="0" w:right="0" w:firstLine="640" w:firstLineChars="200"/>
        <w:jc w:val="left"/>
        <w:rPr>
          <w:rFonts w:hint="eastAsia" w:ascii="黑体" w:hAnsi="黑体" w:eastAsia="黑体" w:cs="黑体"/>
          <w:sz w:val="32"/>
          <w:szCs w:val="32"/>
        </w:rPr>
      </w:pPr>
      <w:r>
        <w:rPr>
          <w:rFonts w:hint="eastAsia" w:ascii="黑体" w:hAnsi="黑体" w:eastAsia="黑体" w:cs="黑体"/>
          <w:kern w:val="2"/>
          <w:sz w:val="32"/>
          <w:szCs w:val="32"/>
          <w:lang w:val="en-US" w:eastAsia="zh-CN" w:bidi="ar"/>
        </w:rPr>
        <w:t>三、2024年度党政主要负责人履行推进法治建设第一责任人职责有关情况</w:t>
      </w:r>
    </w:p>
    <w:p w14:paraId="1C0EA00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3" w:firstLineChars="200"/>
        <w:jc w:val="both"/>
        <w:textAlignment w:val="baseline"/>
        <w:rPr>
          <w:rFonts w:hint="eastAsia" w:ascii="仿宋" w:hAnsi="仿宋" w:eastAsia="仿宋" w:cs="仿宋"/>
          <w:sz w:val="32"/>
          <w:szCs w:val="32"/>
        </w:rPr>
      </w:pPr>
      <w:r>
        <w:rPr>
          <w:rFonts w:hint="eastAsia" w:ascii="楷体_GB2312" w:hAnsi="楷体_GB2312" w:eastAsia="楷体_GB2312" w:cs="楷体_GB2312"/>
          <w:b/>
          <w:bCs/>
          <w:kern w:val="2"/>
          <w:sz w:val="32"/>
          <w:szCs w:val="32"/>
          <w:vertAlign w:val="baseline"/>
          <w:lang w:val="en-US" w:eastAsia="zh-CN" w:bidi="ar"/>
        </w:rPr>
        <w:t>（一）健全组织机构。</w:t>
      </w:r>
      <w:r>
        <w:rPr>
          <w:rFonts w:hint="eastAsia" w:ascii="仿宋" w:hAnsi="仿宋" w:eastAsia="仿宋" w:cs="仿宋"/>
          <w:kern w:val="2"/>
          <w:sz w:val="32"/>
          <w:szCs w:val="32"/>
          <w:vertAlign w:val="baseline"/>
          <w:lang w:val="en-US" w:eastAsia="zh-CN" w:bidi="ar"/>
        </w:rPr>
        <w:t>园区管委会主任乐冰冰高度重视推进法治政府建设工作，成立了由主任任组长、副主任成员为副组长、相关股室为成员的法治政府部门建设工作领导小组，将法治园区建设工作与其他重点工作同安排、同落实、同检查、同考核，主要领导做到了重大活动出席、重大事项过问、重大问题研究。</w:t>
      </w:r>
    </w:p>
    <w:p w14:paraId="631CA6B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3" w:firstLineChars="200"/>
        <w:jc w:val="both"/>
        <w:textAlignment w:val="baseline"/>
        <w:rPr>
          <w:rFonts w:hint="eastAsia" w:ascii="仿宋" w:hAnsi="仿宋" w:eastAsia="仿宋" w:cs="仿宋"/>
          <w:sz w:val="32"/>
          <w:szCs w:val="32"/>
        </w:rPr>
      </w:pPr>
      <w:r>
        <w:rPr>
          <w:rFonts w:hint="eastAsia" w:ascii="楷体_GB2312" w:hAnsi="楷体_GB2312" w:eastAsia="楷体_GB2312" w:cs="楷体_GB2312"/>
          <w:b/>
          <w:bCs/>
          <w:kern w:val="2"/>
          <w:sz w:val="32"/>
          <w:szCs w:val="32"/>
          <w:vertAlign w:val="baseline"/>
          <w:lang w:val="en-US" w:eastAsia="zh-CN" w:bidi="ar"/>
        </w:rPr>
        <w:t>（二）优化法律服务。</w:t>
      </w:r>
      <w:r>
        <w:rPr>
          <w:rFonts w:hint="eastAsia" w:ascii="仿宋" w:hAnsi="仿宋" w:eastAsia="仿宋" w:cs="仿宋"/>
          <w:kern w:val="2"/>
          <w:sz w:val="32"/>
          <w:szCs w:val="32"/>
          <w:vertAlign w:val="baseline"/>
          <w:lang w:val="en-US" w:eastAsia="zh-CN" w:bidi="ar"/>
        </w:rPr>
        <w:t>根据“三重一大”议事规则，为推进</w:t>
      </w:r>
      <w:r>
        <w:rPr>
          <w:rFonts w:hint="eastAsia" w:ascii="仿宋" w:hAnsi="仿宋" w:eastAsia="仿宋" w:cs="仿宋"/>
          <w:b w:val="0"/>
          <w:bCs w:val="0"/>
          <w:kern w:val="0"/>
          <w:sz w:val="32"/>
          <w:szCs w:val="32"/>
          <w:vertAlign w:val="baseline"/>
          <w:lang w:val="en-US" w:eastAsia="zh-CN" w:bidi="ar"/>
        </w:rPr>
        <w:t>园区管委会</w:t>
      </w:r>
      <w:r>
        <w:rPr>
          <w:rFonts w:hint="eastAsia" w:ascii="仿宋" w:hAnsi="仿宋" w:eastAsia="仿宋" w:cs="仿宋"/>
          <w:kern w:val="2"/>
          <w:sz w:val="32"/>
          <w:szCs w:val="32"/>
          <w:vertAlign w:val="baseline"/>
          <w:lang w:val="en-US" w:eastAsia="zh-CN" w:bidi="ar"/>
        </w:rPr>
        <w:t>各项法律事务的顺利开展，加强内部风险防范，确保各项活动符合国家法律法规要求，以最大限度地预防法律纠纷，有效规避法律风险，园区管委会探索律所库成员单位分级管理工作，明确正向激励、违规惩戒、容错纠错等分级管理规则。通过对比，学习，借鉴，同时结合园区管委会实际，选取有资质、有能力、有担当的律所作为园区管委会的法律顾问，选强配强法律服务的“外脑”和“智库”。</w:t>
      </w:r>
    </w:p>
    <w:p w14:paraId="7B6AF33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3" w:firstLineChars="200"/>
        <w:jc w:val="both"/>
        <w:textAlignment w:val="baseline"/>
        <w:rPr>
          <w:rFonts w:hint="eastAsia" w:ascii="仿宋" w:hAnsi="仿宋" w:eastAsia="仿宋" w:cs="仿宋"/>
          <w:sz w:val="32"/>
          <w:szCs w:val="32"/>
        </w:rPr>
      </w:pPr>
      <w:r>
        <w:rPr>
          <w:rFonts w:hint="eastAsia" w:ascii="楷体_GB2312" w:hAnsi="楷体_GB2312" w:eastAsia="楷体_GB2312" w:cs="楷体_GB2312"/>
          <w:b/>
          <w:bCs/>
          <w:kern w:val="2"/>
          <w:sz w:val="32"/>
          <w:szCs w:val="32"/>
          <w:vertAlign w:val="baseline"/>
          <w:lang w:val="en-US" w:eastAsia="zh-CN" w:bidi="ar"/>
        </w:rPr>
        <w:t>（三）深化理论学习。</w:t>
      </w:r>
      <w:r>
        <w:rPr>
          <w:rFonts w:hint="eastAsia" w:ascii="仿宋" w:hAnsi="仿宋" w:eastAsia="仿宋" w:cs="仿宋"/>
          <w:kern w:val="2"/>
          <w:sz w:val="32"/>
          <w:szCs w:val="32"/>
          <w:vertAlign w:val="baseline"/>
          <w:lang w:val="en-US" w:eastAsia="zh-CN" w:bidi="ar"/>
        </w:rPr>
        <w:t>建立健全了领导干部带头学法、园区管委会小组集体学法、干部职工集体学法等制度。2024年以来共组织园区管委会领导班子学法、干部职工集体学法共3次，重点学习了习近平法治思想、《中华人民共和国民法典》《中华人民共和国宪法》《中华人民共和国反有组织犯罪法》《信访条例》《中华人民共和国安全生产法》《中华人民共和国环境保护法》等法律法规。</w:t>
      </w:r>
    </w:p>
    <w:p w14:paraId="58E9246B">
      <w:pPr>
        <w:keepNext w:val="0"/>
        <w:keepLines w:val="0"/>
        <w:pageBreakBefore w:val="0"/>
        <w:widowControl w:val="0"/>
        <w:suppressLineNumbers w:val="0"/>
        <w:wordWrap/>
        <w:overflowPunct/>
        <w:topLinePunct w:val="0"/>
        <w:autoSpaceDE w:val="0"/>
        <w:autoSpaceDN/>
        <w:bidi w:val="0"/>
        <w:adjustRightInd w:val="0"/>
        <w:snapToGrid w:val="0"/>
        <w:spacing w:before="0" w:beforeAutospacing="0" w:after="0" w:afterAutospacing="0" w:line="560" w:lineRule="exact"/>
        <w:ind w:left="0" w:leftChars="0" w:right="0" w:firstLine="643" w:firstLineChars="200"/>
        <w:jc w:val="left"/>
        <w:rPr>
          <w:rFonts w:hint="eastAsia" w:ascii="仿宋" w:hAnsi="仿宋" w:eastAsia="仿宋" w:cs="仿宋"/>
          <w:sz w:val="32"/>
          <w:szCs w:val="32"/>
        </w:rPr>
      </w:pPr>
      <w:r>
        <w:rPr>
          <w:rFonts w:hint="eastAsia" w:ascii="楷体_GB2312" w:hAnsi="楷体_GB2312" w:eastAsia="楷体_GB2312" w:cs="楷体_GB2312"/>
          <w:b/>
          <w:bCs/>
          <w:kern w:val="2"/>
          <w:sz w:val="32"/>
          <w:szCs w:val="32"/>
          <w:vertAlign w:val="baseline"/>
          <w:lang w:val="en-US" w:eastAsia="zh-CN" w:bidi="ar"/>
        </w:rPr>
        <w:t>（四）强化监督落实。</w:t>
      </w:r>
      <w:r>
        <w:rPr>
          <w:rFonts w:hint="eastAsia" w:ascii="仿宋" w:hAnsi="仿宋" w:eastAsia="仿宋" w:cs="仿宋"/>
          <w:kern w:val="2"/>
          <w:sz w:val="32"/>
          <w:szCs w:val="32"/>
          <w:lang w:val="en-US" w:eastAsia="zh-CN" w:bidi="ar"/>
        </w:rPr>
        <w:t>完善考核机制，建立失职追责体制，以制度保障工作推进落实，一以贯之持续从严，从严抓思想教育，从严抓作风建设，从严抓执纪问责。从源头上推进法治建设，以法治举措安商护商，将法治思维与底线思维相结合，始终以突出重点抓落实，系统集成抓落实，求真务实抓落实，敢做善为抓落实。</w:t>
      </w:r>
    </w:p>
    <w:p w14:paraId="0FC6C70E">
      <w:pPr>
        <w:pStyle w:val="3"/>
        <w:keepNext w:val="0"/>
        <w:keepLines w:val="0"/>
        <w:pageBreakBefore w:val="0"/>
        <w:widowControl/>
        <w:suppressLineNumbers w:val="0"/>
        <w:wordWrap/>
        <w:overflowPunct/>
        <w:topLinePunct w:val="0"/>
        <w:bidi w:val="0"/>
        <w:spacing w:before="0" w:beforeAutospacing="0" w:after="0" w:afterAutospacing="0" w:line="560" w:lineRule="exact"/>
        <w:ind w:left="0" w:leftChars="0" w:right="0" w:firstLine="640" w:firstLineChars="200"/>
        <w:rPr>
          <w:rFonts w:hint="eastAsia" w:ascii="黑体" w:hAnsi="黑体" w:eastAsia="黑体" w:cs="黑体"/>
          <w:sz w:val="32"/>
          <w:szCs w:val="32"/>
        </w:rPr>
      </w:pPr>
      <w:r>
        <w:rPr>
          <w:rFonts w:hint="eastAsia" w:ascii="黑体" w:hAnsi="黑体" w:eastAsia="黑体" w:cs="黑体"/>
          <w:kern w:val="2"/>
          <w:sz w:val="32"/>
          <w:szCs w:val="32"/>
        </w:rPr>
        <w:t>四、2025年主要工作安排</w:t>
      </w:r>
    </w:p>
    <w:p w14:paraId="31864C8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0" w:firstLineChars="200"/>
        <w:jc w:val="both"/>
        <w:textAlignment w:val="baseline"/>
        <w:rPr>
          <w:rFonts w:hint="eastAsia" w:ascii="仿宋" w:hAnsi="仿宋" w:eastAsia="仿宋" w:cs="仿宋"/>
          <w:sz w:val="32"/>
          <w:szCs w:val="32"/>
        </w:rPr>
      </w:pPr>
      <w:r>
        <w:rPr>
          <w:rFonts w:hint="eastAsia" w:ascii="仿宋" w:hAnsi="仿宋" w:eastAsia="仿宋" w:cs="仿宋"/>
          <w:kern w:val="2"/>
          <w:sz w:val="32"/>
          <w:szCs w:val="32"/>
          <w:vertAlign w:val="baseline"/>
          <w:lang w:val="en-US" w:eastAsia="zh-CN" w:bidi="ar"/>
        </w:rPr>
        <w:t>2025年,安义高新园区管委会将继续深入推进法治政府建设，深入开展学法活动，明确专职责任工作人员，保证法治工作的有序开展；努力提高园区管委会干部人员素质，严格规范干部的依法履职行为，建立完善监督制约和责任追究机制，加强监督审查，确保合法、合规严格落实行政执法各项规定，提高整体履职水平。将法治宣传与工作实际有机结合，加强法治工作宣传力度，围绕法治工作的重点，积极开展法治宣传教育活动。</w:t>
      </w:r>
    </w:p>
    <w:p w14:paraId="1AF5EE6D">
      <w:pPr>
        <w:keepNext w:val="0"/>
        <w:keepLines w:val="0"/>
        <w:pageBreakBefore w:val="0"/>
        <w:widowControl w:val="0"/>
        <w:suppressLineNumbers w:val="0"/>
        <w:wordWrap/>
        <w:overflowPunct/>
        <w:topLinePunct w:val="0"/>
        <w:autoSpaceDE w:val="0"/>
        <w:autoSpaceDN/>
        <w:bidi w:val="0"/>
        <w:spacing w:before="0" w:beforeAutospacing="0" w:after="0" w:afterAutospacing="0" w:line="560" w:lineRule="exact"/>
        <w:ind w:left="0" w:leftChars="0" w:right="0" w:firstLine="643" w:firstLineChars="200"/>
        <w:jc w:val="left"/>
        <w:rPr>
          <w:rFonts w:hint="eastAsia" w:ascii="仿宋" w:hAnsi="仿宋" w:eastAsia="仿宋" w:cs="仿宋"/>
          <w:sz w:val="32"/>
          <w:szCs w:val="32"/>
        </w:rPr>
      </w:pPr>
      <w:r>
        <w:rPr>
          <w:rFonts w:hint="eastAsia" w:ascii="楷体_GB2312" w:hAnsi="楷体_GB2312" w:eastAsia="楷体_GB2312" w:cs="楷体_GB2312"/>
          <w:b/>
          <w:bCs/>
          <w:kern w:val="2"/>
          <w:sz w:val="32"/>
          <w:szCs w:val="32"/>
          <w:vertAlign w:val="baseline"/>
          <w:lang w:val="en-US" w:eastAsia="zh-CN" w:bidi="ar"/>
        </w:rPr>
        <w:t>一是加强部门联动，形成合力。</w:t>
      </w:r>
      <w:r>
        <w:rPr>
          <w:rFonts w:hint="eastAsia" w:ascii="仿宋" w:hAnsi="仿宋" w:eastAsia="仿宋" w:cs="仿宋"/>
          <w:color w:val="000000"/>
          <w:kern w:val="0"/>
          <w:sz w:val="32"/>
          <w:szCs w:val="32"/>
          <w:lang w:val="en-US" w:eastAsia="zh-CN" w:bidi="ar"/>
        </w:rPr>
        <w:t>一方面，加强与公检法司的职能部门的对接联系，在重要时间节点，合力开展法治建设，增强法治意识，筑牢法治举措，另一方面，精心组织干部学习，进一步提升干部能力和水平，查漏补缺，相互借鉴交流。</w:t>
      </w:r>
    </w:p>
    <w:p w14:paraId="61A86A96">
      <w:pPr>
        <w:keepNext w:val="0"/>
        <w:keepLines w:val="0"/>
        <w:pageBreakBefore w:val="0"/>
        <w:widowControl w:val="0"/>
        <w:suppressLineNumbers w:val="0"/>
        <w:wordWrap/>
        <w:overflowPunct/>
        <w:topLinePunct w:val="0"/>
        <w:autoSpaceDE w:val="0"/>
        <w:autoSpaceDN/>
        <w:bidi w:val="0"/>
        <w:spacing w:before="0" w:beforeAutospacing="0" w:after="0" w:afterAutospacing="0" w:line="560" w:lineRule="exact"/>
        <w:ind w:left="0" w:leftChars="0" w:right="0" w:firstLine="643" w:firstLineChars="200"/>
        <w:jc w:val="left"/>
        <w:rPr>
          <w:rFonts w:hint="eastAsia" w:ascii="仿宋" w:hAnsi="仿宋" w:eastAsia="仿宋" w:cs="仿宋"/>
          <w:sz w:val="32"/>
          <w:szCs w:val="32"/>
        </w:rPr>
      </w:pPr>
      <w:r>
        <w:rPr>
          <w:rFonts w:hint="eastAsia" w:ascii="楷体_GB2312" w:hAnsi="楷体_GB2312" w:eastAsia="楷体_GB2312" w:cs="楷体_GB2312"/>
          <w:b/>
          <w:bCs/>
          <w:kern w:val="2"/>
          <w:sz w:val="32"/>
          <w:szCs w:val="32"/>
          <w:vertAlign w:val="baseline"/>
          <w:lang w:val="en-US" w:eastAsia="zh-CN" w:bidi="ar"/>
        </w:rPr>
        <w:t>二是完善法律咨询帮助。</w:t>
      </w:r>
      <w:r>
        <w:rPr>
          <w:rFonts w:hint="eastAsia" w:ascii="仿宋" w:hAnsi="仿宋" w:eastAsia="仿宋" w:cs="仿宋"/>
          <w:color w:val="000000"/>
          <w:kern w:val="0"/>
          <w:sz w:val="32"/>
          <w:szCs w:val="32"/>
          <w:lang w:val="en-US" w:eastAsia="zh-CN" w:bidi="ar"/>
        </w:rPr>
        <w:t>采用线上“律兜”机器人24小时在线提供法律咨询，线下定期安排值班律师坐班制度，全力为园区企业及员工解答法律问题，普及法律知识，增强法治思维，提升法治水平，整体推进与重点牵引相结合，进一步推进法治政府、法治园区建设。</w:t>
      </w:r>
    </w:p>
    <w:p w14:paraId="582BF47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3" w:firstLineChars="200"/>
        <w:jc w:val="both"/>
        <w:textAlignment w:val="baseline"/>
        <w:rPr>
          <w:rFonts w:hint="eastAsia" w:ascii="仿宋" w:hAnsi="仿宋" w:eastAsia="仿宋" w:cs="仿宋"/>
          <w:sz w:val="32"/>
          <w:szCs w:val="32"/>
        </w:rPr>
      </w:pPr>
      <w:r>
        <w:rPr>
          <w:rFonts w:hint="eastAsia" w:ascii="楷体_GB2312" w:hAnsi="楷体_GB2312" w:eastAsia="楷体_GB2312" w:cs="楷体_GB2312"/>
          <w:b/>
          <w:bCs/>
          <w:kern w:val="2"/>
          <w:sz w:val="32"/>
          <w:szCs w:val="32"/>
          <w:vertAlign w:val="baseline"/>
          <w:lang w:val="en-US" w:eastAsia="zh-CN" w:bidi="ar"/>
        </w:rPr>
        <w:t>三是定期开展法律宣传。</w:t>
      </w:r>
      <w:r>
        <w:rPr>
          <w:rFonts w:hint="eastAsia" w:ascii="仿宋" w:hAnsi="仿宋" w:eastAsia="仿宋" w:cs="仿宋"/>
          <w:color w:val="000000"/>
          <w:kern w:val="0"/>
          <w:sz w:val="32"/>
          <w:szCs w:val="32"/>
          <w:vertAlign w:val="baseline"/>
          <w:lang w:val="en-US" w:eastAsia="zh-CN" w:bidi="ar"/>
        </w:rPr>
        <w:t>思想是行动的中枢，从根源上提高法治意识，规范用工，是预防矛盾纠纷的有效途径。园区将持续定期组织开展《中华人民共和国民法典》、《中华人民共和国法律援助法》等法律法规宣传讲座，积极开展送法进企业活动，</w:t>
      </w:r>
      <w:r>
        <w:rPr>
          <w:rFonts w:hint="eastAsia" w:ascii="仿宋" w:hAnsi="仿宋" w:eastAsia="仿宋" w:cs="仿宋"/>
          <w:kern w:val="2"/>
          <w:sz w:val="32"/>
          <w:szCs w:val="32"/>
          <w:vertAlign w:val="baseline"/>
          <w:lang w:val="en-US" w:eastAsia="zh-CN" w:bidi="ar"/>
        </w:rPr>
        <w:t>进一步提高普法精准性和实效性</w:t>
      </w:r>
      <w:r>
        <w:rPr>
          <w:rFonts w:hint="eastAsia" w:ascii="仿宋" w:hAnsi="仿宋" w:eastAsia="仿宋" w:cs="仿宋"/>
          <w:color w:val="000000"/>
          <w:kern w:val="0"/>
          <w:sz w:val="32"/>
          <w:szCs w:val="32"/>
          <w:vertAlign w:val="baseline"/>
          <w:lang w:val="en-US" w:eastAsia="zh-CN" w:bidi="ar"/>
        </w:rPr>
        <w:t>。</w:t>
      </w:r>
    </w:p>
    <w:p w14:paraId="718FAEA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leftChars="0" w:right="0" w:firstLine="640" w:firstLineChars="200"/>
        <w:jc w:val="right"/>
        <w:textAlignment w:val="baseline"/>
      </w:pPr>
      <w:bookmarkStart w:id="0" w:name="_GoBack"/>
      <w:bookmarkEnd w:id="0"/>
      <w:r>
        <w:rPr>
          <w:rFonts w:hint="eastAsia" w:ascii="仿宋" w:hAnsi="仿宋" w:eastAsia="仿宋" w:cs="仿宋"/>
          <w:color w:val="000000"/>
          <w:kern w:val="0"/>
          <w:sz w:val="32"/>
          <w:szCs w:val="32"/>
          <w:vertAlign w:val="baseline"/>
          <w:lang w:val="en-US" w:eastAsia="zh-CN" w:bidi="ar"/>
        </w:rPr>
        <w:t>2025年2月14日</w:t>
      </w:r>
    </w:p>
    <w:p w14:paraId="0832C5F1">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ind w:left="0" w:leftChars="0" w:firstLine="0" w:firstLineChars="0"/>
        <w:textAlignment w:val="baseline"/>
        <w:rPr>
          <w:rFonts w:hint="default" w:ascii="仿宋_GB2312" w:hAnsi="仿宋_GB2312" w:eastAsia="仿宋_GB2312" w:cs="仿宋_GB2312"/>
          <w:color w:val="auto"/>
          <w:sz w:val="32"/>
          <w:szCs w:val="32"/>
          <w:highlight w:val="none"/>
          <w:lang w:val="en-US" w:eastAsia="zh-CN"/>
        </w:rPr>
      </w:pPr>
    </w:p>
    <w:p w14:paraId="0BA42FD2">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textAlignment w:val="baseline"/>
        <w:rPr>
          <w:rFonts w:ascii="仿宋_GB2312" w:hAnsi="仿宋_GB2312" w:eastAsia="仿宋_GB2312" w:cs="仿宋_GB2312"/>
          <w:color w:val="auto"/>
          <w:sz w:val="32"/>
          <w:szCs w:val="32"/>
          <w:highlight w:val="none"/>
        </w:rPr>
      </w:pPr>
    </w:p>
    <w:p w14:paraId="25F886C7">
      <w:pPr>
        <w:pStyle w:val="7"/>
        <w:keepNext w:val="0"/>
        <w:keepLines w:val="0"/>
        <w:pageBreakBefore w:val="0"/>
        <w:widowControl w:val="0"/>
        <w:kinsoku/>
        <w:wordWrap/>
        <w:overflowPunct/>
        <w:topLinePunct w:val="0"/>
        <w:autoSpaceDE/>
        <w:autoSpaceDN/>
        <w:bidi w:val="0"/>
        <w:adjustRightInd/>
        <w:snapToGrid/>
        <w:spacing w:before="0" w:beforeAutospacing="0" w:after="0" w:line="240" w:lineRule="exact"/>
        <w:textAlignment w:val="baseline"/>
        <w:rPr>
          <w:rFonts w:ascii="仿宋_GB2312" w:hAnsi="仿宋_GB2312" w:eastAsia="仿宋_GB2312" w:cs="仿宋_GB2312"/>
          <w:color w:val="auto"/>
          <w:sz w:val="32"/>
          <w:szCs w:val="32"/>
          <w:highlight w:val="none"/>
        </w:rPr>
      </w:pPr>
    </w:p>
    <w:p w14:paraId="22BEC75D">
      <w:pPr>
        <w:rPr>
          <w:rFonts w:ascii="仿宋_GB2312" w:hAnsi="仿宋_GB2312" w:eastAsia="仿宋_GB2312" w:cs="仿宋_GB2312"/>
          <w:color w:val="auto"/>
          <w:sz w:val="32"/>
          <w:szCs w:val="32"/>
          <w:highlight w:val="none"/>
        </w:rPr>
      </w:pPr>
    </w:p>
    <w:p w14:paraId="4EFAC461">
      <w:pPr>
        <w:rPr>
          <w:rFonts w:ascii="仿宋_GB2312" w:hAnsi="仿宋_GB2312" w:eastAsia="仿宋_GB2312" w:cs="仿宋_GB2312"/>
          <w:color w:val="auto"/>
          <w:sz w:val="32"/>
          <w:szCs w:val="32"/>
          <w:highlight w:val="none"/>
        </w:rPr>
      </w:pPr>
    </w:p>
    <w:p w14:paraId="5B066906">
      <w:pPr>
        <w:rPr>
          <w:rFonts w:ascii="仿宋_GB2312" w:hAnsi="仿宋_GB2312" w:eastAsia="仿宋_GB2312" w:cs="仿宋_GB2312"/>
          <w:color w:val="auto"/>
          <w:sz w:val="32"/>
          <w:szCs w:val="32"/>
          <w:highlight w:val="none"/>
        </w:rPr>
      </w:pPr>
    </w:p>
    <w:p w14:paraId="59676CA8">
      <w:pPr>
        <w:rPr>
          <w:rFonts w:ascii="仿宋_GB2312" w:hAnsi="仿宋_GB2312" w:eastAsia="仿宋_GB2312" w:cs="仿宋_GB2312"/>
          <w:color w:val="auto"/>
          <w:sz w:val="32"/>
          <w:szCs w:val="32"/>
          <w:highlight w:val="none"/>
        </w:rPr>
      </w:pPr>
    </w:p>
    <w:p w14:paraId="06D1ACF8">
      <w:pPr>
        <w:rPr>
          <w:rFonts w:ascii="仿宋_GB2312" w:hAnsi="仿宋_GB2312" w:eastAsia="仿宋_GB2312" w:cs="仿宋_GB2312"/>
          <w:color w:val="auto"/>
          <w:sz w:val="32"/>
          <w:szCs w:val="32"/>
          <w:highlight w:val="none"/>
        </w:rPr>
      </w:pPr>
    </w:p>
    <w:p w14:paraId="22991811">
      <w:pPr>
        <w:rPr>
          <w:rFonts w:ascii="仿宋_GB2312" w:hAnsi="仿宋_GB2312" w:eastAsia="仿宋_GB2312" w:cs="仿宋_GB2312"/>
          <w:color w:val="auto"/>
          <w:sz w:val="32"/>
          <w:szCs w:val="32"/>
          <w:highlight w:val="none"/>
        </w:rPr>
      </w:pPr>
    </w:p>
    <w:p w14:paraId="5636E58B">
      <w:pPr>
        <w:rPr>
          <w:rFonts w:ascii="仿宋_GB2312" w:hAnsi="仿宋_GB2312" w:eastAsia="仿宋_GB2312" w:cs="仿宋_GB2312"/>
          <w:color w:val="auto"/>
          <w:sz w:val="32"/>
          <w:szCs w:val="32"/>
          <w:highlight w:val="none"/>
        </w:rPr>
      </w:pPr>
    </w:p>
    <w:p w14:paraId="6252EC03">
      <w:pPr>
        <w:rPr>
          <w:rFonts w:ascii="仿宋_GB2312" w:hAnsi="仿宋_GB2312" w:eastAsia="仿宋_GB2312" w:cs="仿宋_GB2312"/>
          <w:color w:val="auto"/>
          <w:sz w:val="32"/>
          <w:szCs w:val="32"/>
          <w:highlight w:val="none"/>
        </w:rPr>
      </w:pPr>
    </w:p>
    <w:p w14:paraId="2B21E85A">
      <w:pPr>
        <w:rPr>
          <w:rFonts w:ascii="仿宋_GB2312" w:hAnsi="仿宋_GB2312" w:eastAsia="仿宋_GB2312" w:cs="仿宋_GB2312"/>
          <w:color w:val="auto"/>
          <w:sz w:val="32"/>
          <w:szCs w:val="32"/>
          <w:highlight w:val="none"/>
        </w:rPr>
      </w:pPr>
    </w:p>
    <w:p w14:paraId="0FC804D2">
      <w:pPr>
        <w:rPr>
          <w:rFonts w:ascii="仿宋_GB2312" w:hAnsi="仿宋_GB2312" w:eastAsia="仿宋_GB2312" w:cs="仿宋_GB2312"/>
          <w:color w:val="auto"/>
          <w:sz w:val="32"/>
          <w:szCs w:val="32"/>
          <w:highlight w:val="none"/>
        </w:rPr>
      </w:pPr>
    </w:p>
    <w:p w14:paraId="1B06393D">
      <w:pPr>
        <w:rPr>
          <w:rFonts w:ascii="仿宋_GB2312" w:hAnsi="仿宋_GB2312" w:eastAsia="仿宋_GB2312" w:cs="仿宋_GB2312"/>
          <w:color w:val="auto"/>
          <w:sz w:val="32"/>
          <w:szCs w:val="32"/>
          <w:highlight w:val="none"/>
        </w:rPr>
      </w:pPr>
    </w:p>
    <w:p w14:paraId="53DE9D86">
      <w:pPr>
        <w:rPr>
          <w:rFonts w:ascii="仿宋_GB2312" w:hAnsi="仿宋_GB2312" w:eastAsia="仿宋_GB2312" w:cs="仿宋_GB2312"/>
          <w:color w:val="auto"/>
          <w:sz w:val="32"/>
          <w:szCs w:val="32"/>
          <w:highlight w:val="none"/>
        </w:rPr>
      </w:pPr>
    </w:p>
    <w:p w14:paraId="000C214E">
      <w:pPr>
        <w:rPr>
          <w:rFonts w:ascii="仿宋_GB2312" w:hAnsi="仿宋_GB2312" w:eastAsia="仿宋_GB2312" w:cs="仿宋_GB2312"/>
          <w:color w:val="auto"/>
          <w:sz w:val="32"/>
          <w:szCs w:val="32"/>
          <w:highlight w:val="none"/>
        </w:rPr>
      </w:pPr>
    </w:p>
    <w:p w14:paraId="3B45B970">
      <w:pPr>
        <w:rPr>
          <w:rFonts w:ascii="仿宋_GB2312" w:hAnsi="仿宋_GB2312" w:eastAsia="仿宋_GB2312" w:cs="仿宋_GB2312"/>
          <w:color w:val="auto"/>
          <w:sz w:val="32"/>
          <w:szCs w:val="32"/>
          <w:highlight w:val="none"/>
        </w:rPr>
      </w:pPr>
    </w:p>
    <w:p w14:paraId="5B20E793">
      <w:pPr>
        <w:rPr>
          <w:rFonts w:ascii="仿宋_GB2312" w:hAnsi="仿宋_GB2312" w:eastAsia="仿宋_GB2312" w:cs="仿宋_GB2312"/>
          <w:color w:val="auto"/>
          <w:sz w:val="32"/>
          <w:szCs w:val="32"/>
          <w:highlight w:val="none"/>
        </w:rPr>
      </w:pPr>
    </w:p>
    <w:p w14:paraId="76C66C07">
      <w:pPr>
        <w:rPr>
          <w:rFonts w:ascii="仿宋_GB2312" w:hAnsi="仿宋_GB2312" w:eastAsia="仿宋_GB2312" w:cs="仿宋_GB2312"/>
          <w:color w:val="auto"/>
          <w:sz w:val="32"/>
          <w:szCs w:val="32"/>
          <w:highlight w:val="none"/>
        </w:rPr>
      </w:pPr>
    </w:p>
    <w:p w14:paraId="60E0798C">
      <w:pPr>
        <w:rPr>
          <w:rFonts w:ascii="仿宋_GB2312" w:hAnsi="仿宋_GB2312" w:eastAsia="仿宋_GB2312" w:cs="仿宋_GB2312"/>
          <w:color w:val="auto"/>
          <w:sz w:val="32"/>
          <w:szCs w:val="32"/>
          <w:highlight w:val="none"/>
        </w:rPr>
      </w:pPr>
    </w:p>
    <w:p w14:paraId="0CFB361F">
      <w:pPr>
        <w:rPr>
          <w:rFonts w:ascii="仿宋_GB2312" w:hAnsi="仿宋_GB2312" w:eastAsia="仿宋_GB2312" w:cs="仿宋_GB2312"/>
          <w:color w:val="auto"/>
          <w:sz w:val="32"/>
          <w:szCs w:val="32"/>
          <w:highlight w:val="none"/>
        </w:rPr>
      </w:pPr>
    </w:p>
    <w:p w14:paraId="0B3ADA31">
      <w:pPr>
        <w:rPr>
          <w:rFonts w:ascii="仿宋_GB2312" w:hAnsi="仿宋_GB2312" w:eastAsia="仿宋_GB2312" w:cs="仿宋_GB2312"/>
          <w:color w:val="auto"/>
          <w:sz w:val="32"/>
          <w:szCs w:val="32"/>
          <w:highlight w:val="none"/>
        </w:rPr>
      </w:pPr>
    </w:p>
    <w:p w14:paraId="05431A33">
      <w:pPr>
        <w:rPr>
          <w:rFonts w:ascii="仿宋_GB2312" w:hAnsi="仿宋_GB2312" w:eastAsia="仿宋_GB2312" w:cs="仿宋_GB2312"/>
          <w:color w:val="auto"/>
          <w:sz w:val="32"/>
          <w:szCs w:val="32"/>
          <w:highlight w:val="none"/>
        </w:rPr>
      </w:pPr>
    </w:p>
    <w:p w14:paraId="129D0229">
      <w:pPr>
        <w:rPr>
          <w:rFonts w:ascii="仿宋_GB2312" w:hAnsi="仿宋_GB2312" w:eastAsia="仿宋_GB2312" w:cs="仿宋_GB2312"/>
          <w:color w:val="auto"/>
          <w:sz w:val="32"/>
          <w:szCs w:val="32"/>
          <w:highlight w:val="none"/>
        </w:rPr>
      </w:pPr>
    </w:p>
    <w:p w14:paraId="7C9DB3AA">
      <w:pPr>
        <w:rPr>
          <w:rFonts w:ascii="仿宋_GB2312" w:hAnsi="仿宋_GB2312" w:eastAsia="仿宋_GB2312" w:cs="仿宋_GB2312"/>
          <w:color w:val="auto"/>
          <w:sz w:val="32"/>
          <w:szCs w:val="32"/>
          <w:highlight w:val="none"/>
        </w:rPr>
      </w:pPr>
    </w:p>
    <w:p w14:paraId="08AE52C0">
      <w:pPr>
        <w:rPr>
          <w:rFonts w:ascii="仿宋_GB2312" w:hAnsi="仿宋_GB2312" w:eastAsia="仿宋_GB2312" w:cs="仿宋_GB2312"/>
          <w:color w:val="auto"/>
          <w:sz w:val="32"/>
          <w:szCs w:val="32"/>
          <w:highlight w:val="none"/>
        </w:rPr>
      </w:pPr>
    </w:p>
    <w:p w14:paraId="028F4B73">
      <w:pPr>
        <w:rPr>
          <w:rFonts w:ascii="仿宋_GB2312" w:hAnsi="仿宋_GB2312" w:eastAsia="仿宋_GB2312" w:cs="仿宋_GB2312"/>
          <w:color w:val="auto"/>
          <w:sz w:val="32"/>
          <w:szCs w:val="32"/>
          <w:highlight w:val="none"/>
        </w:rPr>
      </w:pPr>
    </w:p>
    <w:p w14:paraId="0400114D">
      <w:pPr>
        <w:rPr>
          <w:rFonts w:ascii="仿宋_GB2312" w:hAnsi="仿宋_GB2312" w:eastAsia="仿宋_GB2312" w:cs="仿宋_GB2312"/>
          <w:color w:val="auto"/>
          <w:sz w:val="32"/>
          <w:szCs w:val="32"/>
          <w:highlight w:val="none"/>
        </w:rPr>
      </w:pPr>
    </w:p>
    <w:p w14:paraId="1660D9D1">
      <w:pPr>
        <w:rPr>
          <w:rFonts w:ascii="仿宋_GB2312" w:hAnsi="仿宋_GB2312" w:eastAsia="仿宋_GB2312" w:cs="仿宋_GB2312"/>
          <w:color w:val="auto"/>
          <w:sz w:val="32"/>
          <w:szCs w:val="32"/>
          <w:highlight w:val="none"/>
        </w:rPr>
      </w:pPr>
    </w:p>
    <w:p w14:paraId="61EF74E4">
      <w:pPr>
        <w:rPr>
          <w:rFonts w:ascii="仿宋_GB2312" w:hAnsi="仿宋_GB2312" w:eastAsia="仿宋_GB2312" w:cs="仿宋_GB2312"/>
          <w:color w:val="auto"/>
          <w:sz w:val="32"/>
          <w:szCs w:val="32"/>
          <w:highlight w:val="none"/>
        </w:rPr>
      </w:pPr>
    </w:p>
    <w:p w14:paraId="18AA0CE8">
      <w:pPr>
        <w:rPr>
          <w:rFonts w:ascii="仿宋_GB2312" w:hAnsi="仿宋_GB2312" w:eastAsia="仿宋_GB2312" w:cs="仿宋_GB2312"/>
          <w:color w:val="auto"/>
          <w:sz w:val="32"/>
          <w:szCs w:val="32"/>
          <w:highlight w:val="none"/>
        </w:rPr>
      </w:pPr>
    </w:p>
    <w:p w14:paraId="457CDD35">
      <w:pPr>
        <w:pBdr>
          <w:top w:val="single" w:color="auto" w:sz="6" w:space="1"/>
          <w:bottom w:val="single" w:color="auto" w:sz="6" w:space="1"/>
        </w:pBdr>
        <w:spacing w:line="400" w:lineRule="exact"/>
        <w:ind w:firstLine="140" w:firstLineChars="50"/>
        <w:jc w:val="both"/>
        <w:rPr>
          <w:rFonts w:hint="eastAsia" w:ascii="仿宋_GB2312" w:eastAsia="仿宋_GB2312"/>
          <w:sz w:val="28"/>
          <w:szCs w:val="28"/>
          <w:lang w:eastAsia="zh-CN"/>
        </w:rPr>
      </w:pPr>
      <w:r>
        <w:rPr>
          <w:rFonts w:hint="eastAsia" w:ascii="仿宋_GB2312" w:eastAsia="仿宋_GB2312"/>
          <w:sz w:val="28"/>
          <w:szCs w:val="28"/>
          <w:lang w:val="en-US" w:eastAsia="zh-CN"/>
        </w:rPr>
        <w:t>抄送：县委全面依法治县办</w:t>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 </w:t>
      </w:r>
    </w:p>
    <w:p w14:paraId="1F7FF85C">
      <w:pPr>
        <w:adjustRightInd/>
        <w:spacing w:line="400" w:lineRule="exact"/>
        <w:jc w:val="both"/>
        <w:textAlignment w:val="auto"/>
        <w:rPr>
          <w:rFonts w:hint="eastAsia" w:ascii="方正小标宋简体" w:hAnsi="方正小标宋简体" w:eastAsia="方正小标宋简体" w:cs="方正小标宋简体"/>
          <w:sz w:val="44"/>
          <w:szCs w:val="44"/>
          <w:lang w:val="en-US" w:eastAsia="zh-CN"/>
        </w:rPr>
      </w:pPr>
      <w:r>
        <w:rPr>
          <w:rFonts w:hint="eastAsia" w:ascii="仿宋_GB2312" w:hAnsi="仿宋_GB2312" w:eastAsia="仿宋_GB2312" w:cs="仿宋_GB2312"/>
          <w:kern w:val="2"/>
          <w:sz w:val="28"/>
          <w:szCs w:val="28"/>
          <w:lang w:val="en-US" w:eastAsia="zh-CN"/>
        </w:rPr>
        <w:t>江西安义高新技术产业园区管理委员会</w:t>
      </w:r>
      <w:r>
        <w:rPr>
          <w:rFonts w:hint="eastAsia" w:ascii="仿宋_GB2312" w:hAnsi="仿宋_GB2312" w:eastAsia="仿宋_GB2312" w:cs="仿宋_GB2312"/>
          <w:sz w:val="28"/>
          <w:szCs w:val="28"/>
          <w:lang w:val="en-US" w:eastAsia="zh-CN"/>
        </w:rPr>
        <w:t xml:space="preserve">            2025年2月14日印发</w:t>
      </w:r>
      <w:r>
        <w:rPr>
          <w:rFonts w:hint="eastAsia" w:ascii="仿宋_GB2312" w:eastAsia="仿宋_GB2312"/>
          <w:sz w:val="28"/>
          <w:szCs w:val="28"/>
          <w:lang w:val="en-US" w:eastAsia="zh-CN"/>
        </w:rPr>
        <w:t xml:space="preserve"> </w:t>
      </w:r>
      <w:r>
        <w:rPr>
          <w:rFonts w:hint="eastAsia" w:ascii="仿宋_GB2312" w:eastAsia="仿宋_GB2312"/>
          <w:kern w:val="2"/>
          <w:sz w:val="28"/>
          <w:szCs w:val="28"/>
          <w:lang w:val="en-US" w:eastAsia="zh-CN"/>
        </w:rPr>
        <w:t xml:space="preserve">    </w:t>
      </w:r>
    </w:p>
    <w:p w14:paraId="60F5868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00" w:lineRule="exact"/>
        <w:jc w:val="both"/>
        <w:textAlignment w:val="auto"/>
        <w:rPr>
          <w:rFonts w:hint="default" w:ascii="仿宋_GB2312" w:eastAsia="仿宋_GB2312"/>
          <w:sz w:val="28"/>
          <w:szCs w:val="28"/>
          <w:u w:val="single"/>
          <w:lang w:val="en-US" w:eastAsia="zh-CN"/>
        </w:rPr>
      </w:pPr>
      <w:r>
        <w:rPr>
          <w:rFonts w:hint="eastAsia" w:ascii="仿宋_GB2312" w:eastAsia="仿宋_GB2312"/>
          <w:sz w:val="28"/>
          <w:szCs w:val="28"/>
          <w:u w:val="single"/>
          <w:lang w:val="en-US" w:eastAsia="zh-CN"/>
        </w:rPr>
        <w:t xml:space="preserve">                                                                  </w:t>
      </w:r>
    </w:p>
    <w:p w14:paraId="71068CAB"/>
    <w:sectPr>
      <w:footerReference r:id="rId3" w:type="default"/>
      <w:pgSz w:w="11906" w:h="16838"/>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FB7255-888B-4369-83AD-1F7DD69A252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2" w:fontKey="{52D121E1-9A2B-452C-B33F-B4252D0BB429}"/>
  </w:font>
  <w:font w:name="仿宋_GB2312">
    <w:panose1 w:val="02010609030101010101"/>
    <w:charset w:val="86"/>
    <w:family w:val="auto"/>
    <w:pitch w:val="default"/>
    <w:sig w:usb0="00000001" w:usb1="080E0000" w:usb2="00000000" w:usb3="00000000" w:csb0="00040000" w:csb1="00000000"/>
    <w:embedRegular r:id="rId3" w:fontKey="{4A122038-D53F-422B-9B16-56593AE28071}"/>
  </w:font>
  <w:font w:name="方正楷体_GB2312">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embedRegular r:id="rId4" w:fontKey="{707F522F-CC01-4432-A053-66936556B9AC}"/>
  </w:font>
  <w:font w:name="仿宋">
    <w:panose1 w:val="02010609060101010101"/>
    <w:charset w:val="86"/>
    <w:family w:val="auto"/>
    <w:pitch w:val="default"/>
    <w:sig w:usb0="800002BF" w:usb1="38CF7CFA" w:usb2="00000016" w:usb3="00000000" w:csb0="00040001" w:csb1="00000000"/>
    <w:embedRegular r:id="rId5" w:fontKey="{EB421357-3F82-4DFA-8F99-6F3F5022E9CB}"/>
  </w:font>
  <w:font w:name="华文行楷">
    <w:panose1 w:val="02010800040101010101"/>
    <w:charset w:val="86"/>
    <w:family w:val="auto"/>
    <w:pitch w:val="default"/>
    <w:sig w:usb0="00000001" w:usb1="080F0000" w:usb2="00000000" w:usb3="00000000" w:csb0="00040000" w:csb1="00000000"/>
  </w:font>
  <w:font w:name="汉仪中黑 197">
    <w:panose1 w:val="00020600040101010101"/>
    <w:charset w:val="86"/>
    <w:family w:val="auto"/>
    <w:pitch w:val="default"/>
    <w:sig w:usb0="A00002BF" w:usb1="18EF7C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A6ED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570CA">
                          <w:pPr>
                            <w:pStyle w:val="2"/>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A570CA">
                    <w:pPr>
                      <w:pStyle w:val="2"/>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434086"/>
    <w:rsid w:val="003C3784"/>
    <w:rsid w:val="01CE57B8"/>
    <w:rsid w:val="097F383C"/>
    <w:rsid w:val="0A4A00BE"/>
    <w:rsid w:val="104F4BF6"/>
    <w:rsid w:val="118B5473"/>
    <w:rsid w:val="17125CEF"/>
    <w:rsid w:val="18D30D08"/>
    <w:rsid w:val="1FBF2159"/>
    <w:rsid w:val="22D444AB"/>
    <w:rsid w:val="266657A4"/>
    <w:rsid w:val="2AB81ABF"/>
    <w:rsid w:val="325925CC"/>
    <w:rsid w:val="3686481C"/>
    <w:rsid w:val="36FB42B6"/>
    <w:rsid w:val="37434086"/>
    <w:rsid w:val="458B103A"/>
    <w:rsid w:val="4B7613D3"/>
    <w:rsid w:val="51FE0D6E"/>
    <w:rsid w:val="56FA4243"/>
    <w:rsid w:val="5AC93EE4"/>
    <w:rsid w:val="5EA9307C"/>
    <w:rsid w:val="6A0438CD"/>
    <w:rsid w:val="71437EA2"/>
    <w:rsid w:val="746E5488"/>
    <w:rsid w:val="78774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uiPriority w:val="0"/>
    <w:rPr>
      <w:sz w:val="24"/>
    </w:rPr>
  </w:style>
  <w:style w:type="paragraph" w:styleId="4">
    <w:name w:val="Body Text First Indent 2"/>
    <w:basedOn w:val="1"/>
    <w:next w:val="1"/>
    <w:qFormat/>
    <w:uiPriority w:val="0"/>
    <w:pPr>
      <w:spacing w:after="0"/>
      <w:ind w:left="0" w:leftChars="0" w:firstLine="420" w:firstLineChars="200"/>
    </w:pPr>
    <w:rPr>
      <w:rFonts w:ascii="Calibri" w:hAnsi="Calibri" w:eastAsia="宋体" w:cs="Times New Roman"/>
      <w:sz w:val="28"/>
      <w:szCs w:val="24"/>
    </w:rPr>
  </w:style>
  <w:style w:type="paragraph" w:customStyle="1" w:styleId="7">
    <w:name w:val="BodyText1I"/>
    <w:basedOn w:val="8"/>
    <w:qFormat/>
    <w:uiPriority w:val="99"/>
    <w:pPr>
      <w:ind w:firstLine="420" w:firstLineChars="100"/>
    </w:pPr>
    <w:rPr>
      <w:rFonts w:ascii="Times New Roman" w:hAnsi="Times New Roman"/>
    </w:rPr>
  </w:style>
  <w:style w:type="paragraph" w:customStyle="1" w:styleId="8">
    <w:name w:val="BodyText"/>
    <w:basedOn w:val="1"/>
    <w:next w:val="9"/>
    <w:qFormat/>
    <w:uiPriority w:val="99"/>
    <w:pPr>
      <w:spacing w:before="100" w:beforeAutospacing="1" w:after="120"/>
      <w:textAlignment w:val="baseline"/>
    </w:pPr>
  </w:style>
  <w:style w:type="paragraph" w:customStyle="1" w:styleId="9">
    <w:name w:val="180"/>
    <w:basedOn w:val="1"/>
    <w:next w:val="1"/>
    <w:qFormat/>
    <w:uiPriority w:val="99"/>
    <w:pPr>
      <w:spacing w:before="200" w:after="160"/>
      <w:ind w:left="864" w:right="864"/>
      <w:jc w:val="center"/>
      <w:textAlignment w:val="baseline"/>
    </w:pPr>
    <w:rPr>
      <w:rFonts w:eastAsia="微软雅黑"/>
      <w: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2738</Words>
  <Characters>2799</Characters>
  <Lines>0</Lines>
  <Paragraphs>0</Paragraphs>
  <TotalTime>48</TotalTime>
  <ScaleCrop>false</ScaleCrop>
  <LinksUpToDate>false</LinksUpToDate>
  <CharactersWithSpaces>2896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2025-02-06T03:55:00Z</dcterms:created>
  <dc:creator>Young</dc:creator>
  <cp:lastModifiedBy>风儿</cp:lastModifiedBy>
  <dcterms:modified xsi:type="dcterms:W3CDTF">2025-02-17T06:53:34Z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eyJoZGlkIjoiNmFlZGE5M2UwNTA0YmY4NGRjZTE4NTA3MDU5MzdhZTkiLCJ1c2VySWQiOiI4MjAwNzg5MDkifQ==</vt:lpwstr>
  </property>
  <property fmtid="{D5CDD505-2E9C-101B-9397-08002B2CF9AE}" pid="4" name="ICV">
    <vt:lpwstr>1446D40E639E4554A04222E950783B3E_12</vt:lpwstr>
  </property>
</Properties>
</file>