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</w:pPr>
      <w:bookmarkStart w:id="0" w:name="_GoBack"/>
      <w:bookmarkEnd w:id="0"/>
    </w:p>
    <w:p>
      <w:pPr>
        <w:pStyle w:val="2"/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</w:pPr>
    </w:p>
    <w:p>
      <w:pPr>
        <w:pStyle w:val="3"/>
        <w:rPr>
          <w:rFonts w:hint="eastAsia"/>
        </w:rPr>
      </w:pPr>
    </w:p>
    <w:p>
      <w:pPr>
        <w:spacing w:line="500" w:lineRule="exact"/>
        <w:jc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  <w:t>项目支出绩效自评表</w:t>
      </w:r>
    </w:p>
    <w:p>
      <w:pPr>
        <w:spacing w:line="500" w:lineRule="exact"/>
        <w:jc w:val="center"/>
        <w:rPr>
          <w:rFonts w:hint="default" w:ascii="楷体_GB2312" w:hAnsi="楷体_GB2312" w:eastAsia="楷体_GB2312" w:cs="楷体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28"/>
          <w:szCs w:val="28"/>
          <w:lang w:val="en-US" w:eastAsia="zh-CN"/>
        </w:rPr>
        <w:t xml:space="preserve">                       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28"/>
          <w:szCs w:val="28"/>
        </w:rPr>
        <w:t>（202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28"/>
          <w:szCs w:val="28"/>
        </w:rPr>
        <w:t>年度）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20"/>
          <w:szCs w:val="20"/>
          <w:lang w:val="en-US" w:eastAsia="zh-CN"/>
        </w:rPr>
        <w:t>单位：万元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28"/>
          <w:szCs w:val="28"/>
          <w:lang w:val="en-US" w:eastAsia="zh-CN"/>
        </w:rPr>
        <w:t xml:space="preserve">               </w:t>
      </w:r>
    </w:p>
    <w:tbl>
      <w:tblPr>
        <w:tblStyle w:val="8"/>
        <w:tblW w:w="100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870"/>
        <w:gridCol w:w="1531"/>
        <w:gridCol w:w="838"/>
        <w:gridCol w:w="1244"/>
        <w:gridCol w:w="381"/>
        <w:gridCol w:w="803"/>
        <w:gridCol w:w="92"/>
        <w:gridCol w:w="1134"/>
        <w:gridCol w:w="567"/>
        <w:gridCol w:w="580"/>
        <w:gridCol w:w="709"/>
        <w:gridCol w:w="6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jc w:val="center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项目名称</w:t>
            </w:r>
          </w:p>
        </w:tc>
        <w:tc>
          <w:tcPr>
            <w:tcW w:w="85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lang w:val="en-US" w:eastAsia="zh-CN"/>
              </w:rPr>
              <w:t>其他教育支出项目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jc w:val="center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主管部门</w:t>
            </w:r>
          </w:p>
        </w:tc>
        <w:tc>
          <w:tcPr>
            <w:tcW w:w="48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安义县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lang w:eastAsia="zh-CN"/>
              </w:rPr>
              <w:t>石鼻镇人民政府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实施单位</w:t>
            </w:r>
          </w:p>
        </w:tc>
        <w:tc>
          <w:tcPr>
            <w:tcW w:w="24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right="-63" w:rightChars="-30"/>
              <w:jc w:val="both"/>
              <w:rPr>
                <w:rFonts w:hint="eastAsia" w:ascii="黑体" w:hAnsi="黑体" w:eastAsia="黑体" w:cs="黑体"/>
                <w:color w:val="000000"/>
                <w:kern w:val="0"/>
                <w:sz w:val="20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lang w:eastAsia="zh-CN"/>
              </w:rPr>
              <w:t>石鼻镇人民政府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5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项目资金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（万元）</w:t>
            </w:r>
          </w:p>
        </w:tc>
        <w:tc>
          <w:tcPr>
            <w:tcW w:w="2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年初预算数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全年预算数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全年执行数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分值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执行率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jc w:val="center"/>
        </w:trPr>
        <w:tc>
          <w:tcPr>
            <w:tcW w:w="15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2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年度资金总额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lang w:val="en-US" w:eastAsia="zh-CN"/>
              </w:rPr>
              <w:t>3000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lang w:val="en-US" w:eastAsia="zh-CN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lang w:val="en-US" w:eastAsia="zh-CN"/>
              </w:rPr>
              <w:t>3000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100%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5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2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其中：当年财政拨款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lang w:val="en-US" w:eastAsia="zh-CN"/>
              </w:rPr>
              <w:t>3000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lang w:val="en-US" w:eastAsia="zh-CN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lang w:val="en-US" w:eastAsia="zh-CN"/>
              </w:rPr>
              <w:t>3000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—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100%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5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2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 xml:space="preserve">      上年结转资金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—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-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jc w:val="center"/>
        </w:trPr>
        <w:tc>
          <w:tcPr>
            <w:tcW w:w="15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2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 xml:space="preserve">  其他资金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—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-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jc w:val="center"/>
        </w:trPr>
        <w:tc>
          <w:tcPr>
            <w:tcW w:w="6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年度总体目标</w:t>
            </w:r>
          </w:p>
        </w:tc>
        <w:tc>
          <w:tcPr>
            <w:tcW w:w="575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预期目标</w:t>
            </w:r>
          </w:p>
        </w:tc>
        <w:tc>
          <w:tcPr>
            <w:tcW w:w="362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exact"/>
          <w:jc w:val="center"/>
        </w:trPr>
        <w:tc>
          <w:tcPr>
            <w:tcW w:w="6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575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用于改善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lang w:eastAsia="zh-CN"/>
              </w:rPr>
              <w:t>学校</w:t>
            </w:r>
            <w:r>
              <w:rPr>
                <w:rFonts w:ascii="黑体" w:hAnsi="黑体" w:eastAsia="黑体" w:cs="黑体"/>
                <w:color w:val="000000"/>
                <w:kern w:val="0"/>
                <w:sz w:val="20"/>
              </w:rPr>
              <w:t>的办学条件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，给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lang w:eastAsia="zh-CN"/>
              </w:rPr>
              <w:t>学生</w:t>
            </w:r>
            <w:r>
              <w:rPr>
                <w:rFonts w:ascii="黑体" w:hAnsi="黑体" w:eastAsia="黑体" w:cs="黑体"/>
                <w:color w:val="000000"/>
                <w:kern w:val="0"/>
                <w:sz w:val="20"/>
              </w:rPr>
              <w:t>一个温馨、舒适的教学环境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。</w:t>
            </w:r>
          </w:p>
        </w:tc>
        <w:tc>
          <w:tcPr>
            <w:tcW w:w="362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用于改善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lang w:eastAsia="zh-CN"/>
              </w:rPr>
              <w:t>学校</w:t>
            </w:r>
            <w:r>
              <w:rPr>
                <w:rFonts w:ascii="黑体" w:hAnsi="黑体" w:eastAsia="黑体" w:cs="黑体"/>
                <w:color w:val="000000"/>
                <w:kern w:val="0"/>
                <w:sz w:val="20"/>
              </w:rPr>
              <w:t>的办学条件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，给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lang w:eastAsia="zh-CN"/>
              </w:rPr>
              <w:t>学生</w:t>
            </w:r>
            <w:r>
              <w:rPr>
                <w:rFonts w:ascii="黑体" w:hAnsi="黑体" w:eastAsia="黑体" w:cs="黑体"/>
                <w:color w:val="000000"/>
                <w:kern w:val="0"/>
                <w:sz w:val="20"/>
              </w:rPr>
              <w:t>一个温馨、舒适的教学环境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exact"/>
          <w:jc w:val="center"/>
        </w:trPr>
        <w:tc>
          <w:tcPr>
            <w:tcW w:w="67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绩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效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标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一级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二级指标</w:t>
            </w:r>
          </w:p>
        </w:tc>
        <w:tc>
          <w:tcPr>
            <w:tcW w:w="2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三级指标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年度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指标值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实际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完成值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分值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得分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87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产出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(50分）</w:t>
            </w:r>
          </w:p>
        </w:tc>
        <w:tc>
          <w:tcPr>
            <w:tcW w:w="15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数量指标</w:t>
            </w:r>
          </w:p>
        </w:tc>
        <w:tc>
          <w:tcPr>
            <w:tcW w:w="2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left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指标1：建设工程完成度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=100%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=100%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8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质量指标</w:t>
            </w:r>
          </w:p>
        </w:tc>
        <w:tc>
          <w:tcPr>
            <w:tcW w:w="24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left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指标1：工程验收合格率</w:t>
            </w:r>
          </w:p>
        </w:tc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=100%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=100%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exact"/>
          <w:jc w:val="center"/>
        </w:trPr>
        <w:tc>
          <w:tcPr>
            <w:tcW w:w="6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8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时效指标</w:t>
            </w:r>
          </w:p>
        </w:tc>
        <w:tc>
          <w:tcPr>
            <w:tcW w:w="2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left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指标1：及时完成性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≥100%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≥100%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8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成本指标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2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left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指标1：成本控制率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≤100%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≤100%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87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效益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(45分）</w:t>
            </w:r>
          </w:p>
        </w:tc>
        <w:tc>
          <w:tcPr>
            <w:tcW w:w="15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经济效益指标</w:t>
            </w:r>
          </w:p>
        </w:tc>
        <w:tc>
          <w:tcPr>
            <w:tcW w:w="2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left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指标1：改善群众生活条件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≥100%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≥100%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8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社会效益指标</w:t>
            </w:r>
          </w:p>
        </w:tc>
        <w:tc>
          <w:tcPr>
            <w:tcW w:w="2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left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指标1：社会文明素养水平提升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=100%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=100%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8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生态效益指标</w:t>
            </w:r>
          </w:p>
        </w:tc>
        <w:tc>
          <w:tcPr>
            <w:tcW w:w="2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left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指标1：人居环境改善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=100%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=100%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exact"/>
          <w:jc w:val="center"/>
        </w:trPr>
        <w:tc>
          <w:tcPr>
            <w:tcW w:w="6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8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可持续影响指标</w:t>
            </w:r>
          </w:p>
        </w:tc>
        <w:tc>
          <w:tcPr>
            <w:tcW w:w="2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left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指标1：建立群众自发维护管理机制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=100%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=100%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ascii="黑体" w:hAnsi="黑体" w:eastAsia="黑体" w:cs="黑体"/>
                <w:color w:val="000000"/>
                <w:kern w:val="0"/>
                <w:sz w:val="20"/>
              </w:rPr>
              <w:t>5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left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后续维护管理工作仍需加强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  <w:jc w:val="center"/>
        </w:trPr>
        <w:tc>
          <w:tcPr>
            <w:tcW w:w="6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  <w:tc>
          <w:tcPr>
            <w:tcW w:w="870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满意度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</w:t>
            </w:r>
          </w:p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(15分）</w:t>
            </w:r>
          </w:p>
        </w:tc>
        <w:tc>
          <w:tcPr>
            <w:tcW w:w="15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服务对象满意指标</w:t>
            </w:r>
          </w:p>
        </w:tc>
        <w:tc>
          <w:tcPr>
            <w:tcW w:w="2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left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指标1：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当地群众满意度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≥95%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96%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15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5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总分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100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</w:rPr>
              <w:t>9</w:t>
            </w:r>
            <w:r>
              <w:rPr>
                <w:rFonts w:ascii="黑体" w:hAnsi="黑体" w:eastAsia="黑体" w:cs="黑体"/>
                <w:color w:val="000000"/>
                <w:kern w:val="0"/>
                <w:sz w:val="20"/>
              </w:rPr>
              <w:t>0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63" w:leftChars="-30" w:right="-63" w:rightChars="-30"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</w:rPr>
            </w:pPr>
          </w:p>
        </w:tc>
      </w:tr>
    </w:tbl>
    <w:p>
      <w:pPr>
        <w:pStyle w:val="2"/>
        <w:rPr>
          <w:rFonts w:hint="eastAsia"/>
        </w:rPr>
        <w:sectPr>
          <w:pgSz w:w="11906" w:h="16838"/>
          <w:pgMar w:top="1134" w:right="1417" w:bottom="1134" w:left="1417" w:header="851" w:footer="992" w:gutter="0"/>
          <w:pgNumType w:fmt="numberInDash"/>
          <w:cols w:space="720" w:num="1"/>
          <w:rtlGutter w:val="0"/>
          <w:docGrid w:type="lines" w:linePitch="312" w:charSpace="0"/>
        </w:sectPr>
      </w:pPr>
    </w:p>
    <w:p>
      <w:pPr>
        <w:rPr>
          <w:rFonts w:ascii="黑体" w:hAnsi="宋体" w:eastAsia="黑体" w:cs="Arial"/>
          <w:bCs/>
          <w:color w:val="000000"/>
          <w:sz w:val="32"/>
          <w:szCs w:val="32"/>
        </w:rPr>
      </w:pPr>
      <w:r>
        <w:rPr>
          <w:rFonts w:hint="eastAsia" w:ascii="黑体" w:hAnsi="宋体" w:eastAsia="黑体" w:cs="Arial"/>
          <w:bCs/>
          <w:color w:val="000000"/>
          <w:sz w:val="32"/>
          <w:szCs w:val="32"/>
        </w:rPr>
        <w:t>附件9-</w:t>
      </w:r>
      <w:r>
        <w:rPr>
          <w:rFonts w:hint="eastAsia" w:ascii="黑体" w:hAnsi="宋体" w:eastAsia="黑体" w:cs="Arial"/>
          <w:bCs/>
          <w:color w:val="000000"/>
          <w:sz w:val="32"/>
          <w:szCs w:val="32"/>
          <w:lang w:val="en-US" w:eastAsia="zh-CN"/>
        </w:rPr>
        <w:t>11</w:t>
      </w:r>
      <w:r>
        <w:rPr>
          <w:rFonts w:hint="eastAsia" w:ascii="黑体" w:hAnsi="宋体" w:eastAsia="黑体" w:cs="Arial"/>
          <w:bCs/>
          <w:color w:val="000000"/>
          <w:sz w:val="32"/>
          <w:szCs w:val="32"/>
        </w:rPr>
        <w:t>：</w:t>
      </w:r>
    </w:p>
    <w:p>
      <w:pPr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jc w:val="center"/>
        <w:rPr>
          <w:rFonts w:hint="eastAsia" w:ascii="方正小标宋简体" w:hAnsi="宋体" w:eastAsia="方正小标宋简体" w:cs="Arial"/>
          <w:bCs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 w:cs="Arial"/>
          <w:bCs/>
          <w:color w:val="000000"/>
          <w:sz w:val="44"/>
          <w:szCs w:val="44"/>
        </w:rPr>
        <w:t>项目支出部门评价报告</w:t>
      </w:r>
    </w:p>
    <w:p>
      <w:pPr>
        <w:jc w:val="center"/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spacing w:line="600" w:lineRule="exact"/>
        <w:ind w:firstLine="800" w:firstLineChars="250"/>
        <w:jc w:val="left"/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</w:rPr>
      </w:pPr>
      <w:r>
        <w:rPr>
          <w:rFonts w:hint="eastAsia" w:ascii="黑体" w:hAnsi="宋体" w:eastAsia="黑体" w:cs="Arial"/>
          <w:bCs/>
          <w:color w:val="000000"/>
          <w:sz w:val="32"/>
          <w:szCs w:val="32"/>
        </w:rPr>
        <w:t>评价类型：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</w:rPr>
        <w:sym w:font="Wingdings 2" w:char="00A3"/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</w:rPr>
        <w:t xml:space="preserve">实施过程评价          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</w:rPr>
        <w:sym w:font="Wingdings 2" w:char="00A3"/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</w:rPr>
        <w:t xml:space="preserve">完成结果评价   </w:t>
      </w:r>
    </w:p>
    <w:p>
      <w:pPr>
        <w:spacing w:line="600" w:lineRule="exact"/>
        <w:jc w:val="left"/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spacing w:line="600" w:lineRule="exact"/>
        <w:ind w:firstLine="800" w:firstLineChars="250"/>
        <w:jc w:val="left"/>
        <w:rPr>
          <w:rFonts w:hint="eastAsia" w:ascii="黑体" w:hAnsi="宋体" w:eastAsia="黑体" w:cs="Arial"/>
          <w:bCs/>
          <w:color w:val="000000"/>
          <w:sz w:val="32"/>
          <w:szCs w:val="32"/>
          <w:u w:val="single"/>
        </w:rPr>
      </w:pPr>
      <w:r>
        <w:rPr>
          <w:rFonts w:hint="eastAsia" w:ascii="黑体" w:hAnsi="宋体" w:eastAsia="黑体" w:cs="Arial"/>
          <w:bCs/>
          <w:color w:val="000000"/>
          <w:sz w:val="32"/>
          <w:szCs w:val="32"/>
        </w:rPr>
        <w:t>项目名称：</w:t>
      </w:r>
      <w:r>
        <w:rPr>
          <w:rFonts w:hint="eastAsia" w:ascii="黑体" w:hAnsi="宋体" w:eastAsia="黑体" w:cs="Arial"/>
          <w:bCs/>
          <w:color w:val="000000"/>
          <w:sz w:val="32"/>
          <w:szCs w:val="32"/>
          <w:u w:val="single"/>
        </w:rPr>
        <w:t xml:space="preserve">           </w:t>
      </w:r>
      <w:r>
        <w:rPr>
          <w:rFonts w:hint="eastAsia" w:ascii="黑体" w:hAnsi="宋体" w:eastAsia="黑体" w:cs="Arial"/>
          <w:bCs/>
          <w:color w:val="000000"/>
          <w:sz w:val="32"/>
          <w:szCs w:val="32"/>
          <w:u w:val="single"/>
          <w:lang w:eastAsia="zh-CN"/>
        </w:rPr>
        <w:t>其他教育支出项目</w:t>
      </w:r>
      <w:r>
        <w:rPr>
          <w:rFonts w:hint="eastAsia" w:ascii="黑体" w:hAnsi="宋体" w:eastAsia="黑体" w:cs="Arial"/>
          <w:bCs/>
          <w:color w:val="000000"/>
          <w:sz w:val="32"/>
          <w:szCs w:val="32"/>
          <w:u w:val="single"/>
        </w:rPr>
        <w:t xml:space="preserve">             </w:t>
      </w:r>
    </w:p>
    <w:p>
      <w:pPr>
        <w:spacing w:line="600" w:lineRule="exact"/>
        <w:jc w:val="left"/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spacing w:line="600" w:lineRule="exact"/>
        <w:ind w:firstLine="800" w:firstLineChars="250"/>
        <w:jc w:val="left"/>
        <w:rPr>
          <w:rFonts w:hint="eastAsia" w:ascii="黑体" w:hAnsi="宋体" w:eastAsia="黑体" w:cs="Arial"/>
          <w:bCs/>
          <w:color w:val="000000"/>
          <w:sz w:val="32"/>
          <w:szCs w:val="32"/>
          <w:u w:val="single"/>
        </w:rPr>
      </w:pPr>
      <w:r>
        <w:rPr>
          <w:rFonts w:hint="eastAsia" w:ascii="黑体" w:hAnsi="宋体" w:eastAsia="黑体" w:cs="Arial"/>
          <w:bCs/>
          <w:color w:val="000000"/>
          <w:sz w:val="32"/>
          <w:szCs w:val="32"/>
        </w:rPr>
        <w:t>项目单位：</w:t>
      </w:r>
      <w:r>
        <w:rPr>
          <w:rFonts w:hint="eastAsia" w:ascii="黑体" w:hAnsi="宋体" w:eastAsia="黑体" w:cs="Arial"/>
          <w:bCs/>
          <w:color w:val="000000"/>
          <w:sz w:val="32"/>
          <w:szCs w:val="32"/>
          <w:u w:val="single"/>
        </w:rPr>
        <w:t xml:space="preserve">           </w:t>
      </w:r>
      <w:r>
        <w:rPr>
          <w:rFonts w:hint="eastAsia" w:ascii="黑体" w:hAnsi="宋体" w:eastAsia="黑体" w:cs="Arial"/>
          <w:bCs/>
          <w:color w:val="000000"/>
          <w:sz w:val="32"/>
          <w:szCs w:val="32"/>
          <w:u w:val="single"/>
          <w:lang w:eastAsia="zh-CN"/>
        </w:rPr>
        <w:t>石鼻镇人民政府</w:t>
      </w:r>
      <w:r>
        <w:rPr>
          <w:rFonts w:hint="eastAsia" w:ascii="黑体" w:hAnsi="宋体" w:eastAsia="黑体" w:cs="Arial"/>
          <w:bCs/>
          <w:color w:val="000000"/>
          <w:sz w:val="32"/>
          <w:szCs w:val="32"/>
          <w:u w:val="single"/>
        </w:rPr>
        <w:t xml:space="preserve">              </w:t>
      </w:r>
    </w:p>
    <w:p>
      <w:pPr>
        <w:spacing w:line="600" w:lineRule="exact"/>
        <w:jc w:val="left"/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spacing w:line="600" w:lineRule="exact"/>
        <w:ind w:firstLine="800" w:firstLineChars="250"/>
        <w:jc w:val="left"/>
        <w:rPr>
          <w:rFonts w:hint="eastAsia" w:ascii="黑体" w:hAnsi="宋体" w:eastAsia="黑体" w:cs="Arial"/>
          <w:bCs/>
          <w:color w:val="000000"/>
          <w:sz w:val="32"/>
          <w:szCs w:val="32"/>
        </w:rPr>
      </w:pPr>
      <w:r>
        <w:rPr>
          <w:rFonts w:hint="eastAsia" w:ascii="黑体" w:hAnsi="宋体" w:eastAsia="黑体" w:cs="Arial"/>
          <w:bCs/>
          <w:color w:val="000000"/>
          <w:sz w:val="32"/>
          <w:szCs w:val="32"/>
        </w:rPr>
        <w:t>主管部门：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</w:rPr>
        <w:t xml:space="preserve">           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  <w:lang w:eastAsia="zh-CN"/>
        </w:rPr>
        <w:t>石鼻镇人民政府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</w:rPr>
        <w:t xml:space="preserve">      （盖章）</w:t>
      </w:r>
    </w:p>
    <w:p>
      <w:pPr>
        <w:spacing w:line="600" w:lineRule="exact"/>
        <w:jc w:val="left"/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spacing w:line="600" w:lineRule="exact"/>
        <w:ind w:firstLine="800" w:firstLineChars="250"/>
        <w:jc w:val="left"/>
        <w:rPr>
          <w:rFonts w:ascii="黑体" w:hAnsi="宋体" w:eastAsia="黑体" w:cs="Arial"/>
          <w:bCs/>
          <w:color w:val="000000"/>
          <w:sz w:val="32"/>
          <w:szCs w:val="32"/>
        </w:rPr>
      </w:pPr>
      <w:r>
        <w:rPr>
          <w:rFonts w:hint="eastAsia" w:ascii="黑体" w:hAnsi="宋体" w:eastAsia="黑体" w:cs="Arial"/>
          <w:bCs/>
          <w:color w:val="000000"/>
          <w:sz w:val="32"/>
          <w:szCs w:val="32"/>
        </w:rPr>
        <w:t>评价时间：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</w:rPr>
        <w:t>202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  <w:lang w:val="en-US" w:eastAsia="zh-CN"/>
        </w:rPr>
        <w:t>2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</w:rPr>
        <w:t>年 01月 01 日至202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  <w:lang w:val="en-US" w:eastAsia="zh-CN"/>
        </w:rPr>
        <w:t>2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</w:rPr>
        <w:t xml:space="preserve">年12月31日   </w:t>
      </w:r>
    </w:p>
    <w:p>
      <w:pPr>
        <w:spacing w:line="600" w:lineRule="exact"/>
        <w:jc w:val="left"/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spacing w:line="600" w:lineRule="exact"/>
        <w:ind w:firstLine="800" w:firstLineChars="250"/>
        <w:jc w:val="left"/>
        <w:rPr>
          <w:rFonts w:ascii="黑体" w:hAnsi="宋体" w:eastAsia="黑体" w:cs="Arial"/>
          <w:bCs/>
          <w:color w:val="000000"/>
          <w:sz w:val="32"/>
          <w:szCs w:val="32"/>
        </w:rPr>
      </w:pPr>
      <w:r>
        <w:rPr>
          <w:rFonts w:hint="eastAsia" w:ascii="黑体" w:hAnsi="宋体" w:eastAsia="黑体" w:cs="Arial"/>
          <w:bCs/>
          <w:color w:val="000000"/>
          <w:sz w:val="32"/>
          <w:szCs w:val="32"/>
        </w:rPr>
        <w:t>评价机构：</w:t>
      </w:r>
      <w:r>
        <w:rPr>
          <w:rFonts w:hint="eastAsia" w:ascii="黑体" w:hAnsi="宋体" w:eastAsia="黑体" w:cs="Arial"/>
          <w:bCs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</w:rPr>
        <w:t xml:space="preserve">            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</w:rPr>
        <w:sym w:font="Wingdings 2" w:char="00A3"/>
      </w:r>
      <w:r>
        <w:rPr>
          <w:rFonts w:hint="eastAsia" w:ascii="黑体" w:hAnsi="黑体" w:eastAsia="黑体" w:cs="黑体"/>
          <w:bCs/>
          <w:color w:val="000000"/>
          <w:sz w:val="32"/>
          <w:szCs w:val="32"/>
          <w:u w:val="single"/>
        </w:rPr>
        <w:t xml:space="preserve">部门评价组             </w:t>
      </w:r>
    </w:p>
    <w:p>
      <w:pPr>
        <w:jc w:val="center"/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jc w:val="center"/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jc w:val="center"/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jc w:val="center"/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jc w:val="center"/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jc w:val="center"/>
        <w:rPr>
          <w:rFonts w:hint="eastAsia" w:ascii="黑体" w:hAnsi="宋体" w:eastAsia="黑体" w:cs="Arial"/>
          <w:bCs/>
          <w:color w:val="000000"/>
          <w:sz w:val="32"/>
          <w:szCs w:val="32"/>
        </w:rPr>
      </w:pPr>
      <w:r>
        <w:rPr>
          <w:rFonts w:hint="eastAsia" w:ascii="黑体" w:hAnsi="宋体" w:eastAsia="黑体" w:cs="Arial"/>
          <w:bCs/>
          <w:color w:val="000000"/>
          <w:sz w:val="32"/>
          <w:szCs w:val="32"/>
        </w:rPr>
        <w:t>2022年 0</w:t>
      </w:r>
      <w:r>
        <w:rPr>
          <w:rFonts w:hint="eastAsia" w:ascii="黑体" w:hAnsi="宋体" w:eastAsia="黑体" w:cs="Arial"/>
          <w:bCs/>
          <w:color w:val="000000"/>
          <w:sz w:val="32"/>
          <w:szCs w:val="32"/>
          <w:lang w:val="en-US" w:eastAsia="zh-CN"/>
        </w:rPr>
        <w:t>3</w:t>
      </w:r>
      <w:r>
        <w:rPr>
          <w:rFonts w:hint="eastAsia" w:ascii="黑体" w:hAnsi="宋体" w:eastAsia="黑体" w:cs="Arial"/>
          <w:bCs/>
          <w:color w:val="000000"/>
          <w:sz w:val="32"/>
          <w:szCs w:val="32"/>
        </w:rPr>
        <w:t>月 2</w:t>
      </w:r>
      <w:r>
        <w:rPr>
          <w:rFonts w:hint="eastAsia" w:ascii="黑体" w:hAnsi="宋体" w:eastAsia="黑体" w:cs="Arial"/>
          <w:bCs/>
          <w:color w:val="000000"/>
          <w:sz w:val="32"/>
          <w:szCs w:val="32"/>
          <w:lang w:val="en-US" w:eastAsia="zh-CN"/>
        </w:rPr>
        <w:t>2</w:t>
      </w:r>
      <w:r>
        <w:rPr>
          <w:rFonts w:hint="eastAsia" w:ascii="黑体" w:hAnsi="宋体" w:eastAsia="黑体" w:cs="Arial"/>
          <w:bCs/>
          <w:color w:val="000000"/>
          <w:sz w:val="32"/>
          <w:szCs w:val="32"/>
        </w:rPr>
        <w:t xml:space="preserve"> 日</w:t>
      </w:r>
    </w:p>
    <w:p>
      <w:pPr>
        <w:jc w:val="center"/>
        <w:rPr>
          <w:rFonts w:hint="eastAsia" w:ascii="黑体" w:hAnsi="宋体" w:eastAsia="黑体" w:cs="Arial"/>
          <w:bCs/>
          <w:color w:val="000000"/>
          <w:sz w:val="32"/>
          <w:szCs w:val="32"/>
        </w:rPr>
      </w:pPr>
    </w:p>
    <w:p>
      <w:pPr>
        <w:ind w:left="1420" w:hanging="1420" w:hangingChars="393"/>
        <w:rPr>
          <w:rFonts w:hint="eastAsia" w:ascii="楷体_GB2312" w:eastAsia="楷体_GB2312"/>
          <w:b/>
          <w:sz w:val="36"/>
          <w:szCs w:val="36"/>
        </w:rPr>
      </w:pPr>
      <w:r>
        <w:rPr>
          <w:rFonts w:hint="eastAsia" w:ascii="楷体_GB2312" w:eastAsia="楷体_GB2312"/>
          <w:b/>
          <w:sz w:val="36"/>
          <w:szCs w:val="36"/>
        </w:rPr>
        <w:t>一、基本情况</w:t>
      </w:r>
    </w:p>
    <w:p>
      <w:pPr>
        <w:ind w:left="1264" w:leftChars="154" w:hanging="941" w:hangingChars="293"/>
        <w:jc w:val="left"/>
        <w:rPr>
          <w:rFonts w:hint="eastAsia" w:ascii="黑体" w:hAnsi="黑体" w:eastAsia="黑体" w:cs="黑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（一）项目概况。包括项目背景、主要内容及实施情况、资金投入和使用情况等。</w:t>
      </w:r>
    </w:p>
    <w:p>
      <w:pPr>
        <w:pStyle w:val="5"/>
        <w:spacing w:line="240" w:lineRule="auto"/>
        <w:rPr>
          <w:rFonts w:hint="eastAsia" w:ascii="楷体_GB2312" w:eastAsia="楷体_GB2312"/>
          <w:bCs w:val="0"/>
          <w:sz w:val="28"/>
          <w:szCs w:val="28"/>
        </w:rPr>
      </w:pPr>
      <w:r>
        <w:rPr>
          <w:rFonts w:hint="eastAsia" w:ascii="楷体_GB2312" w:eastAsia="楷体_GB2312"/>
          <w:bCs w:val="0"/>
          <w:sz w:val="28"/>
          <w:szCs w:val="28"/>
        </w:rPr>
        <w:t>1、项目背景</w:t>
      </w:r>
    </w:p>
    <w:p>
      <w:pPr>
        <w:ind w:firstLine="560" w:firstLineChars="200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bCs w:val="0"/>
          <w:sz w:val="28"/>
          <w:szCs w:val="28"/>
          <w:lang w:eastAsia="zh-CN"/>
        </w:rPr>
        <w:t>开展健康教育，服务人民健康，卫生科学知识宣传，居民健康生活方式指导，健康教育与健康促进研究。健康教育效果监测与评价，健康知识咨询，相关培训与技术指导。</w:t>
      </w:r>
    </w:p>
    <w:p>
      <w:pPr>
        <w:pStyle w:val="5"/>
        <w:numPr>
          <w:ilvl w:val="0"/>
          <w:numId w:val="1"/>
        </w:numPr>
        <w:spacing w:line="240" w:lineRule="auto"/>
        <w:rPr>
          <w:rFonts w:hint="eastAsia" w:ascii="楷体_GB2312" w:eastAsia="楷体_GB2312"/>
          <w:bCs w:val="0"/>
          <w:sz w:val="28"/>
          <w:szCs w:val="28"/>
        </w:rPr>
      </w:pPr>
      <w:r>
        <w:rPr>
          <w:rFonts w:hint="eastAsia" w:ascii="楷体_GB2312" w:eastAsia="楷体_GB2312"/>
          <w:bCs w:val="0"/>
          <w:sz w:val="28"/>
          <w:szCs w:val="28"/>
        </w:rPr>
        <w:t>主要内容及实施情况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 xml:space="preserve">  加强队伍建设，提高健康教育专业素质，依据卫生城市健康教育标准化，强化业务指导和档案资料的规范化管理，做实基本公共卫生服务项目健康教育工作。围绕五个重点领域开展健康教育与健康促进工作，进一步加大社区、学校、医院、机关、企事业单位的健康教育工作力度，加强部门沟通、合作。使得健康教育和健康促进工作取得新成果。</w:t>
      </w:r>
    </w:p>
    <w:p>
      <w:pPr>
        <w:pStyle w:val="5"/>
        <w:spacing w:line="240" w:lineRule="auto"/>
        <w:rPr>
          <w:rFonts w:hint="eastAsia" w:ascii="楷体_GB2312" w:eastAsia="楷体_GB2312"/>
          <w:bCs w:val="0"/>
          <w:sz w:val="28"/>
          <w:szCs w:val="28"/>
        </w:rPr>
      </w:pPr>
      <w:r>
        <w:rPr>
          <w:rFonts w:hint="eastAsia" w:ascii="楷体_GB2312" w:eastAsia="楷体_GB2312"/>
          <w:bCs w:val="0"/>
          <w:sz w:val="28"/>
          <w:szCs w:val="28"/>
        </w:rPr>
        <w:t>3、资金投入和使用情况</w:t>
      </w:r>
    </w:p>
    <w:p>
      <w:pPr>
        <w:ind w:firstLine="560" w:firstLineChars="200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bCs/>
          <w:sz w:val="28"/>
        </w:rPr>
        <w:t>202</w:t>
      </w:r>
      <w:r>
        <w:rPr>
          <w:rFonts w:hint="eastAsia" w:ascii="微软雅黑" w:hAnsi="微软雅黑" w:eastAsia="微软雅黑" w:cs="微软雅黑"/>
          <w:bCs/>
          <w:sz w:val="28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Cs/>
          <w:sz w:val="28"/>
        </w:rPr>
        <w:t>年</w:t>
      </w:r>
      <w:r>
        <w:rPr>
          <w:rFonts w:hint="eastAsia" w:ascii="微软雅黑" w:hAnsi="微软雅黑" w:eastAsia="微软雅黑" w:cs="微软雅黑"/>
          <w:bCs/>
          <w:sz w:val="28"/>
          <w:lang w:eastAsia="zh-CN"/>
        </w:rPr>
        <w:t>其他教育支出</w:t>
      </w:r>
      <w:r>
        <w:rPr>
          <w:rFonts w:hint="eastAsia" w:ascii="微软雅黑" w:hAnsi="微软雅黑" w:eastAsia="微软雅黑" w:cs="微软雅黑"/>
          <w:bCs/>
          <w:sz w:val="28"/>
        </w:rPr>
        <w:t>项目资金预算</w:t>
      </w:r>
      <w:r>
        <w:rPr>
          <w:rFonts w:hint="eastAsia" w:ascii="微软雅黑" w:hAnsi="微软雅黑" w:eastAsia="微软雅黑" w:cs="微软雅黑"/>
          <w:bCs/>
          <w:sz w:val="28"/>
          <w:lang w:val="en-US" w:eastAsia="zh-CN"/>
        </w:rPr>
        <w:t>3000</w:t>
      </w:r>
      <w:r>
        <w:rPr>
          <w:rFonts w:hint="eastAsia" w:ascii="微软雅黑" w:hAnsi="微软雅黑" w:eastAsia="微软雅黑" w:cs="微软雅黑"/>
          <w:bCs/>
          <w:sz w:val="28"/>
        </w:rPr>
        <w:t>万元，实际拨付</w:t>
      </w:r>
      <w:r>
        <w:rPr>
          <w:rFonts w:hint="eastAsia" w:ascii="微软雅黑" w:hAnsi="微软雅黑" w:eastAsia="微软雅黑" w:cs="微软雅黑"/>
          <w:bCs/>
          <w:sz w:val="28"/>
          <w:lang w:val="en-US" w:eastAsia="zh-CN"/>
        </w:rPr>
        <w:t>3000</w:t>
      </w:r>
      <w:r>
        <w:rPr>
          <w:rFonts w:hint="eastAsia" w:ascii="微软雅黑" w:hAnsi="微软雅黑" w:eastAsia="微软雅黑" w:cs="微软雅黑"/>
          <w:bCs/>
          <w:sz w:val="28"/>
        </w:rPr>
        <w:t>万元，项目资金主要用于以下几个方面：</w:t>
      </w:r>
      <w:r>
        <w:rPr>
          <w:rFonts w:hint="eastAsia" w:ascii="微软雅黑" w:hAnsi="微软雅黑" w:eastAsia="微软雅黑" w:cs="微软雅黑"/>
          <w:bCs/>
          <w:sz w:val="28"/>
          <w:lang w:eastAsia="zh-CN"/>
        </w:rPr>
        <w:t>强化阵地宣传，有效推动全民健康生活方式行动深入开展；开展公众健康教育咨询活动，举办健康教育知识讲座，</w:t>
      </w:r>
      <w:r>
        <w:rPr>
          <w:rFonts w:hint="eastAsia" w:ascii="微软雅黑" w:hAnsi="微软雅黑" w:eastAsia="微软雅黑" w:cs="微软雅黑"/>
          <w:bCs w:val="0"/>
          <w:sz w:val="28"/>
          <w:szCs w:val="28"/>
          <w:lang w:eastAsia="zh-CN"/>
        </w:rPr>
        <w:t>相关培训与技术指导。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  <w:lang w:eastAsia="zh-CN"/>
        </w:rPr>
      </w:pPr>
    </w:p>
    <w:p>
      <w:pPr>
        <w:ind w:left="1264" w:leftChars="154" w:hanging="941" w:hangingChars="293"/>
        <w:jc w:val="left"/>
        <w:rPr>
          <w:rFonts w:hint="eastAsia" w:ascii="黑体" w:hAnsi="黑体" w:eastAsia="黑体" w:cs="黑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（二）项目绩效目标。包括总体目标和阶段性目标。</w:t>
      </w:r>
    </w:p>
    <w:p>
      <w:pPr>
        <w:pStyle w:val="3"/>
        <w:spacing w:line="240" w:lineRule="auto"/>
        <w:ind w:left="0" w:leftChars="0" w:firstLine="562" w:firstLineChars="200"/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1、总体目标</w:t>
      </w:r>
    </w:p>
    <w:p>
      <w:pPr>
        <w:pStyle w:val="2"/>
        <w:rPr>
          <w:rFonts w:hint="eastAsia" w:ascii="楷体_GB2312" w:eastAsia="楷体_GB2312"/>
          <w:b/>
          <w:sz w:val="28"/>
          <w:szCs w:val="28"/>
        </w:rPr>
      </w:pPr>
    </w:p>
    <w:p>
      <w:pPr>
        <w:pStyle w:val="3"/>
        <w:ind w:firstLine="560" w:firstLineChars="200"/>
        <w:rPr>
          <w:rFonts w:hint="eastAsia" w:eastAsia="楷体_GB2312"/>
          <w:b w:val="0"/>
          <w:bCs/>
          <w:lang w:eastAsia="zh-CN"/>
        </w:rPr>
      </w:pPr>
      <w:r>
        <w:rPr>
          <w:rFonts w:hint="eastAsia" w:ascii="楷体_GB2312" w:eastAsia="楷体_GB2312"/>
          <w:b w:val="0"/>
          <w:bCs/>
          <w:sz w:val="28"/>
          <w:szCs w:val="28"/>
          <w:lang w:eastAsia="zh-CN"/>
        </w:rPr>
        <w:t>开展健康教育与健康促进工作，向公众传播健康理念、知识和技能。根据影响居民健康的主要致病因素健康教育指导工作。基本公共卫生服务项目健康教育工作，其他卫生健康教育宣传。</w:t>
      </w:r>
    </w:p>
    <w:p>
      <w:pPr>
        <w:pStyle w:val="2"/>
        <w:rPr>
          <w:rFonts w:hint="eastAsia" w:eastAsia="楷体_GB2312"/>
          <w:lang w:eastAsia="zh-CN"/>
        </w:rPr>
      </w:pPr>
    </w:p>
    <w:p>
      <w:pPr>
        <w:pStyle w:val="3"/>
        <w:spacing w:line="240" w:lineRule="auto"/>
        <w:ind w:left="0" w:leftChars="0" w:firstLine="281" w:firstLineChars="100"/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2、阶段性目标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202</w:t>
      </w:r>
      <w:r>
        <w:rPr>
          <w:rFonts w:hint="eastAsia" w:ascii="楷体_GB2312" w:hAnsi="Times New Roman" w:eastAsia="楷体_GB2312" w:cs="Times New Roman"/>
          <w:bCs/>
          <w:sz w:val="28"/>
          <w:lang w:val="en-US" w:eastAsia="zh-CN"/>
        </w:rPr>
        <w:t>2</w:t>
      </w:r>
      <w:r>
        <w:rPr>
          <w:rFonts w:hint="eastAsia" w:ascii="楷体_GB2312" w:hAnsi="Times New Roman" w:eastAsia="楷体_GB2312" w:cs="Times New Roman"/>
          <w:bCs/>
          <w:sz w:val="28"/>
        </w:rPr>
        <w:t>年底</w:t>
      </w:r>
      <w:r>
        <w:rPr>
          <w:rFonts w:hint="eastAsia" w:ascii="楷体_GB2312" w:hAnsi="Times New Roman" w:eastAsia="楷体_GB2312" w:cs="Times New Roman"/>
          <w:bCs/>
          <w:sz w:val="28"/>
          <w:lang w:eastAsia="zh-CN"/>
        </w:rPr>
        <w:t>其他教育支出</w:t>
      </w:r>
      <w:r>
        <w:rPr>
          <w:rFonts w:hint="eastAsia" w:ascii="楷体_GB2312" w:hAnsi="Times New Roman" w:eastAsia="楷体_GB2312" w:cs="Times New Roman"/>
          <w:bCs/>
          <w:sz w:val="28"/>
        </w:rPr>
        <w:t>项目整体完工。</w:t>
      </w:r>
    </w:p>
    <w:p>
      <w:pPr>
        <w:ind w:left="1420" w:hanging="1420" w:hangingChars="393"/>
        <w:rPr>
          <w:rFonts w:hint="eastAsia" w:ascii="楷体_GB2312" w:eastAsia="楷体_GB2312"/>
          <w:b/>
          <w:sz w:val="36"/>
          <w:szCs w:val="36"/>
        </w:rPr>
      </w:pPr>
      <w:r>
        <w:rPr>
          <w:rFonts w:hint="eastAsia" w:ascii="楷体_GB2312" w:eastAsia="楷体_GB2312"/>
          <w:b/>
          <w:sz w:val="36"/>
          <w:szCs w:val="36"/>
        </w:rPr>
        <w:t>二、绩效评价工作开展情况</w:t>
      </w:r>
    </w:p>
    <w:p>
      <w:pPr>
        <w:ind w:left="1264" w:leftChars="154" w:hanging="941" w:hangingChars="293"/>
        <w:jc w:val="left"/>
        <w:rPr>
          <w:rFonts w:hint="eastAsia" w:ascii="黑体" w:hAnsi="黑体" w:eastAsia="黑体" w:cs="黑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（一）绩效评价目的、对象和范围。</w:t>
      </w:r>
    </w:p>
    <w:p>
      <w:pPr>
        <w:pStyle w:val="3"/>
        <w:spacing w:line="240" w:lineRule="auto"/>
        <w:ind w:left="0" w:leftChars="0" w:firstLine="562" w:firstLineChars="200"/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1、绩效评价的目的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根据财政支出项目设定的预期目标，选择合适的评价指标和标准，运用科学的评价方法，对资金使用全过程及其支出的经济性、效率性和效益性进行客观公正的综合评价，以衡量财政资金的使用绩效，分析检验支出项目是否达到预期目标。同时，及时总结经验，分析存在问题，进一步改进和加强资金管理，提高财政资金的使用效益。根据财政绩效评价的要求和项目实际情况，本次绩效评价的目的主要有：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①了解各项目资金的使用情况、项目成效及效益等信息；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②发现和找出资金使用中或项目管理中的不足和问题，并进行深入研究和分析；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③针对绩效评价中发现的项目中存在的不足和问题，提出有针对性和可行性的改进建议，为改善后续工作提供有效借鉴，以促进资金使用效率的提高和项目效益的增强。</w:t>
      </w:r>
    </w:p>
    <w:p>
      <w:pPr>
        <w:pStyle w:val="3"/>
        <w:spacing w:line="240" w:lineRule="auto"/>
        <w:ind w:left="0" w:leftChars="0" w:firstLine="562" w:firstLineChars="200"/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2、绩效评价的对象和范围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本次绩效评价的对象和范围为202</w:t>
      </w:r>
      <w:r>
        <w:rPr>
          <w:rFonts w:hint="eastAsia" w:ascii="楷体_GB2312" w:hAnsi="Times New Roman" w:eastAsia="楷体_GB2312" w:cs="Times New Roman"/>
          <w:bCs/>
          <w:sz w:val="28"/>
          <w:lang w:val="en-US" w:eastAsia="zh-CN"/>
        </w:rPr>
        <w:t>2</w:t>
      </w:r>
      <w:r>
        <w:rPr>
          <w:rFonts w:hint="eastAsia" w:ascii="楷体_GB2312" w:hAnsi="Times New Roman" w:eastAsia="楷体_GB2312" w:cs="Times New Roman"/>
          <w:bCs/>
          <w:sz w:val="28"/>
        </w:rPr>
        <w:t>年</w:t>
      </w:r>
      <w:r>
        <w:rPr>
          <w:rFonts w:hint="eastAsia" w:ascii="楷体_GB2312" w:hAnsi="Times New Roman" w:eastAsia="楷体_GB2312" w:cs="Times New Roman"/>
          <w:bCs/>
          <w:sz w:val="28"/>
          <w:lang w:eastAsia="zh-CN"/>
        </w:rPr>
        <w:t>其他教育支出</w:t>
      </w:r>
      <w:r>
        <w:rPr>
          <w:rFonts w:ascii="楷体_GB2312" w:hAnsi="Times New Roman" w:eastAsia="楷体_GB2312" w:cs="Times New Roman"/>
          <w:bCs/>
          <w:sz w:val="28"/>
        </w:rPr>
        <w:t>工程</w:t>
      </w:r>
      <w:r>
        <w:rPr>
          <w:rFonts w:hint="eastAsia" w:ascii="楷体_GB2312" w:hAnsi="Times New Roman" w:eastAsia="楷体_GB2312" w:cs="Times New Roman"/>
          <w:bCs/>
          <w:sz w:val="28"/>
          <w:lang w:val="en-US" w:eastAsia="zh-CN"/>
        </w:rPr>
        <w:t>3000</w:t>
      </w:r>
      <w:r>
        <w:rPr>
          <w:rFonts w:hint="eastAsia" w:ascii="楷体_GB2312" w:hAnsi="Times New Roman" w:eastAsia="楷体_GB2312" w:cs="Times New Roman"/>
          <w:bCs/>
          <w:sz w:val="28"/>
        </w:rPr>
        <w:t>万元。</w:t>
      </w:r>
    </w:p>
    <w:p>
      <w:pPr>
        <w:ind w:left="1264" w:leftChars="154" w:hanging="941" w:hangingChars="293"/>
        <w:jc w:val="left"/>
        <w:rPr>
          <w:rFonts w:hint="eastAsia" w:ascii="黑体" w:hAnsi="黑体" w:eastAsia="黑体" w:cs="黑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（二）绩效评价原则、评价指标体系（附表说明）、评价方法、评价标准等。</w:t>
      </w:r>
    </w:p>
    <w:p>
      <w:pPr>
        <w:pStyle w:val="5"/>
        <w:spacing w:line="240" w:lineRule="auto"/>
        <w:rPr>
          <w:rFonts w:hint="eastAsia" w:ascii="楷体_GB2312" w:eastAsia="楷体_GB2312"/>
          <w:bCs w:val="0"/>
          <w:sz w:val="28"/>
          <w:szCs w:val="28"/>
        </w:rPr>
      </w:pPr>
      <w:r>
        <w:rPr>
          <w:rFonts w:hint="eastAsia" w:ascii="楷体_GB2312" w:eastAsia="楷体_GB2312"/>
          <w:bCs w:val="0"/>
          <w:sz w:val="28"/>
          <w:szCs w:val="28"/>
        </w:rPr>
        <w:t>1、绩效评价的原则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绩效评价遵循以下基本原则：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①科学规范。绩效评价注重财政支出的经济性、效率性和有效性，严格执行规定的程序，采用定量与定性分析相结合的方法。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②公正公开。绩效评价客观、公正，标准统一、资料可靠，依法公开并接受监督。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③绩效相关。绩效评价针对具体支出及其产出绩效进行，评价结果清晰反映支出和产出绩效之间的紧密对应关系。</w:t>
      </w:r>
    </w:p>
    <w:p>
      <w:pPr>
        <w:pStyle w:val="5"/>
        <w:spacing w:line="240" w:lineRule="auto"/>
        <w:rPr>
          <w:rFonts w:hint="eastAsia" w:ascii="楷体_GB2312" w:eastAsia="楷体_GB2312"/>
          <w:bCs w:val="0"/>
          <w:sz w:val="28"/>
          <w:szCs w:val="28"/>
        </w:rPr>
      </w:pPr>
      <w:r>
        <w:rPr>
          <w:rFonts w:hint="eastAsia" w:ascii="楷体_GB2312" w:eastAsia="楷体_GB2312"/>
          <w:bCs w:val="0"/>
          <w:sz w:val="28"/>
          <w:szCs w:val="28"/>
        </w:rPr>
        <w:t>2、评价指标体系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根据《安义县财政局关于开展202</w:t>
      </w:r>
      <w:r>
        <w:rPr>
          <w:rFonts w:hint="eastAsia" w:ascii="楷体_GB2312" w:hAnsi="Times New Roman" w:eastAsia="楷体_GB2312" w:cs="Times New Roman"/>
          <w:bCs/>
          <w:sz w:val="28"/>
          <w:lang w:val="en-US" w:eastAsia="zh-CN"/>
        </w:rPr>
        <w:t>2</w:t>
      </w:r>
      <w:r>
        <w:rPr>
          <w:rFonts w:hint="eastAsia" w:ascii="楷体_GB2312" w:hAnsi="Times New Roman" w:eastAsia="楷体_GB2312" w:cs="Times New Roman"/>
          <w:bCs/>
          <w:sz w:val="28"/>
        </w:rPr>
        <w:t>年度单位自评及部门评价工作的通知》（安财字〔2022〕9号），确定本次绩效评价指标的整体框架。包括资金执行率，项目产出（产出数量指标、产出质量指标、产出时效指标、产出成本指标），产出效益（项目经济效益指标、项目社会效益指标、项目环境效益指标、项目可持续影响指标、项目满意度），结合项目实际情况，确定本次绩效评价指标体系的个性指标。</w:t>
      </w:r>
    </w:p>
    <w:p>
      <w:pPr>
        <w:pStyle w:val="5"/>
        <w:spacing w:line="240" w:lineRule="auto"/>
        <w:ind w:left="420" w:leftChars="200" w:firstLine="0" w:firstLineChars="0"/>
        <w:rPr>
          <w:rFonts w:hint="eastAsia" w:ascii="楷体_GB2312" w:eastAsia="楷体_GB2312"/>
          <w:bCs w:val="0"/>
          <w:sz w:val="28"/>
          <w:szCs w:val="28"/>
        </w:rPr>
      </w:pPr>
      <w:r>
        <w:rPr>
          <w:rFonts w:hint="eastAsia" w:ascii="楷体_GB2312" w:eastAsia="楷体_GB2312"/>
          <w:bCs w:val="0"/>
          <w:sz w:val="28"/>
          <w:szCs w:val="28"/>
        </w:rPr>
        <w:t>3、评价方法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主要采用了文件核查、财务核查、实地调研等方法，以掌握项目详细情况，并对采集的数据作详细的分析和统计。文件核查主要用以核实项目立项的规范性以及项目运行的各项要求，从而确定评价的标准和范围；财务核查则是通过专业财务人员通过查看项目相关财务凭证，掌握安义</w:t>
      </w:r>
      <w:r>
        <w:rPr>
          <w:rFonts w:ascii="楷体_GB2312" w:hAnsi="Times New Roman" w:eastAsia="楷体_GB2312" w:cs="Times New Roman"/>
          <w:bCs/>
          <w:sz w:val="28"/>
        </w:rPr>
        <w:t>六小</w:t>
      </w:r>
      <w:r>
        <w:rPr>
          <w:rFonts w:hint="eastAsia" w:ascii="楷体_GB2312" w:hAnsi="Times New Roman" w:eastAsia="楷体_GB2312" w:cs="Times New Roman"/>
          <w:bCs/>
          <w:sz w:val="28"/>
        </w:rPr>
        <w:t>各项项目资金的使用情况；实地调研则是通过研究员调查实地情况，了解掌握安义</w:t>
      </w:r>
      <w:r>
        <w:rPr>
          <w:rFonts w:ascii="楷体_GB2312" w:hAnsi="Times New Roman" w:eastAsia="楷体_GB2312" w:cs="Times New Roman"/>
          <w:bCs/>
          <w:sz w:val="28"/>
        </w:rPr>
        <w:t>六小</w:t>
      </w:r>
      <w:r>
        <w:rPr>
          <w:rFonts w:hint="eastAsia" w:ascii="楷体_GB2312" w:hAnsi="Times New Roman" w:eastAsia="楷体_GB2312" w:cs="Times New Roman"/>
          <w:bCs/>
          <w:sz w:val="28"/>
        </w:rPr>
        <w:t>各项项目的产出和效果。</w:t>
      </w:r>
    </w:p>
    <w:p>
      <w:pPr>
        <w:pStyle w:val="5"/>
        <w:spacing w:line="240" w:lineRule="auto"/>
        <w:ind w:left="420" w:leftChars="200" w:firstLine="0" w:firstLineChars="0"/>
        <w:rPr>
          <w:rFonts w:hint="eastAsia" w:ascii="楷体_GB2312" w:eastAsia="楷体_GB2312"/>
          <w:bCs w:val="0"/>
          <w:sz w:val="28"/>
          <w:szCs w:val="28"/>
        </w:rPr>
      </w:pPr>
      <w:r>
        <w:rPr>
          <w:rFonts w:hint="eastAsia" w:ascii="楷体_GB2312" w:eastAsia="楷体_GB2312"/>
          <w:bCs w:val="0"/>
          <w:sz w:val="28"/>
          <w:szCs w:val="28"/>
        </w:rPr>
        <w:t>4、评价标准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ascii="楷体_GB2312" w:hAnsi="Times New Roman" w:eastAsia="楷体_GB2312" w:cs="Times New Roman"/>
          <w:bCs/>
          <w:sz w:val="28"/>
        </w:rPr>
        <w:t>以</w:t>
      </w:r>
      <w:r>
        <w:rPr>
          <w:rFonts w:hint="eastAsia" w:ascii="楷体_GB2312" w:hAnsi="Times New Roman" w:eastAsia="楷体_GB2312" w:cs="Times New Roman"/>
          <w:bCs/>
          <w:sz w:val="28"/>
        </w:rPr>
        <w:t>预先</w:t>
      </w:r>
      <w:r>
        <w:rPr>
          <w:rFonts w:ascii="楷体_GB2312" w:hAnsi="Times New Roman" w:eastAsia="楷体_GB2312" w:cs="Times New Roman"/>
          <w:bCs/>
          <w:sz w:val="28"/>
        </w:rPr>
        <w:t>制定的计划、</w:t>
      </w:r>
      <w:r>
        <w:rPr>
          <w:rFonts w:hint="eastAsia" w:ascii="楷体_GB2312" w:hAnsi="Times New Roman" w:eastAsia="楷体_GB2312" w:cs="Times New Roman"/>
          <w:bCs/>
          <w:sz w:val="28"/>
        </w:rPr>
        <w:t>目标、</w:t>
      </w:r>
      <w:r>
        <w:rPr>
          <w:rFonts w:ascii="楷体_GB2312" w:hAnsi="Times New Roman" w:eastAsia="楷体_GB2312" w:cs="Times New Roman"/>
          <w:bCs/>
          <w:sz w:val="28"/>
        </w:rPr>
        <w:t>预算</w:t>
      </w:r>
      <w:r>
        <w:rPr>
          <w:rFonts w:hint="eastAsia" w:ascii="楷体_GB2312" w:hAnsi="Times New Roman" w:eastAsia="楷体_GB2312" w:cs="Times New Roman"/>
          <w:bCs/>
          <w:sz w:val="28"/>
        </w:rPr>
        <w:t>或</w:t>
      </w:r>
      <w:r>
        <w:rPr>
          <w:rFonts w:ascii="楷体_GB2312" w:hAnsi="Times New Roman" w:eastAsia="楷体_GB2312" w:cs="Times New Roman"/>
          <w:bCs/>
          <w:sz w:val="28"/>
        </w:rPr>
        <w:t>定额等数据作为绩效</w:t>
      </w:r>
      <w:r>
        <w:rPr>
          <w:rFonts w:hint="eastAsia" w:ascii="楷体_GB2312" w:hAnsi="Times New Roman" w:eastAsia="楷体_GB2312" w:cs="Times New Roman"/>
          <w:bCs/>
          <w:sz w:val="28"/>
        </w:rPr>
        <w:t>评价</w:t>
      </w:r>
      <w:r>
        <w:rPr>
          <w:rFonts w:ascii="楷体_GB2312" w:hAnsi="Times New Roman" w:eastAsia="楷体_GB2312" w:cs="Times New Roman"/>
          <w:bCs/>
          <w:sz w:val="28"/>
        </w:rPr>
        <w:t>标准。</w:t>
      </w:r>
      <w:r>
        <w:rPr>
          <w:rFonts w:hint="eastAsia" w:ascii="楷体_GB2312" w:hAnsi="Times New Roman" w:eastAsia="楷体_GB2312" w:cs="Times New Roman"/>
          <w:bCs/>
          <w:sz w:val="28"/>
        </w:rPr>
        <w:t>计划值作为评价的指标旨在通过将实际完成值与预定值对比，找出两者的差异，从而达到评价目的。</w:t>
      </w:r>
    </w:p>
    <w:p>
      <w:pPr>
        <w:ind w:left="1264" w:leftChars="154" w:hanging="941" w:hangingChars="293"/>
        <w:jc w:val="left"/>
        <w:rPr>
          <w:rFonts w:hint="eastAsia" w:ascii="黑体" w:hAnsi="黑体" w:eastAsia="黑体" w:cs="黑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（三）绩效评价工作过程。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实施本次绩效评价，首先根据项目预先设立的绩效目标、项目管理办法、专项资金管理办法、项目实施方案等资料，选择合适的评价指标和标准，同时明确本次绩效评价的目的、方法、评价的原则、评价标准、时间安排等，形成绩效评价工作方案。提交部门审核，并根据审核意见进一步修改和完善绩效评价工作方案。然后运用科学的评价方法，对资金使用全过程及其支出的经济性、效率性和效益性进行客观公正的综合评价，以衡量预算绩效管理培训项目资金的使用绩效，同时分析其是否达到预期目标，并以书面形式分析绩效优劣的原因、造成的不良后果及影响，提出改进的意见和建议，最后撰写绩效评价报告。</w:t>
      </w:r>
    </w:p>
    <w:p>
      <w:pPr>
        <w:ind w:left="1420" w:hanging="1420" w:hangingChars="393"/>
        <w:rPr>
          <w:rFonts w:hint="eastAsia" w:ascii="楷体_GB2312" w:eastAsia="楷体_GB2312"/>
          <w:b/>
          <w:sz w:val="36"/>
          <w:szCs w:val="36"/>
        </w:rPr>
      </w:pPr>
      <w:r>
        <w:rPr>
          <w:rFonts w:hint="eastAsia" w:ascii="楷体_GB2312" w:eastAsia="楷体_GB2312"/>
          <w:b/>
          <w:sz w:val="36"/>
          <w:szCs w:val="36"/>
        </w:rPr>
        <w:t>三、综合评价情况及评价结论（附相关评分表）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  <w:highlight w:val="yellow"/>
        </w:rPr>
      </w:pPr>
      <w:r>
        <w:rPr>
          <w:rFonts w:hint="eastAsia" w:ascii="楷体_GB2312" w:hAnsi="Times New Roman" w:eastAsia="楷体_GB2312" w:cs="Times New Roman"/>
          <w:bCs/>
          <w:sz w:val="28"/>
          <w:highlight w:val="none"/>
          <w:lang w:eastAsia="zh-CN"/>
        </w:rPr>
        <w:t>石鼻镇人民政府</w:t>
      </w:r>
      <w:r>
        <w:rPr>
          <w:rFonts w:hint="eastAsia" w:ascii="微软雅黑" w:hAnsi="微软雅黑" w:eastAsia="微软雅黑" w:cs="微软雅黑"/>
          <w:bCs w:val="0"/>
          <w:sz w:val="28"/>
          <w:szCs w:val="28"/>
          <w:lang w:eastAsia="zh-CN"/>
        </w:rPr>
        <w:t>开展健康教育，服务人民健康，卫生科学知识宣传，居民健康生活方式指导，健康教育与健康促进研究，</w:t>
      </w:r>
      <w:r>
        <w:rPr>
          <w:rFonts w:hint="eastAsia" w:ascii="楷体_GB2312" w:hAnsi="Times New Roman" w:eastAsia="楷体_GB2312" w:cs="Times New Roman"/>
          <w:bCs/>
          <w:sz w:val="28"/>
          <w:highlight w:val="none"/>
        </w:rPr>
        <w:t>狠抓各项工作落实。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项目实施过程中未发现重大违规事项。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评价组围绕绩效评价指标体系，通过文件核查、财务核查、实地调研等方法，对该项目绩效进行了客观、公正、合理、有效的评价，最终评价结果为9</w:t>
      </w:r>
      <w:r>
        <w:rPr>
          <w:rFonts w:ascii="楷体_GB2312" w:hAnsi="Times New Roman" w:eastAsia="楷体_GB2312" w:cs="Times New Roman"/>
          <w:bCs/>
          <w:sz w:val="28"/>
        </w:rPr>
        <w:t>0</w:t>
      </w:r>
      <w:r>
        <w:rPr>
          <w:rFonts w:hint="eastAsia" w:ascii="楷体_GB2312" w:hAnsi="Times New Roman" w:eastAsia="楷体_GB2312" w:cs="Times New Roman"/>
          <w:bCs/>
          <w:sz w:val="28"/>
        </w:rPr>
        <w:t>分，依据财政绩效评价等级划分，项目绩效评价等级为“良”。</w:t>
      </w:r>
    </w:p>
    <w:p>
      <w:pPr>
        <w:ind w:left="1420" w:hanging="1420" w:hangingChars="393"/>
        <w:rPr>
          <w:rFonts w:hint="eastAsia" w:ascii="楷体_GB2312" w:eastAsia="楷体_GB2312"/>
          <w:b/>
          <w:sz w:val="36"/>
          <w:szCs w:val="36"/>
        </w:rPr>
      </w:pPr>
      <w:r>
        <w:rPr>
          <w:rFonts w:hint="eastAsia" w:ascii="楷体_GB2312" w:eastAsia="楷体_GB2312"/>
          <w:b/>
          <w:sz w:val="36"/>
          <w:szCs w:val="36"/>
        </w:rPr>
        <w:t>四、绩效评价指标分析</w:t>
      </w:r>
    </w:p>
    <w:p>
      <w:pPr>
        <w:ind w:left="1264" w:leftChars="154" w:hanging="941" w:hangingChars="293"/>
        <w:jc w:val="left"/>
        <w:rPr>
          <w:rFonts w:hint="eastAsia" w:ascii="黑体" w:hAnsi="黑体" w:eastAsia="黑体" w:cs="黑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（一）项目决策情况。</w:t>
      </w:r>
    </w:p>
    <w:p>
      <w:pPr>
        <w:pStyle w:val="2"/>
        <w:ind w:left="-292" w:leftChars="-139" w:firstLine="560" w:firstLineChars="200"/>
        <w:rPr>
          <w:rFonts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202</w:t>
      </w:r>
      <w:r>
        <w:rPr>
          <w:rFonts w:hint="eastAsia" w:ascii="楷体_GB2312" w:hAnsi="Times New Roman" w:eastAsia="楷体_GB2312" w:cs="Times New Roman"/>
          <w:bCs/>
          <w:sz w:val="28"/>
          <w:lang w:val="en-US" w:eastAsia="zh-CN"/>
        </w:rPr>
        <w:t>2</w:t>
      </w:r>
      <w:r>
        <w:rPr>
          <w:rFonts w:hint="eastAsia" w:ascii="楷体_GB2312" w:hAnsi="Times New Roman" w:eastAsia="楷体_GB2312" w:cs="Times New Roman"/>
          <w:bCs/>
          <w:sz w:val="28"/>
        </w:rPr>
        <w:t>年</w:t>
      </w:r>
      <w:r>
        <w:rPr>
          <w:rFonts w:hint="eastAsia" w:ascii="楷体_GB2312" w:hAnsi="Times New Roman" w:eastAsia="楷体_GB2312" w:cs="Times New Roman"/>
          <w:bCs/>
          <w:sz w:val="28"/>
          <w:lang w:eastAsia="zh-CN"/>
        </w:rPr>
        <w:t>其他教育</w:t>
      </w:r>
      <w:r>
        <w:rPr>
          <w:rFonts w:hint="eastAsia" w:ascii="楷体_GB2312" w:hAnsi="Times New Roman" w:eastAsia="楷体_GB2312" w:cs="Times New Roman"/>
          <w:bCs/>
          <w:sz w:val="28"/>
        </w:rPr>
        <w:t>支出是经安义县财政局审批通过，同意专项资金预算安排的。</w:t>
      </w:r>
    </w:p>
    <w:p>
      <w:pPr>
        <w:numPr>
          <w:ilvl w:val="0"/>
          <w:numId w:val="2"/>
        </w:numPr>
        <w:ind w:left="1264" w:leftChars="154" w:hanging="941" w:hangingChars="293"/>
        <w:jc w:val="left"/>
        <w:rPr>
          <w:rFonts w:hint="eastAsia" w:ascii="黑体" w:hAnsi="黑体" w:eastAsia="黑体" w:cs="黑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项目过程情况。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ascii="楷体_GB2312" w:hAnsi="Times New Roman" w:eastAsia="楷体_GB2312" w:cs="Times New Roman"/>
          <w:bCs/>
          <w:sz w:val="28"/>
        </w:rPr>
        <w:t>为了规范专项资金管理，确保专项资金发挥效益，</w:t>
      </w:r>
      <w:r>
        <w:rPr>
          <w:rFonts w:hint="eastAsia" w:ascii="楷体_GB2312" w:hAnsi="Times New Roman" w:eastAsia="楷体_GB2312" w:cs="Times New Roman"/>
          <w:bCs/>
          <w:sz w:val="28"/>
          <w:lang w:eastAsia="zh-CN"/>
        </w:rPr>
        <w:t>石鼻镇人民政府</w:t>
      </w:r>
      <w:r>
        <w:rPr>
          <w:rFonts w:ascii="楷体_GB2312" w:hAnsi="Times New Roman" w:eastAsia="楷体_GB2312" w:cs="Times New Roman"/>
          <w:bCs/>
          <w:sz w:val="28"/>
        </w:rPr>
        <w:t>建立了资金从分配到使用过程的监管体系。</w:t>
      </w:r>
      <w:r>
        <w:rPr>
          <w:rFonts w:hint="eastAsia" w:ascii="楷体_GB2312" w:hAnsi="Times New Roman" w:eastAsia="楷体_GB2312" w:cs="Times New Roman"/>
          <w:bCs/>
          <w:sz w:val="28"/>
        </w:rPr>
        <w:t>资金使用符合项目预算批复规定的内容，严格按照相关政策规定使用资金，并且明确资金使用范围，不存在截留、截留、挪用、虚列支出的情况。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为确保项目顺利实施，加强组织领导，成立了以</w:t>
      </w:r>
      <w:r>
        <w:rPr>
          <w:rFonts w:hint="eastAsia" w:ascii="楷体_GB2312" w:hAnsi="Times New Roman" w:eastAsia="楷体_GB2312" w:cs="Times New Roman"/>
          <w:bCs/>
          <w:sz w:val="28"/>
          <w:lang w:eastAsia="zh-CN"/>
        </w:rPr>
        <w:t>书记</w:t>
      </w:r>
      <w:r>
        <w:rPr>
          <w:rFonts w:hint="eastAsia" w:ascii="楷体_GB2312" w:hAnsi="Times New Roman" w:eastAsia="楷体_GB2312" w:cs="Times New Roman"/>
          <w:bCs/>
          <w:sz w:val="28"/>
        </w:rPr>
        <w:t>为组长，</w:t>
      </w:r>
      <w:r>
        <w:rPr>
          <w:rFonts w:hint="eastAsia" w:ascii="楷体_GB2312" w:hAnsi="Times New Roman" w:eastAsia="楷体_GB2312" w:cs="Times New Roman"/>
          <w:bCs/>
          <w:sz w:val="28"/>
          <w:lang w:eastAsia="zh-CN"/>
        </w:rPr>
        <w:t>镇长</w:t>
      </w:r>
      <w:r>
        <w:rPr>
          <w:rFonts w:hint="eastAsia" w:ascii="楷体_GB2312" w:hAnsi="Times New Roman" w:eastAsia="楷体_GB2312" w:cs="Times New Roman"/>
          <w:bCs/>
          <w:sz w:val="28"/>
        </w:rPr>
        <w:t>为副组长，下设办公室，由分管领导担任办公室主任工作领导小组，</w:t>
      </w:r>
      <w:r>
        <w:rPr>
          <w:rFonts w:hint="eastAsia" w:ascii="楷体_GB2312" w:hAnsi="Times New Roman" w:eastAsia="楷体_GB2312" w:cs="Times New Roman"/>
          <w:bCs/>
          <w:sz w:val="28"/>
          <w:lang w:eastAsia="zh-CN"/>
        </w:rPr>
        <w:t>开展其他健康教育支出</w:t>
      </w:r>
      <w:r>
        <w:rPr>
          <w:rFonts w:ascii="楷体_GB2312" w:hAnsi="Times New Roman" w:eastAsia="楷体_GB2312" w:cs="Times New Roman"/>
          <w:bCs/>
          <w:sz w:val="28"/>
        </w:rPr>
        <w:t>工程</w:t>
      </w:r>
      <w:r>
        <w:rPr>
          <w:rFonts w:hint="eastAsia" w:ascii="楷体_GB2312" w:hAnsi="Times New Roman" w:eastAsia="楷体_GB2312" w:cs="Times New Roman"/>
          <w:bCs/>
          <w:sz w:val="28"/>
        </w:rPr>
        <w:t>。</w:t>
      </w:r>
    </w:p>
    <w:p>
      <w:pPr>
        <w:numPr>
          <w:ilvl w:val="0"/>
          <w:numId w:val="2"/>
        </w:numPr>
        <w:ind w:left="1264" w:leftChars="154" w:hanging="941" w:hangingChars="293"/>
        <w:jc w:val="left"/>
        <w:rPr>
          <w:rFonts w:hint="eastAsia" w:ascii="黑体" w:hAnsi="黑体" w:eastAsia="黑体" w:cs="黑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项目产出情况。</w:t>
      </w:r>
    </w:p>
    <w:p>
      <w:pPr>
        <w:pStyle w:val="2"/>
        <w:ind w:left="-292" w:leftChars="-139" w:firstLine="560" w:firstLineChars="200"/>
        <w:rPr>
          <w:rFonts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202</w:t>
      </w:r>
      <w:r>
        <w:rPr>
          <w:rFonts w:hint="eastAsia" w:ascii="楷体_GB2312" w:hAnsi="Times New Roman" w:eastAsia="楷体_GB2312" w:cs="Times New Roman"/>
          <w:bCs/>
          <w:sz w:val="28"/>
          <w:lang w:val="en-US" w:eastAsia="zh-CN"/>
        </w:rPr>
        <w:t>2</w:t>
      </w:r>
      <w:r>
        <w:rPr>
          <w:rFonts w:hint="eastAsia" w:ascii="楷体_GB2312" w:hAnsi="Times New Roman" w:eastAsia="楷体_GB2312" w:cs="Times New Roman"/>
          <w:bCs/>
          <w:sz w:val="28"/>
        </w:rPr>
        <w:t>年，完成</w:t>
      </w:r>
      <w:r>
        <w:rPr>
          <w:rFonts w:hint="eastAsia" w:ascii="楷体_GB2312" w:hAnsi="Times New Roman" w:eastAsia="楷体_GB2312" w:cs="Times New Roman"/>
          <w:bCs/>
          <w:sz w:val="28"/>
          <w:lang w:eastAsia="zh-CN"/>
        </w:rPr>
        <w:t>其他教育支出</w:t>
      </w:r>
      <w:r>
        <w:rPr>
          <w:rFonts w:ascii="楷体_GB2312" w:hAnsi="Times New Roman" w:eastAsia="楷体_GB2312" w:cs="Times New Roman"/>
          <w:bCs/>
          <w:sz w:val="28"/>
        </w:rPr>
        <w:t>工程建设</w:t>
      </w:r>
      <w:r>
        <w:rPr>
          <w:rFonts w:hint="eastAsia" w:ascii="楷体_GB2312" w:hAnsi="Times New Roman" w:eastAsia="楷体_GB2312" w:cs="Times New Roman"/>
          <w:bCs/>
          <w:sz w:val="28"/>
        </w:rPr>
        <w:t>。</w:t>
      </w:r>
    </w:p>
    <w:p>
      <w:pPr>
        <w:numPr>
          <w:ilvl w:val="0"/>
          <w:numId w:val="2"/>
        </w:numPr>
        <w:ind w:left="1264" w:leftChars="154" w:hanging="941" w:hangingChars="293"/>
        <w:jc w:val="left"/>
        <w:rPr>
          <w:rFonts w:hint="eastAsia" w:ascii="黑体" w:hAnsi="黑体" w:eastAsia="黑体" w:cs="黑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项目效益情况。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202</w:t>
      </w:r>
      <w:r>
        <w:rPr>
          <w:rFonts w:hint="eastAsia" w:ascii="楷体_GB2312" w:hAnsi="Times New Roman" w:eastAsia="楷体_GB2312" w:cs="Times New Roman"/>
          <w:bCs/>
          <w:sz w:val="28"/>
          <w:lang w:val="en-US" w:eastAsia="zh-CN"/>
        </w:rPr>
        <w:t>2</w:t>
      </w:r>
      <w:r>
        <w:rPr>
          <w:rFonts w:hint="eastAsia" w:ascii="楷体_GB2312" w:hAnsi="Times New Roman" w:eastAsia="楷体_GB2312" w:cs="Times New Roman"/>
          <w:bCs/>
          <w:sz w:val="28"/>
        </w:rPr>
        <w:t>年</w:t>
      </w:r>
      <w:r>
        <w:rPr>
          <w:rFonts w:hint="eastAsia" w:ascii="楷体_GB2312" w:hAnsi="Times New Roman" w:eastAsia="楷体_GB2312" w:cs="Times New Roman"/>
          <w:bCs/>
          <w:sz w:val="28"/>
          <w:lang w:eastAsia="zh-CN"/>
        </w:rPr>
        <w:t>其他教育支出项目</w:t>
      </w:r>
      <w:r>
        <w:rPr>
          <w:rFonts w:ascii="楷体_GB2312" w:hAnsi="Times New Roman" w:eastAsia="楷体_GB2312" w:cs="Times New Roman"/>
          <w:bCs/>
          <w:sz w:val="28"/>
        </w:rPr>
        <w:t>工程</w:t>
      </w:r>
      <w:r>
        <w:rPr>
          <w:rFonts w:hint="eastAsia" w:ascii="楷体_GB2312" w:hAnsi="Times New Roman" w:eastAsia="楷体_GB2312" w:cs="Times New Roman"/>
          <w:bCs/>
          <w:sz w:val="28"/>
        </w:rPr>
        <w:t>，</w:t>
      </w:r>
      <w:r>
        <w:rPr>
          <w:rFonts w:hint="eastAsia" w:ascii="楷体_GB2312" w:eastAsia="楷体_GB2312"/>
          <w:b w:val="0"/>
          <w:bCs/>
          <w:sz w:val="28"/>
          <w:szCs w:val="28"/>
          <w:lang w:eastAsia="zh-CN"/>
        </w:rPr>
        <w:t>开展健康教育与健康促进工作，向公众传播健康理念、知识和技能。</w:t>
      </w:r>
    </w:p>
    <w:p>
      <w:pPr>
        <w:numPr>
          <w:ilvl w:val="0"/>
          <w:numId w:val="3"/>
        </w:numPr>
        <w:ind w:left="1420" w:hanging="1420" w:hangingChars="393"/>
        <w:rPr>
          <w:rFonts w:hint="eastAsia" w:ascii="楷体_GB2312" w:eastAsia="楷体_GB2312"/>
          <w:b/>
          <w:sz w:val="36"/>
          <w:szCs w:val="36"/>
        </w:rPr>
      </w:pPr>
      <w:r>
        <w:rPr>
          <w:rFonts w:hint="eastAsia" w:ascii="楷体_GB2312" w:eastAsia="楷体_GB2312"/>
          <w:b/>
          <w:sz w:val="36"/>
          <w:szCs w:val="36"/>
        </w:rPr>
        <w:t>主要经验及做法、存在的问题及原因分析</w:t>
      </w:r>
    </w:p>
    <w:p>
      <w:pPr>
        <w:pStyle w:val="4"/>
        <w:spacing w:before="156" w:after="156"/>
        <w:rPr>
          <w:rFonts w:hint="eastAsia"/>
        </w:rPr>
      </w:pPr>
      <w:r>
        <w:rPr>
          <w:rFonts w:hint="eastAsia"/>
        </w:rPr>
        <w:t>（一）主要经验及做法</w:t>
      </w:r>
    </w:p>
    <w:p>
      <w:pPr>
        <w:pStyle w:val="2"/>
        <w:ind w:left="-292" w:leftChars="-139" w:firstLine="560" w:firstLineChars="200"/>
        <w:rPr>
          <w:rFonts w:hint="eastAsia" w:ascii="楷体_GB2312" w:hAnsi="Times New Roman" w:eastAsia="楷体_GB2312" w:cs="Times New Roman"/>
          <w:bCs/>
          <w:sz w:val="28"/>
        </w:rPr>
      </w:pPr>
      <w:r>
        <w:rPr>
          <w:rFonts w:hint="eastAsia" w:ascii="楷体_GB2312" w:hAnsi="Times New Roman" w:eastAsia="楷体_GB2312" w:cs="Times New Roman"/>
          <w:bCs/>
          <w:sz w:val="28"/>
        </w:rPr>
        <w:t>通过制定实施方案严格要求各项步骤时间节点，建立督查调度机制，每月调度一次项目建设推进情况。并按照每月一督查、每季一通报、每年一验收的方式，检查各重大项目建设情况。建立专项考核机制，由领导小组办公室牵头制定专项考核办法，形成考核倒逼机制，对未达到时序进度或没有完成任务要求的严肃追究责任，对考核优异的责任单位给予表彰奖励，并在项目、资金安排上重点倾斜。这一做法积极跟进项目建设，督查、通报等工作的开展，有利于项目按照计划的时间节点推进，按期保质完成建设内容，有助于预期目标的达成。</w:t>
      </w:r>
    </w:p>
    <w:p>
      <w:pPr>
        <w:pStyle w:val="4"/>
        <w:numPr>
          <w:ilvl w:val="0"/>
          <w:numId w:val="4"/>
        </w:numPr>
        <w:spacing w:before="156" w:after="156"/>
        <w:rPr>
          <w:rFonts w:hint="eastAsia"/>
        </w:rPr>
      </w:pPr>
      <w:r>
        <w:rPr>
          <w:rFonts w:hint="eastAsia"/>
        </w:rPr>
        <w:t>存在的问题及原因分析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88A494"/>
    <w:multiLevelType w:val="singleLevel"/>
    <w:tmpl w:val="9A88A49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37BE61B"/>
    <w:multiLevelType w:val="singleLevel"/>
    <w:tmpl w:val="D37BE61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566E5965"/>
    <w:multiLevelType w:val="singleLevel"/>
    <w:tmpl w:val="566E5965"/>
    <w:lvl w:ilvl="0" w:tentative="0">
      <w:start w:val="2"/>
      <w:numFmt w:val="chineseCounting"/>
      <w:suff w:val="nothing"/>
      <w:lvlText w:val="（%1）"/>
      <w:lvlJc w:val="left"/>
      <w:rPr>
        <w:rFonts w:hint="eastAsia"/>
        <w:b/>
        <w:bCs/>
      </w:rPr>
    </w:lvl>
  </w:abstractNum>
  <w:abstractNum w:abstractNumId="3">
    <w:nsid w:val="5AC45725"/>
    <w:multiLevelType w:val="singleLevel"/>
    <w:tmpl w:val="5AC4572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xNTg1MWFjMTIzYmNhZjlkMmM3MDYwM2EwZjRiZDYifQ=="/>
  </w:docVars>
  <w:rsids>
    <w:rsidRoot w:val="00000000"/>
    <w:rsid w:val="3A5723FE"/>
    <w:rsid w:val="603C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50" w:beforeLines="50" w:after="50" w:afterLines="50"/>
      <w:ind w:firstLine="0" w:firstLineChars="0"/>
      <w:jc w:val="left"/>
      <w:outlineLvl w:val="1"/>
    </w:pPr>
    <w:rPr>
      <w:rFonts w:ascii="仿宋" w:hAnsi="仿宋" w:eastAsia="黑体" w:cs="Times New Roman"/>
      <w:b/>
      <w:bCs/>
      <w:sz w:val="32"/>
      <w:szCs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120" w:after="120" w:line="360" w:lineRule="auto"/>
      <w:ind w:firstLine="562" w:firstLineChars="200"/>
      <w:jc w:val="left"/>
      <w:outlineLvl w:val="2"/>
    </w:pPr>
    <w:rPr>
      <w:rFonts w:eastAsia="宋体" w:cs="Times New Roman"/>
      <w:b/>
      <w:bCs/>
      <w:szCs w:val="32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Calibri" w:hAnsi="Calibri" w:eastAsia="宋体" w:cs="黑体"/>
      <w:szCs w:val="28"/>
    </w:rPr>
  </w:style>
  <w:style w:type="paragraph" w:styleId="3">
    <w:name w:val="Body Text Indent 2"/>
    <w:basedOn w:val="1"/>
    <w:next w:val="2"/>
    <w:qFormat/>
    <w:uiPriority w:val="0"/>
    <w:pPr>
      <w:spacing w:after="120" w:line="480" w:lineRule="auto"/>
      <w:ind w:left="420" w:leftChars="200"/>
    </w:pPr>
  </w:style>
  <w:style w:type="paragraph" w:styleId="6">
    <w:name w:val="Body Text Indent"/>
    <w:basedOn w:val="1"/>
    <w:qFormat/>
    <w:uiPriority w:val="0"/>
    <w:pPr>
      <w:adjustRightInd w:val="0"/>
      <w:snapToGrid w:val="0"/>
      <w:spacing w:line="560" w:lineRule="atLeast"/>
      <w:ind w:firstLine="640" w:firstLineChars="200"/>
    </w:pPr>
    <w:rPr>
      <w:rFonts w:eastAsia="仿宋_GB2312"/>
      <w:kern w:val="0"/>
      <w:sz w:val="32"/>
      <w:szCs w:val="28"/>
    </w:rPr>
  </w:style>
  <w:style w:type="paragraph" w:styleId="7">
    <w:name w:val="Body Text First Indent 2"/>
    <w:basedOn w:val="6"/>
    <w:qFormat/>
    <w:uiPriority w:val="99"/>
    <w:pPr>
      <w:spacing w:after="0" w:afterLines="0"/>
      <w:ind w:left="0" w:leftChars="0" w:firstLine="420" w:firstLine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2023-03-23T06:20:00Z</dcterms:created>
  <dc:creator>Administrator</dc:creator>
  <cp:lastModifiedBy>Administrator</cp:lastModifiedBy>
  <dcterms:modified xsi:type="dcterms:W3CDTF">2023-05-29T02:18:50Z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E547011C0DC54F449912B3539C1DA42B</vt:lpwstr>
  </property>
</Properties>
</file>