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B990B">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部门整体支出绩效自评报告</w:t>
      </w:r>
    </w:p>
    <w:p w14:paraId="44733E83">
      <w:pPr>
        <w:autoSpaceDE w:val="0"/>
        <w:autoSpaceDN w:val="0"/>
        <w:adjustRightInd w:val="0"/>
        <w:spacing w:beforeLines="0" w:afterLines="0" w:line="560" w:lineRule="exact"/>
        <w:jc w:val="center"/>
        <w:rPr>
          <w:rFonts w:hint="eastAsia" w:ascii="楷体_GB2312" w:eastAsia="楷体_GB2312"/>
          <w:kern w:val="0"/>
          <w:sz w:val="21"/>
        </w:rPr>
      </w:pPr>
      <w:r>
        <w:rPr>
          <w:rFonts w:hint="eastAsia" w:ascii="楷体_GB2312" w:hAnsi="Times New Roman" w:eastAsia="楷体_GB2312"/>
          <w:kern w:val="0"/>
          <w:sz w:val="32"/>
        </w:rPr>
        <w:t>（</w:t>
      </w:r>
      <w:r>
        <w:rPr>
          <w:rFonts w:hint="eastAsia" w:ascii="楷体_GB2312" w:hAnsi="Times New Roman" w:eastAsia="楷体_GB2312"/>
          <w:kern w:val="0"/>
          <w:sz w:val="32"/>
          <w:lang w:val="en-US" w:eastAsia="zh-CN"/>
        </w:rPr>
        <w:t>2023</w:t>
      </w:r>
      <w:r>
        <w:rPr>
          <w:rFonts w:hint="eastAsia" w:ascii="楷体_GB2312" w:hAnsi="Times New Roman" w:eastAsia="楷体_GB2312"/>
          <w:kern w:val="0"/>
          <w:sz w:val="32"/>
        </w:rPr>
        <w:t>年度）</w:t>
      </w:r>
    </w:p>
    <w:p w14:paraId="0CEAA45A">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一、部门概况</w:t>
      </w:r>
    </w:p>
    <w:p w14:paraId="71658EC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（一）部门主要职责职能，组织架构、人员及资产等基本情况。</w:t>
      </w:r>
    </w:p>
    <w:p w14:paraId="3AF7434C">
      <w:pPr>
        <w:keepNext w:val="0"/>
        <w:keepLines w:val="0"/>
        <w:pageBreakBefore w:val="0"/>
        <w:kinsoku/>
        <w:wordWrap/>
        <w:overflowPunct/>
        <w:topLinePunct w:val="0"/>
        <w:bidi w:val="0"/>
        <w:ind w:firstLine="640" w:firstLineChars="200"/>
        <w:jc w:val="left"/>
        <w:textAlignment w:val="auto"/>
        <w:rPr>
          <w:rFonts w:ascii="仿宋" w:hAnsi="仿宋" w:eastAsia="仿宋" w:cs="仿宋_GB2312"/>
          <w:sz w:val="32"/>
          <w:szCs w:val="40"/>
        </w:rPr>
      </w:pPr>
      <w:r>
        <w:rPr>
          <w:rFonts w:hint="eastAsia" w:ascii="仿宋" w:hAnsi="仿宋" w:eastAsia="仿宋" w:cs="仿宋_GB2312"/>
          <w:sz w:val="32"/>
          <w:szCs w:val="40"/>
        </w:rPr>
        <w:t>1、宣传贯彻执行国家、省、市、县关于城市管理工作的方针、政策和法律、法规，组织草拟县城市管理方面的有关文件。研究制定本县城市管理事业、燃气行业、城市排水排污中长期规划、专项规划、年度计划，并组织实施。</w:t>
      </w:r>
    </w:p>
    <w:p w14:paraId="768628FF">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2、负责全县城市综合管理的组织、协调、检查、指导、考核、评比工作。负责全县城乡环卫一体化工作指导、监督检查。</w:t>
      </w:r>
    </w:p>
    <w:p w14:paraId="200801F2">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3、负责全县城市管理行政执法的组织、协调、检查、监督、宣传工作。负责承担城市管理相对集中行政处罚权工作。负责县城区广场、景区等公共场所的综合管理。负责对占用挖掘损坏城市道路及违反城市规划、房地产、市政工程、公用事业、户外广告、市容环境卫生、县城区风景区管理、燃气管理等方面法律法规行为实施行政处罚。受理有关城市管理方面的行政诉讼和行政复议。</w:t>
      </w:r>
    </w:p>
    <w:p w14:paraId="6AC12B3A">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4、负责县城区市政公用，公共照明，灯饰亮化、店面招牌、户外广告、沿街建筑物立面容貌和临街景观以及数字城管、垃圾中转站、收集站、垃圾池、果壳箱等市容环卫设施、设备的维护和管理。负责全县市容环境综合整治工作。</w:t>
      </w:r>
    </w:p>
    <w:p w14:paraId="4B8321D4">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5、负责城市道路挖掘许可、临时占用城市道路许可的审批、管护维修工作。负责城区占用及拆除、迁移、改动城市道路照明设施的审批工作。负责店面招牌、户外广告设置的审批。</w:t>
      </w:r>
    </w:p>
    <w:p w14:paraId="5B21BD4C">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6、负责对城区规划、房地产方面等违法、违章行为进行监督查处。负责房地产监察工作。负责国省县道路沿线、乡镇集镇、景区景点周边及重要节点农房巡查、督查工作。参与制定城市规划、建设项目和全县综合开发建设项目的可行性研究、方案审查和竣工验收备案工作。参与城市规划区新建、改建、扩建市政、市容基础设施建设项目的立项、选址、设计、竣工验收工作。</w:t>
      </w:r>
    </w:p>
    <w:p w14:paraId="678A85D7">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7、负责推进城市管理长效化、数字化、精细化。负责县数字城管平台的建设、运行、维护、指导、检查和考评等工作，依托数字城管平台组织开展城市管理工作专项检查考评。</w:t>
      </w:r>
    </w:p>
    <w:p w14:paraId="50F72810">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8、负责全县生活垃圾、建筑垃圾、基建渣土（余土）等固体废弃物的排放、运输、审批、处置工作。</w:t>
      </w:r>
    </w:p>
    <w:p w14:paraId="34392FED">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9、编制城市管理、环境卫生、路灯管护、景区管理、市政公用和城市运行维护费的年度经费计划，并对执行情况进行财务监督。</w:t>
      </w:r>
    </w:p>
    <w:p w14:paraId="69712AE4">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10、负责全县燃气行业日常管理工作，保障公共安全和燃气正常供应。</w:t>
      </w:r>
    </w:p>
    <w:p w14:paraId="309F7361">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11、负责推进、指导、协调、监督本部门、本系统的政府信息公开工作。</w:t>
      </w:r>
    </w:p>
    <w:p w14:paraId="29523CC7">
      <w:pPr>
        <w:pStyle w:val="5"/>
        <w:keepNext w:val="0"/>
        <w:keepLines w:val="0"/>
        <w:pageBreakBefore w:val="0"/>
        <w:kinsoku/>
        <w:wordWrap/>
        <w:overflowPunct/>
        <w:topLinePunct w:val="0"/>
        <w:bidi w:val="0"/>
        <w:spacing w:line="360" w:lineRule="auto"/>
        <w:ind w:firstLine="640" w:firstLineChars="200"/>
        <w:textAlignment w:val="auto"/>
        <w:rPr>
          <w:rFonts w:ascii="仿宋" w:hAnsi="仿宋" w:eastAsia="仿宋" w:cs="仿宋_GB2312"/>
          <w:kern w:val="2"/>
          <w:sz w:val="32"/>
          <w:szCs w:val="40"/>
          <w:lang w:val="en-US"/>
        </w:rPr>
      </w:pPr>
      <w:r>
        <w:rPr>
          <w:rFonts w:hint="eastAsia" w:ascii="仿宋" w:hAnsi="仿宋" w:eastAsia="仿宋" w:cs="仿宋_GB2312"/>
          <w:kern w:val="2"/>
          <w:sz w:val="32"/>
          <w:szCs w:val="40"/>
          <w:lang w:val="en-US"/>
        </w:rPr>
        <w:t>12、指导乡镇城镇管理工作，对乡镇城管工作进行督导检查。</w:t>
      </w:r>
    </w:p>
    <w:p w14:paraId="58D02A6E">
      <w:pPr>
        <w:keepNext w:val="0"/>
        <w:keepLines w:val="0"/>
        <w:pageBreakBefore w:val="0"/>
        <w:kinsoku/>
        <w:wordWrap/>
        <w:overflowPunct/>
        <w:topLinePunct w:val="0"/>
        <w:bidi w:val="0"/>
        <w:ind w:firstLine="640" w:firstLineChars="200"/>
        <w:jc w:val="left"/>
        <w:textAlignment w:val="auto"/>
        <w:rPr>
          <w:rFonts w:hint="eastAsia" w:ascii="仿宋" w:hAnsi="仿宋" w:eastAsia="仿宋" w:cs="仿宋_GB2312"/>
          <w:sz w:val="32"/>
          <w:szCs w:val="40"/>
        </w:rPr>
      </w:pPr>
      <w:r>
        <w:rPr>
          <w:rFonts w:hint="eastAsia" w:ascii="仿宋" w:hAnsi="仿宋" w:eastAsia="仿宋" w:cs="仿宋_GB2312"/>
          <w:sz w:val="32"/>
          <w:szCs w:val="40"/>
        </w:rPr>
        <w:t>13、完成县委、县政府交办的其他事项。</w:t>
      </w:r>
    </w:p>
    <w:p w14:paraId="3A623043">
      <w:pPr>
        <w:keepNext w:val="0"/>
        <w:keepLines w:val="0"/>
        <w:pageBreakBefore w:val="0"/>
        <w:kinsoku/>
        <w:wordWrap/>
        <w:overflowPunct/>
        <w:topLinePunct w:val="0"/>
        <w:bidi w:val="0"/>
        <w:spacing w:line="560" w:lineRule="exact"/>
        <w:ind w:firstLine="640" w:firstLineChars="200"/>
        <w:jc w:val="left"/>
        <w:textAlignment w:val="auto"/>
        <w:rPr>
          <w:rFonts w:ascii="仿宋" w:hAnsi="仿宋" w:eastAsia="仿宋" w:cs="仿宋_GB2312"/>
          <w:sz w:val="32"/>
          <w:szCs w:val="40"/>
        </w:rPr>
      </w:pPr>
      <w:r>
        <w:rPr>
          <w:rFonts w:hint="eastAsia" w:ascii="仿宋" w:hAnsi="仿宋" w:eastAsia="仿宋" w:cs="仿宋_GB2312"/>
          <w:sz w:val="32"/>
          <w:szCs w:val="40"/>
        </w:rPr>
        <w:t>安义县城市管理和综合执法局本级机关行政编制5名，在职人数</w:t>
      </w:r>
      <w:r>
        <w:rPr>
          <w:rFonts w:hint="eastAsia" w:ascii="仿宋" w:hAnsi="仿宋" w:eastAsia="仿宋" w:cs="仿宋_GB2312"/>
          <w:sz w:val="32"/>
          <w:szCs w:val="40"/>
          <w:lang w:val="en-US" w:eastAsia="zh-CN"/>
        </w:rPr>
        <w:t>8</w:t>
      </w:r>
      <w:r>
        <w:rPr>
          <w:rFonts w:hint="eastAsia" w:ascii="仿宋" w:hAnsi="仿宋" w:eastAsia="仿宋" w:cs="仿宋_GB2312"/>
          <w:sz w:val="32"/>
          <w:szCs w:val="40"/>
        </w:rPr>
        <w:t>名。设局长1名，副局长2名；正股级职数9名（含机关党组织专职副书记1名）。内设8个股室分别为办公室、法制监察股、督查考核股（数字城 管指挥中心）、行政审批股、市政公用管理股、市容秩序管理股、固体废弃物</w:t>
      </w:r>
      <w:r>
        <w:rPr>
          <w:rFonts w:ascii="仿宋" w:hAnsi="仿宋" w:eastAsia="仿宋" w:cs="仿宋_GB2312"/>
          <w:sz w:val="32"/>
          <w:szCs w:val="40"/>
        </w:rPr>
        <w:fldChar w:fldCharType="begin"/>
      </w:r>
      <w:r>
        <w:rPr>
          <w:rFonts w:ascii="仿宋" w:hAnsi="仿宋" w:eastAsia="仿宋" w:cs="仿宋_GB2312"/>
          <w:sz w:val="32"/>
          <w:szCs w:val="40"/>
        </w:rPr>
        <w:instrText xml:space="preserve">HYPERLINK "http://mm.93zp.com/gz/diquhuazhou/" \t "http://yj93zp.com/news-toutiao/_blank"</w:instrText>
      </w:r>
      <w:r>
        <w:rPr>
          <w:rFonts w:ascii="仿宋" w:hAnsi="仿宋" w:eastAsia="仿宋" w:cs="仿宋_GB2312"/>
          <w:sz w:val="32"/>
          <w:szCs w:val="40"/>
        </w:rPr>
        <w:fldChar w:fldCharType="separate"/>
      </w:r>
      <w:r>
        <w:rPr>
          <w:rFonts w:ascii="仿宋" w:hAnsi="仿宋" w:eastAsia="仿宋" w:cs="仿宋_GB2312"/>
          <w:sz w:val="32"/>
          <w:szCs w:val="40"/>
        </w:rPr>
        <w:fldChar w:fldCharType="end"/>
      </w:r>
      <w:r>
        <w:rPr>
          <w:rFonts w:hint="eastAsia" w:ascii="仿宋" w:hAnsi="仿宋" w:eastAsia="仿宋" w:cs="仿宋_GB2312"/>
          <w:sz w:val="32"/>
          <w:szCs w:val="40"/>
        </w:rPr>
        <w:t>管理股、综合协调股和机关党组织。负责局机关和所属单位的党群工作。</w:t>
      </w:r>
    </w:p>
    <w:p w14:paraId="3384A2EC">
      <w:pPr>
        <w:keepNext w:val="0"/>
        <w:keepLines w:val="0"/>
        <w:pageBreakBefore w:val="0"/>
        <w:widowControl/>
        <w:kinsoku/>
        <w:wordWrap/>
        <w:overflowPunct/>
        <w:topLinePunct w:val="0"/>
        <w:bidi w:val="0"/>
        <w:spacing w:line="560" w:lineRule="exact"/>
        <w:ind w:firstLine="640" w:firstLineChars="200"/>
        <w:jc w:val="left"/>
        <w:textAlignment w:val="auto"/>
        <w:rPr>
          <w:rFonts w:ascii="仿宋" w:hAnsi="仿宋" w:eastAsia="仿宋" w:cs="仿宋_GB2312"/>
          <w:sz w:val="32"/>
          <w:szCs w:val="40"/>
        </w:rPr>
      </w:pPr>
      <w:r>
        <w:rPr>
          <w:rFonts w:hint="eastAsia" w:ascii="仿宋" w:hAnsi="仿宋" w:eastAsia="仿宋" w:cs="仿宋_GB2312"/>
          <w:sz w:val="32"/>
          <w:szCs w:val="40"/>
        </w:rPr>
        <w:t>所属单位共两个。</w:t>
      </w:r>
    </w:p>
    <w:p w14:paraId="10415978">
      <w:pPr>
        <w:keepNext w:val="0"/>
        <w:keepLines w:val="0"/>
        <w:pageBreakBefore w:val="0"/>
        <w:widowControl/>
        <w:kinsoku/>
        <w:wordWrap/>
        <w:overflowPunct/>
        <w:topLinePunct w:val="0"/>
        <w:bidi w:val="0"/>
        <w:spacing w:line="560" w:lineRule="exact"/>
        <w:ind w:firstLine="640" w:firstLineChars="200"/>
        <w:jc w:val="left"/>
        <w:textAlignment w:val="auto"/>
        <w:rPr>
          <w:rFonts w:ascii="仿宋" w:hAnsi="仿宋" w:eastAsia="仿宋" w:cs="仿宋_GB2312"/>
          <w:sz w:val="32"/>
          <w:szCs w:val="40"/>
        </w:rPr>
      </w:pPr>
      <w:r>
        <w:rPr>
          <w:rFonts w:hint="eastAsia" w:ascii="仿宋" w:hAnsi="仿宋" w:eastAsia="仿宋" w:cs="仿宋_GB2312"/>
          <w:sz w:val="32"/>
          <w:szCs w:val="40"/>
        </w:rPr>
        <w:t>安义县城市管理综合行政执法大队，编制58名，在职人数3</w:t>
      </w:r>
      <w:r>
        <w:rPr>
          <w:rFonts w:hint="eastAsia" w:ascii="仿宋" w:hAnsi="仿宋" w:eastAsia="仿宋" w:cs="仿宋_GB2312"/>
          <w:sz w:val="32"/>
          <w:szCs w:val="40"/>
          <w:lang w:val="en-US" w:eastAsia="zh-CN"/>
        </w:rPr>
        <w:t>5</w:t>
      </w:r>
      <w:r>
        <w:rPr>
          <w:rFonts w:hint="eastAsia" w:ascii="仿宋" w:hAnsi="仿宋" w:eastAsia="仿宋" w:cs="仿宋_GB2312"/>
          <w:sz w:val="32"/>
          <w:szCs w:val="40"/>
        </w:rPr>
        <w:t>人，其中</w:t>
      </w:r>
      <w:r>
        <w:rPr>
          <w:rFonts w:hint="eastAsia" w:ascii="仿宋" w:hAnsi="仿宋" w:eastAsia="仿宋" w:cs="仿宋_GB2312"/>
          <w:sz w:val="32"/>
          <w:szCs w:val="40"/>
          <w:lang w:val="en-US" w:eastAsia="zh-CN"/>
        </w:rPr>
        <w:t>30</w:t>
      </w:r>
      <w:r>
        <w:rPr>
          <w:rFonts w:hint="eastAsia" w:ascii="仿宋" w:hAnsi="仿宋" w:eastAsia="仿宋" w:cs="仿宋_GB2312"/>
          <w:sz w:val="32"/>
          <w:szCs w:val="40"/>
        </w:rPr>
        <w:t>人为参公事业编制，</w:t>
      </w:r>
      <w:r>
        <w:rPr>
          <w:rFonts w:hint="eastAsia" w:ascii="仿宋" w:hAnsi="仿宋" w:eastAsia="仿宋" w:cs="仿宋_GB2312"/>
          <w:sz w:val="32"/>
          <w:szCs w:val="40"/>
          <w:lang w:val="en-US" w:eastAsia="zh-CN"/>
        </w:rPr>
        <w:t>5</w:t>
      </w:r>
      <w:r>
        <w:rPr>
          <w:rFonts w:hint="eastAsia" w:ascii="仿宋" w:hAnsi="仿宋" w:eastAsia="仿宋" w:cs="仿宋_GB2312"/>
          <w:sz w:val="32"/>
          <w:szCs w:val="40"/>
        </w:rPr>
        <w:t>人为事业编制，均为财政拨款</w:t>
      </w:r>
      <w:r>
        <w:rPr>
          <w:rFonts w:hint="eastAsia" w:ascii="仿宋" w:hAnsi="仿宋" w:eastAsia="仿宋" w:cs="仿宋_GB2312"/>
          <w:sz w:val="32"/>
          <w:szCs w:val="40"/>
          <w:lang w:eastAsia="zh-CN"/>
        </w:rPr>
        <w:t>；</w:t>
      </w:r>
      <w:r>
        <w:rPr>
          <w:rFonts w:hint="eastAsia" w:ascii="仿宋" w:hAnsi="仿宋" w:eastAsia="仿宋" w:cs="仿宋_GB2312"/>
          <w:sz w:val="32"/>
          <w:szCs w:val="40"/>
        </w:rPr>
        <w:t>退休人员7人，遗属1人。</w:t>
      </w:r>
    </w:p>
    <w:p w14:paraId="25D2C336">
      <w:pPr>
        <w:keepNext w:val="0"/>
        <w:keepLines w:val="0"/>
        <w:pageBreakBefore w:val="0"/>
        <w:widowControl/>
        <w:kinsoku/>
        <w:wordWrap/>
        <w:overflowPunct/>
        <w:topLinePunct w:val="0"/>
        <w:bidi w:val="0"/>
        <w:spacing w:line="560" w:lineRule="exact"/>
        <w:ind w:firstLine="640" w:firstLineChars="200"/>
        <w:jc w:val="left"/>
        <w:textAlignment w:val="auto"/>
        <w:rPr>
          <w:rFonts w:hint="eastAsia"/>
          <w:color w:val="auto"/>
        </w:rPr>
      </w:pPr>
      <w:r>
        <w:rPr>
          <w:rFonts w:hint="eastAsia" w:ascii="仿宋" w:hAnsi="仿宋" w:eastAsia="仿宋" w:cs="仿宋_GB2312"/>
          <w:color w:val="auto"/>
          <w:sz w:val="32"/>
          <w:szCs w:val="40"/>
        </w:rPr>
        <w:t>安义县城市管理综合协调中心，编制72名，在职人数</w:t>
      </w:r>
      <w:r>
        <w:rPr>
          <w:rFonts w:hint="eastAsia" w:ascii="仿宋" w:hAnsi="仿宋" w:eastAsia="仿宋" w:cs="仿宋_GB2312"/>
          <w:color w:val="auto"/>
          <w:sz w:val="32"/>
          <w:szCs w:val="40"/>
          <w:lang w:val="en-US" w:eastAsia="zh-CN"/>
        </w:rPr>
        <w:t>68</w:t>
      </w:r>
      <w:r>
        <w:rPr>
          <w:rFonts w:hint="eastAsia" w:ascii="仿宋" w:hAnsi="仿宋" w:eastAsia="仿宋" w:cs="仿宋_GB2312"/>
          <w:color w:val="auto"/>
          <w:sz w:val="32"/>
          <w:szCs w:val="40"/>
        </w:rPr>
        <w:t>人，其中</w:t>
      </w:r>
      <w:r>
        <w:rPr>
          <w:rFonts w:hint="eastAsia" w:ascii="仿宋" w:hAnsi="仿宋" w:eastAsia="仿宋" w:cs="仿宋_GB2312"/>
          <w:color w:val="auto"/>
          <w:sz w:val="32"/>
          <w:szCs w:val="40"/>
          <w:lang w:val="en-US" w:eastAsia="zh-CN"/>
        </w:rPr>
        <w:t>26</w:t>
      </w:r>
      <w:r>
        <w:rPr>
          <w:rFonts w:hint="eastAsia" w:ascii="仿宋" w:hAnsi="仿宋" w:eastAsia="仿宋" w:cs="仿宋_GB2312"/>
          <w:color w:val="auto"/>
          <w:sz w:val="32"/>
          <w:szCs w:val="40"/>
        </w:rPr>
        <w:t>人为事业编制，为全额拨款，42人自收自支编制</w:t>
      </w:r>
      <w:r>
        <w:rPr>
          <w:rFonts w:hint="eastAsia" w:ascii="仿宋" w:hAnsi="仿宋" w:eastAsia="仿宋" w:cs="仿宋_GB2312"/>
          <w:color w:val="auto"/>
          <w:sz w:val="32"/>
          <w:szCs w:val="40"/>
          <w:lang w:eastAsia="zh-CN"/>
        </w:rPr>
        <w:t>；</w:t>
      </w:r>
      <w:r>
        <w:rPr>
          <w:rFonts w:hint="eastAsia" w:ascii="仿宋" w:hAnsi="仿宋" w:eastAsia="仿宋" w:cs="仿宋_GB2312"/>
          <w:color w:val="auto"/>
          <w:sz w:val="32"/>
          <w:szCs w:val="40"/>
        </w:rPr>
        <w:t>离退休</w:t>
      </w:r>
      <w:r>
        <w:rPr>
          <w:rFonts w:hint="eastAsia" w:ascii="仿宋" w:hAnsi="仿宋" w:eastAsia="仿宋" w:cs="仿宋_GB2312"/>
          <w:color w:val="auto"/>
          <w:sz w:val="32"/>
          <w:szCs w:val="40"/>
          <w:lang w:val="en-US" w:eastAsia="zh-CN"/>
        </w:rPr>
        <w:t>44</w:t>
      </w:r>
      <w:r>
        <w:rPr>
          <w:rFonts w:hint="eastAsia" w:ascii="仿宋" w:hAnsi="仿宋" w:eastAsia="仿宋" w:cs="仿宋_GB2312"/>
          <w:color w:val="auto"/>
          <w:sz w:val="32"/>
          <w:szCs w:val="40"/>
        </w:rPr>
        <w:t>人，遗属1人。</w:t>
      </w:r>
    </w:p>
    <w:p w14:paraId="05ACFC97">
      <w:pPr>
        <w:numPr>
          <w:ilvl w:val="0"/>
          <w:numId w:val="0"/>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（二）</w:t>
      </w:r>
      <w:r>
        <w:rPr>
          <w:rFonts w:hint="eastAsia" w:ascii="仿宋_GB2312" w:hAnsi="Times New Roman" w:eastAsia="仿宋_GB2312"/>
          <w:kern w:val="0"/>
          <w:sz w:val="32"/>
        </w:rPr>
        <w:t>当年部门履职总体目标、工作任务。</w:t>
      </w:r>
    </w:p>
    <w:p w14:paraId="7733E28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以“创建全国文明城市、国家卫生县”为目标，以城市市容市貌和环境卫生整治为手段，按照创建国家文明城市、卫生县城有关要求，对标先进一流，深入实施城市功能与品质再提升十大行动，大力推进城市环境综合整治八大行动，巩固现有创文创卫成果，扎实做好市容市貌秩序管理、环境卫生综合整治、市政维修、氛围营造等相关工作，实现城市市容整洁有序、环境质量大幅改善，推动我县城市环境明显改观、城市形象极大提升，群众获得感、幸福感、安全感持续增强。</w:t>
      </w:r>
    </w:p>
    <w:p w14:paraId="131FCCB9">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eastAsia="仿宋_GB2312"/>
          <w:color w:val="auto"/>
          <w:sz w:val="32"/>
          <w:szCs w:val="32"/>
          <w:lang w:eastAsia="zh-CN"/>
        </w:rPr>
        <w:t>以“城市运行安全”和“民生项目推进”为重点，强化责任担当，全面冲刺发力，下足绣花功夫。分析预判安全生产形势，对可能出现安全隐患的城镇燃气、高空广告、市政设施、建筑消纳、城市供排水等城市运行安全领域进行全面排查，进一步提升我县城市品质和人居环境；以重点项目建设为抓手，聚焦政策导向、发展方向等，列清单、盯难点，全力攻坚2023年重大重点项目建设制约瓶颈，确保项目如期完工；同时，围绕“资金、项目、政策”三块内容积极向上争取，重点谋划适用于我县发展、我局建设的城区污水管网提升改造、老城区人行道板整体提升改造、美食特色街区、隔里港及凤凰山湿地水生态保护与修复等项目。</w:t>
      </w:r>
    </w:p>
    <w:p w14:paraId="09D6AE26">
      <w:pPr>
        <w:numPr>
          <w:ilvl w:val="0"/>
          <w:numId w:val="0"/>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（三）</w:t>
      </w:r>
      <w:r>
        <w:rPr>
          <w:rFonts w:hint="eastAsia" w:ascii="仿宋_GB2312" w:hAnsi="Times New Roman" w:eastAsia="仿宋_GB2312"/>
          <w:kern w:val="0"/>
          <w:sz w:val="32"/>
        </w:rPr>
        <w:t>当年部门年度整体支出绩效目标。</w:t>
      </w:r>
    </w:p>
    <w:p w14:paraId="674ECC68">
      <w:pPr>
        <w:pStyle w:val="3"/>
        <w:numPr>
          <w:ilvl w:val="0"/>
          <w:numId w:val="0"/>
        </w:numPr>
        <w:ind w:leftChars="200"/>
        <w:rPr>
          <w:rFonts w:hint="eastAsia"/>
        </w:rPr>
      </w:pPr>
      <w:r>
        <w:rPr>
          <w:rFonts w:hint="eastAsia" w:ascii="仿宋" w:hAnsi="仿宋" w:eastAsia="仿宋" w:cs="仿宋_GB2312"/>
          <w:sz w:val="32"/>
          <w:szCs w:val="40"/>
        </w:rPr>
        <w:t>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年度安义县城市管理和综合执法局设置的整体支出绩效目标为助力创文创卫，及时市政维修管护，整治环境污染及违法建设，完成县委县政府交办的各项事务。</w:t>
      </w:r>
    </w:p>
    <w:p w14:paraId="43C055FA">
      <w:pPr>
        <w:numPr>
          <w:ilvl w:val="0"/>
          <w:numId w:val="0"/>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（四）</w:t>
      </w:r>
      <w:r>
        <w:rPr>
          <w:rFonts w:hint="eastAsia" w:ascii="仿宋_GB2312" w:hAnsi="Times New Roman" w:eastAsia="仿宋_GB2312"/>
          <w:kern w:val="0"/>
          <w:sz w:val="32"/>
        </w:rPr>
        <w:t>部门预算绩效管理开展情况。</w:t>
      </w:r>
    </w:p>
    <w:p w14:paraId="79CC3091">
      <w:pPr>
        <w:keepNext w:val="0"/>
        <w:keepLines w:val="0"/>
        <w:pageBreakBefore w:val="0"/>
        <w:kinsoku/>
        <w:wordWrap/>
        <w:overflowPunct/>
        <w:topLinePunct w:val="0"/>
        <w:bidi w:val="0"/>
        <w:ind w:left="420" w:firstLine="640" w:firstLineChars="200"/>
        <w:jc w:val="left"/>
        <w:textAlignment w:val="auto"/>
        <w:rPr>
          <w:rFonts w:hint="eastAsia" w:ascii="仿宋" w:hAnsi="仿宋" w:eastAsia="仿宋" w:cs="仿宋_GB2312"/>
          <w:sz w:val="32"/>
          <w:szCs w:val="40"/>
        </w:rPr>
      </w:pPr>
      <w:r>
        <w:rPr>
          <w:rFonts w:hint="eastAsia" w:ascii="仿宋" w:hAnsi="仿宋" w:eastAsia="仿宋" w:cs="仿宋_GB2312"/>
          <w:sz w:val="32"/>
          <w:szCs w:val="40"/>
        </w:rPr>
        <w:t>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年度安义县城市管理和综合执法局完成了202</w:t>
      </w:r>
      <w:r>
        <w:rPr>
          <w:rFonts w:hint="eastAsia" w:ascii="仿宋" w:hAnsi="仿宋" w:eastAsia="仿宋" w:cs="仿宋_GB2312"/>
          <w:sz w:val="32"/>
          <w:szCs w:val="40"/>
          <w:lang w:val="en-US" w:eastAsia="zh-CN"/>
        </w:rPr>
        <w:t>2</w:t>
      </w:r>
      <w:r>
        <w:rPr>
          <w:rFonts w:hint="eastAsia" w:ascii="仿宋" w:hAnsi="仿宋" w:eastAsia="仿宋" w:cs="仿宋_GB2312"/>
          <w:sz w:val="32"/>
          <w:szCs w:val="40"/>
        </w:rPr>
        <w:t>年项目资金绩效评价、202</w:t>
      </w:r>
      <w:r>
        <w:rPr>
          <w:rFonts w:hint="eastAsia" w:ascii="仿宋" w:hAnsi="仿宋" w:eastAsia="仿宋" w:cs="仿宋_GB2312"/>
          <w:sz w:val="32"/>
          <w:szCs w:val="40"/>
          <w:lang w:val="en-US" w:eastAsia="zh-CN"/>
        </w:rPr>
        <w:t>2</w:t>
      </w:r>
      <w:r>
        <w:rPr>
          <w:rFonts w:hint="eastAsia" w:ascii="仿宋" w:hAnsi="仿宋" w:eastAsia="仿宋" w:cs="仿宋_GB2312"/>
          <w:sz w:val="32"/>
          <w:szCs w:val="40"/>
        </w:rPr>
        <w:t>年部门整体支出绩效评价、202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年度绩效监控、202</w:t>
      </w:r>
      <w:r>
        <w:rPr>
          <w:rFonts w:hint="eastAsia" w:ascii="仿宋" w:hAnsi="仿宋" w:eastAsia="仿宋" w:cs="仿宋_GB2312"/>
          <w:sz w:val="32"/>
          <w:szCs w:val="40"/>
          <w:lang w:val="en-US" w:eastAsia="zh-CN"/>
        </w:rPr>
        <w:t>4</w:t>
      </w:r>
      <w:r>
        <w:rPr>
          <w:rFonts w:hint="eastAsia" w:ascii="仿宋" w:hAnsi="仿宋" w:eastAsia="仿宋" w:cs="仿宋_GB2312"/>
          <w:sz w:val="32"/>
          <w:szCs w:val="40"/>
        </w:rPr>
        <w:t>年项目支出绩效目标管理申报、202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年部门整体支出绩效目标管理等绩效管理工作。绩效工作具体开展情况如下：</w:t>
      </w:r>
    </w:p>
    <w:p w14:paraId="6706D45D">
      <w:pPr>
        <w:keepNext w:val="0"/>
        <w:keepLines w:val="0"/>
        <w:pageBreakBefore w:val="0"/>
        <w:kinsoku/>
        <w:wordWrap/>
        <w:overflowPunct/>
        <w:topLinePunct w:val="0"/>
        <w:bidi w:val="0"/>
        <w:ind w:left="420" w:firstLine="640" w:firstLineChars="200"/>
        <w:jc w:val="left"/>
        <w:textAlignment w:val="auto"/>
        <w:rPr>
          <w:rFonts w:ascii="仿宋" w:hAnsi="仿宋" w:eastAsia="仿宋" w:cs="仿宋_GB2312"/>
          <w:sz w:val="32"/>
          <w:szCs w:val="40"/>
        </w:rPr>
      </w:pPr>
      <w:r>
        <w:rPr>
          <w:rFonts w:hint="eastAsia" w:ascii="仿宋" w:hAnsi="仿宋" w:eastAsia="仿宋" w:cs="仿宋_GB2312"/>
          <w:sz w:val="32"/>
          <w:szCs w:val="40"/>
        </w:rPr>
        <w:t>对202</w:t>
      </w:r>
      <w:r>
        <w:rPr>
          <w:rFonts w:hint="eastAsia" w:ascii="仿宋" w:hAnsi="仿宋" w:eastAsia="仿宋" w:cs="仿宋_GB2312"/>
          <w:sz w:val="32"/>
          <w:szCs w:val="40"/>
          <w:lang w:val="en-US" w:eastAsia="zh-CN"/>
        </w:rPr>
        <w:t>2</w:t>
      </w:r>
      <w:r>
        <w:rPr>
          <w:rFonts w:hint="eastAsia" w:ascii="仿宋" w:hAnsi="仿宋" w:eastAsia="仿宋" w:cs="仿宋_GB2312"/>
          <w:sz w:val="32"/>
          <w:szCs w:val="40"/>
        </w:rPr>
        <w:t>年度实施项目的财政资金投入运行情况，包括目标设定、目标完成、组织管理水平、实施成效等进行评价分析，并总结存在的问题，促进各项政策和措施的全面落实，不断提高财政资金绩效管理水平。</w:t>
      </w:r>
    </w:p>
    <w:p w14:paraId="1CC9C005">
      <w:pPr>
        <w:keepNext w:val="0"/>
        <w:keepLines w:val="0"/>
        <w:pageBreakBefore w:val="0"/>
        <w:kinsoku/>
        <w:wordWrap/>
        <w:overflowPunct/>
        <w:topLinePunct w:val="0"/>
        <w:bidi w:val="0"/>
        <w:ind w:left="420" w:firstLine="640" w:firstLineChars="200"/>
        <w:jc w:val="left"/>
        <w:textAlignment w:val="auto"/>
        <w:rPr>
          <w:rFonts w:ascii="仿宋" w:hAnsi="仿宋" w:eastAsia="仿宋" w:cs="仿宋_GB2312"/>
          <w:sz w:val="32"/>
          <w:szCs w:val="40"/>
        </w:rPr>
      </w:pPr>
      <w:r>
        <w:rPr>
          <w:rFonts w:ascii="仿宋" w:hAnsi="仿宋" w:eastAsia="仿宋" w:cs="仿宋_GB2312"/>
          <w:sz w:val="32"/>
          <w:szCs w:val="40"/>
        </w:rPr>
        <w:t>开展了</w:t>
      </w:r>
      <w:r>
        <w:rPr>
          <w:rFonts w:hint="eastAsia" w:ascii="仿宋" w:hAnsi="仿宋" w:eastAsia="仿宋" w:cs="仿宋_GB2312"/>
          <w:sz w:val="32"/>
          <w:szCs w:val="40"/>
        </w:rPr>
        <w:t>202</w:t>
      </w:r>
      <w:r>
        <w:rPr>
          <w:rFonts w:hint="eastAsia" w:ascii="仿宋" w:hAnsi="仿宋" w:eastAsia="仿宋" w:cs="仿宋_GB2312"/>
          <w:sz w:val="32"/>
          <w:szCs w:val="40"/>
          <w:lang w:val="en-US" w:eastAsia="zh-CN"/>
        </w:rPr>
        <w:t>2</w:t>
      </w:r>
      <w:r>
        <w:rPr>
          <w:rFonts w:ascii="仿宋" w:hAnsi="仿宋" w:eastAsia="仿宋" w:cs="仿宋_GB2312"/>
          <w:sz w:val="32"/>
          <w:szCs w:val="40"/>
        </w:rPr>
        <w:t>年度整体支出绩效评价工作</w:t>
      </w:r>
      <w:r>
        <w:rPr>
          <w:rFonts w:hint="eastAsia" w:ascii="仿宋" w:hAnsi="仿宋" w:eastAsia="仿宋" w:cs="仿宋_GB2312"/>
          <w:sz w:val="32"/>
          <w:szCs w:val="40"/>
        </w:rPr>
        <w:t>，对财政资金投入运行情况，包括目标设定、目标完成、组织管理水平、实施成效等进行评价分析，并总结出存在的问题，促进各项政策和措施的全面落实，不断提高财政资金绩效管理水平。</w:t>
      </w:r>
    </w:p>
    <w:p w14:paraId="3D60BA4F">
      <w:pPr>
        <w:keepNext w:val="0"/>
        <w:keepLines w:val="0"/>
        <w:pageBreakBefore w:val="0"/>
        <w:kinsoku/>
        <w:wordWrap/>
        <w:overflowPunct/>
        <w:topLinePunct w:val="0"/>
        <w:bidi w:val="0"/>
        <w:ind w:left="420" w:firstLine="640" w:firstLineChars="200"/>
        <w:jc w:val="left"/>
        <w:textAlignment w:val="auto"/>
        <w:rPr>
          <w:rFonts w:ascii="仿宋" w:hAnsi="仿宋" w:eastAsia="仿宋" w:cs="仿宋_GB2312"/>
          <w:sz w:val="32"/>
          <w:szCs w:val="40"/>
        </w:rPr>
      </w:pPr>
      <w:r>
        <w:rPr>
          <w:rFonts w:hint="eastAsia" w:ascii="仿宋" w:hAnsi="仿宋" w:eastAsia="仿宋" w:cs="仿宋_GB2312"/>
          <w:sz w:val="32"/>
          <w:szCs w:val="40"/>
        </w:rPr>
        <w:t>编制202</w:t>
      </w:r>
      <w:r>
        <w:rPr>
          <w:rFonts w:hint="eastAsia" w:ascii="仿宋" w:hAnsi="仿宋" w:eastAsia="仿宋" w:cs="仿宋_GB2312"/>
          <w:sz w:val="32"/>
          <w:szCs w:val="40"/>
          <w:lang w:val="en-US" w:eastAsia="zh-CN"/>
        </w:rPr>
        <w:t>4</w:t>
      </w:r>
      <w:r>
        <w:rPr>
          <w:rFonts w:hint="eastAsia" w:ascii="仿宋" w:hAnsi="仿宋" w:eastAsia="仿宋" w:cs="仿宋_GB2312"/>
          <w:sz w:val="32"/>
          <w:szCs w:val="40"/>
        </w:rPr>
        <w:t>年度项目支出绩效目标申报表。对项目的功能进行梳理，依据项目的功能特性，预计所要达到的产出和效果，概括、提炼出最能反映项目预期实现程度的关键性指标，予以细化、量化，将其确定为相应的绩效指标，清晰反映预算资金的预期产出和效果，以提高财政资金使用的科学性、规范性和有效性。</w:t>
      </w:r>
    </w:p>
    <w:p w14:paraId="313708CB">
      <w:pPr>
        <w:keepNext w:val="0"/>
        <w:keepLines w:val="0"/>
        <w:pageBreakBefore w:val="0"/>
        <w:kinsoku/>
        <w:wordWrap/>
        <w:overflowPunct/>
        <w:topLinePunct w:val="0"/>
        <w:bidi w:val="0"/>
        <w:ind w:left="420" w:firstLine="640" w:firstLineChars="200"/>
        <w:jc w:val="left"/>
        <w:textAlignment w:val="auto"/>
        <w:rPr>
          <w:rFonts w:ascii="仿宋" w:hAnsi="仿宋" w:eastAsia="仿宋" w:cs="仿宋_GB2312"/>
          <w:sz w:val="32"/>
          <w:szCs w:val="40"/>
        </w:rPr>
      </w:pPr>
      <w:r>
        <w:rPr>
          <w:rFonts w:hint="eastAsia" w:ascii="仿宋" w:hAnsi="仿宋" w:eastAsia="仿宋" w:cs="仿宋_GB2312"/>
          <w:sz w:val="32"/>
          <w:szCs w:val="40"/>
        </w:rPr>
        <w:t>按照预算绩效管理有关规定，对照202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年项目绩效目标，对202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实施项目的执行过程以及资金使用和管理情况进行绩效运行监控，以便及时掌握项目绩效目标的完成情况及资金支出进度。针对项目绩效运行监控中发现的问题，向问题项目相关实施单位下发了问题整改通知，提出了改进措施，并要求其出具整改计划，切实发挥项目运行监控的作用。</w:t>
      </w:r>
    </w:p>
    <w:p w14:paraId="021FF3B1">
      <w:pPr>
        <w:keepNext w:val="0"/>
        <w:keepLines w:val="0"/>
        <w:pageBreakBefore w:val="0"/>
        <w:kinsoku/>
        <w:wordWrap/>
        <w:overflowPunct/>
        <w:topLinePunct w:val="0"/>
        <w:bidi w:val="0"/>
        <w:ind w:left="420" w:firstLine="640" w:firstLineChars="200"/>
        <w:jc w:val="left"/>
        <w:textAlignment w:val="auto"/>
        <w:rPr>
          <w:rFonts w:hint="eastAsia"/>
        </w:rPr>
      </w:pPr>
      <w:r>
        <w:rPr>
          <w:rFonts w:ascii="仿宋" w:hAnsi="仿宋" w:eastAsia="仿宋" w:cs="仿宋_GB2312"/>
          <w:sz w:val="32"/>
          <w:szCs w:val="40"/>
        </w:rPr>
        <w:t>对单位部门整体及所属单位按照确定的职责，运用全部财政资金在一定期限内预期达到的总体产出和效果，概括、提炼出最能反映项目预期实现程度的关键性指标，予以细化、量化，将其确定为相应的绩效指标，清晰反映预算资金的预期产出和效果，</w:t>
      </w:r>
      <w:r>
        <w:rPr>
          <w:rFonts w:hint="eastAsia" w:ascii="仿宋" w:hAnsi="仿宋" w:eastAsia="仿宋" w:cs="仿宋_GB2312"/>
          <w:sz w:val="32"/>
          <w:szCs w:val="40"/>
        </w:rPr>
        <w:t>编制202</w:t>
      </w:r>
      <w:r>
        <w:rPr>
          <w:rFonts w:hint="eastAsia" w:ascii="仿宋" w:hAnsi="仿宋" w:eastAsia="仿宋" w:cs="仿宋_GB2312"/>
          <w:sz w:val="32"/>
          <w:szCs w:val="40"/>
          <w:lang w:val="en-US" w:eastAsia="zh-CN"/>
        </w:rPr>
        <w:t>4</w:t>
      </w:r>
      <w:r>
        <w:rPr>
          <w:rFonts w:hint="eastAsia" w:ascii="仿宋" w:hAnsi="仿宋" w:eastAsia="仿宋" w:cs="仿宋_GB2312"/>
          <w:sz w:val="32"/>
          <w:szCs w:val="40"/>
        </w:rPr>
        <w:t>年度部门整体绩效目标申报表，以</w:t>
      </w:r>
      <w:r>
        <w:rPr>
          <w:rFonts w:ascii="仿宋" w:hAnsi="仿宋" w:eastAsia="仿宋" w:cs="仿宋_GB2312"/>
          <w:sz w:val="32"/>
          <w:szCs w:val="40"/>
        </w:rPr>
        <w:t>提高财政资金使用的科学性、规范性和有效性。</w:t>
      </w:r>
    </w:p>
    <w:p w14:paraId="550CD442">
      <w:pPr>
        <w:numPr>
          <w:ilvl w:val="0"/>
          <w:numId w:val="0"/>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（五）</w:t>
      </w:r>
      <w:r>
        <w:rPr>
          <w:rFonts w:hint="eastAsia" w:ascii="仿宋_GB2312" w:hAnsi="Times New Roman" w:eastAsia="仿宋_GB2312"/>
          <w:kern w:val="0"/>
          <w:sz w:val="32"/>
        </w:rPr>
        <w:t>当年部门预算及执行情况。</w:t>
      </w:r>
    </w:p>
    <w:p w14:paraId="6BE45715">
      <w:pPr>
        <w:keepNext w:val="0"/>
        <w:keepLines w:val="0"/>
        <w:pageBreakBefore w:val="0"/>
        <w:kinsoku/>
        <w:wordWrap/>
        <w:overflowPunct/>
        <w:topLinePunct w:val="0"/>
        <w:bidi w:val="0"/>
        <w:ind w:left="420" w:firstLine="640" w:firstLineChars="200"/>
        <w:textAlignment w:val="auto"/>
        <w:rPr>
          <w:rFonts w:hint="default" w:ascii="仿宋_GB2312" w:hAnsi="Times New Roman" w:eastAsia="仿宋"/>
          <w:color w:val="auto"/>
          <w:kern w:val="0"/>
          <w:sz w:val="32"/>
          <w:lang w:val="en-US" w:eastAsia="zh-CN"/>
        </w:rPr>
      </w:pPr>
      <w:r>
        <w:rPr>
          <w:rFonts w:hint="eastAsia" w:ascii="仿宋" w:hAnsi="仿宋" w:eastAsia="仿宋" w:cs="仿宋_GB2312"/>
          <w:color w:val="auto"/>
          <w:sz w:val="32"/>
          <w:szCs w:val="40"/>
        </w:rPr>
        <w:t>安义县城市管理和综合执法局202</w:t>
      </w:r>
      <w:r>
        <w:rPr>
          <w:rFonts w:hint="eastAsia" w:ascii="仿宋" w:hAnsi="仿宋" w:eastAsia="仿宋" w:cs="仿宋_GB2312"/>
          <w:color w:val="auto"/>
          <w:sz w:val="32"/>
          <w:szCs w:val="40"/>
          <w:lang w:val="en-US" w:eastAsia="zh-CN"/>
        </w:rPr>
        <w:t>3</w:t>
      </w:r>
      <w:r>
        <w:rPr>
          <w:rFonts w:hint="eastAsia" w:ascii="仿宋" w:hAnsi="仿宋" w:eastAsia="仿宋" w:cs="仿宋_GB2312"/>
          <w:color w:val="auto"/>
          <w:sz w:val="32"/>
          <w:szCs w:val="40"/>
        </w:rPr>
        <w:t>年初预算为</w:t>
      </w:r>
      <w:r>
        <w:rPr>
          <w:rFonts w:hint="eastAsia" w:ascii="仿宋" w:hAnsi="仿宋" w:eastAsia="仿宋" w:cs="仿宋_GB2312"/>
          <w:color w:val="auto"/>
          <w:sz w:val="32"/>
          <w:szCs w:val="40"/>
          <w:lang w:val="en-US" w:eastAsia="zh-CN"/>
        </w:rPr>
        <w:t>1731.53</w:t>
      </w:r>
      <w:r>
        <w:rPr>
          <w:rFonts w:hint="eastAsia" w:ascii="仿宋" w:hAnsi="仿宋" w:eastAsia="仿宋" w:cs="仿宋_GB2312"/>
          <w:color w:val="auto"/>
          <w:sz w:val="32"/>
          <w:szCs w:val="40"/>
        </w:rPr>
        <w:t>万元，</w:t>
      </w:r>
      <w:r>
        <w:rPr>
          <w:rFonts w:hint="eastAsia" w:ascii="仿宋" w:hAnsi="仿宋" w:eastAsia="仿宋" w:cs="仿宋_GB2312"/>
          <w:color w:val="auto"/>
          <w:sz w:val="32"/>
          <w:szCs w:val="40"/>
          <w:lang w:eastAsia="zh-CN"/>
        </w:rPr>
        <w:t>调整后全年预算</w:t>
      </w:r>
      <w:r>
        <w:rPr>
          <w:rFonts w:hint="eastAsia" w:ascii="仿宋" w:hAnsi="仿宋" w:eastAsia="仿宋" w:cs="仿宋_GB2312"/>
          <w:color w:val="auto"/>
          <w:sz w:val="32"/>
          <w:szCs w:val="40"/>
          <w:lang w:val="en-US" w:eastAsia="zh-CN"/>
        </w:rPr>
        <w:t>10605.8</w:t>
      </w:r>
      <w:r>
        <w:rPr>
          <w:rFonts w:hint="eastAsia" w:ascii="仿宋" w:hAnsi="仿宋" w:eastAsia="仿宋" w:cs="仿宋_GB2312"/>
          <w:color w:val="auto"/>
          <w:sz w:val="32"/>
          <w:szCs w:val="40"/>
        </w:rPr>
        <w:t>万元，实际执行数为</w:t>
      </w:r>
      <w:r>
        <w:rPr>
          <w:rFonts w:hint="eastAsia" w:ascii="仿宋" w:hAnsi="仿宋" w:eastAsia="仿宋" w:cs="仿宋_GB2312"/>
          <w:color w:val="auto"/>
          <w:sz w:val="32"/>
          <w:szCs w:val="40"/>
          <w:lang w:val="en-US" w:eastAsia="zh-CN"/>
        </w:rPr>
        <w:t>10096.02</w:t>
      </w:r>
      <w:r>
        <w:rPr>
          <w:rFonts w:hint="eastAsia" w:ascii="仿宋" w:hAnsi="仿宋" w:eastAsia="仿宋" w:cs="仿宋_GB2312"/>
          <w:color w:val="auto"/>
          <w:sz w:val="32"/>
          <w:szCs w:val="40"/>
        </w:rPr>
        <w:t>万元</w:t>
      </w:r>
      <w:r>
        <w:rPr>
          <w:rFonts w:hint="eastAsia" w:ascii="仿宋" w:hAnsi="仿宋" w:eastAsia="仿宋" w:cs="仿宋_GB2312"/>
          <w:color w:val="auto"/>
          <w:sz w:val="32"/>
          <w:szCs w:val="40"/>
          <w:lang w:eastAsia="zh-CN"/>
        </w:rPr>
        <w:t>，预算执行率</w:t>
      </w:r>
      <w:r>
        <w:rPr>
          <w:rFonts w:hint="eastAsia" w:ascii="仿宋" w:hAnsi="仿宋" w:eastAsia="仿宋" w:cs="仿宋_GB2312"/>
          <w:color w:val="auto"/>
          <w:sz w:val="32"/>
          <w:szCs w:val="40"/>
          <w:lang w:val="en-US" w:eastAsia="zh-CN"/>
        </w:rPr>
        <w:t>95.19%。</w:t>
      </w:r>
    </w:p>
    <w:p w14:paraId="11CE9CD7">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二、部门整体支出绩效实现情况</w:t>
      </w:r>
    </w:p>
    <w:p w14:paraId="4F5B7476">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（一）履职完成情况：从数量、质量、时效等方面归纳反映年度主要计划任务完成情况。</w:t>
      </w:r>
    </w:p>
    <w:p w14:paraId="17F287FC">
      <w:pPr>
        <w:keepNext w:val="0"/>
        <w:keepLines w:val="0"/>
        <w:pageBreakBefore w:val="0"/>
        <w:kinsoku/>
        <w:wordWrap/>
        <w:overflowPunct/>
        <w:topLinePunct w:val="0"/>
        <w:bidi w:val="0"/>
        <w:ind w:firstLine="640" w:firstLineChars="200"/>
        <w:textAlignment w:val="auto"/>
        <w:rPr>
          <w:rFonts w:ascii="宋体" w:hAnsi="宋体" w:eastAsia="仿宋" w:cs="Courier New"/>
          <w:color w:val="000000"/>
          <w:sz w:val="32"/>
          <w:szCs w:val="21"/>
        </w:rPr>
      </w:pPr>
      <w:bookmarkStart w:id="0" w:name="_Toc24091"/>
      <w:r>
        <w:rPr>
          <w:rFonts w:hint="eastAsia" w:ascii="宋体" w:hAnsi="宋体" w:eastAsia="仿宋" w:cs="Courier New"/>
          <w:color w:val="000000"/>
          <w:sz w:val="32"/>
          <w:szCs w:val="21"/>
        </w:rPr>
        <w:t>1、数量方面</w:t>
      </w:r>
      <w:bookmarkEnd w:id="0"/>
    </w:p>
    <w:p w14:paraId="1D649581">
      <w:pPr>
        <w:keepNext w:val="0"/>
        <w:keepLines w:val="0"/>
        <w:pageBreakBefore w:val="0"/>
        <w:kinsoku/>
        <w:wordWrap/>
        <w:overflowPunct/>
        <w:topLinePunct w:val="0"/>
        <w:bidi w:val="0"/>
        <w:ind w:firstLine="640" w:firstLineChars="200"/>
        <w:textAlignment w:val="auto"/>
        <w:rPr>
          <w:rFonts w:hint="eastAsia" w:ascii="宋体" w:hAnsi="宋体" w:eastAsia="仿宋" w:cs="Courier New"/>
          <w:color w:val="000000"/>
          <w:sz w:val="32"/>
          <w:szCs w:val="21"/>
        </w:rPr>
      </w:pPr>
      <w:r>
        <w:rPr>
          <w:rFonts w:hint="eastAsia" w:ascii="宋体" w:hAnsi="宋体" w:eastAsia="仿宋" w:cs="Courier New"/>
          <w:color w:val="000000"/>
          <w:sz w:val="32"/>
          <w:szCs w:val="21"/>
        </w:rPr>
        <w:t>①市政设施精管护</w:t>
      </w:r>
    </w:p>
    <w:p w14:paraId="03D422F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_GB2312"/>
          <w:sz w:val="32"/>
          <w:szCs w:val="40"/>
        </w:rPr>
      </w:pPr>
      <w:r>
        <w:rPr>
          <w:rFonts w:hint="eastAsia" w:ascii="宋体" w:hAnsi="宋体" w:eastAsia="仿宋" w:cs="Courier New"/>
          <w:color w:val="000000"/>
          <w:sz w:val="32"/>
          <w:szCs w:val="21"/>
        </w:rPr>
        <w:t>安义县城市管理和综合执法局采取边巡查边管护的方式维护市政设施，截至目前，</w:t>
      </w:r>
      <w:r>
        <w:rPr>
          <w:rFonts w:hint="eastAsia" w:ascii="仿宋_GB2312" w:eastAsia="仿宋_GB2312"/>
          <w:color w:val="auto"/>
          <w:sz w:val="32"/>
          <w:szCs w:val="32"/>
          <w:lang w:val="en-US" w:eastAsia="zh-CN"/>
        </w:rPr>
        <w:t>累计维修路灯1000余杆、更换灯头1800余盏及电缆1100余米；累计维修沥青路面约1196.2㎡、水泥路面498.5㎡、破损人行道1790.9㎡、路沿石355.25m，维修井具井盖187套；累计完成清掏雨水井3355座、清掏检查井2098座、养护污水管道84.63公里、清运淤泥198.13方、疏通管道6.196公里、维修更换井具132处；新建污水管道9.491公里、老旧污水管道改造1.279公里、雨污分流改造0.46公里、新建雨水管渠7.858公里</w:t>
      </w:r>
    </w:p>
    <w:p w14:paraId="25A1A2D0">
      <w:pPr>
        <w:keepNext w:val="0"/>
        <w:keepLines w:val="0"/>
        <w:pageBreakBefore w:val="0"/>
        <w:kinsoku/>
        <w:wordWrap/>
        <w:overflowPunct/>
        <w:topLinePunct w:val="0"/>
        <w:bidi w:val="0"/>
        <w:ind w:firstLine="640" w:firstLineChars="200"/>
        <w:textAlignment w:val="auto"/>
        <w:rPr>
          <w:rFonts w:ascii="宋体" w:hAnsi="宋体" w:eastAsia="仿宋" w:cs="Courier New"/>
          <w:color w:val="000000"/>
          <w:sz w:val="32"/>
          <w:szCs w:val="21"/>
        </w:rPr>
      </w:pPr>
      <w:r>
        <w:rPr>
          <w:rFonts w:hint="eastAsia" w:ascii="宋体" w:hAnsi="宋体" w:eastAsia="仿宋" w:cs="Courier New"/>
          <w:color w:val="000000"/>
          <w:sz w:val="32"/>
          <w:szCs w:val="21"/>
        </w:rPr>
        <w:t>②</w:t>
      </w:r>
      <w:r>
        <w:rPr>
          <w:rFonts w:hint="eastAsia" w:ascii="仿宋_GB2312" w:hAnsi="仿宋_GB2312" w:eastAsia="仿宋_GB2312" w:cs="Times New Roman"/>
          <w:b w:val="0"/>
          <w:i w:val="0"/>
          <w:color w:val="auto"/>
          <w:spacing w:val="0"/>
          <w:sz w:val="32"/>
          <w:shd w:val="clear" w:color="auto" w:fill="FFFFFF"/>
          <w:lang w:eastAsia="zh-CN"/>
        </w:rPr>
        <w:t>城区公厕提升改造</w:t>
      </w:r>
    </w:p>
    <w:p w14:paraId="1763B8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eastAsia="仿宋_GB2312"/>
          <w:color w:val="auto"/>
          <w:sz w:val="32"/>
          <w:szCs w:val="32"/>
        </w:rPr>
      </w:pPr>
      <w:r>
        <w:rPr>
          <w:rFonts w:hint="eastAsia" w:ascii="仿宋_GB2312" w:hAnsi="仿宋_GB2312" w:eastAsia="仿宋_GB2312" w:cs="Times New Roman"/>
          <w:b w:val="0"/>
          <w:i w:val="0"/>
          <w:color w:val="auto"/>
          <w:spacing w:val="0"/>
          <w:sz w:val="32"/>
          <w:shd w:val="clear" w:color="auto" w:fill="FFFFFF"/>
          <w:lang w:eastAsia="zh-CN"/>
        </w:rPr>
        <w:t>城区公厕提升改造工程</w:t>
      </w:r>
      <w:r>
        <w:rPr>
          <w:rFonts w:hint="eastAsia" w:ascii="仿宋_GB2312" w:hAnsi="仿宋_GB2312" w:eastAsia="仿宋_GB2312" w:cs="Times New Roman"/>
          <w:b w:val="0"/>
          <w:i w:val="0"/>
          <w:color w:val="auto"/>
          <w:spacing w:val="0"/>
          <w:sz w:val="32"/>
          <w:shd w:val="clear" w:color="auto" w:fill="FFFFFF"/>
          <w:lang w:val="en-US" w:eastAsia="zh-CN"/>
        </w:rPr>
        <w:t>严格</w:t>
      </w:r>
      <w:r>
        <w:rPr>
          <w:rFonts w:hint="eastAsia" w:ascii="仿宋_GB2312" w:hAnsi="仿宋_GB2312" w:eastAsia="仿宋_GB2312" w:cs="Times New Roman"/>
          <w:b w:val="0"/>
          <w:i w:val="0"/>
          <w:color w:val="auto"/>
          <w:spacing w:val="0"/>
          <w:sz w:val="32"/>
          <w:shd w:val="clear" w:color="auto" w:fill="FFFFFF"/>
          <w:lang w:eastAsia="zh-CN"/>
        </w:rPr>
        <w:t>对照市公共厕所二类标准，</w:t>
      </w:r>
      <w:r>
        <w:rPr>
          <w:rFonts w:hint="eastAsia" w:ascii="仿宋_GB2312" w:hAnsi="仿宋_GB2312" w:eastAsia="仿宋_GB2312" w:cs="Times New Roman"/>
          <w:b w:val="0"/>
          <w:i w:val="0"/>
          <w:color w:val="auto"/>
          <w:spacing w:val="0"/>
          <w:sz w:val="32"/>
          <w:shd w:val="clear" w:color="auto" w:fill="FFFFFF"/>
          <w:lang w:val="en-US" w:eastAsia="zh-CN"/>
        </w:rPr>
        <w:t>旨在</w:t>
      </w:r>
      <w:r>
        <w:rPr>
          <w:rFonts w:hint="eastAsia" w:ascii="仿宋_GB2312" w:hAnsi="仿宋_GB2312" w:eastAsia="仿宋_GB2312" w:cs="Times New Roman"/>
          <w:b w:val="0"/>
          <w:i w:val="0"/>
          <w:color w:val="auto"/>
          <w:spacing w:val="0"/>
          <w:sz w:val="32"/>
          <w:shd w:val="clear" w:color="auto" w:fill="FFFFFF"/>
          <w:lang w:eastAsia="zh-CN"/>
        </w:rPr>
        <w:t>缓解我县“城市</w:t>
      </w:r>
      <w:r>
        <w:rPr>
          <w:rFonts w:hint="eastAsia" w:ascii="仿宋_GB2312" w:hAnsi="仿宋_GB2312" w:eastAsia="仿宋_GB2312" w:cs="Times New Roman"/>
          <w:b w:val="0"/>
          <w:i w:val="0"/>
          <w:color w:val="auto"/>
          <w:spacing w:val="0"/>
          <w:sz w:val="32"/>
          <w:shd w:val="clear" w:color="auto" w:fill="FFFFFF"/>
          <w:lang w:val="en-US" w:eastAsia="zh-CN"/>
        </w:rPr>
        <w:t>15分钟如厕圈</w:t>
      </w:r>
      <w:r>
        <w:rPr>
          <w:rFonts w:hint="eastAsia" w:ascii="仿宋_GB2312" w:hAnsi="仿宋_GB2312" w:eastAsia="仿宋_GB2312" w:cs="Times New Roman"/>
          <w:b w:val="0"/>
          <w:i w:val="0"/>
          <w:color w:val="auto"/>
          <w:spacing w:val="0"/>
          <w:sz w:val="32"/>
          <w:shd w:val="clear" w:color="auto" w:fill="FFFFFF"/>
          <w:lang w:eastAsia="zh-CN"/>
        </w:rPr>
        <w:t>”难题。</w:t>
      </w:r>
      <w:r>
        <w:rPr>
          <w:rFonts w:hint="eastAsia" w:ascii="仿宋_GB2312" w:eastAsia="仿宋_GB2312"/>
          <w:color w:val="auto"/>
          <w:sz w:val="32"/>
          <w:szCs w:val="32"/>
          <w:lang w:eastAsia="zh-CN"/>
        </w:rPr>
        <w:t>目前，全部公厕已改造完成并投入使用，实地达到“四净三无两通一明”的基本要求</w:t>
      </w:r>
      <w:r>
        <w:rPr>
          <w:rFonts w:hint="eastAsia" w:ascii="仿宋_GB2312" w:eastAsia="仿宋_GB2312"/>
          <w:color w:val="auto"/>
          <w:sz w:val="32"/>
          <w:szCs w:val="32"/>
        </w:rPr>
        <w:t>。</w:t>
      </w:r>
    </w:p>
    <w:p w14:paraId="4E7ED529">
      <w:pPr>
        <w:keepNext w:val="0"/>
        <w:keepLines w:val="0"/>
        <w:pageBreakBefore w:val="0"/>
        <w:kinsoku/>
        <w:wordWrap/>
        <w:overflowPunct/>
        <w:topLinePunct w:val="0"/>
        <w:bidi w:val="0"/>
        <w:ind w:firstLine="640" w:firstLineChars="200"/>
        <w:textAlignment w:val="auto"/>
        <w:rPr>
          <w:rFonts w:hint="eastAsia" w:ascii="宋体" w:hAnsi="宋体" w:eastAsia="仿宋" w:cs="Courier New"/>
          <w:color w:val="000000"/>
          <w:sz w:val="32"/>
          <w:szCs w:val="21"/>
        </w:rPr>
      </w:pPr>
      <w:r>
        <w:rPr>
          <w:rFonts w:hint="eastAsia" w:ascii="宋体" w:hAnsi="宋体" w:eastAsia="仿宋" w:cs="Courier New"/>
          <w:color w:val="000000"/>
          <w:sz w:val="32"/>
          <w:szCs w:val="21"/>
        </w:rPr>
        <w:t>2、质量方面</w:t>
      </w:r>
    </w:p>
    <w:p w14:paraId="374C5B4F">
      <w:pPr>
        <w:keepNext w:val="0"/>
        <w:keepLines w:val="0"/>
        <w:pageBreakBefore w:val="0"/>
        <w:kinsoku/>
        <w:wordWrap/>
        <w:overflowPunct/>
        <w:topLinePunct w:val="0"/>
        <w:bidi w:val="0"/>
        <w:ind w:firstLine="640" w:firstLineChars="200"/>
        <w:textAlignment w:val="auto"/>
        <w:rPr>
          <w:rFonts w:hint="eastAsia" w:ascii="宋体" w:hAnsi="宋体" w:eastAsia="仿宋" w:cs="Courier New"/>
          <w:color w:val="000000"/>
          <w:sz w:val="32"/>
          <w:szCs w:val="21"/>
        </w:rPr>
      </w:pPr>
      <w:r>
        <w:rPr>
          <w:rFonts w:hint="eastAsia" w:ascii="宋体" w:hAnsi="宋体" w:eastAsia="仿宋" w:cs="Courier New"/>
          <w:color w:val="000000"/>
          <w:sz w:val="32"/>
          <w:szCs w:val="21"/>
        </w:rPr>
        <w:t>202</w:t>
      </w:r>
      <w:r>
        <w:rPr>
          <w:rFonts w:hint="eastAsia" w:ascii="宋体" w:hAnsi="宋体" w:eastAsia="仿宋" w:cs="Courier New"/>
          <w:color w:val="000000"/>
          <w:sz w:val="32"/>
          <w:szCs w:val="21"/>
          <w:lang w:val="en-US" w:eastAsia="zh-CN"/>
        </w:rPr>
        <w:t>3</w:t>
      </w:r>
      <w:r>
        <w:rPr>
          <w:rFonts w:hint="eastAsia" w:ascii="宋体" w:hAnsi="宋体" w:eastAsia="仿宋" w:cs="Courier New"/>
          <w:color w:val="000000"/>
          <w:sz w:val="32"/>
          <w:szCs w:val="21"/>
        </w:rPr>
        <w:t>年安义县城市管理和综合执法局加大违法建设巡查力度，</w:t>
      </w:r>
      <w:r>
        <w:rPr>
          <w:rFonts w:hint="eastAsia" w:ascii="仿宋_GB2312" w:eastAsia="仿宋_GB2312"/>
          <w:color w:val="auto"/>
          <w:sz w:val="32"/>
          <w:szCs w:val="32"/>
          <w:lang w:eastAsia="zh-CN"/>
        </w:rPr>
        <w:t>累计对违规工地及违规车辆行政处罚16起，罚款13000元整；累计劝导纠正非机动车规范摆放</w:t>
      </w:r>
      <w:r>
        <w:rPr>
          <w:rFonts w:hint="eastAsia" w:ascii="仿宋_GB2312" w:eastAsia="仿宋_GB2312"/>
          <w:color w:val="auto"/>
          <w:sz w:val="32"/>
          <w:szCs w:val="32"/>
          <w:lang w:val="en-US" w:eastAsia="zh-CN"/>
        </w:rPr>
        <w:t>43</w:t>
      </w:r>
      <w:r>
        <w:rPr>
          <w:rFonts w:hint="eastAsia" w:ascii="仿宋_GB2312" w:eastAsia="仿宋_GB2312"/>
          <w:color w:val="auto"/>
          <w:sz w:val="32"/>
          <w:szCs w:val="32"/>
          <w:lang w:eastAsia="zh-CN"/>
        </w:rPr>
        <w:t>322辆，联合交警部门进行集中整治</w:t>
      </w:r>
      <w:r>
        <w:rPr>
          <w:rFonts w:hint="eastAsia" w:ascii="仿宋_GB2312" w:eastAsia="仿宋_GB2312"/>
          <w:color w:val="auto"/>
          <w:sz w:val="32"/>
          <w:szCs w:val="32"/>
          <w:lang w:val="en-US" w:eastAsia="zh-CN"/>
        </w:rPr>
        <w:t>9</w:t>
      </w:r>
      <w:r>
        <w:rPr>
          <w:rFonts w:hint="eastAsia" w:ascii="仿宋_GB2312" w:eastAsia="仿宋_GB2312"/>
          <w:color w:val="auto"/>
          <w:sz w:val="32"/>
          <w:szCs w:val="32"/>
          <w:lang w:eastAsia="zh-CN"/>
        </w:rPr>
        <w:t>次，暂扣乱停乱放非机动车共计</w:t>
      </w:r>
      <w:r>
        <w:rPr>
          <w:rFonts w:hint="eastAsia" w:ascii="仿宋_GB2312" w:eastAsia="仿宋_GB2312"/>
          <w:color w:val="auto"/>
          <w:sz w:val="32"/>
          <w:szCs w:val="32"/>
          <w:lang w:val="en-US" w:eastAsia="zh-CN"/>
        </w:rPr>
        <w:t>98</w:t>
      </w:r>
      <w:r>
        <w:rPr>
          <w:rFonts w:hint="eastAsia" w:ascii="仿宋_GB2312" w:eastAsia="仿宋_GB2312"/>
          <w:color w:val="auto"/>
          <w:sz w:val="32"/>
          <w:szCs w:val="32"/>
          <w:lang w:eastAsia="zh-CN"/>
        </w:rPr>
        <w:t>辆；整治流动摊点</w:t>
      </w:r>
      <w:r>
        <w:rPr>
          <w:rFonts w:hint="eastAsia" w:ascii="仿宋_GB2312" w:eastAsia="仿宋_GB2312"/>
          <w:color w:val="auto"/>
          <w:sz w:val="32"/>
          <w:szCs w:val="32"/>
          <w:lang w:val="en-US" w:eastAsia="zh-CN"/>
        </w:rPr>
        <w:t>4</w:t>
      </w:r>
      <w:r>
        <w:rPr>
          <w:rFonts w:hint="eastAsia" w:ascii="仿宋_GB2312" w:eastAsia="仿宋_GB2312"/>
          <w:color w:val="auto"/>
          <w:sz w:val="32"/>
          <w:szCs w:val="32"/>
          <w:lang w:eastAsia="zh-CN"/>
        </w:rPr>
        <w:t>653处，处罚</w:t>
      </w: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2起；整治出店经营</w:t>
      </w:r>
      <w:r>
        <w:rPr>
          <w:rFonts w:hint="eastAsia" w:ascii="仿宋_GB2312" w:eastAsia="仿宋_GB2312"/>
          <w:color w:val="auto"/>
          <w:sz w:val="32"/>
          <w:szCs w:val="32"/>
          <w:lang w:val="en-US" w:eastAsia="zh-CN"/>
        </w:rPr>
        <w:t>4</w:t>
      </w:r>
      <w:r>
        <w:rPr>
          <w:rFonts w:hint="eastAsia" w:ascii="仿宋_GB2312" w:eastAsia="仿宋_GB2312"/>
          <w:color w:val="auto"/>
          <w:sz w:val="32"/>
          <w:szCs w:val="32"/>
          <w:lang w:eastAsia="zh-CN"/>
        </w:rPr>
        <w:t>334处，处罚</w:t>
      </w:r>
      <w:r>
        <w:rPr>
          <w:rFonts w:hint="eastAsia" w:ascii="仿宋_GB2312" w:eastAsia="仿宋_GB2312"/>
          <w:color w:val="auto"/>
          <w:sz w:val="32"/>
          <w:szCs w:val="32"/>
          <w:lang w:val="en-US" w:eastAsia="zh-CN"/>
        </w:rPr>
        <w:t>13</w:t>
      </w:r>
      <w:r>
        <w:rPr>
          <w:rFonts w:hint="eastAsia" w:ascii="仿宋_GB2312" w:eastAsia="仿宋_GB2312"/>
          <w:color w:val="auto"/>
          <w:sz w:val="32"/>
          <w:szCs w:val="32"/>
          <w:lang w:eastAsia="zh-CN"/>
        </w:rPr>
        <w:t>处。</w:t>
      </w:r>
      <w:bookmarkStart w:id="1" w:name="_Toc7300"/>
    </w:p>
    <w:p w14:paraId="56E91300">
      <w:pPr>
        <w:keepNext w:val="0"/>
        <w:keepLines w:val="0"/>
        <w:pageBreakBefore w:val="0"/>
        <w:kinsoku/>
        <w:wordWrap/>
        <w:overflowPunct/>
        <w:topLinePunct w:val="0"/>
        <w:bidi w:val="0"/>
        <w:ind w:firstLine="640" w:firstLineChars="200"/>
        <w:textAlignment w:val="auto"/>
        <w:rPr>
          <w:rFonts w:ascii="宋体" w:hAnsi="宋体" w:eastAsia="仿宋" w:cs="Courier New"/>
          <w:color w:val="000000"/>
          <w:sz w:val="32"/>
          <w:szCs w:val="21"/>
        </w:rPr>
      </w:pPr>
      <w:r>
        <w:rPr>
          <w:rFonts w:hint="eastAsia" w:ascii="宋体" w:hAnsi="宋体" w:eastAsia="仿宋" w:cs="Courier New"/>
          <w:color w:val="000000"/>
          <w:sz w:val="32"/>
          <w:szCs w:val="21"/>
        </w:rPr>
        <w:t>3、时效方面</w:t>
      </w:r>
      <w:bookmarkEnd w:id="1"/>
    </w:p>
    <w:p w14:paraId="3F6EA7C5">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宋体" w:hAnsi="宋体" w:eastAsia="仿宋" w:cs="Courier New"/>
          <w:color w:val="000000"/>
          <w:sz w:val="32"/>
          <w:szCs w:val="21"/>
        </w:rPr>
        <w:t>2022年度安义县城市管理和综合执法局各项工作均按照既定计划组织开展。</w:t>
      </w:r>
    </w:p>
    <w:p w14:paraId="1B833220">
      <w:pPr>
        <w:numPr>
          <w:ilvl w:val="0"/>
          <w:numId w:val="1"/>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履职效果情况：从社会效益、经济效益（如有）、生态效益（如有）等方面反映部门履职效果的实现情况。</w:t>
      </w:r>
    </w:p>
    <w:p w14:paraId="17D2000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_GB2312"/>
          <w:sz w:val="32"/>
          <w:szCs w:val="40"/>
          <w:lang w:eastAsia="zh-CN"/>
        </w:rPr>
      </w:pPr>
      <w:r>
        <w:rPr>
          <w:rFonts w:hint="eastAsia" w:ascii="仿宋" w:hAnsi="仿宋" w:eastAsia="仿宋" w:cs="仿宋_GB2312"/>
          <w:sz w:val="32"/>
          <w:szCs w:val="40"/>
        </w:rPr>
        <w:t>1、社会效益方面</w:t>
      </w:r>
    </w:p>
    <w:p w14:paraId="363A2E35">
      <w:pPr>
        <w:keepNext w:val="0"/>
        <w:keepLines w:val="0"/>
        <w:pageBreakBefore w:val="0"/>
        <w:kinsoku/>
        <w:wordWrap/>
        <w:overflowPunct/>
        <w:topLinePunct w:val="0"/>
        <w:bidi w:val="0"/>
        <w:ind w:firstLine="640" w:firstLineChars="200"/>
        <w:textAlignment w:val="auto"/>
        <w:rPr>
          <w:rFonts w:ascii="仿宋" w:hAnsi="仿宋" w:eastAsia="仿宋" w:cs="仿宋_GB2312"/>
          <w:sz w:val="32"/>
          <w:szCs w:val="40"/>
        </w:rPr>
      </w:pPr>
      <w:r>
        <w:rPr>
          <w:rFonts w:hint="eastAsia" w:ascii="仿宋" w:hAnsi="仿宋" w:eastAsia="仿宋" w:cs="仿宋_GB2312"/>
          <w:sz w:val="32"/>
          <w:szCs w:val="40"/>
        </w:rPr>
        <w:t>①</w:t>
      </w:r>
      <w:r>
        <w:rPr>
          <w:rFonts w:hint="eastAsia" w:ascii="仿宋_GB2312" w:eastAsia="仿宋_GB2312"/>
          <w:color w:val="auto"/>
          <w:sz w:val="32"/>
          <w:szCs w:val="32"/>
          <w:lang w:eastAsia="zh-CN"/>
        </w:rPr>
        <w:t>餐饮油烟整治</w:t>
      </w:r>
    </w:p>
    <w:p w14:paraId="19C695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_GB2312"/>
          <w:sz w:val="32"/>
          <w:szCs w:val="40"/>
        </w:rPr>
      </w:pPr>
      <w:r>
        <w:rPr>
          <w:rFonts w:hint="eastAsia" w:ascii="仿宋_GB2312" w:eastAsia="仿宋_GB2312"/>
          <w:color w:val="auto"/>
          <w:sz w:val="32"/>
          <w:szCs w:val="32"/>
          <w:lang w:eastAsia="zh-CN"/>
        </w:rPr>
        <w:t>对全县447家餐饮油烟企业是否安装油烟净化设施、油烟净化设施是否正常启用运行以及是否定期清洗等内容进行常态化监管，并做好台账备查。</w:t>
      </w:r>
    </w:p>
    <w:p w14:paraId="6CA6CF1F">
      <w:pPr>
        <w:keepNext w:val="0"/>
        <w:keepLines w:val="0"/>
        <w:pageBreakBefore w:val="0"/>
        <w:kinsoku/>
        <w:wordWrap/>
        <w:overflowPunct/>
        <w:topLinePunct w:val="0"/>
        <w:bidi w:val="0"/>
        <w:ind w:firstLine="640" w:firstLineChars="200"/>
        <w:jc w:val="left"/>
        <w:textAlignment w:val="auto"/>
        <w:rPr>
          <w:rFonts w:hint="eastAsia" w:ascii="仿宋" w:hAnsi="仿宋" w:eastAsia="仿宋" w:cs="仿宋_GB2312"/>
          <w:sz w:val="32"/>
          <w:szCs w:val="40"/>
        </w:rPr>
      </w:pPr>
      <w:r>
        <w:rPr>
          <w:rFonts w:hint="eastAsia" w:ascii="仿宋" w:hAnsi="仿宋" w:eastAsia="仿宋" w:cs="仿宋_GB2312"/>
          <w:sz w:val="32"/>
          <w:szCs w:val="40"/>
        </w:rPr>
        <w:t>②</w:t>
      </w:r>
      <w:r>
        <w:rPr>
          <w:rFonts w:hint="eastAsia" w:ascii="仿宋_GB2312" w:eastAsia="仿宋_GB2312"/>
          <w:color w:val="auto"/>
          <w:sz w:val="32"/>
          <w:szCs w:val="32"/>
          <w:lang w:eastAsia="zh-CN"/>
        </w:rPr>
        <w:t>稳步推进燃气安全监管</w:t>
      </w:r>
    </w:p>
    <w:p w14:paraId="63E69B1F">
      <w:pPr>
        <w:pStyle w:val="3"/>
        <w:numPr>
          <w:ilvl w:val="0"/>
          <w:numId w:val="0"/>
        </w:numPr>
        <w:rPr>
          <w:rFonts w:hint="eastAsia" w:eastAsia="仿宋_GB2312"/>
          <w:lang w:val="en-US" w:eastAsia="zh-CN"/>
        </w:rPr>
      </w:pPr>
      <w:r>
        <w:rPr>
          <w:rFonts w:hint="eastAsia" w:ascii="仿宋_GB2312" w:eastAsia="仿宋_GB2312"/>
          <w:color w:val="auto"/>
          <w:sz w:val="32"/>
          <w:szCs w:val="32"/>
          <w:lang w:val="en-US" w:eastAsia="zh-CN"/>
        </w:rPr>
        <w:t>累计开展专项整治行动13次，排查燃气安全隐患192起，督促完成整改192起；累计排查我县城区内高空广告49处，审批店面招牌85处，拆除无主店招、问题广告牌115处。</w:t>
      </w:r>
    </w:p>
    <w:p w14:paraId="5DB087CB">
      <w:pPr>
        <w:numPr>
          <w:ilvl w:val="0"/>
          <w:numId w:val="1"/>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社会满意度及可持续性影响（如有）。</w:t>
      </w:r>
    </w:p>
    <w:p w14:paraId="0CF9827F">
      <w:pPr>
        <w:keepNext w:val="0"/>
        <w:keepLines w:val="0"/>
        <w:pageBreakBefore w:val="0"/>
        <w:kinsoku/>
        <w:wordWrap/>
        <w:overflowPunct/>
        <w:topLinePunct w:val="0"/>
        <w:bidi w:val="0"/>
        <w:ind w:firstLine="640" w:firstLineChars="200"/>
        <w:jc w:val="left"/>
        <w:textAlignment w:val="auto"/>
        <w:rPr>
          <w:rFonts w:hint="eastAsia" w:ascii="仿宋" w:hAnsi="仿宋" w:eastAsia="仿宋" w:cs="仿宋_GB2312"/>
          <w:sz w:val="32"/>
          <w:szCs w:val="40"/>
        </w:rPr>
      </w:pPr>
      <w:r>
        <w:rPr>
          <w:rFonts w:hint="eastAsia" w:ascii="仿宋" w:hAnsi="仿宋" w:eastAsia="仿宋" w:cs="仿宋_GB2312"/>
          <w:sz w:val="32"/>
          <w:szCs w:val="40"/>
        </w:rPr>
        <w:t>1、社会满意度</w:t>
      </w:r>
    </w:p>
    <w:p w14:paraId="0114BD8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olor w:val="auto"/>
          <w:sz w:val="32"/>
          <w:szCs w:val="32"/>
        </w:rPr>
      </w:pPr>
      <w:r>
        <w:rPr>
          <w:rFonts w:hint="eastAsia" w:ascii="仿宋_GB2312" w:hAnsi="仿宋_GB2312" w:eastAsia="仿宋_GB2312" w:cs="仿宋_GB2312"/>
          <w:color w:val="auto"/>
          <w:kern w:val="2"/>
          <w:sz w:val="32"/>
          <w:szCs w:val="32"/>
          <w:lang w:val="en-US" w:eastAsia="zh-CN" w:bidi="ar-SA"/>
        </w:rPr>
        <w:t>安义县城管执法局以习近平新时代中国特色社会主义思想为指导，深入学习贯彻党的二十大精神，始终树牢</w:t>
      </w:r>
      <w:bookmarkStart w:id="2" w:name="_GoBack"/>
      <w:bookmarkEnd w:id="2"/>
      <w:r>
        <w:rPr>
          <w:rFonts w:hint="eastAsia" w:ascii="仿宋_GB2312" w:hAnsi="仿宋_GB2312" w:eastAsia="仿宋_GB2312" w:cs="仿宋_GB2312"/>
          <w:color w:val="auto"/>
          <w:kern w:val="2"/>
          <w:sz w:val="32"/>
          <w:szCs w:val="32"/>
          <w:lang w:val="en-US" w:eastAsia="zh-CN" w:bidi="ar-SA"/>
        </w:rPr>
        <w:t>以人民为中心的发展思想，以“为人民管城，让人民满意”为奋斗目标，高效率抓好队伍规范化建设，</w:t>
      </w:r>
      <w:r>
        <w:rPr>
          <w:rFonts w:hint="eastAsia" w:ascii="仿宋_GB2312" w:eastAsia="仿宋_GB2312"/>
          <w:color w:val="auto"/>
          <w:sz w:val="32"/>
          <w:szCs w:val="32"/>
        </w:rPr>
        <w:t>不断提升城市综合管理效能，城市管理工作取得新突破，城市功能与品质再上新台阶。</w:t>
      </w:r>
    </w:p>
    <w:p w14:paraId="19A89B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olor w:val="auto"/>
          <w:sz w:val="32"/>
          <w:szCs w:val="32"/>
        </w:rPr>
      </w:pPr>
      <w:r>
        <w:rPr>
          <w:rFonts w:hint="eastAsia" w:ascii="仿宋_GB2312" w:eastAsia="仿宋_GB2312"/>
          <w:color w:val="auto"/>
          <w:sz w:val="32"/>
          <w:szCs w:val="32"/>
          <w:lang w:val="en-US" w:eastAsia="zh-CN"/>
        </w:rPr>
        <w:t>今年以来</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安义县</w:t>
      </w:r>
      <w:r>
        <w:rPr>
          <w:rFonts w:hint="eastAsia" w:ascii="仿宋_GB2312" w:eastAsia="仿宋_GB2312"/>
          <w:color w:val="auto"/>
          <w:sz w:val="32"/>
          <w:szCs w:val="32"/>
          <w:lang w:eastAsia="zh-CN"/>
        </w:rPr>
        <w:t>连续</w:t>
      </w:r>
      <w:r>
        <w:rPr>
          <w:rFonts w:hint="eastAsia" w:ascii="仿宋_GB2312" w:eastAsia="仿宋_GB2312"/>
          <w:color w:val="auto"/>
          <w:sz w:val="32"/>
          <w:szCs w:val="32"/>
        </w:rPr>
        <w:t>一</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二、三</w:t>
      </w:r>
      <w:r>
        <w:rPr>
          <w:rFonts w:hint="eastAsia" w:ascii="仿宋_GB2312" w:eastAsia="仿宋_GB2312"/>
          <w:color w:val="auto"/>
          <w:sz w:val="32"/>
          <w:szCs w:val="32"/>
        </w:rPr>
        <w:t>季度</w:t>
      </w:r>
      <w:r>
        <w:rPr>
          <w:rFonts w:hint="eastAsia" w:ascii="仿宋_GB2312" w:eastAsia="仿宋_GB2312"/>
          <w:color w:val="auto"/>
          <w:sz w:val="32"/>
          <w:szCs w:val="32"/>
          <w:lang w:val="en-US" w:eastAsia="zh-CN"/>
        </w:rPr>
        <w:t>获</w:t>
      </w:r>
      <w:r>
        <w:rPr>
          <w:rFonts w:hint="eastAsia" w:ascii="仿宋_GB2312" w:eastAsia="仿宋_GB2312"/>
          <w:color w:val="auto"/>
          <w:sz w:val="32"/>
          <w:szCs w:val="32"/>
        </w:rPr>
        <w:t>全市</w:t>
      </w:r>
      <w:r>
        <w:rPr>
          <w:rFonts w:hint="eastAsia" w:ascii="仿宋_GB2312" w:eastAsia="仿宋_GB2312"/>
          <w:color w:val="auto"/>
          <w:sz w:val="32"/>
          <w:szCs w:val="32"/>
          <w:lang w:eastAsia="zh-CN"/>
        </w:rPr>
        <w:t>城市精细化管理考核</w:t>
      </w:r>
      <w:r>
        <w:rPr>
          <w:rFonts w:hint="eastAsia" w:ascii="仿宋_GB2312" w:eastAsia="仿宋_GB2312"/>
          <w:color w:val="auto"/>
          <w:sz w:val="32"/>
          <w:szCs w:val="32"/>
        </w:rPr>
        <w:t>考评</w:t>
      </w:r>
      <w:r>
        <w:rPr>
          <w:rFonts w:hint="eastAsia" w:ascii="仿宋_GB2312" w:eastAsia="仿宋_GB2312"/>
          <w:color w:val="auto"/>
          <w:sz w:val="32"/>
          <w:szCs w:val="32"/>
          <w:lang w:val="en-US" w:eastAsia="zh-CN"/>
        </w:rPr>
        <w:t>优秀等次，龙安广场获市里验收并授牌，成为我市第一批</w:t>
      </w:r>
      <w:r>
        <w:rPr>
          <w:rFonts w:hint="eastAsia" w:ascii="仿宋_GB2312" w:hAnsi="仿宋_GB2312" w:eastAsia="仿宋_GB2312" w:cs="仿宋_GB2312"/>
          <w:color w:val="auto"/>
          <w:kern w:val="2"/>
          <w:sz w:val="32"/>
          <w:szCs w:val="32"/>
          <w:lang w:val="en-US" w:eastAsia="zh-CN" w:bidi="ar-SA"/>
        </w:rPr>
        <w:t>城市客厅“席地而坐”创建示范点之一</w:t>
      </w:r>
      <w:r>
        <w:rPr>
          <w:rFonts w:hint="eastAsia" w:ascii="仿宋_GB2312" w:eastAsia="仿宋_GB2312"/>
          <w:color w:val="auto"/>
          <w:sz w:val="32"/>
          <w:szCs w:val="32"/>
        </w:rPr>
        <w:t>。</w:t>
      </w:r>
    </w:p>
    <w:p w14:paraId="0ADD5940">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 w:hAnsi="仿宋" w:eastAsia="仿宋" w:cs="仿宋_GB2312"/>
          <w:sz w:val="32"/>
          <w:szCs w:val="40"/>
        </w:rPr>
      </w:pPr>
      <w:r>
        <w:rPr>
          <w:rFonts w:hint="eastAsia" w:ascii="仿宋" w:hAnsi="仿宋" w:eastAsia="仿宋" w:cs="仿宋_GB2312"/>
          <w:sz w:val="32"/>
          <w:szCs w:val="40"/>
          <w:lang w:val="en-US" w:eastAsia="zh-CN"/>
        </w:rPr>
        <w:t>2、</w:t>
      </w:r>
      <w:r>
        <w:rPr>
          <w:rFonts w:hint="eastAsia" w:ascii="仿宋" w:hAnsi="仿宋" w:eastAsia="仿宋" w:cs="仿宋_GB2312"/>
          <w:sz w:val="32"/>
          <w:szCs w:val="40"/>
        </w:rPr>
        <w:t>可持续性影响方面</w:t>
      </w:r>
    </w:p>
    <w:p w14:paraId="0901B5F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rPr>
      </w:pPr>
      <w:r>
        <w:rPr>
          <w:rFonts w:hint="eastAsia" w:ascii="仿宋_GB2312" w:eastAsia="仿宋_GB2312"/>
          <w:color w:val="auto"/>
          <w:sz w:val="32"/>
          <w:szCs w:val="32"/>
          <w:lang w:eastAsia="zh-CN"/>
        </w:rPr>
        <w:t>以“创建全国文明城市、国家卫生县”为目标，以城市市容市貌和环境卫生整治为手段，按照创建国家文明城市、卫生县城有关要求，对标先进一流，深入实施城市功能与品质再提升十大行动，大力推进城市环境综合整治八大行动，巩固现有创文创卫成果，扎实做好市容市貌秩序管理、环境卫生综合整治、市政维修、氛围营造等相关工作，实现城市市容整洁有序、环境质量大幅改善，推动我县城市环境明显改观、城市形象极大提升，群众获得感、幸福感、安全感持续增强。</w:t>
      </w:r>
    </w:p>
    <w:p w14:paraId="6FEA1688">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三、部门整体支出绩效中存在问题及改进措施</w:t>
      </w:r>
    </w:p>
    <w:p w14:paraId="10064C03">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（一）主要问题及原因分析。</w:t>
      </w:r>
    </w:p>
    <w:p w14:paraId="77C21032">
      <w:pPr>
        <w:keepNext w:val="0"/>
        <w:keepLines w:val="0"/>
        <w:pageBreakBefore w:val="0"/>
        <w:kinsoku/>
        <w:wordWrap/>
        <w:overflowPunct/>
        <w:topLinePunct w:val="0"/>
        <w:bidi w:val="0"/>
        <w:ind w:firstLine="640" w:firstLineChars="200"/>
        <w:textAlignment w:val="auto"/>
        <w:rPr>
          <w:rFonts w:hint="eastAsia"/>
        </w:rPr>
      </w:pPr>
      <w:r>
        <w:rPr>
          <w:rFonts w:hint="eastAsia" w:ascii="仿宋" w:hAnsi="仿宋" w:eastAsia="仿宋" w:cs="仿宋_GB2312"/>
          <w:sz w:val="32"/>
          <w:szCs w:val="40"/>
        </w:rPr>
        <w:t>我单位人员编制较少工作量及管辖区域较大，故被迫聘用大量临时人员，但其中只有少量人员被纳入财政预算，其余无编制人员的经费来源成为问题，只能屡次向政府申请经费。</w:t>
      </w:r>
    </w:p>
    <w:p w14:paraId="662F8DA7">
      <w:pPr>
        <w:numPr>
          <w:ilvl w:val="0"/>
          <w:numId w:val="2"/>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改进的方向和具体措施。</w:t>
      </w:r>
    </w:p>
    <w:p w14:paraId="6AD07732">
      <w:pPr>
        <w:keepNext w:val="0"/>
        <w:keepLines w:val="0"/>
        <w:pageBreakBefore w:val="0"/>
        <w:kinsoku/>
        <w:wordWrap/>
        <w:overflowPunct/>
        <w:topLinePunct w:val="0"/>
        <w:bidi w:val="0"/>
        <w:ind w:firstLine="640" w:firstLineChars="200"/>
        <w:textAlignment w:val="auto"/>
        <w:rPr>
          <w:rFonts w:hint="eastAsia" w:ascii="仿宋_GB2312" w:hAnsi="Times New Roman" w:eastAsia="仿宋_GB2312"/>
          <w:kern w:val="0"/>
          <w:sz w:val="32"/>
        </w:rPr>
      </w:pPr>
      <w:r>
        <w:rPr>
          <w:rFonts w:hint="eastAsia" w:ascii="仿宋" w:hAnsi="仿宋" w:eastAsia="仿宋" w:cs="仿宋_GB2312"/>
          <w:sz w:val="32"/>
          <w:szCs w:val="40"/>
        </w:rPr>
        <w:t>增加机关经费预算，解决无编制人员经费来源问题导致的经费不足的顾虑，以便更好开展工作。</w:t>
      </w:r>
    </w:p>
    <w:p w14:paraId="7E506AC5">
      <w:pPr>
        <w:spacing w:beforeLines="0" w:afterLines="0" w:line="560" w:lineRule="exact"/>
        <w:ind w:firstLine="640" w:firstLineChars="200"/>
        <w:rPr>
          <w:rFonts w:hint="eastAsia" w:ascii="黑体" w:hAnsi="Times New Roman" w:eastAsia="黑体"/>
          <w:kern w:val="0"/>
          <w:sz w:val="21"/>
        </w:rPr>
      </w:pPr>
      <w:r>
        <w:rPr>
          <w:rFonts w:hint="eastAsia" w:ascii="黑体" w:hAnsi="Times New Roman" w:eastAsia="黑体"/>
          <w:kern w:val="0"/>
          <w:sz w:val="32"/>
        </w:rPr>
        <w:t>四、绩效自评结果拟应用和公开情况</w:t>
      </w:r>
    </w:p>
    <w:p w14:paraId="29426553">
      <w:pPr>
        <w:keepNext w:val="0"/>
        <w:keepLines w:val="0"/>
        <w:pageBreakBefore w:val="0"/>
        <w:kinsoku/>
        <w:wordWrap/>
        <w:overflowPunct/>
        <w:topLinePunct w:val="0"/>
        <w:bidi w:val="0"/>
        <w:ind w:firstLine="640" w:firstLineChars="200"/>
        <w:textAlignment w:val="auto"/>
        <w:rPr>
          <w:rFonts w:ascii="仿宋" w:hAnsi="仿宋" w:eastAsia="仿宋" w:cs="仿宋_GB2312"/>
          <w:sz w:val="32"/>
          <w:szCs w:val="40"/>
        </w:rPr>
      </w:pPr>
      <w:r>
        <w:rPr>
          <w:rFonts w:hint="eastAsia" w:ascii="仿宋" w:hAnsi="仿宋" w:eastAsia="仿宋" w:cs="仿宋_GB2312"/>
          <w:sz w:val="32"/>
          <w:szCs w:val="40"/>
        </w:rPr>
        <w:t>我部门高度重视绩效评价结果的应用工作，积极探索和建立一套与预算管理相结合、多渠道应用评价结果的有效机制，着力提高绩效意识和财政资金使用效益。同时，将绩效目标自评报告在政府门户网站上进行公开，广泛接受社会监督。</w:t>
      </w:r>
    </w:p>
    <w:p w14:paraId="51BDBE27"/>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7A813"/>
    <w:multiLevelType w:val="singleLevel"/>
    <w:tmpl w:val="BC77A813"/>
    <w:lvl w:ilvl="0" w:tentative="0">
      <w:start w:val="2"/>
      <w:numFmt w:val="chineseCounting"/>
      <w:suff w:val="nothing"/>
      <w:lvlText w:val="（%1）"/>
      <w:lvlJc w:val="left"/>
      <w:rPr>
        <w:rFonts w:hint="eastAsia"/>
      </w:rPr>
    </w:lvl>
  </w:abstractNum>
  <w:abstractNum w:abstractNumId="1">
    <w:nsid w:val="0571895E"/>
    <w:multiLevelType w:val="singleLevel"/>
    <w:tmpl w:val="0571895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xMWRiNzBhMzdkMTc5MDVlZTBiZTU2MzY0NmQ2MzIifQ=="/>
  </w:docVars>
  <w:rsids>
    <w:rsidRoot w:val="00172A27"/>
    <w:rsid w:val="11CF4A97"/>
    <w:rsid w:val="1AE13D22"/>
    <w:rsid w:val="1E472722"/>
    <w:rsid w:val="2A6B166C"/>
    <w:rsid w:val="366369BF"/>
    <w:rsid w:val="3C034698"/>
    <w:rsid w:val="4AED2DFE"/>
    <w:rsid w:val="57853398"/>
    <w:rsid w:val="6DD662A4"/>
    <w:rsid w:val="77915DBD"/>
    <w:rsid w:val="7D9C715B"/>
    <w:rsid w:val="7FF00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unhideWhenUsed/>
    <w:qFormat/>
    <w:uiPriority w:val="0"/>
    <w:pPr>
      <w:spacing w:beforeLines="0" w:after="120" w:afterLines="0"/>
    </w:pPr>
    <w:rPr>
      <w:rFonts w:hint="default"/>
      <w:sz w:val="21"/>
    </w:rPr>
  </w:style>
  <w:style w:type="paragraph" w:styleId="3">
    <w:name w:val="Body Text Indent 2"/>
    <w:basedOn w:val="1"/>
    <w:next w:val="2"/>
    <w:unhideWhenUsed/>
    <w:qFormat/>
    <w:uiPriority w:val="99"/>
    <w:pPr>
      <w:spacing w:after="120" w:line="480" w:lineRule="auto"/>
      <w:ind w:left="420" w:leftChars="200"/>
    </w:pPr>
  </w:style>
  <w:style w:type="paragraph" w:styleId="4">
    <w:name w:val="footer"/>
    <w:basedOn w:val="1"/>
    <w:autoRedefine/>
    <w:unhideWhenUsed/>
    <w:qFormat/>
    <w:uiPriority w:val="0"/>
    <w:pPr>
      <w:tabs>
        <w:tab w:val="center" w:pos="4153"/>
        <w:tab w:val="right" w:pos="8306"/>
      </w:tabs>
      <w:snapToGrid w:val="0"/>
      <w:spacing w:beforeLines="0" w:afterLines="0"/>
      <w:jc w:val="left"/>
    </w:pPr>
    <w:rPr>
      <w:rFonts w:hint="default"/>
      <w:sz w:val="18"/>
    </w:rPr>
  </w:style>
  <w:style w:type="paragraph" w:styleId="5">
    <w:name w:val="Body Text First Indent"/>
    <w:basedOn w:val="2"/>
    <w:qFormat/>
    <w:uiPriority w:val="0"/>
    <w:pPr>
      <w:autoSpaceDE w:val="0"/>
      <w:autoSpaceDN w:val="0"/>
      <w:adjustRightInd w:val="0"/>
      <w:spacing w:after="0" w:line="400" w:lineRule="exact"/>
      <w:ind w:firstLine="420" w:firstLineChars="100"/>
    </w:pPr>
    <w:rPr>
      <w:rFonts w:ascii="宋体" w:hAnsi="宋体" w:cs="Times New Roman"/>
      <w:kern w:val="28"/>
      <w:sz w:val="28"/>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2977</Words>
  <Characters>3128</Characters>
  <Lines>0</Lines>
  <Paragraphs>0</Paragraphs>
  <TotalTime>200</TotalTime>
  <ScaleCrop>false</ScaleCrop>
  <LinksUpToDate>false</LinksUpToDate>
  <CharactersWithSpaces>3129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2024-04-23T05:57:00Z</dcterms:created>
  <dc:creator>ASUS</dc:creator>
  <cp:lastModifiedBy>西北偏北</cp:lastModifiedBy>
  <cp:lastPrinted>2024-05-31T08:40:00Z</cp:lastPrinted>
  <dcterms:modified xsi:type="dcterms:W3CDTF">2026-01-07T06:43:56Z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2AC010ABE86A4D49B4EC3CDE16D97CF2_12</vt:lpwstr>
  </property>
  <property fmtid="{D5CDD505-2E9C-101B-9397-08002B2CF9AE}" pid="4" name="KSOTemplateDocerSaveRecord">
    <vt:lpwstr>eyJoZGlkIjoiZjBhN2M5MTRiOWY3YzJmY2QzYTg1ZTM5YWExMTAyZjQiLCJ1c2VySWQiOiI2OTc0ODgzNDMifQ==</vt:lpwstr>
  </property>
</Properties>
</file>