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29B64">
      <w:pPr>
        <w:spacing w:line="600" w:lineRule="exact"/>
        <w:rPr>
          <w:rFonts w:hint="eastAsia" w:ascii="黑体" w:hAnsi="仿宋" w:eastAsia="黑体" w:cs="Times New Roman"/>
          <w:color w:val="000000"/>
          <w:sz w:val="32"/>
          <w:szCs w:val="32"/>
        </w:rPr>
      </w:pPr>
      <w:r>
        <w:rPr>
          <w:rFonts w:hint="eastAsia" w:ascii="黑体" w:hAnsi="仿宋" w:eastAsia="黑体" w:cs="Times New Roman"/>
          <w:color w:val="000000"/>
          <w:sz w:val="32"/>
          <w:szCs w:val="32"/>
        </w:rPr>
        <w:t>县十七届人大</w:t>
      </w:r>
      <w:r>
        <w:rPr>
          <w:rFonts w:hint="eastAsia" w:ascii="黑体" w:hAnsi="仿宋" w:eastAsia="黑体" w:cs="Times New Roman"/>
          <w:color w:val="000000"/>
          <w:sz w:val="32"/>
          <w:szCs w:val="32"/>
          <w:lang w:eastAsia="zh-CN"/>
        </w:rPr>
        <w:t>五</w:t>
      </w:r>
      <w:r>
        <w:rPr>
          <w:rFonts w:hint="eastAsia" w:ascii="黑体" w:hAnsi="仿宋" w:eastAsia="黑体" w:cs="Times New Roman"/>
          <w:color w:val="000000"/>
          <w:sz w:val="32"/>
          <w:szCs w:val="32"/>
        </w:rPr>
        <w:t>次</w:t>
      </w:r>
      <w:bookmarkStart w:id="19" w:name="_GoBack"/>
      <w:bookmarkEnd w:id="19"/>
    </w:p>
    <w:p w14:paraId="364032F4">
      <w:pPr>
        <w:spacing w:line="520" w:lineRule="exact"/>
        <w:rPr>
          <w:rFonts w:hint="eastAsia" w:ascii="方正小标宋简体" w:hAnsi="仿宋" w:eastAsia="方正小标宋简体" w:cs="仿宋"/>
          <w:bCs/>
          <w:color w:val="000000"/>
          <w:sz w:val="36"/>
          <w:szCs w:val="36"/>
        </w:rPr>
      </w:pPr>
      <w:r>
        <w:rPr>
          <w:rFonts w:hint="eastAsia" w:ascii="黑体" w:hAnsi="仿宋" w:eastAsia="黑体" w:cs="Times New Roman"/>
          <w:color w:val="000000"/>
          <w:sz w:val="32"/>
          <w:szCs w:val="32"/>
        </w:rPr>
        <w:t>会议文件（</w:t>
      </w:r>
      <w:r>
        <w:rPr>
          <w:rFonts w:hint="eastAsia" w:ascii="黑体" w:hAnsi="仿宋" w:eastAsia="黑体" w:cs="Times New Roman"/>
          <w:color w:val="000000"/>
          <w:sz w:val="32"/>
          <w:szCs w:val="32"/>
          <w:lang w:eastAsia="zh-CN"/>
        </w:rPr>
        <w:t>十五</w:t>
      </w:r>
      <w:r>
        <w:rPr>
          <w:rFonts w:hint="eastAsia" w:ascii="黑体" w:hAnsi="仿宋" w:eastAsia="黑体" w:cs="Times New Roman"/>
          <w:color w:val="000000"/>
          <w:sz w:val="32"/>
          <w:szCs w:val="32"/>
        </w:rPr>
        <w:t xml:space="preserve"> ）</w:t>
      </w:r>
    </w:p>
    <w:p w14:paraId="57EF9C7F">
      <w:pPr>
        <w:spacing w:line="520" w:lineRule="exact"/>
        <w:jc w:val="center"/>
        <w:rPr>
          <w:rFonts w:hint="eastAsia" w:ascii="方正小标宋简体" w:hAnsi="仿宋" w:eastAsia="方正小标宋简体" w:cs="仿宋"/>
          <w:bCs/>
          <w:color w:val="000000"/>
          <w:sz w:val="36"/>
          <w:szCs w:val="36"/>
        </w:rPr>
      </w:pPr>
    </w:p>
    <w:p w14:paraId="1E539685">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仿宋" w:eastAsia="方正小标宋简体" w:cs="仿宋"/>
          <w:bCs/>
          <w:color w:val="000000"/>
          <w:sz w:val="44"/>
          <w:szCs w:val="44"/>
        </w:rPr>
      </w:pPr>
      <w:r>
        <w:rPr>
          <w:rFonts w:hint="eastAsia" w:ascii="方正小标宋简体" w:hAnsi="仿宋" w:eastAsia="方正小标宋简体" w:cs="仿宋"/>
          <w:bCs/>
          <w:color w:val="000000"/>
          <w:spacing w:val="-6"/>
          <w:sz w:val="44"/>
          <w:szCs w:val="44"/>
        </w:rPr>
        <w:t>关于安义县2024年全县和县级预算执行情况</w:t>
      </w:r>
      <w:r>
        <w:rPr>
          <w:rFonts w:hint="eastAsia" w:ascii="方正小标宋简体" w:hAnsi="仿宋" w:eastAsia="方正小标宋简体" w:cs="仿宋"/>
          <w:bCs/>
          <w:color w:val="000000"/>
          <w:sz w:val="44"/>
          <w:szCs w:val="44"/>
        </w:rPr>
        <w:t>与2025年全县和县级预算草案的报告</w:t>
      </w:r>
    </w:p>
    <w:p w14:paraId="7B90FD45">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w:t>
      </w:r>
      <w:r>
        <w:rPr>
          <w:rFonts w:hint="eastAsia" w:ascii="楷体_GB2312" w:hAnsi="楷体_GB2312" w:eastAsia="楷体_GB2312" w:cs="楷体_GB2312"/>
          <w:b w:val="0"/>
          <w:bCs w:val="0"/>
          <w:sz w:val="32"/>
          <w:szCs w:val="32"/>
          <w:lang w:val="en-US" w:eastAsia="zh-CN"/>
        </w:rPr>
        <w:t>2025</w:t>
      </w:r>
      <w:r>
        <w:rPr>
          <w:rFonts w:hint="eastAsia" w:ascii="楷体_GB2312" w:hAnsi="楷体_GB2312" w:eastAsia="楷体_GB2312" w:cs="楷体_GB2312"/>
          <w:b w:val="0"/>
          <w:bCs w:val="0"/>
          <w:sz w:val="32"/>
          <w:szCs w:val="32"/>
        </w:rPr>
        <w:t>年</w:t>
      </w:r>
      <w:r>
        <w:rPr>
          <w:rFonts w:hint="eastAsia" w:ascii="楷体_GB2312" w:hAnsi="楷体_GB2312" w:eastAsia="楷体_GB2312" w:cs="楷体_GB2312"/>
          <w:b w:val="0"/>
          <w:bCs w:val="0"/>
          <w:sz w:val="32"/>
          <w:szCs w:val="32"/>
          <w:lang w:val="en-US" w:eastAsia="zh-CN"/>
        </w:rPr>
        <w:t>1</w:t>
      </w:r>
      <w:r>
        <w:rPr>
          <w:rFonts w:hint="eastAsia" w:ascii="楷体_GB2312" w:hAnsi="楷体_GB2312" w:eastAsia="楷体_GB2312" w:cs="楷体_GB2312"/>
          <w:b w:val="0"/>
          <w:bCs w:val="0"/>
          <w:sz w:val="32"/>
          <w:szCs w:val="32"/>
        </w:rPr>
        <w:t>月</w:t>
      </w:r>
      <w:r>
        <w:rPr>
          <w:rFonts w:hint="eastAsia" w:ascii="楷体_GB2312" w:hAnsi="楷体_GB2312" w:eastAsia="楷体_GB2312" w:cs="楷体_GB2312"/>
          <w:b w:val="0"/>
          <w:bCs w:val="0"/>
          <w:sz w:val="32"/>
          <w:szCs w:val="32"/>
          <w:lang w:val="en-US" w:eastAsia="zh-CN"/>
        </w:rPr>
        <w:t>6</w:t>
      </w:r>
      <w:r>
        <w:rPr>
          <w:rFonts w:hint="eastAsia" w:ascii="楷体_GB2312" w:hAnsi="楷体_GB2312" w:eastAsia="楷体_GB2312" w:cs="楷体_GB2312"/>
          <w:b w:val="0"/>
          <w:bCs w:val="0"/>
          <w:sz w:val="32"/>
          <w:szCs w:val="32"/>
        </w:rPr>
        <w:t>日在</w:t>
      </w:r>
      <w:r>
        <w:rPr>
          <w:rFonts w:hint="eastAsia" w:ascii="楷体_GB2312" w:hAnsi="楷体_GB2312" w:eastAsia="楷体_GB2312" w:cs="楷体_GB2312"/>
          <w:b w:val="0"/>
          <w:bCs w:val="0"/>
          <w:sz w:val="32"/>
          <w:szCs w:val="32"/>
          <w:lang w:val="en-US" w:eastAsia="zh-CN"/>
        </w:rPr>
        <w:t>安义</w:t>
      </w:r>
      <w:r>
        <w:rPr>
          <w:rFonts w:hint="eastAsia" w:ascii="楷体_GB2312" w:hAnsi="楷体_GB2312" w:eastAsia="楷体_GB2312" w:cs="楷体_GB2312"/>
          <w:b w:val="0"/>
          <w:bCs w:val="0"/>
          <w:sz w:val="32"/>
          <w:szCs w:val="32"/>
        </w:rPr>
        <w:t>县第</w:t>
      </w:r>
      <w:r>
        <w:rPr>
          <w:rFonts w:hint="eastAsia" w:ascii="楷体_GB2312" w:hAnsi="楷体_GB2312" w:eastAsia="楷体_GB2312" w:cs="楷体_GB2312"/>
          <w:b w:val="0"/>
          <w:bCs w:val="0"/>
          <w:sz w:val="32"/>
          <w:szCs w:val="32"/>
          <w:lang w:val="en-US" w:eastAsia="zh-CN"/>
        </w:rPr>
        <w:t>十七</w:t>
      </w:r>
      <w:r>
        <w:rPr>
          <w:rFonts w:hint="eastAsia" w:ascii="楷体_GB2312" w:hAnsi="楷体_GB2312" w:eastAsia="楷体_GB2312" w:cs="楷体_GB2312"/>
          <w:b w:val="0"/>
          <w:bCs w:val="0"/>
          <w:sz w:val="32"/>
          <w:szCs w:val="32"/>
        </w:rPr>
        <w:t>届人民代表大会</w:t>
      </w:r>
    </w:p>
    <w:p w14:paraId="1B8A59F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第</w:t>
      </w:r>
      <w:r>
        <w:rPr>
          <w:rFonts w:hint="eastAsia" w:ascii="楷体_GB2312" w:hAnsi="楷体_GB2312" w:eastAsia="楷体_GB2312" w:cs="楷体_GB2312"/>
          <w:b w:val="0"/>
          <w:bCs w:val="0"/>
          <w:sz w:val="32"/>
          <w:szCs w:val="32"/>
          <w:lang w:val="en-US" w:eastAsia="zh-CN"/>
        </w:rPr>
        <w:t>五次</w:t>
      </w:r>
      <w:r>
        <w:rPr>
          <w:rFonts w:hint="eastAsia" w:ascii="楷体_GB2312" w:hAnsi="楷体_GB2312" w:eastAsia="楷体_GB2312" w:cs="楷体_GB2312"/>
          <w:b w:val="0"/>
          <w:bCs w:val="0"/>
          <w:sz w:val="32"/>
          <w:szCs w:val="32"/>
        </w:rPr>
        <w:t>会议上</w:t>
      </w:r>
    </w:p>
    <w:p w14:paraId="69C40899">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ascii="楷体_GB2312" w:hAnsi="Times New Roman" w:eastAsia="楷体_GB2312" w:cs="楷体_GB2312"/>
          <w:kern w:val="0"/>
          <w:sz w:val="32"/>
          <w:szCs w:val="32"/>
        </w:rPr>
      </w:pPr>
      <w:r>
        <w:rPr>
          <w:rFonts w:hint="eastAsia" w:ascii="楷体_GB2312" w:hAnsi="Times New Roman" w:eastAsia="楷体_GB2312" w:cs="楷体_GB2312"/>
          <w:kern w:val="0"/>
          <w:sz w:val="32"/>
          <w:szCs w:val="32"/>
        </w:rPr>
        <w:t>安义县财政局局长</w:t>
      </w:r>
      <w:r>
        <w:rPr>
          <w:rFonts w:ascii="楷体_GB2312" w:hAnsi="Times New Roman" w:eastAsia="楷体_GB2312" w:cs="楷体_GB2312"/>
          <w:kern w:val="0"/>
          <w:sz w:val="32"/>
          <w:szCs w:val="32"/>
        </w:rPr>
        <w:t xml:space="preserve">  </w:t>
      </w:r>
      <w:r>
        <w:rPr>
          <w:rFonts w:hint="eastAsia" w:ascii="楷体_GB2312" w:hAnsi="Times New Roman" w:eastAsia="楷体_GB2312" w:cs="楷体_GB2312"/>
          <w:kern w:val="0"/>
          <w:sz w:val="32"/>
          <w:szCs w:val="32"/>
        </w:rPr>
        <w:t>杜顺虎</w:t>
      </w:r>
    </w:p>
    <w:p w14:paraId="50752A85">
      <w:pPr>
        <w:autoSpaceDN w:val="0"/>
        <w:spacing w:line="600" w:lineRule="exact"/>
        <w:rPr>
          <w:rFonts w:hint="eastAsia" w:ascii="仿宋_GB2312" w:hAnsi="Times New Roman" w:eastAsia="仿宋_GB2312" w:cs="Times New Roman"/>
          <w:color w:val="000000" w:themeColor="text1"/>
          <w:sz w:val="32"/>
          <w:szCs w:val="32"/>
          <w14:textFill>
            <w14:solidFill>
              <w14:schemeClr w14:val="tx1"/>
            </w14:solidFill>
          </w14:textFill>
        </w:rPr>
      </w:pPr>
    </w:p>
    <w:p w14:paraId="208AB5DE">
      <w:pPr>
        <w:keepNext w:val="0"/>
        <w:keepLines w:val="0"/>
        <w:pageBreakBefore w:val="0"/>
        <w:kinsoku/>
        <w:wordWrap/>
        <w:overflowPunct/>
        <w:topLinePunct w:val="0"/>
        <w:autoSpaceDE/>
        <w:autoSpaceDN w:val="0"/>
        <w:bidi w:val="0"/>
        <w:adjustRightInd/>
        <w:snapToGrid/>
        <w:spacing w:line="560" w:lineRule="exact"/>
        <w:textAlignment w:val="auto"/>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各位代表：</w:t>
      </w:r>
    </w:p>
    <w:p w14:paraId="046FC8CA">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受县人民政府的委托，向大会报告2024年全县和县级预算执行情况与2025年全县和县级预算草案，请予审议，并请县政协委员和列席会议的同志提出意见。</w:t>
      </w:r>
    </w:p>
    <w:p w14:paraId="4F769744">
      <w:pPr>
        <w:keepNext w:val="0"/>
        <w:keepLines w:val="0"/>
        <w:pageBreakBefore w:val="0"/>
        <w:kinsoku/>
        <w:wordWrap/>
        <w:overflowPunct/>
        <w:topLinePunct w:val="0"/>
        <w:autoSpaceDE/>
        <w:autoSpaceDN w:val="0"/>
        <w:bidi w:val="0"/>
        <w:adjustRightInd/>
        <w:snapToGrid/>
        <w:spacing w:line="560" w:lineRule="exact"/>
        <w:ind w:firstLine="648"/>
        <w:textAlignment w:val="auto"/>
        <w:rPr>
          <w:rFonts w:hint="eastAsia" w:ascii="黑体" w:hAnsi="黑体" w:eastAsia="黑体" w:cs="Times New Roman"/>
          <w:bCs/>
          <w:color w:val="000000" w:themeColor="text1"/>
          <w:sz w:val="32"/>
          <w:szCs w:val="32"/>
          <w14:textFill>
            <w14:solidFill>
              <w14:schemeClr w14:val="tx1"/>
            </w14:solidFill>
          </w14:textFill>
        </w:rPr>
      </w:pPr>
      <w:r>
        <w:rPr>
          <w:rFonts w:hint="eastAsia" w:ascii="黑体" w:hAnsi="黑体" w:eastAsia="黑体" w:cs="Times New Roman"/>
          <w:bCs/>
          <w:color w:val="000000" w:themeColor="text1"/>
          <w:sz w:val="32"/>
          <w:szCs w:val="32"/>
          <w14:textFill>
            <w14:solidFill>
              <w14:schemeClr w14:val="tx1"/>
            </w14:solidFill>
          </w14:textFill>
        </w:rPr>
        <w:t>一、2024年县财政总预算执行情况</w:t>
      </w:r>
    </w:p>
    <w:p w14:paraId="1395FA27">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2024年是中华人民共和国成立75周年，我县财政部门坚持以习近平新时代中国特色社会主义思想为指导，全面贯彻党的二十大精神、二十届二中、三中全会和习近平总书记考察江西重要讲话精神，深入贯彻落实中央、省、市、县决策部署，认真落实安义县第十七届人民代表大会及其常委会关于2024年预算的决议和2024年预算调整方案的决议，紧扣“迎难而上、敢作善为，奋力推动经济社会高质量发展”工作主线，锚定“拼争‘四个第一’，建设‘五个新安义’”发展目标，坚持稳中求进工作总基调，统筹做好稳增长、促改革、惠民生、防风险、保稳定等各项工作，推动全县经济社会平稳健康发展。</w:t>
      </w:r>
    </w:p>
    <w:p w14:paraId="3FD28F87">
      <w:pPr>
        <w:keepNext w:val="0"/>
        <w:keepLines w:val="0"/>
        <w:pageBreakBefore w:val="0"/>
        <w:kinsoku/>
        <w:wordWrap/>
        <w:overflowPunct/>
        <w:topLinePunct w:val="0"/>
        <w:autoSpaceDE/>
        <w:autoSpaceDN w:val="0"/>
        <w:bidi w:val="0"/>
        <w:adjustRightInd/>
        <w:snapToGrid/>
        <w:spacing w:line="560" w:lineRule="exact"/>
        <w:ind w:firstLine="649"/>
        <w:textAlignment w:val="auto"/>
        <w:rPr>
          <w:rFonts w:hint="eastAsia" w:ascii="楷体_GB2312" w:hAnsi="楷体_GB2312" w:eastAsia="楷体_GB2312" w:cs="楷体_GB2312"/>
          <w:b/>
          <w:bCs/>
          <w:color w:val="000000"/>
          <w:sz w:val="32"/>
          <w:szCs w:val="32"/>
        </w:rPr>
      </w:pPr>
      <w:bookmarkStart w:id="0" w:name="OLE_LINK5"/>
      <w:r>
        <w:rPr>
          <w:rFonts w:hint="eastAsia" w:ascii="楷体_GB2312" w:hAnsi="楷体_GB2312" w:eastAsia="楷体_GB2312" w:cs="楷体_GB2312"/>
          <w:b/>
          <w:bCs/>
          <w:color w:val="000000"/>
          <w:sz w:val="32"/>
          <w:szCs w:val="32"/>
        </w:rPr>
        <w:t>（一）财政收支及平衡情况</w:t>
      </w:r>
    </w:p>
    <w:p w14:paraId="0BD90710">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1.财政收入情况</w:t>
      </w:r>
    </w:p>
    <w:p w14:paraId="1FF09C33">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2024年全县一般公共预算收入完成207066万元，比上年增长6.11%。</w:t>
      </w:r>
    </w:p>
    <w:p w14:paraId="6CA50A85">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全县一般公共预算收入主要项目完成情况：</w:t>
      </w:r>
    </w:p>
    <w:p w14:paraId="129180C9">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2024年税收收入完成111788万元，比上年增长16.55%；其中：增值税收入51534万元，比上年增长25.4%；企业所得税收入4780万元，比上年下降8.99%；个人所得税8741万元，比上年增长8.37%；耕地占用税3872万元，比上年增长57.91%；契税7956万元，比上年增长50.25%；车船税7148万元，比上年下降61.69%；其他各项税收27757万元，比上年增长83.86%；非税收入完成95278万元，比上年下降3.97%；其中：专项收入3820万元，比上年增长30.06%；行政事业性收费33640万元，比上年下降20.51%；罚没收入15115万元,比上年增长267.31%；国有资源（资产）有偿使用收入41680万元，比上年下降13.86%，政府住房基金收入1023万元，比上年下降30.08%。</w:t>
      </w:r>
    </w:p>
    <w:p w14:paraId="73066B38">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Times New Roman"/>
          <w:color w:val="000000"/>
          <w:spacing w:val="-8"/>
          <w:sz w:val="32"/>
          <w:szCs w:val="32"/>
        </w:rPr>
      </w:pPr>
      <w:r>
        <w:rPr>
          <w:rFonts w:hint="eastAsia" w:ascii="仿宋_GB2312" w:hAnsi="Times New Roman" w:eastAsia="仿宋_GB2312" w:cs="Times New Roman"/>
          <w:color w:val="000000"/>
          <w:sz w:val="32"/>
          <w:szCs w:val="32"/>
        </w:rPr>
        <w:t>全县一般公共预算收入207066万元；上级补助收入223774万元；其中：返还性收入25119万元、一般性转移支付收入150763万元、专项转移支付收入47892万元；地方政府一般债务转贷收入19520万元，调入资金32084万元(从政府性基金预算调入31470万元，从国有资本经营预算调入614万元），上年结余6072万元，</w:t>
      </w:r>
      <w:r>
        <w:rPr>
          <w:rFonts w:hint="eastAsia" w:ascii="仿宋_GB2312" w:hAnsi="Times New Roman" w:eastAsia="仿宋_GB2312" w:cs="Times New Roman"/>
          <w:color w:val="000000"/>
          <w:spacing w:val="-8"/>
          <w:sz w:val="32"/>
          <w:szCs w:val="32"/>
        </w:rPr>
        <w:t>动用预算稳定调节基金2000万元，全年财政收入总计490516万元。</w:t>
      </w:r>
    </w:p>
    <w:p w14:paraId="584C3921">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2.财政支出情况</w:t>
      </w:r>
    </w:p>
    <w:p w14:paraId="7F389581">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全县一般公共预算支出411757万元，同比增长1.09%。</w:t>
      </w:r>
    </w:p>
    <w:p w14:paraId="38CC72FF">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主要支出项目完成情况：</w:t>
      </w:r>
    </w:p>
    <w:p w14:paraId="1664614D">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一般公共服务支出33825万元，比上年下降9.19%；</w:t>
      </w:r>
    </w:p>
    <w:p w14:paraId="23F59773">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国防支出584万元，比上年下降32.33%；</w:t>
      </w:r>
    </w:p>
    <w:p w14:paraId="1FBFCD67">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公共安全支出11770万元，比上年下降2.58%；</w:t>
      </w:r>
    </w:p>
    <w:p w14:paraId="1C37ABDB">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教育支出64311万元，比上年增长0.19%；</w:t>
      </w:r>
    </w:p>
    <w:p w14:paraId="1EC8B652">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科学技术支出2685万元，比上年增长1.97%；</w:t>
      </w:r>
    </w:p>
    <w:p w14:paraId="15071F64">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文化旅游体育与传媒支出2762万元，比上年增长12.78%；</w:t>
      </w:r>
    </w:p>
    <w:p w14:paraId="4D4BEA43">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社会保障和就业支出41364万元，比上年下降9.46%；</w:t>
      </w:r>
    </w:p>
    <w:p w14:paraId="7466E940">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卫生健康支出25623万元，比上年增长10.23%；</w:t>
      </w:r>
    </w:p>
    <w:p w14:paraId="2B0F1F15">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节能环保支出16908万元，比上年下降27.85%；</w:t>
      </w:r>
    </w:p>
    <w:p w14:paraId="7E283294">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城乡社区支出43741万元，比上年下降28.52%；</w:t>
      </w:r>
    </w:p>
    <w:p w14:paraId="672962AE">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农林水支出125445万元，比上年增长38.49%；</w:t>
      </w:r>
    </w:p>
    <w:p w14:paraId="39BBA46C">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交通运输支出9909万元，比上年下降19.85%；</w:t>
      </w:r>
    </w:p>
    <w:p w14:paraId="6E9F9CB2">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资源勘探工业信息等支出5462万元，比上年下降36.37%；</w:t>
      </w:r>
    </w:p>
    <w:p w14:paraId="7C4B5438">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商业服务业等支出1621万元，比上年增长17.89%；</w:t>
      </w:r>
    </w:p>
    <w:p w14:paraId="70EAD669">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自然资源海洋气象等支出3438万元，比上年增长50.46%；</w:t>
      </w:r>
    </w:p>
    <w:p w14:paraId="7C3073E6">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住房保障支出9557万元，比上年下降15.85%；</w:t>
      </w:r>
    </w:p>
    <w:p w14:paraId="69DB4533">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粮油物资储备支出3199万元；比上年增长1098.13%；</w:t>
      </w:r>
    </w:p>
    <w:p w14:paraId="1BFA9F1B">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灾害防治及应急管理支出4226万元，比上年增长222.35%；</w:t>
      </w:r>
    </w:p>
    <w:p w14:paraId="69274317">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宋体"/>
          <w:sz w:val="32"/>
          <w:szCs w:val="32"/>
        </w:rPr>
      </w:pPr>
      <w:r>
        <w:rPr>
          <w:rFonts w:hint="eastAsia" w:ascii="仿宋_GB2312" w:hAnsi="Times New Roman" w:eastAsia="仿宋_GB2312" w:cs="仿宋"/>
          <w:color w:val="000000"/>
          <w:sz w:val="32"/>
          <w:szCs w:val="32"/>
        </w:rPr>
        <w:t>债务付息支出5310万元，比上年增长2.02%；</w:t>
      </w:r>
    </w:p>
    <w:p w14:paraId="2245B7CD">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债务发行费用支出17万元。</w:t>
      </w:r>
    </w:p>
    <w:p w14:paraId="67A90345">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Times New Roman"/>
          <w:b/>
          <w:color w:val="000000"/>
          <w:sz w:val="32"/>
          <w:szCs w:val="32"/>
        </w:rPr>
      </w:pPr>
      <w:r>
        <w:rPr>
          <w:rFonts w:hint="eastAsia" w:ascii="仿宋_GB2312" w:hAnsi="Times New Roman" w:eastAsia="仿宋_GB2312" w:cs="Times New Roman"/>
          <w:b/>
          <w:color w:val="000000"/>
          <w:sz w:val="32"/>
          <w:szCs w:val="32"/>
        </w:rPr>
        <w:t>3.平衡情况</w:t>
      </w:r>
    </w:p>
    <w:p w14:paraId="6FE5019F">
      <w:pPr>
        <w:pStyle w:val="2"/>
        <w:keepNext w:val="0"/>
        <w:keepLines w:val="0"/>
        <w:pageBreakBefore w:val="0"/>
        <w:kinsoku/>
        <w:wordWrap/>
        <w:overflowPunct/>
        <w:topLinePunct w:val="0"/>
        <w:autoSpaceDE/>
        <w:autoSpaceDN w:val="0"/>
        <w:bidi w:val="0"/>
        <w:adjustRightInd/>
        <w:snapToGrid/>
        <w:spacing w:after="0" w:line="560" w:lineRule="exact"/>
        <w:ind w:left="0" w:leftChars="0" w:firstLine="648"/>
        <w:textAlignment w:val="auto"/>
        <w:rPr>
          <w:rFonts w:hint="eastAsia" w:ascii="仿宋_GB2312" w:eastAsia="仿宋_GB2312" w:cs="仿宋"/>
          <w:color w:val="000000"/>
          <w:sz w:val="32"/>
          <w:szCs w:val="32"/>
        </w:rPr>
      </w:pPr>
      <w:r>
        <w:rPr>
          <w:rFonts w:hint="eastAsia" w:ascii="仿宋_GB2312" w:eastAsia="仿宋_GB2312" w:cs="仿宋"/>
          <w:color w:val="000000"/>
          <w:sz w:val="32"/>
          <w:szCs w:val="32"/>
        </w:rPr>
        <w:t>财政收入总计为</w:t>
      </w:r>
      <w:r>
        <w:rPr>
          <w:rFonts w:hint="eastAsia" w:ascii="仿宋_GB2312" w:eastAsia="仿宋_GB2312" w:cs="仿宋"/>
          <w:color w:val="000000"/>
          <w:sz w:val="32"/>
          <w:szCs w:val="32"/>
          <w:lang w:val="en-US" w:eastAsia="zh-CN"/>
        </w:rPr>
        <w:t>490516</w:t>
      </w:r>
      <w:r>
        <w:rPr>
          <w:rFonts w:hint="eastAsia" w:ascii="仿宋_GB2312" w:eastAsia="仿宋_GB2312" w:cs="仿宋"/>
          <w:color w:val="000000"/>
          <w:sz w:val="32"/>
          <w:szCs w:val="32"/>
        </w:rPr>
        <w:t>万元，当年一般公共预算支出411757万元，上解上级支出34542万元，债务还本支出10220万元，安排预算稳定调节基金25762万元，年终结余为8235万元。</w:t>
      </w:r>
    </w:p>
    <w:p w14:paraId="4E38A356">
      <w:pPr>
        <w:keepNext w:val="0"/>
        <w:keepLines w:val="0"/>
        <w:pageBreakBefore w:val="0"/>
        <w:kinsoku/>
        <w:wordWrap/>
        <w:overflowPunct/>
        <w:topLinePunct w:val="0"/>
        <w:autoSpaceDE/>
        <w:autoSpaceDN w:val="0"/>
        <w:bidi w:val="0"/>
        <w:adjustRightInd/>
        <w:snapToGrid/>
        <w:spacing w:line="560" w:lineRule="exact"/>
        <w:ind w:firstLine="649"/>
        <w:textAlignment w:val="auto"/>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（二）政府性基金预算收支情况</w:t>
      </w:r>
    </w:p>
    <w:p w14:paraId="6DDF02FD">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2024年县本级政府性基金收入49619万元,其中：国有土地使用权出让收入完成30561万元、彩票公益金收入368万元，专项债务对应项目专项收入18690万元；加上上年结余收入70068万元，地方政府专项债务转贷收入214203万元</w:t>
      </w:r>
      <w:r>
        <w:rPr>
          <w:rFonts w:hint="eastAsia" w:ascii="仿宋_GB2312" w:hAnsi="Times New Roman" w:eastAsia="仿宋_GB2312" w:cs="仿宋"/>
          <w:color w:val="000000"/>
          <w:sz w:val="32"/>
          <w:szCs w:val="32"/>
          <w:lang w:eastAsia="zh-CN"/>
        </w:rPr>
        <w:t>，</w:t>
      </w:r>
      <w:r>
        <w:rPr>
          <w:rFonts w:hint="eastAsia" w:ascii="仿宋_GB2312" w:hAnsi="Times New Roman" w:eastAsia="仿宋_GB2312" w:cs="仿宋"/>
          <w:color w:val="000000"/>
          <w:sz w:val="32"/>
          <w:szCs w:val="32"/>
        </w:rPr>
        <w:t>政府性基金补助收入23573万元，全年基金收入总计357463万元。基金支出55785万元，其中：文化体育与传媒支出4万元、城乡社区事务支出16933万元、农林水支出304万元、资源勘探工业信息等支出56万元、其他支出22985万元、债务付息支出15327万元、债务发行费用支出176万元；上解支出9412万元；调出资金31470万元；地方政府专项债务还本支出131091万元，年终结余129705万元。</w:t>
      </w:r>
    </w:p>
    <w:p w14:paraId="1F82A191">
      <w:pPr>
        <w:keepNext w:val="0"/>
        <w:keepLines w:val="0"/>
        <w:pageBreakBefore w:val="0"/>
        <w:kinsoku/>
        <w:wordWrap/>
        <w:overflowPunct/>
        <w:topLinePunct w:val="0"/>
        <w:autoSpaceDE/>
        <w:autoSpaceDN w:val="0"/>
        <w:bidi w:val="0"/>
        <w:adjustRightInd/>
        <w:snapToGrid/>
        <w:spacing w:line="560" w:lineRule="exact"/>
        <w:ind w:firstLine="649"/>
        <w:textAlignment w:val="auto"/>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（三）国有资本经营收支情况</w:t>
      </w:r>
    </w:p>
    <w:p w14:paraId="717D02AD">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国有资本经营收入614万元，属其他国有资本经营预算收入；上级转移支付收入9万元，收入合计623万元，国有资本经营预算支出9万元，年终平衡一般预算调出国有资本经营预算资金614万元，结余为0万元。</w:t>
      </w:r>
    </w:p>
    <w:p w14:paraId="63DCA03B">
      <w:pPr>
        <w:keepNext w:val="0"/>
        <w:keepLines w:val="0"/>
        <w:pageBreakBefore w:val="0"/>
        <w:kinsoku/>
        <w:wordWrap/>
        <w:overflowPunct/>
        <w:topLinePunct w:val="0"/>
        <w:autoSpaceDE/>
        <w:autoSpaceDN w:val="0"/>
        <w:bidi w:val="0"/>
        <w:adjustRightInd/>
        <w:snapToGrid/>
        <w:spacing w:line="560" w:lineRule="exact"/>
        <w:ind w:firstLine="649"/>
        <w:textAlignment w:val="auto"/>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（四）社保基金收支情况</w:t>
      </w:r>
    </w:p>
    <w:p w14:paraId="21FBDB2A">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社会保险基金当年收入120671万元，其中：企业职工基本养老保险基金收入65817万元、城乡居民基本养老保险基金收入12224万元、机关事业单位养老险基金收入18560万元、职工基本医疗保险基金收入11558万元、城乡居民基本医疗保险基金收入8522万元、工伤保险基金收入3018万元、失业保险基金收入971万元。上年滚存结余98771万元，社会保险基金支出117030万元，其中：企业职工基本养老保险基金支出66126万元、城乡居民基本养老保险基金支出8944万元、机关事业单位养老保险基金支出19668万元、职工基本医疗保险基金支出6424万元、城乡居民基本医疗保险基金支出11941万元、工伤保险基金支出2934万元、失业保险基金支出993万元；当年结余3641万元，年终滚存结余102412万元。</w:t>
      </w:r>
    </w:p>
    <w:p w14:paraId="5613AB08">
      <w:pPr>
        <w:keepNext w:val="0"/>
        <w:keepLines w:val="0"/>
        <w:pageBreakBefore w:val="0"/>
        <w:kinsoku/>
        <w:wordWrap/>
        <w:overflowPunct/>
        <w:topLinePunct w:val="0"/>
        <w:autoSpaceDE/>
        <w:autoSpaceDN w:val="0"/>
        <w:bidi w:val="0"/>
        <w:adjustRightInd/>
        <w:snapToGrid/>
        <w:spacing w:line="560" w:lineRule="exact"/>
        <w:ind w:firstLine="649"/>
        <w:textAlignment w:val="auto"/>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（五）政府债务限额情况</w:t>
      </w:r>
    </w:p>
    <w:p w14:paraId="71B13E8A">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根据省财政厅下达债务限额文件，我县2024年新增债务限额243731万元。其中：新增一般债务限额12700万元，新增专项债务限额231031万元。2024年安义县争取地方政府债券转贷收入233723万元，其中：新增一般债券9300万元、新增专项债券82340万元、再融资债券142083万元（含再融资一般债券10220万元、再融资专项债券131863万元）。再融资债券主要用于偿还到期的债券本金和置换化解存量隐性债务。</w:t>
      </w:r>
    </w:p>
    <w:p w14:paraId="0A3DF3A5">
      <w:pPr>
        <w:keepNext w:val="0"/>
        <w:keepLines w:val="0"/>
        <w:pageBreakBefore w:val="0"/>
        <w:kinsoku/>
        <w:wordWrap/>
        <w:overflowPunct/>
        <w:topLinePunct w:val="0"/>
        <w:autoSpaceDE/>
        <w:autoSpaceDN w:val="0"/>
        <w:bidi w:val="0"/>
        <w:adjustRightInd/>
        <w:snapToGrid/>
        <w:spacing w:line="560" w:lineRule="exact"/>
        <w:ind w:firstLine="648"/>
        <w:textAlignment w:val="auto"/>
        <w:rPr>
          <w:rFonts w:hint="eastAsia"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截至2024年底，安义县地方政府债务总限额895178万元，其中：一般债务限额173901万元，专项债务限额721277万元。</w:t>
      </w:r>
    </w:p>
    <w:p w14:paraId="7A668CB8">
      <w:pPr>
        <w:keepNext w:val="0"/>
        <w:keepLines w:val="0"/>
        <w:pageBreakBefore w:val="0"/>
        <w:kinsoku/>
        <w:wordWrap/>
        <w:overflowPunct/>
        <w:topLinePunct w:val="0"/>
        <w:autoSpaceDE/>
        <w:autoSpaceDN w:val="0"/>
        <w:bidi w:val="0"/>
        <w:adjustRightInd/>
        <w:snapToGrid/>
        <w:spacing w:line="560" w:lineRule="exact"/>
        <w:ind w:firstLine="649"/>
        <w:textAlignment w:val="auto"/>
        <w:rPr>
          <w:rFonts w:hint="eastAsia"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根据年终报表测算，2024年县本级当年实现了财政收支平衡。具体平衡情况待省财政厅审核我县2024年财政收支决算后，再专题向人大常委会报告。</w:t>
      </w:r>
    </w:p>
    <w:bookmarkEnd w:id="0"/>
    <w:p w14:paraId="71B1FE89">
      <w:pPr>
        <w:keepNext w:val="0"/>
        <w:keepLines w:val="0"/>
        <w:pageBreakBefore w:val="0"/>
        <w:kinsoku/>
        <w:wordWrap/>
        <w:overflowPunct/>
        <w:topLinePunct w:val="0"/>
        <w:autoSpaceDE/>
        <w:autoSpaceDN w:val="0"/>
        <w:bidi w:val="0"/>
        <w:adjustRightInd/>
        <w:snapToGrid/>
        <w:spacing w:line="560" w:lineRule="exact"/>
        <w:ind w:firstLine="648"/>
        <w:textAlignment w:val="auto"/>
        <w:rPr>
          <w:rFonts w:hint="eastAsia" w:ascii="黑体" w:hAnsi="黑体" w:eastAsia="黑体" w:cs="Times New Roman"/>
          <w:bCs/>
          <w:color w:val="000000" w:themeColor="text1"/>
          <w:sz w:val="32"/>
          <w:szCs w:val="32"/>
          <w14:textFill>
            <w14:solidFill>
              <w14:schemeClr w14:val="tx1"/>
            </w14:solidFill>
          </w14:textFill>
        </w:rPr>
      </w:pPr>
      <w:r>
        <w:rPr>
          <w:rFonts w:hint="eastAsia" w:ascii="黑体" w:hAnsi="黑体" w:eastAsia="黑体" w:cs="Times New Roman"/>
          <w:bCs/>
          <w:color w:val="000000" w:themeColor="text1"/>
          <w:sz w:val="32"/>
          <w:szCs w:val="32"/>
          <w14:textFill>
            <w14:solidFill>
              <w14:schemeClr w14:val="tx1"/>
            </w14:solidFill>
          </w14:textFill>
        </w:rPr>
        <w:t>二、2024年财政重点工作情况</w:t>
      </w:r>
    </w:p>
    <w:p w14:paraId="547EBBB0">
      <w:pPr>
        <w:keepNext w:val="0"/>
        <w:keepLines w:val="0"/>
        <w:pageBreakBefore w:val="0"/>
        <w:kinsoku/>
        <w:wordWrap/>
        <w:overflowPunct/>
        <w:topLinePunct w:val="0"/>
        <w:autoSpaceDE/>
        <w:autoSpaceDN w:val="0"/>
        <w:bidi w:val="0"/>
        <w:adjustRightInd/>
        <w:snapToGrid/>
        <w:spacing w:line="560" w:lineRule="exact"/>
        <w:ind w:firstLine="649"/>
        <w:textAlignment w:val="auto"/>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（一）多措并举抓收入，夯实财政增收基础</w:t>
      </w:r>
    </w:p>
    <w:p w14:paraId="0C41DEBE">
      <w:pPr>
        <w:pStyle w:val="2"/>
        <w:keepNext w:val="0"/>
        <w:keepLines w:val="0"/>
        <w:pageBreakBefore w:val="0"/>
        <w:kinsoku/>
        <w:wordWrap/>
        <w:overflowPunct/>
        <w:topLinePunct w:val="0"/>
        <w:autoSpaceDE/>
        <w:autoSpaceDN w:val="0"/>
        <w:bidi w:val="0"/>
        <w:adjustRightInd/>
        <w:snapToGrid/>
        <w:spacing w:after="0" w:line="560" w:lineRule="exact"/>
        <w:ind w:left="0" w:leftChars="0" w:firstLine="648"/>
        <w:textAlignment w:val="auto"/>
        <w:rPr>
          <w:rFonts w:ascii="仿宋_GB2312" w:eastAsia="仿宋_GB2312" w:cs="仿宋"/>
          <w:color w:val="000000" w:themeColor="text1"/>
          <w:sz w:val="32"/>
          <w:szCs w:val="32"/>
          <w14:textFill>
            <w14:solidFill>
              <w14:schemeClr w14:val="tx1"/>
            </w14:solidFill>
          </w14:textFill>
        </w:rPr>
      </w:pPr>
      <w:bookmarkStart w:id="1" w:name="OLE_LINK2"/>
      <w:r>
        <w:rPr>
          <w:rFonts w:hint="eastAsia" w:ascii="仿宋_GB2312" w:eastAsia="仿宋_GB2312" w:cs="仿宋"/>
          <w:color w:val="000000" w:themeColor="text1"/>
          <w:sz w:val="32"/>
          <w:szCs w:val="32"/>
          <w14:textFill>
            <w14:solidFill>
              <w14:schemeClr w14:val="tx1"/>
            </w14:solidFill>
          </w14:textFill>
        </w:rPr>
        <w:t>在经济下行压力加大</w:t>
      </w:r>
      <w:bookmarkEnd w:id="1"/>
      <w:r>
        <w:rPr>
          <w:rFonts w:hint="eastAsia" w:ascii="仿宋_GB2312" w:eastAsia="仿宋_GB2312" w:cs="仿宋"/>
          <w:color w:val="000000" w:themeColor="text1"/>
          <w:sz w:val="32"/>
          <w:szCs w:val="32"/>
          <w14:textFill>
            <w14:solidFill>
              <w14:schemeClr w14:val="tx1"/>
            </w14:solidFill>
          </w14:textFill>
        </w:rPr>
        <w:t>、有效投资增长乏力的大背景下，多措并举做大做优财政收入“盘子”，积极应对新形势、新挑战。一是强化财源建设力度，推动经济高质量发展。紧扣一般公共预算收入年度增长目标，加强财政收入分析研判，科学统筹做好骨干企业和重点行业税收监管，着力培植可持续增长财源，全县一般公共预算收入完成207066万元，比上年增加11930万元，同比增长6.11%，其中：税收收入111788万元，非税收入95278万元。二是加大资产盘活力度，大力挖掘增收潜力。深挖国有资产盘活变现增收潜力，通过盘活优质资源资产和特许经营权，全年国有资源（资产）有偿使用收入41680万元。三是积极向上争取资金。紧盯专项债券政策支持领域，加强与上级部门的沟通协调，加大项目资金争取力度，做深做细项目前期工作，有针对性进行资金争取，用足用好专项债券资金，充分发挥债券资金使用效益。全年我县共申请国债项目资金13个共计54701万元，相关重大项目的开工建设有效促进了我县社会事业的发展，为我县拼争“四个第一”，“建设五个新安义”打下坚实的基础。</w:t>
      </w:r>
    </w:p>
    <w:p w14:paraId="3A220CED">
      <w:pPr>
        <w:keepNext w:val="0"/>
        <w:keepLines w:val="0"/>
        <w:pageBreakBefore w:val="0"/>
        <w:kinsoku/>
        <w:wordWrap/>
        <w:overflowPunct/>
        <w:topLinePunct w:val="0"/>
        <w:autoSpaceDE/>
        <w:autoSpaceDN w:val="0"/>
        <w:bidi w:val="0"/>
        <w:adjustRightInd/>
        <w:snapToGrid/>
        <w:spacing w:line="560" w:lineRule="exact"/>
        <w:ind w:firstLine="649"/>
        <w:textAlignment w:val="auto"/>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（二）优化支出科学理财，强化财政资金保障</w:t>
      </w:r>
    </w:p>
    <w:p w14:paraId="4756C1E1">
      <w:pPr>
        <w:pStyle w:val="2"/>
        <w:keepNext w:val="0"/>
        <w:keepLines w:val="0"/>
        <w:pageBreakBefore w:val="0"/>
        <w:kinsoku/>
        <w:wordWrap/>
        <w:overflowPunct/>
        <w:topLinePunct w:val="0"/>
        <w:autoSpaceDE/>
        <w:autoSpaceDN w:val="0"/>
        <w:bidi w:val="0"/>
        <w:adjustRightInd/>
        <w:snapToGrid/>
        <w:spacing w:after="0" w:line="560" w:lineRule="exact"/>
        <w:ind w:left="0" w:leftChars="0" w:firstLine="648"/>
        <w:textAlignment w:val="auto"/>
        <w:rPr>
          <w:rFonts w:ascii="仿宋_GB2312" w:eastAsia="仿宋_GB2312" w:cs="仿宋"/>
          <w:color w:val="000000" w:themeColor="text1"/>
          <w:sz w:val="32"/>
          <w:szCs w:val="32"/>
          <w14:textFill>
            <w14:solidFill>
              <w14:schemeClr w14:val="tx1"/>
            </w14:solidFill>
          </w14:textFill>
        </w:rPr>
      </w:pPr>
      <w:r>
        <w:rPr>
          <w:rFonts w:hint="eastAsia" w:ascii="仿宋_GB2312" w:eastAsia="仿宋_GB2312" w:cs="仿宋"/>
          <w:color w:val="000000" w:themeColor="text1"/>
          <w:sz w:val="32"/>
          <w:szCs w:val="32"/>
          <w14:textFill>
            <w14:solidFill>
              <w14:schemeClr w14:val="tx1"/>
            </w14:solidFill>
          </w14:textFill>
        </w:rPr>
        <w:t>一是优化支出结构。落实过紧日子要求，腾出财力优先保障“三保”等重点支出。出台了《关于切实厉行节约习惯过紧日子的通知》（安办发[2024]40号），建立节约型财政保障机制，严把预算支出关口，厉行节约办一切事业，大力压减无效、低效支出、严控新增支出、减少“三公”经费支出、压缩大型活动支出、节约办公经费，积极盘活存量资金，腾出非刚性非急需低效益项目资金，用于保障“三保”等其他重点民生支出，切实把钱花在刀刃上。二是提升资金使用效率。财政投资评价中心牢固树立大局意识、服务意识，以服务政府投资项目、提高财政监管水平为目标，制定方案，梳理任务清单，细化实化举措。全年投资评价中心完成结算项目评审248个，评审金额76488.54万元，审定金额69027.43万元，审减资金7460.61万元，审减率为9.75%；完成预算项目评审344个，评审金额267945.37万元，审定金额242734.07万元，审减资金25211.31万元，审减率为9.41%，推动政府投资项目评价工作提质增效。</w:t>
      </w:r>
    </w:p>
    <w:p w14:paraId="6658B026">
      <w:pPr>
        <w:keepNext w:val="0"/>
        <w:keepLines w:val="0"/>
        <w:pageBreakBefore w:val="0"/>
        <w:kinsoku/>
        <w:wordWrap/>
        <w:overflowPunct/>
        <w:topLinePunct w:val="0"/>
        <w:autoSpaceDE/>
        <w:autoSpaceDN w:val="0"/>
        <w:bidi w:val="0"/>
        <w:adjustRightInd/>
        <w:snapToGrid/>
        <w:spacing w:line="560" w:lineRule="exact"/>
        <w:ind w:firstLine="649"/>
        <w:textAlignment w:val="auto"/>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（三）兜牢兜实民生底线，推进重点项目建设</w:t>
      </w:r>
    </w:p>
    <w:p w14:paraId="36B50687">
      <w:pPr>
        <w:pStyle w:val="2"/>
        <w:keepNext w:val="0"/>
        <w:keepLines w:val="0"/>
        <w:pageBreakBefore w:val="0"/>
        <w:kinsoku/>
        <w:wordWrap/>
        <w:overflowPunct/>
        <w:topLinePunct w:val="0"/>
        <w:autoSpaceDE/>
        <w:autoSpaceDN w:val="0"/>
        <w:bidi w:val="0"/>
        <w:adjustRightInd/>
        <w:snapToGrid/>
        <w:spacing w:after="0" w:line="560" w:lineRule="exact"/>
        <w:ind w:left="0" w:leftChars="0" w:firstLine="648"/>
        <w:textAlignment w:val="auto"/>
        <w:rPr>
          <w:rFonts w:ascii="仿宋_GB2312" w:eastAsia="仿宋_GB2312" w:cs="仿宋"/>
          <w:color w:val="000000" w:themeColor="text1"/>
          <w:sz w:val="32"/>
          <w:szCs w:val="32"/>
          <w14:textFill>
            <w14:solidFill>
              <w14:schemeClr w14:val="tx1"/>
            </w14:solidFill>
          </w14:textFill>
        </w:rPr>
      </w:pPr>
      <w:r>
        <w:rPr>
          <w:rFonts w:hint="eastAsia" w:ascii="仿宋_GB2312" w:eastAsia="仿宋_GB2312" w:cs="仿宋"/>
          <w:color w:val="000000" w:themeColor="text1"/>
          <w:sz w:val="32"/>
          <w:szCs w:val="32"/>
          <w14:textFill>
            <w14:solidFill>
              <w14:schemeClr w14:val="tx1"/>
            </w14:solidFill>
          </w14:textFill>
        </w:rPr>
        <w:t>在可用财力紧张的情况下，始终坚持在发展中保障和改善民生，用政府的“紧日子”换老百姓的“好日子”。一是强化底线民生兜底，提升社会保障水平。加强预算执行管理，</w:t>
      </w:r>
      <w:r>
        <w:rPr>
          <w:rFonts w:ascii="仿宋_GB2312" w:eastAsia="仿宋_GB2312" w:cs="仿宋"/>
          <w:color w:val="000000" w:themeColor="text1"/>
          <w:sz w:val="32"/>
          <w:szCs w:val="32"/>
          <w14:textFill>
            <w14:solidFill>
              <w14:schemeClr w14:val="tx1"/>
            </w14:solidFill>
          </w14:textFill>
        </w:rPr>
        <w:t>坚持尽力而为、量力而行，</w:t>
      </w:r>
      <w:r>
        <w:rPr>
          <w:rFonts w:hint="eastAsia" w:ascii="仿宋_GB2312" w:eastAsia="仿宋_GB2312" w:cs="仿宋"/>
          <w:color w:val="000000" w:themeColor="text1"/>
          <w:sz w:val="32"/>
          <w:szCs w:val="32"/>
          <w14:textFill>
            <w14:solidFill>
              <w14:schemeClr w14:val="tx1"/>
            </w14:solidFill>
          </w14:textFill>
        </w:rPr>
        <w:t>优先足额保障“三保”支出，持续增进民生福祉。</w:t>
      </w:r>
      <w:bookmarkStart w:id="2" w:name="OLE_LINK7"/>
      <w:r>
        <w:rPr>
          <w:rFonts w:hint="eastAsia" w:ascii="仿宋_GB2312" w:eastAsia="仿宋_GB2312" w:cs="仿宋"/>
          <w:color w:val="000000" w:themeColor="text1"/>
          <w:sz w:val="32"/>
          <w:szCs w:val="32"/>
          <w14:textFill>
            <w14:solidFill>
              <w14:schemeClr w14:val="tx1"/>
            </w14:solidFill>
          </w14:textFill>
        </w:rPr>
        <w:t>全县“三保”支出121803万元，占一般公共预算支出的29.58%，其中</w:t>
      </w:r>
      <w:r>
        <w:rPr>
          <w:rFonts w:ascii="仿宋_GB2312" w:eastAsia="仿宋_GB2312" w:cs="仿宋"/>
          <w:color w:val="000000" w:themeColor="text1"/>
          <w:sz w:val="32"/>
          <w:szCs w:val="32"/>
          <w14:textFill>
            <w14:solidFill>
              <w14:schemeClr w14:val="tx1"/>
            </w14:solidFill>
          </w14:textFill>
        </w:rPr>
        <w:t>保基本民生支出</w:t>
      </w:r>
      <w:r>
        <w:rPr>
          <w:rFonts w:hint="eastAsia" w:ascii="仿宋_GB2312" w:eastAsia="仿宋_GB2312" w:cs="仿宋"/>
          <w:color w:val="000000" w:themeColor="text1"/>
          <w:sz w:val="32"/>
          <w:szCs w:val="32"/>
          <w14:textFill>
            <w14:solidFill>
              <w14:schemeClr w14:val="tx1"/>
            </w14:solidFill>
          </w14:textFill>
        </w:rPr>
        <w:t>29377</w:t>
      </w:r>
      <w:r>
        <w:rPr>
          <w:rFonts w:ascii="仿宋_GB2312" w:eastAsia="仿宋_GB2312" w:cs="仿宋"/>
          <w:color w:val="000000" w:themeColor="text1"/>
          <w:sz w:val="32"/>
          <w:szCs w:val="32"/>
          <w14:textFill>
            <w14:solidFill>
              <w14:schemeClr w14:val="tx1"/>
            </w14:solidFill>
          </w14:textFill>
        </w:rPr>
        <w:t>万元，保工资支出</w:t>
      </w:r>
      <w:r>
        <w:rPr>
          <w:rFonts w:hint="eastAsia" w:ascii="仿宋_GB2312" w:eastAsia="仿宋_GB2312" w:cs="仿宋"/>
          <w:color w:val="000000" w:themeColor="text1"/>
          <w:sz w:val="32"/>
          <w:szCs w:val="32"/>
          <w14:textFill>
            <w14:solidFill>
              <w14:schemeClr w14:val="tx1"/>
            </w14:solidFill>
          </w14:textFill>
        </w:rPr>
        <w:t>77582</w:t>
      </w:r>
      <w:r>
        <w:rPr>
          <w:rFonts w:ascii="仿宋_GB2312" w:eastAsia="仿宋_GB2312" w:cs="仿宋"/>
          <w:color w:val="000000" w:themeColor="text1"/>
          <w:sz w:val="32"/>
          <w:szCs w:val="32"/>
          <w14:textFill>
            <w14:solidFill>
              <w14:schemeClr w14:val="tx1"/>
            </w14:solidFill>
          </w14:textFill>
        </w:rPr>
        <w:t>万元，保运转支出</w:t>
      </w:r>
      <w:r>
        <w:rPr>
          <w:rFonts w:hint="eastAsia" w:ascii="仿宋_GB2312" w:eastAsia="仿宋_GB2312" w:cs="仿宋"/>
          <w:color w:val="000000" w:themeColor="text1"/>
          <w:sz w:val="32"/>
          <w:szCs w:val="32"/>
          <w14:textFill>
            <w14:solidFill>
              <w14:schemeClr w14:val="tx1"/>
            </w14:solidFill>
          </w14:textFill>
        </w:rPr>
        <w:t>14844</w:t>
      </w:r>
      <w:r>
        <w:rPr>
          <w:rFonts w:ascii="仿宋_GB2312" w:eastAsia="仿宋_GB2312" w:cs="仿宋"/>
          <w:color w:val="000000" w:themeColor="text1"/>
          <w:sz w:val="32"/>
          <w:szCs w:val="32"/>
          <w14:textFill>
            <w14:solidFill>
              <w14:schemeClr w14:val="tx1"/>
            </w14:solidFill>
          </w14:textFill>
        </w:rPr>
        <w:t>万元。</w:t>
      </w:r>
      <w:bookmarkEnd w:id="2"/>
      <w:r>
        <w:rPr>
          <w:rFonts w:hint="eastAsia" w:ascii="仿宋_GB2312" w:eastAsia="仿宋_GB2312" w:cs="仿宋"/>
          <w:color w:val="000000" w:themeColor="text1"/>
          <w:sz w:val="32"/>
          <w:szCs w:val="32"/>
          <w14:textFill>
            <w14:solidFill>
              <w14:schemeClr w14:val="tx1"/>
            </w14:solidFill>
          </w14:textFill>
        </w:rPr>
        <w:t>二是</w:t>
      </w:r>
      <w:bookmarkStart w:id="3" w:name="_Hlk184981275"/>
      <w:r>
        <w:rPr>
          <w:rFonts w:hint="eastAsia" w:ascii="仿宋_GB2312" w:eastAsia="仿宋_GB2312" w:cs="仿宋"/>
          <w:color w:val="000000" w:themeColor="text1"/>
          <w:sz w:val="32"/>
          <w:szCs w:val="32"/>
          <w14:textFill>
            <w14:solidFill>
              <w14:schemeClr w14:val="tx1"/>
            </w14:solidFill>
          </w14:textFill>
        </w:rPr>
        <w:t>集中财力落实民生政策，持续推进重点项目建设</w:t>
      </w:r>
      <w:bookmarkEnd w:id="3"/>
      <w:r>
        <w:rPr>
          <w:rFonts w:hint="eastAsia" w:ascii="仿宋_GB2312" w:eastAsia="仿宋_GB2312" w:cs="仿宋"/>
          <w:color w:val="000000" w:themeColor="text1"/>
          <w:sz w:val="32"/>
          <w:szCs w:val="32"/>
          <w14:textFill>
            <w14:solidFill>
              <w14:schemeClr w14:val="tx1"/>
            </w14:solidFill>
          </w14:textFill>
        </w:rPr>
        <w:t>。不断加大教育投入，提高财政支出中教育支出比重，全年教育支出64311万元，占一般公共预算支出的15.62%</w:t>
      </w:r>
      <w:r>
        <w:rPr>
          <w:rFonts w:ascii="仿宋_GB2312" w:eastAsia="仿宋_GB2312" w:cs="仿宋"/>
          <w:color w:val="000000" w:themeColor="text1"/>
          <w:sz w:val="32"/>
          <w:szCs w:val="32"/>
          <w14:textFill>
            <w14:solidFill>
              <w14:schemeClr w14:val="tx1"/>
            </w14:solidFill>
          </w14:textFill>
        </w:rPr>
        <w:t> </w:t>
      </w:r>
      <w:r>
        <w:rPr>
          <w:rFonts w:hint="eastAsia" w:ascii="仿宋_GB2312" w:eastAsia="仿宋_GB2312" w:cs="仿宋"/>
          <w:color w:val="000000" w:themeColor="text1"/>
          <w:sz w:val="32"/>
          <w:szCs w:val="32"/>
          <w14:textFill>
            <w14:solidFill>
              <w14:schemeClr w14:val="tx1"/>
            </w14:solidFill>
          </w14:textFill>
        </w:rPr>
        <w:t>，累计投入2亿元建设安义县魁星学校（南昌市站前路学校教育集团安义分校）、安义县龙安学校（南昌大学附属学校安义分校）等项目。提高社会保障水平，发放创业担保贷款2.5亿元，城镇新增就业3941人，转移农村劳动力5628人；全年统筹安排资金4980万元用于城乡居民养老保险，9600万元用于城乡低保、五保供养，3230万元用于就业创业补助；扎实推进中央财政支持普惠托育发展示范项目，现有托位1141个。继续加大医疗卫生投入，为县人民医院医养中心项目争取上级专项债资金5000万元；全年卫生健康支出25623万元，比上年增长10.23%；安排资金10427万元用于城乡居民基本医疗保险、医疗救助等财政政策保障。</w:t>
      </w:r>
    </w:p>
    <w:p w14:paraId="5A8B92C8">
      <w:pPr>
        <w:keepNext w:val="0"/>
        <w:keepLines w:val="0"/>
        <w:pageBreakBefore w:val="0"/>
        <w:kinsoku/>
        <w:wordWrap/>
        <w:overflowPunct/>
        <w:topLinePunct w:val="0"/>
        <w:autoSpaceDE/>
        <w:autoSpaceDN w:val="0"/>
        <w:bidi w:val="0"/>
        <w:adjustRightInd/>
        <w:snapToGrid/>
        <w:spacing w:line="560" w:lineRule="exact"/>
        <w:ind w:firstLine="649"/>
        <w:textAlignment w:val="auto"/>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（四）</w:t>
      </w:r>
      <w:bookmarkStart w:id="4" w:name="OLE_LINK1"/>
      <w:r>
        <w:rPr>
          <w:rFonts w:hint="eastAsia" w:ascii="楷体_GB2312" w:hAnsi="楷体_GB2312" w:eastAsia="楷体_GB2312" w:cs="楷体_GB2312"/>
          <w:b/>
          <w:bCs/>
          <w:color w:val="000000"/>
          <w:sz w:val="32"/>
          <w:szCs w:val="32"/>
        </w:rPr>
        <w:t>深化财政改革管理</w:t>
      </w:r>
      <w:bookmarkEnd w:id="4"/>
      <w:r>
        <w:rPr>
          <w:rFonts w:hint="eastAsia" w:ascii="楷体_GB2312" w:hAnsi="楷体_GB2312" w:eastAsia="楷体_GB2312" w:cs="楷体_GB2312"/>
          <w:b/>
          <w:bCs/>
          <w:color w:val="000000"/>
          <w:sz w:val="32"/>
          <w:szCs w:val="32"/>
        </w:rPr>
        <w:t>，提升财政工作质效</w:t>
      </w:r>
    </w:p>
    <w:p w14:paraId="378AD8E6">
      <w:pPr>
        <w:pStyle w:val="2"/>
        <w:keepNext w:val="0"/>
        <w:keepLines w:val="0"/>
        <w:pageBreakBefore w:val="0"/>
        <w:kinsoku/>
        <w:wordWrap/>
        <w:overflowPunct/>
        <w:topLinePunct w:val="0"/>
        <w:autoSpaceDE/>
        <w:autoSpaceDN w:val="0"/>
        <w:bidi w:val="0"/>
        <w:adjustRightInd/>
        <w:snapToGrid/>
        <w:spacing w:after="0" w:line="560" w:lineRule="exact"/>
        <w:ind w:left="0" w:leftChars="0" w:firstLine="648"/>
        <w:textAlignment w:val="auto"/>
        <w:rPr>
          <w:rFonts w:ascii="仿宋_GB2312" w:eastAsia="仿宋_GB2312" w:cs="仿宋"/>
          <w:color w:val="000000" w:themeColor="text1"/>
          <w:sz w:val="32"/>
          <w:szCs w:val="32"/>
          <w14:textFill>
            <w14:solidFill>
              <w14:schemeClr w14:val="tx1"/>
            </w14:solidFill>
          </w14:textFill>
        </w:rPr>
      </w:pPr>
      <w:r>
        <w:rPr>
          <w:rFonts w:hint="eastAsia" w:ascii="仿宋_GB2312" w:eastAsia="仿宋_GB2312" w:cs="仿宋"/>
          <w:color w:val="000000" w:themeColor="text1"/>
          <w:sz w:val="32"/>
          <w:szCs w:val="32"/>
          <w14:textFill>
            <w14:solidFill>
              <w14:schemeClr w14:val="tx1"/>
            </w14:solidFill>
          </w14:textFill>
        </w:rPr>
        <w:t>一是加强预算绩效管理。开展了2024年度单位自评及部门评价工作，包含单位自评、部门评价和结果应用三个方面的工作，全部工作均在预算一体化系统中完成。全年我县1037个项目绩效自评、68个部门整体绩效自评、68个部门整体支出绩效自评总报告评价报告均已完成，评价金额63.9亿元，有力地促进部门单位加强预算绩效管理。</w:t>
      </w:r>
      <w:bookmarkStart w:id="5" w:name="OLE_LINK6"/>
      <w:r>
        <w:rPr>
          <w:rFonts w:hint="eastAsia" w:ascii="仿宋_GB2312" w:eastAsia="仿宋_GB2312" w:cs="仿宋"/>
          <w:color w:val="000000" w:themeColor="text1"/>
          <w:sz w:val="32"/>
          <w:szCs w:val="32"/>
          <w14:textFill>
            <w14:solidFill>
              <w14:schemeClr w14:val="tx1"/>
            </w14:solidFill>
          </w14:textFill>
        </w:rPr>
        <w:t>二是强化账户管理。</w:t>
      </w:r>
      <w:r>
        <w:rPr>
          <w:rFonts w:hint="eastAsia" w:ascii="仿宋_GB2312" w:hAnsi="仿宋_GB2312" w:eastAsia="仿宋_GB2312" w:cs="仿宋_GB2312"/>
          <w:spacing w:val="11"/>
          <w:sz w:val="32"/>
          <w:szCs w:val="32"/>
        </w:rPr>
        <w:t>印发了《关于规范预算单位银行账户管理的通知》（安财字[2024]50号），对全县乡镇银行账户进行了清理，共计撤销违规乡镇账户20个，规定各预算单位严格按照“收支两条线”管理，严格按照账户性质和规定用途核算相关资金业务，不得串用、混用银行账户，不得将无关业务纳入银行账户核算范围。三</w:t>
      </w:r>
      <w:r>
        <w:rPr>
          <w:rFonts w:hint="eastAsia" w:ascii="仿宋_GB2312" w:eastAsia="仿宋_GB2312" w:cs="仿宋"/>
          <w:color w:val="000000" w:themeColor="text1"/>
          <w:sz w:val="32"/>
          <w:szCs w:val="32"/>
          <w14:textFill>
            <w14:solidFill>
              <w14:schemeClr w14:val="tx1"/>
            </w14:solidFill>
          </w14:textFill>
        </w:rPr>
        <w:t>是加强财政财务有效监管。制定了《关于进一步</w:t>
      </w:r>
      <w:bookmarkStart w:id="6" w:name="_Hlk184980805"/>
      <w:r>
        <w:rPr>
          <w:rFonts w:hint="eastAsia" w:ascii="仿宋_GB2312" w:eastAsia="仿宋_GB2312" w:cs="仿宋"/>
          <w:color w:val="000000" w:themeColor="text1"/>
          <w:sz w:val="32"/>
          <w:szCs w:val="32"/>
          <w14:textFill>
            <w14:solidFill>
              <w14:schemeClr w14:val="tx1"/>
            </w14:solidFill>
          </w14:textFill>
        </w:rPr>
        <w:t>加强财政财务有效监管</w:t>
      </w:r>
      <w:bookmarkEnd w:id="6"/>
      <w:r>
        <w:rPr>
          <w:rFonts w:hint="eastAsia" w:ascii="仿宋_GB2312" w:eastAsia="仿宋_GB2312" w:cs="仿宋"/>
          <w:color w:val="000000" w:themeColor="text1"/>
          <w:sz w:val="32"/>
          <w:szCs w:val="32"/>
          <w14:textFill>
            <w14:solidFill>
              <w14:schemeClr w14:val="tx1"/>
            </w14:solidFill>
          </w14:textFill>
        </w:rPr>
        <w:t>的实施方案（试行）》</w:t>
      </w:r>
      <w:r>
        <w:rPr>
          <w:rFonts w:hint="eastAsia" w:ascii="仿宋_GB2312" w:hAnsi="仿宋_GB2312" w:eastAsia="仿宋_GB2312" w:cs="仿宋_GB2312"/>
          <w:spacing w:val="11"/>
          <w:sz w:val="32"/>
          <w:szCs w:val="32"/>
        </w:rPr>
        <w:t>（安府办发[2024]51号）</w:t>
      </w:r>
      <w:r>
        <w:rPr>
          <w:rFonts w:hint="eastAsia" w:ascii="仿宋_GB2312" w:eastAsia="仿宋_GB2312" w:cs="仿宋"/>
          <w:color w:val="000000" w:themeColor="text1"/>
          <w:sz w:val="32"/>
          <w:szCs w:val="32"/>
          <w14:textFill>
            <w14:solidFill>
              <w14:schemeClr w14:val="tx1"/>
            </w14:solidFill>
          </w14:textFill>
        </w:rPr>
        <w:t>，以依法依规、实用管用、有力有效等三大总体要求为导向，根据机关企事业单位、高新园区、乡镇处的财政财务实际，因地制宜推出五种监管模式，并配备五类保障措施，以切实规范行政事业单位财务行为，确保财政财务管理规范高效运行。四是强化</w:t>
      </w:r>
      <w:r>
        <w:rPr>
          <w:rFonts w:hint="eastAsia" w:ascii="仿宋_GB2312" w:hAnsi="仿宋_GB2312" w:eastAsia="仿宋_GB2312" w:cs="仿宋_GB2312"/>
          <w:spacing w:val="11"/>
          <w:sz w:val="32"/>
          <w:szCs w:val="32"/>
        </w:rPr>
        <w:t>乡镇资金监管。印发了《关于开展乡镇财政资金专项整治和财务大检查的方案》，重点对乡镇</w:t>
      </w:r>
      <w:r>
        <w:rPr>
          <w:rFonts w:hint="eastAsia" w:ascii="仿宋_GB2312" w:hAnsi="仿宋_GB2312" w:eastAsia="仿宋_GB2312" w:cs="仿宋_GB2312"/>
          <w:bCs/>
          <w:color w:val="000000"/>
          <w:spacing w:val="11"/>
          <w:kern w:val="0"/>
          <w:sz w:val="32"/>
          <w:szCs w:val="32"/>
          <w:shd w:val="clear" w:color="auto" w:fill="FFFFFF"/>
        </w:rPr>
        <w:t>宣传广告费用、招商引资、征地拆迁、办公费等领域进行专项整治，打通财政资金监管最后一公里</w:t>
      </w:r>
      <w:r>
        <w:rPr>
          <w:rFonts w:hint="eastAsia" w:ascii="仿宋_GB2312" w:eastAsia="仿宋_GB2312" w:cs="仿宋"/>
          <w:color w:val="000000" w:themeColor="text1"/>
          <w:sz w:val="32"/>
          <w:szCs w:val="32"/>
          <w14:textFill>
            <w14:solidFill>
              <w14:schemeClr w14:val="tx1"/>
            </w14:solidFill>
          </w14:textFill>
        </w:rPr>
        <w:t>。</w:t>
      </w:r>
      <w:bookmarkEnd w:id="5"/>
    </w:p>
    <w:p w14:paraId="7C0A1374">
      <w:pPr>
        <w:pStyle w:val="2"/>
        <w:keepNext w:val="0"/>
        <w:keepLines w:val="0"/>
        <w:pageBreakBefore w:val="0"/>
        <w:kinsoku/>
        <w:wordWrap/>
        <w:overflowPunct/>
        <w:topLinePunct w:val="0"/>
        <w:autoSpaceDE/>
        <w:autoSpaceDN w:val="0"/>
        <w:bidi w:val="0"/>
        <w:adjustRightInd/>
        <w:snapToGrid/>
        <w:spacing w:after="0" w:line="560" w:lineRule="exact"/>
        <w:ind w:left="0" w:leftChars="0" w:firstLine="648"/>
        <w:textAlignment w:val="auto"/>
        <w:rPr>
          <w:rFonts w:ascii="仿宋_GB2312" w:eastAsia="仿宋_GB2312" w:cs="仿宋"/>
          <w:color w:val="000000" w:themeColor="text1"/>
          <w:sz w:val="32"/>
          <w:szCs w:val="32"/>
          <w14:textFill>
            <w14:solidFill>
              <w14:schemeClr w14:val="tx1"/>
            </w14:solidFill>
          </w14:textFill>
        </w:rPr>
      </w:pPr>
      <w:r>
        <w:rPr>
          <w:rFonts w:hint="eastAsia" w:ascii="仿宋_GB2312" w:eastAsia="仿宋_GB2312" w:cs="仿宋"/>
          <w:color w:val="000000" w:themeColor="text1"/>
          <w:sz w:val="32"/>
          <w:szCs w:val="32"/>
          <w14:textFill>
            <w14:solidFill>
              <w14:schemeClr w14:val="tx1"/>
            </w14:solidFill>
          </w14:textFill>
        </w:rPr>
        <w:t>各位代表，我县2024年财政工作在县委的正确领导下，在全县广大干部共同努力下取得了一些成绩。但我们清醒地认识到当前财政工作中存在一些问题：一是财政收支矛盾日益凸显，经济下行压力进一步制约产业发展，财政增收缓慢，而各项建设及融资开支增长，“三保”及民生类专项配套等刚性支出需求增长较快，存在收支矛盾突出、资金保障困难等潜在风险；二是财政管理能力仍需加强，在数字化时代背景下，政府债务、财政资金绩效管理等工作中面临新挑战，对财政管理水平提出了新要求，管财理财水平仍需进一步提高。对此，我们将在县委的领导下积极研究对策，逐步加以解决。</w:t>
      </w:r>
    </w:p>
    <w:p w14:paraId="64AFCC04">
      <w:pPr>
        <w:keepNext w:val="0"/>
        <w:keepLines w:val="0"/>
        <w:pageBreakBefore w:val="0"/>
        <w:shd w:val="clear" w:color="auto" w:fill="FFFFFF"/>
        <w:kinsoku/>
        <w:wordWrap/>
        <w:overflowPunct/>
        <w:topLinePunct w:val="0"/>
        <w:autoSpaceDE/>
        <w:bidi w:val="0"/>
        <w:adjustRightInd/>
        <w:snapToGrid/>
        <w:spacing w:line="560" w:lineRule="exact"/>
        <w:ind w:firstLine="640" w:firstLineChars="200"/>
        <w:textAlignment w:val="auto"/>
        <w:rPr>
          <w:rFonts w:hint="eastAsia" w:ascii="黑体" w:hAnsi="黑体" w:eastAsia="黑体" w:cs="黑体"/>
          <w:kern w:val="0"/>
          <w:sz w:val="32"/>
          <w:szCs w:val="32"/>
        </w:rPr>
      </w:pPr>
      <w:r>
        <w:rPr>
          <w:rFonts w:hint="eastAsia" w:ascii="黑体" w:hAnsi="黑体" w:eastAsia="黑体" w:cs="黑体"/>
          <w:kern w:val="0"/>
          <w:sz w:val="32"/>
          <w:szCs w:val="32"/>
        </w:rPr>
        <w:t>三、2025年财政预算草案</w:t>
      </w:r>
    </w:p>
    <w:p w14:paraId="53236C38">
      <w:pPr>
        <w:keepNext w:val="0"/>
        <w:keepLines w:val="0"/>
        <w:pageBreakBefore w:val="0"/>
        <w:kinsoku/>
        <w:wordWrap/>
        <w:overflowPunct/>
        <w:topLinePunct w:val="0"/>
        <w:autoSpaceDE/>
        <w:autoSpaceDN w:val="0"/>
        <w:bidi w:val="0"/>
        <w:adjustRightInd/>
        <w:snapToGrid/>
        <w:spacing w:line="560" w:lineRule="exact"/>
        <w:ind w:firstLine="649"/>
        <w:textAlignment w:val="auto"/>
        <w:rPr>
          <w:rFonts w:hint="eastAsia" w:ascii="楷体_GB2312" w:hAnsi="楷体_GB2312" w:eastAsia="楷体_GB2312" w:cs="楷体_GB2312"/>
          <w:b/>
          <w:bCs/>
          <w:color w:val="000000"/>
          <w:sz w:val="32"/>
          <w:szCs w:val="32"/>
        </w:rPr>
      </w:pPr>
      <w:bookmarkStart w:id="7" w:name="_Hlk184981754"/>
      <w:r>
        <w:rPr>
          <w:rFonts w:hint="eastAsia" w:ascii="楷体_GB2312" w:hAnsi="楷体_GB2312" w:eastAsia="楷体_GB2312" w:cs="楷体_GB2312"/>
          <w:b/>
          <w:bCs/>
          <w:color w:val="000000"/>
          <w:sz w:val="32"/>
          <w:szCs w:val="32"/>
        </w:rPr>
        <w:t>（一）2025年一般公共预算收支安排情况</w:t>
      </w:r>
    </w:p>
    <w:p w14:paraId="10FB8341">
      <w:pPr>
        <w:keepNext w:val="0"/>
        <w:keepLines w:val="0"/>
        <w:pageBreakBefore w:val="0"/>
        <w:widowControl/>
        <w:kinsoku/>
        <w:wordWrap/>
        <w:overflowPunct/>
        <w:topLinePunct w:val="0"/>
        <w:autoSpaceDE/>
        <w:bidi w:val="0"/>
        <w:adjustRightInd/>
        <w:snapToGrid/>
        <w:spacing w:line="560" w:lineRule="exact"/>
        <w:ind w:firstLine="640" w:firstLineChars="200"/>
        <w:textAlignment w:val="auto"/>
        <w:rPr>
          <w:rFonts w:hint="eastAsia" w:ascii="宋体" w:hAnsi="宋体" w:eastAsia="宋体" w:cs="宋体"/>
          <w:kern w:val="0"/>
          <w:sz w:val="24"/>
          <w:szCs w:val="24"/>
        </w:rPr>
      </w:pPr>
      <w:r>
        <w:rPr>
          <w:rFonts w:hint="eastAsia" w:ascii="仿宋_GB2312" w:hAnsi="Times New Roman" w:eastAsia="仿宋_GB2312" w:cs="Times New Roman"/>
          <w:color w:val="000000"/>
          <w:sz w:val="32"/>
          <w:szCs w:val="32"/>
        </w:rPr>
        <w:t>全县一般公共预算收入安排213276万元，较预算执行数增长3%。其中：税务组织收入115139万元、财政组织收入98137万元。</w:t>
      </w:r>
    </w:p>
    <w:p w14:paraId="1BE6FF1A">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主要收入项目的安排情况是：</w:t>
      </w:r>
    </w:p>
    <w:p w14:paraId="07D53B8D">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税收收入115139万元，较预算执行数增长3%，其中：增值税53080万元、企业所得税4923万元、个人所得税9003万元、城市维护建设税5396万元、房产税3405万元、印花税3611万元、城镇土地使用税14840万元、土地增值税1151万元、车船税7362万元、耕地占用税3988万元、契税8195万元、环境保护税185万元等。</w:t>
      </w:r>
    </w:p>
    <w:p w14:paraId="1A5A3F0E">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非税收入98137万元，较预算执行数增长3%，其中：专项收入3935万元，行政事业性收费收入34649万元，罚没收入15568万元，国有资源（资产）有偿使用收入42930万元,政府住房基金收入1055万元等。</w:t>
      </w:r>
    </w:p>
    <w:p w14:paraId="1331C3B8">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按照现行财政体制初步测算，2025年全县一般公共预算收入为213276万元，加上中央税收返还25119万元、一般性转移支付（提前告知部分及每年列固定补助的）收入61967万元、专项补助（提前告知部分）收入2262万元等、调入资金20620万元（从政府性基金调入20000万元，从国有资本经营预算调入620万元）、上年结余8235万元，地方政府一般债务转贷收入11794万元，动用预算稳定调节基金25762万元，收入总计为369035万元。收入总计减专项上解上级支出15000万元、地方政府一般债务还本11794支出万元，2025年全县地方财政一般预算支出安排342241万元。主要支出项目安排情况如下：</w:t>
      </w:r>
    </w:p>
    <w:p w14:paraId="772E3631">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一般公共服务支出36900万元，国防支出566万元，公共安全支出10847万元，教育支出47795万元，科学技术支出718万元，文化旅游体育与传媒支出1118万元，社会保障和就业支出30480万元，卫生健康支出22644万元，节能环保支出14695万元，城乡社区支出64381万元，农林水支出75415万元，交通运输支出4471万元，资源勘探工业信息等支出4272万元，商业服务业等支出973万元，自然资源海洋气象等支出1856万元，住房保障支出8359万元，粮油物资储备支出1513万元，灾害防治及应急管理支出1894万元，预备费7200万元，债务付息支出5327万元，债务发行费用支出18万元，其他支出799万元。</w:t>
      </w:r>
    </w:p>
    <w:p w14:paraId="42E1F986">
      <w:pPr>
        <w:keepNext w:val="0"/>
        <w:keepLines w:val="0"/>
        <w:pageBreakBefore w:val="0"/>
        <w:kinsoku/>
        <w:wordWrap/>
        <w:overflowPunct/>
        <w:topLinePunct w:val="0"/>
        <w:autoSpaceDE/>
        <w:autoSpaceDN w:val="0"/>
        <w:bidi w:val="0"/>
        <w:adjustRightInd/>
        <w:snapToGrid/>
        <w:spacing w:line="560" w:lineRule="exact"/>
        <w:ind w:firstLine="649"/>
        <w:textAlignment w:val="auto"/>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（二）2025年县本级政府性基金预算收支安排情况</w:t>
      </w:r>
    </w:p>
    <w:p w14:paraId="23F5692B">
      <w:pPr>
        <w:keepNext w:val="0"/>
        <w:keepLines w:val="0"/>
        <w:pageBreakBefore w:val="0"/>
        <w:kinsoku/>
        <w:wordWrap/>
        <w:overflowPunct/>
        <w:topLinePunct w:val="0"/>
        <w:autoSpaceDE/>
        <w:autoSpaceDN w:val="0"/>
        <w:bidi w:val="0"/>
        <w:adjustRightInd/>
        <w:snapToGrid/>
        <w:spacing w:line="560" w:lineRule="exact"/>
        <w:ind w:firstLine="649"/>
        <w:textAlignment w:val="auto"/>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2025年基金预算收入安排76818万元，其中：国有土地收益基金收入3475万元、农业土地开发资金收入3475万元、国有土地使用权出让收入69500万元、彩票公益金收入368万元。根据本级基金收入76818万元，上级补助收入1986万元，上年结余收入129705万元，地方政府专项债务转贷收入37423万元，收入总计为245932万元。根据收入情况2024年基金预算支出总计安排245932万元，具体安排是：城乡社区事务支出144357万元、其他支出15568万元、债务付息支出16749万元、债务发行费用支出176万元，上解支出7500万元、调出资金20000万元、地方政府专项债务还本支出41582万元。</w:t>
      </w:r>
    </w:p>
    <w:p w14:paraId="7A8FA142">
      <w:pPr>
        <w:keepNext w:val="0"/>
        <w:keepLines w:val="0"/>
        <w:pageBreakBefore w:val="0"/>
        <w:kinsoku/>
        <w:wordWrap/>
        <w:overflowPunct/>
        <w:topLinePunct w:val="0"/>
        <w:autoSpaceDE/>
        <w:autoSpaceDN w:val="0"/>
        <w:bidi w:val="0"/>
        <w:adjustRightInd/>
        <w:snapToGrid/>
        <w:spacing w:line="560" w:lineRule="exact"/>
        <w:ind w:firstLine="649"/>
        <w:textAlignment w:val="auto"/>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（三）2025年国有资本经营预算收支安排情况</w:t>
      </w:r>
    </w:p>
    <w:p w14:paraId="732A5F14">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仿宋"/>
          <w:color w:val="000000"/>
          <w:spacing w:val="-6"/>
          <w:sz w:val="32"/>
          <w:szCs w:val="32"/>
        </w:rPr>
      </w:pPr>
      <w:r>
        <w:rPr>
          <w:rFonts w:hint="eastAsia" w:ascii="仿宋_GB2312" w:hAnsi="Times New Roman" w:eastAsia="仿宋_GB2312" w:cs="仿宋"/>
          <w:color w:val="000000" w:themeColor="text1"/>
          <w:sz w:val="32"/>
          <w:szCs w:val="32"/>
          <w14:textFill>
            <w14:solidFill>
              <w14:schemeClr w14:val="tx1"/>
            </w14:solidFill>
          </w14:textFill>
        </w:rPr>
        <w:t>国有资本经营预算2025年是县国资营运公司、县城投集团和赣昌水投公司的经营收入纳入预算，全面反映全县国有资本经营的全貌，2025年国有资本经营预算收入638万元，上级转移支付收入8万</w:t>
      </w:r>
      <w:r>
        <w:rPr>
          <w:rFonts w:hint="eastAsia" w:ascii="仿宋_GB2312" w:hAnsi="Times New Roman" w:eastAsia="仿宋_GB2312" w:cs="仿宋"/>
          <w:color w:val="000000"/>
          <w:sz w:val="32"/>
          <w:szCs w:val="32"/>
        </w:rPr>
        <w:t>元，收入合计为646万元；根据收入情况国有资本经营预</w:t>
      </w:r>
      <w:r>
        <w:rPr>
          <w:rFonts w:hint="eastAsia" w:ascii="仿宋_GB2312" w:hAnsi="Times New Roman" w:eastAsia="仿宋_GB2312" w:cs="仿宋"/>
          <w:color w:val="000000"/>
          <w:spacing w:val="-6"/>
          <w:sz w:val="32"/>
          <w:szCs w:val="32"/>
        </w:rPr>
        <w:t>算安排支出8万元，国有资本经营预算调出资金638万元，收支平衡。</w:t>
      </w:r>
    </w:p>
    <w:p w14:paraId="3B8E7714">
      <w:pPr>
        <w:keepNext w:val="0"/>
        <w:keepLines w:val="0"/>
        <w:pageBreakBefore w:val="0"/>
        <w:kinsoku/>
        <w:wordWrap/>
        <w:overflowPunct/>
        <w:topLinePunct w:val="0"/>
        <w:autoSpaceDE/>
        <w:autoSpaceDN w:val="0"/>
        <w:bidi w:val="0"/>
        <w:adjustRightInd/>
        <w:snapToGrid/>
        <w:spacing w:line="560" w:lineRule="exact"/>
        <w:ind w:firstLine="649"/>
        <w:textAlignment w:val="auto"/>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（四）2025年县本级社会保险基金预算收支安排情况</w:t>
      </w:r>
    </w:p>
    <w:p w14:paraId="637B1AFF">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Times New Roman"/>
          <w:color w:val="000000"/>
          <w:sz w:val="32"/>
          <w:szCs w:val="32"/>
        </w:rPr>
      </w:pPr>
      <w:r>
        <w:rPr>
          <w:rFonts w:hint="eastAsia" w:ascii="仿宋_GB2312" w:hAnsi="Times New Roman" w:eastAsia="仿宋_GB2312" w:cs="仿宋"/>
          <w:color w:val="000000"/>
          <w:sz w:val="32"/>
          <w:szCs w:val="32"/>
        </w:rPr>
        <w:t>2025年县本级社会保险基金预算收入安排141842万元，其中：</w:t>
      </w:r>
      <w:r>
        <w:rPr>
          <w:rFonts w:hint="eastAsia" w:ascii="仿宋_GB2312" w:hAnsi="Times New Roman" w:eastAsia="仿宋_GB2312" w:cs="Times New Roman"/>
          <w:color w:val="000000"/>
          <w:sz w:val="32"/>
          <w:szCs w:val="32"/>
        </w:rPr>
        <w:t>保险费收入64201万元，利息收入577万元，委托投资收益454万元，财政补贴收入28751万元，其他收入181万元，转移收入1690万元。县本级社会保险基金预算支出安排130094万元，其中：社会保险待遇支出103546万元，转移支出604万元；当年收支结余11122万元；年末滚存结余127554万元。</w:t>
      </w:r>
    </w:p>
    <w:p w14:paraId="04C79596">
      <w:pPr>
        <w:keepNext w:val="0"/>
        <w:keepLines w:val="0"/>
        <w:pageBreakBefore w:val="0"/>
        <w:kinsoku/>
        <w:wordWrap/>
        <w:overflowPunct/>
        <w:topLinePunct w:val="0"/>
        <w:autoSpaceDE/>
        <w:autoSpaceDN w:val="0"/>
        <w:bidi w:val="0"/>
        <w:adjustRightInd/>
        <w:snapToGrid/>
        <w:spacing w:line="560" w:lineRule="exact"/>
        <w:ind w:firstLine="649"/>
        <w:textAlignment w:val="auto"/>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（五）2025年部门预算草案</w:t>
      </w:r>
    </w:p>
    <w:p w14:paraId="2C1310EB">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全县2025年共有编制部门预算的部门68个，预算单位118个。部门预算总收入403204.38万元。其中：财政拨款收入为261011.02万元，事业收入为28716.52万元，其他收入为24407.51万元，上年结转89069.33万元。2025年部门预算总支出为403204.38万元，其中：基本支出为165727.25万元，项目支出为237477.13万元。</w:t>
      </w:r>
    </w:p>
    <w:p w14:paraId="74F78AC7">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根据县人大财经委要求今年部门预算重点审核安义县科技工信局，对其2025年部门预算草案和工业发展项目专项资金预算安排情况进行了重点审查。具体情况如下：</w:t>
      </w:r>
    </w:p>
    <w:p w14:paraId="11ED6DEA">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Times New Roman"/>
          <w:b/>
          <w:bCs/>
          <w:color w:val="000000"/>
          <w:sz w:val="32"/>
          <w:szCs w:val="32"/>
        </w:rPr>
      </w:pPr>
      <w:r>
        <w:rPr>
          <w:rFonts w:hint="eastAsia" w:ascii="仿宋_GB2312" w:hAnsi="Times New Roman" w:eastAsia="仿宋_GB2312" w:cs="Times New Roman"/>
          <w:b/>
          <w:bCs/>
          <w:color w:val="000000"/>
          <w:sz w:val="32"/>
          <w:szCs w:val="32"/>
        </w:rPr>
        <w:t>1.收入预算情况</w:t>
      </w:r>
    </w:p>
    <w:p w14:paraId="5C9E7589">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2025年收入预算总额为685.57万元，其中：经费拨款为615.57万元，占预算总额的89.79%；其他收入70万元,占预算总额的10.21%；上年结转（结余）296.03万元。</w:t>
      </w:r>
    </w:p>
    <w:p w14:paraId="460FE634">
      <w:pPr>
        <w:keepNext w:val="0"/>
        <w:keepLines w:val="0"/>
        <w:pageBreakBefore w:val="0"/>
        <w:kinsoku/>
        <w:wordWrap/>
        <w:overflowPunct/>
        <w:topLinePunct w:val="0"/>
        <w:autoSpaceDE/>
        <w:autoSpaceDN w:val="0"/>
        <w:bidi w:val="0"/>
        <w:adjustRightInd/>
        <w:snapToGrid/>
        <w:spacing w:line="560" w:lineRule="exact"/>
        <w:ind w:firstLine="648"/>
        <w:textAlignment w:val="auto"/>
        <w:rPr>
          <w:rFonts w:hint="eastAsia" w:ascii="仿宋_GB2312" w:hAnsi="Times New Roman" w:eastAsia="仿宋_GB2312" w:cs="Times New Roman"/>
          <w:b/>
          <w:bCs/>
          <w:color w:val="000000"/>
          <w:sz w:val="32"/>
          <w:szCs w:val="32"/>
        </w:rPr>
      </w:pPr>
      <w:r>
        <w:rPr>
          <w:rFonts w:hint="eastAsia" w:ascii="仿宋_GB2312" w:hAnsi="Times New Roman" w:eastAsia="仿宋_GB2312" w:cs="Times New Roman"/>
          <w:b/>
          <w:bCs/>
          <w:color w:val="000000"/>
          <w:sz w:val="32"/>
          <w:szCs w:val="32"/>
        </w:rPr>
        <w:t>2.支出预算情况</w:t>
      </w:r>
    </w:p>
    <w:p w14:paraId="1B726C2A">
      <w:pPr>
        <w:keepNext w:val="0"/>
        <w:keepLines w:val="0"/>
        <w:pageBreakBefore w:val="0"/>
        <w:kinsoku/>
        <w:wordWrap/>
        <w:overflowPunct/>
        <w:topLinePunct w:val="0"/>
        <w:autoSpaceDE/>
        <w:autoSpaceDN w:val="0"/>
        <w:bidi w:val="0"/>
        <w:adjustRightInd/>
        <w:snapToGrid/>
        <w:spacing w:line="560" w:lineRule="exact"/>
        <w:ind w:firstLine="648"/>
        <w:textAlignment w:val="auto"/>
        <w:rPr>
          <w:rFonts w:ascii="仿宋_GB2312" w:hAnsi="Times New Roman" w:eastAsia="仿宋_GB2312" w:cs="Times New Roman"/>
          <w:color w:val="FF0000"/>
          <w:sz w:val="32"/>
          <w:szCs w:val="32"/>
        </w:rPr>
      </w:pPr>
      <w:r>
        <w:rPr>
          <w:rFonts w:hint="eastAsia" w:ascii="仿宋_GB2312" w:hAnsi="Times New Roman" w:eastAsia="仿宋_GB2312" w:cs="Times New Roman"/>
          <w:color w:val="000000"/>
          <w:sz w:val="32"/>
          <w:szCs w:val="32"/>
        </w:rPr>
        <w:t>2025年支出预算总额为685.57万元。其中：基本支出685.57万元，占支出预算总额的100%。包括：工资福利支出474.74万元，占基本支出预算的69.24%；商品和服务支出92.14万元，占基本支出预算的13.43%；对个人和家庭的补助112.69万元，占基本支出预算的16.43%，资本性支出6万元，占基本支出预算的0.9%，</w:t>
      </w:r>
      <w:r>
        <w:rPr>
          <w:rFonts w:hint="eastAsia" w:ascii="仿宋_GB2312" w:hAnsi="Times New Roman" w:eastAsia="仿宋_GB2312" w:cs="Times New Roman"/>
          <w:color w:val="000000" w:themeColor="text1"/>
          <w:sz w:val="32"/>
          <w:szCs w:val="32"/>
          <w14:textFill>
            <w14:solidFill>
              <w14:schemeClr w14:val="tx1"/>
            </w14:solidFill>
          </w14:textFill>
        </w:rPr>
        <w:t>为资本性支出。</w:t>
      </w:r>
    </w:p>
    <w:bookmarkEnd w:id="7"/>
    <w:p w14:paraId="34357268">
      <w:pPr>
        <w:keepNext w:val="0"/>
        <w:keepLines w:val="0"/>
        <w:pageBreakBefore w:val="0"/>
        <w:shd w:val="clear" w:color="auto" w:fill="FFFFFF"/>
        <w:kinsoku/>
        <w:wordWrap/>
        <w:overflowPunct/>
        <w:topLinePunct w:val="0"/>
        <w:autoSpaceDE/>
        <w:bidi w:val="0"/>
        <w:adjustRightInd/>
        <w:snapToGrid/>
        <w:spacing w:line="560" w:lineRule="exact"/>
        <w:ind w:firstLine="640" w:firstLineChars="200"/>
        <w:textAlignment w:val="auto"/>
        <w:rPr>
          <w:rFonts w:hint="eastAsia" w:ascii="黑体" w:hAnsi="黑体" w:eastAsia="黑体" w:cs="黑体"/>
          <w:kern w:val="0"/>
          <w:sz w:val="32"/>
          <w:szCs w:val="32"/>
        </w:rPr>
      </w:pPr>
      <w:r>
        <w:rPr>
          <w:rFonts w:hint="eastAsia" w:ascii="黑体" w:hAnsi="黑体" w:eastAsia="黑体" w:cs="黑体"/>
          <w:kern w:val="0"/>
          <w:sz w:val="32"/>
          <w:szCs w:val="32"/>
        </w:rPr>
        <w:t>四、2025年财政工作打算</w:t>
      </w:r>
    </w:p>
    <w:p w14:paraId="0172D235">
      <w:pPr>
        <w:keepNext w:val="0"/>
        <w:keepLines w:val="0"/>
        <w:pageBreakBefore w:val="0"/>
        <w:kinsoku/>
        <w:wordWrap/>
        <w:overflowPunct/>
        <w:topLinePunct w:val="0"/>
        <w:autoSpaceDE/>
        <w:autoSpaceDN w:val="0"/>
        <w:bidi w:val="0"/>
        <w:adjustRightInd/>
        <w:snapToGrid/>
        <w:spacing w:line="560" w:lineRule="exact"/>
        <w:ind w:firstLine="649"/>
        <w:textAlignment w:val="auto"/>
        <w:rPr>
          <w:rFonts w:hint="eastAsia" w:ascii="楷体_GB2312" w:hAnsi="楷体_GB2312" w:eastAsia="楷体_GB2312" w:cs="楷体_GB2312"/>
          <w:b/>
          <w:bCs/>
          <w:color w:val="000000"/>
          <w:sz w:val="32"/>
          <w:szCs w:val="32"/>
        </w:rPr>
      </w:pPr>
      <w:bookmarkStart w:id="8" w:name="_Hlk185239395"/>
      <w:r>
        <w:rPr>
          <w:rFonts w:hint="eastAsia" w:ascii="楷体_GB2312" w:hAnsi="楷体_GB2312" w:eastAsia="楷体_GB2312" w:cs="楷体_GB2312"/>
          <w:b/>
          <w:bCs/>
          <w:color w:val="000000"/>
          <w:sz w:val="32"/>
          <w:szCs w:val="32"/>
        </w:rPr>
        <w:t>（一）全力抓好财政收入</w:t>
      </w:r>
      <w:bookmarkEnd w:id="8"/>
      <w:bookmarkStart w:id="9" w:name="OLE_LINK3"/>
      <w:r>
        <w:rPr>
          <w:rFonts w:hint="eastAsia" w:ascii="楷体_GB2312" w:hAnsi="楷体_GB2312" w:eastAsia="楷体_GB2312" w:cs="楷体_GB2312"/>
          <w:b/>
          <w:bCs/>
          <w:color w:val="000000"/>
          <w:sz w:val="32"/>
          <w:szCs w:val="32"/>
        </w:rPr>
        <w:t>,提升财政保障能力</w:t>
      </w:r>
      <w:bookmarkEnd w:id="9"/>
    </w:p>
    <w:p w14:paraId="2CF6E73D">
      <w:pPr>
        <w:keepNext w:val="0"/>
        <w:keepLines w:val="0"/>
        <w:pageBreakBefore w:val="0"/>
        <w:kinsoku/>
        <w:wordWrap/>
        <w:overflowPunct/>
        <w:topLinePunct w:val="0"/>
        <w:autoSpaceDE/>
        <w:autoSpaceDN w:val="0"/>
        <w:bidi w:val="0"/>
        <w:adjustRightInd/>
        <w:snapToGrid/>
        <w:spacing w:line="560" w:lineRule="exact"/>
        <w:ind w:firstLine="649"/>
        <w:textAlignment w:val="auto"/>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一是科学统筹做好收入调度,建立目标任务完成倒逼机制,强化收入征管工作,抓好增量拓展工作,及时解决组织收入中的各种问题,确保完成收入目标任务。二是围绕全年财政收入目标，完善财税工作协调机制，加强税源监管和分析，堵塞税收征管漏洞，做到应收尽收。三是持续做好“放水养鱼”和涵养税源工作，优化营商环境，落实财政扶持政策，突出抓好高质量招商引资，用好产业扶持政策，激发市场活力，培育壮大优质财源，持续增强财政保障能力。</w:t>
      </w:r>
    </w:p>
    <w:p w14:paraId="1711DA8B">
      <w:pPr>
        <w:keepNext w:val="0"/>
        <w:keepLines w:val="0"/>
        <w:pageBreakBefore w:val="0"/>
        <w:kinsoku/>
        <w:wordWrap/>
        <w:overflowPunct/>
        <w:topLinePunct w:val="0"/>
        <w:autoSpaceDE/>
        <w:autoSpaceDN w:val="0"/>
        <w:bidi w:val="0"/>
        <w:adjustRightInd/>
        <w:snapToGrid/>
        <w:spacing w:line="560" w:lineRule="exact"/>
        <w:ind w:firstLine="649"/>
        <w:textAlignment w:val="auto"/>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（二）</w:t>
      </w:r>
      <w:bookmarkStart w:id="10" w:name="_Hlk185239406"/>
      <w:bookmarkStart w:id="11" w:name="_Hlk185239950"/>
      <w:r>
        <w:rPr>
          <w:rFonts w:hint="eastAsia" w:ascii="楷体_GB2312" w:hAnsi="楷体_GB2312" w:eastAsia="楷体_GB2312" w:cs="楷体_GB2312"/>
          <w:b/>
          <w:bCs/>
          <w:color w:val="000000"/>
          <w:sz w:val="32"/>
          <w:szCs w:val="32"/>
        </w:rPr>
        <w:t>科学统筹财政收支</w:t>
      </w:r>
      <w:bookmarkEnd w:id="10"/>
      <w:r>
        <w:rPr>
          <w:rFonts w:hint="eastAsia" w:ascii="楷体_GB2312" w:hAnsi="楷体_GB2312" w:eastAsia="楷体_GB2312" w:cs="楷体_GB2312"/>
          <w:b/>
          <w:bCs/>
          <w:color w:val="000000"/>
          <w:sz w:val="32"/>
          <w:szCs w:val="32"/>
        </w:rPr>
        <w:t>,</w:t>
      </w:r>
      <w:bookmarkStart w:id="12" w:name="_Hlk185239592"/>
      <w:r>
        <w:rPr>
          <w:rFonts w:hint="eastAsia" w:ascii="楷体_GB2312" w:hAnsi="楷体_GB2312" w:eastAsia="楷体_GB2312" w:cs="楷体_GB2312"/>
          <w:b/>
          <w:bCs/>
          <w:color w:val="000000"/>
          <w:sz w:val="32"/>
          <w:szCs w:val="32"/>
        </w:rPr>
        <w:t>兜牢基层“三保”底线</w:t>
      </w:r>
    </w:p>
    <w:bookmarkEnd w:id="11"/>
    <w:bookmarkEnd w:id="12"/>
    <w:p w14:paraId="22F9BB23">
      <w:pPr>
        <w:keepNext w:val="0"/>
        <w:keepLines w:val="0"/>
        <w:pageBreakBefore w:val="0"/>
        <w:kinsoku/>
        <w:wordWrap/>
        <w:overflowPunct/>
        <w:topLinePunct w:val="0"/>
        <w:autoSpaceDE/>
        <w:autoSpaceDN w:val="0"/>
        <w:bidi w:val="0"/>
        <w:adjustRightInd/>
        <w:snapToGrid/>
        <w:spacing w:line="560" w:lineRule="exact"/>
        <w:ind w:firstLine="649"/>
        <w:textAlignment w:val="auto"/>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一是优化财政支出结构，严格落实“三保”在财政支出的优先地位，强化财力统筹和库款调度，强化财政民生投入机制，加强基础性、普惠性、兜底性民生建设,兜住、兜准、兜牢 “三保”底线。二是</w:t>
      </w:r>
      <w:r>
        <w:rPr>
          <w:rFonts w:ascii="仿宋_GB2312" w:hAnsi="Times New Roman" w:eastAsia="仿宋_GB2312" w:cs="Times New Roman"/>
          <w:color w:val="000000" w:themeColor="text1"/>
          <w:sz w:val="32"/>
          <w:szCs w:val="32"/>
          <w14:textFill>
            <w14:solidFill>
              <w14:schemeClr w14:val="tx1"/>
            </w14:solidFill>
          </w14:textFill>
        </w:rPr>
        <w:t>落实落细</w:t>
      </w:r>
      <w:r>
        <w:rPr>
          <w:rFonts w:hint="eastAsia" w:ascii="仿宋_GB2312" w:hAnsi="Times New Roman" w:eastAsia="仿宋_GB2312" w:cs="Times New Roman"/>
          <w:color w:val="000000" w:themeColor="text1"/>
          <w:sz w:val="32"/>
          <w:szCs w:val="32"/>
          <w14:textFill>
            <w14:solidFill>
              <w14:schemeClr w14:val="tx1"/>
            </w14:solidFill>
          </w14:textFill>
        </w:rPr>
        <w:t>党政机关习惯“过紧日子”要求，坚持厉行节约过紧日子,健全过紧日子制度，严格“过紧日子”的执行环节，强化“过紧日子”的监督环节，切实落实部门预算执行主体责任，从严控制一般性支出，强化“三公”经费管理，</w:t>
      </w:r>
      <w:r>
        <w:rPr>
          <w:rFonts w:ascii="仿宋_GB2312" w:hAnsi="Times New Roman" w:eastAsia="仿宋_GB2312" w:cs="Times New Roman"/>
          <w:color w:val="000000" w:themeColor="text1"/>
          <w:sz w:val="32"/>
          <w:szCs w:val="32"/>
          <w14:textFill>
            <w14:solidFill>
              <w14:schemeClr w14:val="tx1"/>
            </w14:solidFill>
          </w14:textFill>
        </w:rPr>
        <w:t>将绩效理念和方法深度融入预算编制、执行、监督全过程,推动预算绩效管理提质增效</w:t>
      </w:r>
      <w:r>
        <w:rPr>
          <w:rFonts w:hint="eastAsia" w:ascii="仿宋_GB2312" w:hAnsi="Times New Roman" w:eastAsia="仿宋_GB2312" w:cs="Times New Roman"/>
          <w:color w:val="000000" w:themeColor="text1"/>
          <w:sz w:val="32"/>
          <w:szCs w:val="32"/>
          <w14:textFill>
            <w14:solidFill>
              <w14:schemeClr w14:val="tx1"/>
            </w14:solidFill>
          </w14:textFill>
        </w:rPr>
        <w:t>。三是强化预算执行刚性约束，加强结余资金动态清理，盘活存量资金和闲置资产，集中财力保“三保”、保重点领域刚性支出。</w:t>
      </w:r>
    </w:p>
    <w:p w14:paraId="618CE51F">
      <w:pPr>
        <w:keepNext w:val="0"/>
        <w:keepLines w:val="0"/>
        <w:pageBreakBefore w:val="0"/>
        <w:kinsoku/>
        <w:wordWrap/>
        <w:overflowPunct/>
        <w:topLinePunct w:val="0"/>
        <w:autoSpaceDE/>
        <w:autoSpaceDN w:val="0"/>
        <w:bidi w:val="0"/>
        <w:adjustRightInd/>
        <w:snapToGrid/>
        <w:spacing w:line="560" w:lineRule="exact"/>
        <w:ind w:firstLine="649"/>
        <w:textAlignment w:val="auto"/>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（三）</w:t>
      </w:r>
      <w:bookmarkStart w:id="13" w:name="_Hlk185239416"/>
      <w:bookmarkStart w:id="14" w:name="_Hlk185239962"/>
      <w:r>
        <w:rPr>
          <w:rFonts w:hint="eastAsia" w:ascii="楷体_GB2312" w:hAnsi="楷体_GB2312" w:eastAsia="楷体_GB2312" w:cs="楷体_GB2312"/>
          <w:b/>
          <w:bCs/>
          <w:color w:val="000000"/>
          <w:sz w:val="32"/>
          <w:szCs w:val="32"/>
        </w:rPr>
        <w:t>深化财政重点改革</w:t>
      </w:r>
      <w:bookmarkEnd w:id="13"/>
      <w:bookmarkStart w:id="15" w:name="_Hlk185239610"/>
      <w:r>
        <w:rPr>
          <w:rFonts w:hint="eastAsia" w:ascii="楷体_GB2312" w:hAnsi="楷体_GB2312" w:eastAsia="楷体_GB2312" w:cs="楷体_GB2312"/>
          <w:b/>
          <w:bCs/>
          <w:color w:val="000000"/>
          <w:sz w:val="32"/>
          <w:szCs w:val="32"/>
        </w:rPr>
        <w:t>，提升财政治理能力</w:t>
      </w:r>
      <w:bookmarkEnd w:id="14"/>
    </w:p>
    <w:bookmarkEnd w:id="15"/>
    <w:p w14:paraId="75FC0AC5">
      <w:pPr>
        <w:keepNext w:val="0"/>
        <w:keepLines w:val="0"/>
        <w:pageBreakBefore w:val="0"/>
        <w:kinsoku/>
        <w:wordWrap/>
        <w:overflowPunct/>
        <w:topLinePunct w:val="0"/>
        <w:autoSpaceDE/>
        <w:autoSpaceDN w:val="0"/>
        <w:bidi w:val="0"/>
        <w:adjustRightInd/>
        <w:snapToGrid/>
        <w:spacing w:line="560" w:lineRule="exact"/>
        <w:ind w:firstLine="649"/>
        <w:textAlignment w:val="auto"/>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一是</w:t>
      </w:r>
      <w:r>
        <w:rPr>
          <w:rFonts w:ascii="仿宋_GB2312" w:hAnsi="Times New Roman" w:eastAsia="仿宋_GB2312" w:cs="Times New Roman"/>
          <w:color w:val="000000" w:themeColor="text1"/>
          <w:sz w:val="32"/>
          <w:szCs w:val="32"/>
          <w14:textFill>
            <w14:solidFill>
              <w14:schemeClr w14:val="tx1"/>
            </w14:solidFill>
          </w14:textFill>
        </w:rPr>
        <w:t>落实落细深化预算管理制度改革各项任务</w:t>
      </w:r>
      <w:r>
        <w:rPr>
          <w:rFonts w:hint="eastAsia" w:ascii="仿宋_GB2312" w:hAnsi="Times New Roman" w:eastAsia="仿宋_GB2312" w:cs="Times New Roman"/>
          <w:color w:val="000000" w:themeColor="text1"/>
          <w:sz w:val="32"/>
          <w:szCs w:val="32"/>
          <w14:textFill>
            <w14:solidFill>
              <w14:schemeClr w14:val="tx1"/>
            </w14:solidFill>
          </w14:textFill>
        </w:rPr>
        <w:t>，持续推进零基预算改革，切实打破基数固化格局，优化财政资源配置，</w:t>
      </w:r>
      <w:r>
        <w:rPr>
          <w:rFonts w:ascii="仿宋_GB2312" w:hAnsi="Times New Roman" w:eastAsia="仿宋_GB2312" w:cs="Times New Roman"/>
          <w:color w:val="000000" w:themeColor="text1"/>
          <w:sz w:val="32"/>
          <w:szCs w:val="32"/>
          <w14:textFill>
            <w14:solidFill>
              <w14:schemeClr w14:val="tx1"/>
            </w14:solidFill>
          </w14:textFill>
        </w:rPr>
        <w:t>以预算管理现代化服务</w:t>
      </w:r>
      <w:r>
        <w:rPr>
          <w:rFonts w:hint="eastAsia" w:ascii="仿宋_GB2312" w:hAnsi="Times New Roman" w:eastAsia="仿宋_GB2312" w:cs="Times New Roman"/>
          <w:color w:val="000000" w:themeColor="text1"/>
          <w:sz w:val="32"/>
          <w:szCs w:val="32"/>
          <w14:textFill>
            <w14:solidFill>
              <w14:schemeClr w14:val="tx1"/>
            </w14:solidFill>
          </w14:textFill>
        </w:rPr>
        <w:t>县域</w:t>
      </w:r>
      <w:r>
        <w:rPr>
          <w:rFonts w:ascii="仿宋_GB2312" w:hAnsi="Times New Roman" w:eastAsia="仿宋_GB2312" w:cs="Times New Roman"/>
          <w:color w:val="000000" w:themeColor="text1"/>
          <w:sz w:val="32"/>
          <w:szCs w:val="32"/>
          <w14:textFill>
            <w14:solidFill>
              <w14:schemeClr w14:val="tx1"/>
            </w14:solidFill>
          </w14:textFill>
        </w:rPr>
        <w:t>治理体系和治理能力现代化</w:t>
      </w:r>
      <w:r>
        <w:rPr>
          <w:rFonts w:hint="eastAsia" w:ascii="仿宋_GB2312" w:hAnsi="Times New Roman" w:eastAsia="仿宋_GB2312" w:cs="Times New Roman"/>
          <w:color w:val="000000" w:themeColor="text1"/>
          <w:sz w:val="32"/>
          <w:szCs w:val="32"/>
          <w14:textFill>
            <w14:solidFill>
              <w14:schemeClr w14:val="tx1"/>
            </w14:solidFill>
          </w14:textFill>
        </w:rPr>
        <w:t>。二是加强专项资金预算管理,规范设立、申报、执行、撤销程序,实施全过程预算绩效评价，切实提高资金使用效益。三是强化预算绩效闭环管控。推动全面实施预算绩效管理与预算管理一体化深度融合,完善贯穿预算编制、执行、监督的预算绩效管理体系，强化绩效目标源头管理,做细做实部门评价和财政重点评价，硬化绩效评价结果应用,促进财政资金聚力增效。</w:t>
      </w:r>
    </w:p>
    <w:p w14:paraId="05B240A6">
      <w:pPr>
        <w:keepNext w:val="0"/>
        <w:keepLines w:val="0"/>
        <w:pageBreakBefore w:val="0"/>
        <w:kinsoku/>
        <w:wordWrap/>
        <w:overflowPunct/>
        <w:topLinePunct w:val="0"/>
        <w:autoSpaceDE/>
        <w:autoSpaceDN w:val="0"/>
        <w:bidi w:val="0"/>
        <w:adjustRightInd/>
        <w:snapToGrid/>
        <w:spacing w:line="560" w:lineRule="exact"/>
        <w:ind w:firstLine="649"/>
        <w:textAlignment w:val="auto"/>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（四）</w:t>
      </w:r>
      <w:bookmarkStart w:id="16" w:name="_Hlk185239427"/>
      <w:bookmarkStart w:id="17" w:name="_Hlk185239973"/>
      <w:r>
        <w:rPr>
          <w:rFonts w:hint="eastAsia" w:ascii="楷体_GB2312" w:hAnsi="楷体_GB2312" w:eastAsia="楷体_GB2312" w:cs="楷体_GB2312"/>
          <w:b/>
          <w:bCs/>
          <w:color w:val="000000"/>
          <w:sz w:val="32"/>
          <w:szCs w:val="32"/>
        </w:rPr>
        <w:t>强化管理防范风险</w:t>
      </w:r>
      <w:bookmarkEnd w:id="16"/>
      <w:bookmarkStart w:id="18" w:name="_Hlk185239625"/>
      <w:r>
        <w:rPr>
          <w:rFonts w:hint="eastAsia" w:ascii="楷体_GB2312" w:hAnsi="楷体_GB2312" w:eastAsia="楷体_GB2312" w:cs="楷体_GB2312"/>
          <w:b/>
          <w:bCs/>
          <w:color w:val="000000"/>
          <w:sz w:val="32"/>
          <w:szCs w:val="32"/>
        </w:rPr>
        <w:t>，筑牢财政运行防线</w:t>
      </w:r>
      <w:bookmarkEnd w:id="18"/>
    </w:p>
    <w:bookmarkEnd w:id="17"/>
    <w:p w14:paraId="2266CC4A">
      <w:pPr>
        <w:keepNext w:val="0"/>
        <w:keepLines w:val="0"/>
        <w:pageBreakBefore w:val="0"/>
        <w:kinsoku/>
        <w:wordWrap/>
        <w:overflowPunct/>
        <w:topLinePunct w:val="0"/>
        <w:autoSpaceDE/>
        <w:autoSpaceDN w:val="0"/>
        <w:bidi w:val="0"/>
        <w:adjustRightInd/>
        <w:snapToGrid/>
        <w:spacing w:line="560" w:lineRule="exact"/>
        <w:ind w:firstLine="649"/>
        <w:textAlignment w:val="auto"/>
        <w:rPr>
          <w:rFonts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一是严控化解财政风险。加强政府债务穿透监管，严格落实控债化债减债措施，坚决防止新增隐性债务,健全化债长效机制。二是严格政府债务管控，严格落实“借、用、还、管”相统一的政府债务管理机制，按时足额还本付息，确保政府债务风险安全可控。三是加强财政运行风险监测分析，强化部门信息共享和协同监管，及时排查化解潜在风险隐患，守牢财政安全底线。</w:t>
      </w:r>
    </w:p>
    <w:p w14:paraId="5CB7FE42">
      <w:pPr>
        <w:keepNext w:val="0"/>
        <w:keepLines w:val="0"/>
        <w:pageBreakBefore w:val="0"/>
        <w:kinsoku/>
        <w:wordWrap/>
        <w:overflowPunct/>
        <w:topLinePunct w:val="0"/>
        <w:autoSpaceDE/>
        <w:bidi w:val="0"/>
        <w:adjustRightInd/>
        <w:snapToGrid/>
        <w:spacing w:line="560" w:lineRule="exact"/>
        <w:ind w:firstLine="640" w:firstLineChars="200"/>
        <w:textAlignment w:val="auto"/>
        <w:rPr>
          <w:rFonts w:ascii="仿宋_GB2312" w:hAnsi="Times New Roman" w:eastAsia="仿宋_GB2312" w:cs="Times New Roman"/>
          <w:color w:val="000000" w:themeColor="text1"/>
          <w:kern w:val="0"/>
          <w:sz w:val="32"/>
          <w:szCs w:val="32"/>
          <w14:textFill>
            <w14:solidFill>
              <w14:schemeClr w14:val="tx1"/>
            </w14:solidFill>
          </w14:textFill>
        </w:rPr>
      </w:pPr>
      <w:r>
        <w:rPr>
          <w:rFonts w:hint="eastAsia" w:ascii="仿宋_GB2312" w:hAnsi="Times New Roman" w:eastAsia="仿宋_GB2312" w:cs="Times New Roman"/>
          <w:color w:val="000000" w:themeColor="text1"/>
          <w:kern w:val="0"/>
          <w:sz w:val="32"/>
          <w:szCs w:val="32"/>
          <w14:textFill>
            <w14:solidFill>
              <w14:schemeClr w14:val="tx1"/>
            </w14:solidFill>
          </w14:textFill>
        </w:rPr>
        <w:t>各位代表！2025年安义县财政工作将以党的二十大、二十届二中、三中全会以及习近平总书记视察江西重要讲话精神为指导，认真贯彻落实县委第十四届九次全会重大决策部署，</w:t>
      </w:r>
      <w:r>
        <w:rPr>
          <w:rFonts w:hint="eastAsia" w:ascii="仿宋_GB2312" w:hAnsi="Times New Roman" w:eastAsia="仿宋_GB2312" w:cs="仿宋"/>
          <w:color w:val="000000" w:themeColor="text1"/>
          <w:sz w:val="32"/>
          <w:szCs w:val="32"/>
          <w14:textFill>
            <w14:solidFill>
              <w14:schemeClr w14:val="tx1"/>
            </w14:solidFill>
          </w14:textFill>
        </w:rPr>
        <w:t>认真落实县人大及其常委会各项决议，</w:t>
      </w:r>
      <w:r>
        <w:rPr>
          <w:rFonts w:hint="eastAsia" w:ascii="仿宋_GB2312" w:hAnsi="Times New Roman" w:eastAsia="仿宋_GB2312" w:cs="Times New Roman"/>
          <w:color w:val="000000" w:themeColor="text1"/>
          <w:kern w:val="0"/>
          <w:sz w:val="32"/>
          <w:szCs w:val="32"/>
          <w14:textFill>
            <w14:solidFill>
              <w14:schemeClr w14:val="tx1"/>
            </w14:solidFill>
          </w14:textFill>
        </w:rPr>
        <w:t>自觉接受县人大及其常务委员会的监督和指导。牢固树立以政领财、以财辅政理念，聚集提升“精算、精管、精准、精细”水平，向最难之处攻坚，为谱写中国式现代化安义篇章贡献</w:t>
      </w:r>
      <w:r>
        <w:rPr>
          <w:rFonts w:ascii="仿宋_GB2312" w:hAnsi="Times New Roman" w:eastAsia="仿宋_GB2312" w:cs="Times New Roman"/>
          <w:color w:val="000000" w:themeColor="text1"/>
          <w:kern w:val="0"/>
          <w:sz w:val="32"/>
          <w:szCs w:val="32"/>
          <w14:textFill>
            <w14:solidFill>
              <w14:schemeClr w14:val="tx1"/>
            </w14:solidFill>
          </w14:textFill>
        </w:rPr>
        <w:t>更多财政力量。</w:t>
      </w:r>
    </w:p>
    <w:p w14:paraId="19A21FD7">
      <w:pPr>
        <w:spacing w:line="600" w:lineRule="exact"/>
        <w:ind w:firstLine="640" w:firstLineChars="200"/>
        <w:rPr>
          <w:rFonts w:ascii="仿宋_GB2312" w:hAnsi="Times New Roman" w:eastAsia="仿宋_GB2312" w:cs="Times New Roman"/>
          <w:color w:val="000000" w:themeColor="text1"/>
          <w:kern w:val="0"/>
          <w:sz w:val="32"/>
          <w:szCs w:val="32"/>
          <w14:textFill>
            <w14:solidFill>
              <w14:schemeClr w14:val="tx1"/>
            </w14:solidFill>
          </w14:textFill>
        </w:rPr>
      </w:pPr>
    </w:p>
    <w:p w14:paraId="7BAC4A3A">
      <w:pPr>
        <w:spacing w:line="600" w:lineRule="exact"/>
        <w:ind w:firstLine="640" w:firstLineChars="200"/>
        <w:rPr>
          <w:rFonts w:ascii="仿宋_GB2312" w:hAnsi="Times New Roman" w:eastAsia="仿宋_GB2312" w:cs="Times New Roman"/>
          <w:color w:val="000000" w:themeColor="text1"/>
          <w:kern w:val="0"/>
          <w:sz w:val="32"/>
          <w:szCs w:val="32"/>
          <w14:textFill>
            <w14:solidFill>
              <w14:schemeClr w14:val="tx1"/>
            </w14:solidFill>
          </w14:textFill>
        </w:rPr>
      </w:pPr>
    </w:p>
    <w:p w14:paraId="08942C1B">
      <w:pPr>
        <w:spacing w:line="600" w:lineRule="exact"/>
        <w:ind w:firstLine="640" w:firstLineChars="200"/>
        <w:rPr>
          <w:rFonts w:ascii="仿宋_GB2312" w:hAnsi="Times New Roman" w:eastAsia="仿宋_GB2312" w:cs="Times New Roman"/>
          <w:color w:val="000000" w:themeColor="text1"/>
          <w:kern w:val="0"/>
          <w:sz w:val="32"/>
          <w:szCs w:val="32"/>
          <w14:textFill>
            <w14:solidFill>
              <w14:schemeClr w14:val="tx1"/>
            </w14:solidFill>
          </w14:textFill>
        </w:rPr>
      </w:pPr>
    </w:p>
    <w:p w14:paraId="57469DD8">
      <w:pPr>
        <w:spacing w:line="600" w:lineRule="exact"/>
        <w:ind w:firstLine="640" w:firstLineChars="200"/>
        <w:rPr>
          <w:rFonts w:ascii="仿宋_GB2312" w:hAnsi="Times New Roman" w:eastAsia="仿宋_GB2312" w:cs="Times New Roman"/>
          <w:color w:val="000000" w:themeColor="text1"/>
          <w:kern w:val="0"/>
          <w:sz w:val="32"/>
          <w:szCs w:val="32"/>
          <w14:textFill>
            <w14:solidFill>
              <w14:schemeClr w14:val="tx1"/>
            </w14:solidFill>
          </w14:textFill>
        </w:rPr>
      </w:pPr>
    </w:p>
    <w:p w14:paraId="7B756DC6">
      <w:pPr>
        <w:spacing w:line="600" w:lineRule="exact"/>
        <w:ind w:firstLine="640" w:firstLineChars="200"/>
        <w:rPr>
          <w:rFonts w:ascii="仿宋_GB2312" w:hAnsi="Times New Roman" w:eastAsia="仿宋_GB2312" w:cs="Times New Roman"/>
          <w:color w:val="000000" w:themeColor="text1"/>
          <w:kern w:val="0"/>
          <w:sz w:val="32"/>
          <w:szCs w:val="32"/>
          <w14:textFill>
            <w14:solidFill>
              <w14:schemeClr w14:val="tx1"/>
            </w14:solidFill>
          </w14:textFill>
        </w:rPr>
      </w:pPr>
    </w:p>
    <w:p w14:paraId="5EFD963D">
      <w:pPr>
        <w:spacing w:line="600" w:lineRule="exact"/>
        <w:ind w:firstLine="640" w:firstLineChars="200"/>
        <w:rPr>
          <w:rFonts w:ascii="仿宋_GB2312" w:hAnsi="Times New Roman" w:eastAsia="仿宋_GB2312" w:cs="Times New Roman"/>
          <w:color w:val="000000" w:themeColor="text1"/>
          <w:kern w:val="0"/>
          <w:sz w:val="32"/>
          <w:szCs w:val="32"/>
          <w14:textFill>
            <w14:solidFill>
              <w14:schemeClr w14:val="tx1"/>
            </w14:solidFill>
          </w14:textFill>
        </w:rPr>
      </w:pPr>
    </w:p>
    <w:p w14:paraId="7076910D">
      <w:pPr>
        <w:spacing w:line="600" w:lineRule="exact"/>
        <w:ind w:firstLine="640" w:firstLineChars="200"/>
        <w:rPr>
          <w:rFonts w:ascii="仿宋_GB2312" w:hAnsi="Times New Roman" w:eastAsia="仿宋_GB2312" w:cs="Times New Roman"/>
          <w:color w:val="000000" w:themeColor="text1"/>
          <w:kern w:val="0"/>
          <w:sz w:val="32"/>
          <w:szCs w:val="32"/>
          <w14:textFill>
            <w14:solidFill>
              <w14:schemeClr w14:val="tx1"/>
            </w14:solidFill>
          </w14:textFill>
        </w:rPr>
      </w:pPr>
    </w:p>
    <w:p w14:paraId="2C44BDB5">
      <w:pPr>
        <w:spacing w:line="600" w:lineRule="exact"/>
        <w:ind w:firstLine="640" w:firstLineChars="200"/>
        <w:rPr>
          <w:rFonts w:ascii="仿宋_GB2312" w:hAnsi="Times New Roman" w:eastAsia="仿宋_GB2312" w:cs="Times New Roman"/>
          <w:color w:val="000000" w:themeColor="text1"/>
          <w:kern w:val="0"/>
          <w:sz w:val="32"/>
          <w:szCs w:val="32"/>
          <w14:textFill>
            <w14:solidFill>
              <w14:schemeClr w14:val="tx1"/>
            </w14:solidFill>
          </w14:textFill>
        </w:rPr>
      </w:pPr>
    </w:p>
    <w:p w14:paraId="6840BF82">
      <w:pPr>
        <w:spacing w:line="600" w:lineRule="exact"/>
        <w:ind w:firstLine="640" w:firstLineChars="200"/>
        <w:rPr>
          <w:rFonts w:ascii="仿宋_GB2312" w:hAnsi="Times New Roman" w:eastAsia="仿宋_GB2312" w:cs="Times New Roman"/>
          <w:color w:val="000000" w:themeColor="text1"/>
          <w:kern w:val="0"/>
          <w:sz w:val="32"/>
          <w:szCs w:val="32"/>
          <w14:textFill>
            <w14:solidFill>
              <w14:schemeClr w14:val="tx1"/>
            </w14:solidFill>
          </w14:textFill>
        </w:rPr>
      </w:pPr>
    </w:p>
    <w:p w14:paraId="6B8D129D">
      <w:pPr>
        <w:spacing w:line="600" w:lineRule="exact"/>
        <w:ind w:firstLine="640" w:firstLineChars="200"/>
        <w:rPr>
          <w:rFonts w:ascii="仿宋_GB2312" w:hAnsi="Times New Roman" w:eastAsia="仿宋_GB2312" w:cs="Times New Roman"/>
          <w:color w:val="000000" w:themeColor="text1"/>
          <w:kern w:val="0"/>
          <w:sz w:val="32"/>
          <w:szCs w:val="32"/>
          <w14:textFill>
            <w14:solidFill>
              <w14:schemeClr w14:val="tx1"/>
            </w14:solidFill>
          </w14:textFill>
        </w:rPr>
      </w:pPr>
    </w:p>
    <w:p w14:paraId="656FF126">
      <w:pPr>
        <w:spacing w:line="600" w:lineRule="exact"/>
        <w:ind w:firstLine="640" w:firstLineChars="200"/>
        <w:rPr>
          <w:rFonts w:ascii="仿宋_GB2312" w:hAnsi="Times New Roman" w:eastAsia="仿宋_GB2312" w:cs="Times New Roman"/>
          <w:color w:val="000000" w:themeColor="text1"/>
          <w:kern w:val="0"/>
          <w:sz w:val="32"/>
          <w:szCs w:val="32"/>
          <w14:textFill>
            <w14:solidFill>
              <w14:schemeClr w14:val="tx1"/>
            </w14:solidFill>
          </w14:textFill>
        </w:rPr>
      </w:pPr>
    </w:p>
    <w:p w14:paraId="65B376B6">
      <w:pPr>
        <w:spacing w:line="600" w:lineRule="exact"/>
        <w:ind w:firstLine="640" w:firstLineChars="200"/>
        <w:rPr>
          <w:rFonts w:ascii="仿宋_GB2312" w:hAnsi="Times New Roman" w:eastAsia="仿宋_GB2312" w:cs="Times New Roman"/>
          <w:color w:val="000000" w:themeColor="text1"/>
          <w:kern w:val="0"/>
          <w:sz w:val="32"/>
          <w:szCs w:val="32"/>
          <w14:textFill>
            <w14:solidFill>
              <w14:schemeClr w14:val="tx1"/>
            </w14:solidFill>
          </w14:textFill>
        </w:rPr>
      </w:pPr>
    </w:p>
    <w:p w14:paraId="2D768D7E">
      <w:pPr>
        <w:autoSpaceDN w:val="0"/>
        <w:spacing w:line="600" w:lineRule="exact"/>
        <w:jc w:val="center"/>
        <w:rPr>
          <w:rFonts w:ascii="方正小标宋简体" w:hAnsi="Times New Roman" w:eastAsia="方正小标宋简体" w:cs="宋体"/>
          <w:bCs/>
          <w:sz w:val="44"/>
          <w:szCs w:val="44"/>
        </w:rPr>
      </w:pPr>
      <w:r>
        <w:rPr>
          <w:rFonts w:hint="eastAsia" w:ascii="方正小标宋简体" w:hAnsi="Times New Roman" w:eastAsia="方正小标宋简体" w:cs="宋体"/>
          <w:bCs/>
          <w:sz w:val="44"/>
          <w:szCs w:val="44"/>
        </w:rPr>
        <w:t>《</w:t>
      </w:r>
      <w:r>
        <w:rPr>
          <w:rFonts w:hint="eastAsia" w:ascii="方正小标宋简体" w:hAnsi="Times New Roman" w:eastAsia="方正小标宋简体" w:cs="宋体"/>
          <w:bCs/>
          <w:color w:val="000000"/>
          <w:sz w:val="44"/>
          <w:szCs w:val="44"/>
        </w:rPr>
        <w:t>关于安义县2024年全县和县级预算执行情况与2025年全县和县级预算草案的报告</w:t>
      </w:r>
      <w:r>
        <w:rPr>
          <w:rFonts w:hint="eastAsia" w:ascii="方正小标宋简体" w:hAnsi="Times New Roman" w:eastAsia="方正小标宋简体" w:cs="宋体"/>
          <w:bCs/>
          <w:sz w:val="44"/>
          <w:szCs w:val="44"/>
        </w:rPr>
        <w:t>》名词解释</w:t>
      </w:r>
    </w:p>
    <w:p w14:paraId="381ED5E5">
      <w:pPr>
        <w:spacing w:after="120" w:line="560" w:lineRule="exact"/>
        <w:rPr>
          <w:rFonts w:ascii="Times New Roman" w:hAnsi="Times New Roman" w:eastAsia="宋体" w:cs="Times New Roman"/>
          <w:szCs w:val="24"/>
        </w:rPr>
      </w:pPr>
    </w:p>
    <w:p w14:paraId="3617EDF9">
      <w:pPr>
        <w:autoSpaceDN w:val="0"/>
        <w:spacing w:line="560" w:lineRule="exact"/>
        <w:ind w:firstLine="643" w:firstLineChars="200"/>
        <w:rPr>
          <w:rFonts w:ascii="仿宋_GB2312" w:hAnsi="Times New Roman" w:eastAsia="仿宋_GB2312" w:cs="仿宋"/>
          <w:b/>
          <w:bCs/>
          <w:sz w:val="32"/>
          <w:szCs w:val="32"/>
        </w:rPr>
      </w:pPr>
      <w:r>
        <w:rPr>
          <w:rFonts w:hint="eastAsia" w:ascii="仿宋_GB2312" w:hAnsi="Times New Roman" w:eastAsia="仿宋_GB2312" w:cs="仿宋"/>
          <w:b/>
          <w:bCs/>
          <w:sz w:val="32"/>
          <w:szCs w:val="32"/>
        </w:rPr>
        <w:t>1.一般公共预算收入</w:t>
      </w:r>
      <w:r>
        <w:rPr>
          <w:rFonts w:hint="eastAsia" w:ascii="仿宋_GB2312" w:hAnsi="Times New Roman" w:eastAsia="仿宋_GB2312" w:cs="仿宋"/>
          <w:sz w:val="32"/>
          <w:szCs w:val="32"/>
        </w:rPr>
        <w:t>：指按照现行财政体制规定列入地方预算，直接缴入地方金库的财政收入。具体由两部分组成：一是税收收入，二是非税收入。</w:t>
      </w:r>
    </w:p>
    <w:p w14:paraId="4F113788">
      <w:pPr>
        <w:spacing w:after="120" w:line="560" w:lineRule="exact"/>
        <w:ind w:firstLine="643" w:firstLineChars="200"/>
        <w:rPr>
          <w:rFonts w:ascii="Times New Roman" w:hAnsi="Times New Roman" w:eastAsia="宋体" w:cs="Times New Roman"/>
          <w:szCs w:val="24"/>
        </w:rPr>
      </w:pPr>
      <w:r>
        <w:rPr>
          <w:rFonts w:hint="eastAsia" w:ascii="仿宋_GB2312" w:hAnsi="Times New Roman" w:eastAsia="仿宋_GB2312" w:cs="仿宋"/>
          <w:b/>
          <w:bCs/>
          <w:sz w:val="32"/>
          <w:szCs w:val="32"/>
        </w:rPr>
        <w:t>2.财政收入总计：</w:t>
      </w:r>
      <w:r>
        <w:rPr>
          <w:rFonts w:hint="eastAsia" w:ascii="仿宋_GB2312" w:hAnsi="Times New Roman" w:eastAsia="仿宋_GB2312" w:cs="仿宋"/>
          <w:sz w:val="32"/>
          <w:szCs w:val="32"/>
        </w:rPr>
        <w:t>指一般公共预算、上级补助收入、上年结余、调入资金、债务收入、债转贷收入等收入总计，是财政当年可用资金之和。</w:t>
      </w:r>
    </w:p>
    <w:p w14:paraId="628C4095">
      <w:pPr>
        <w:autoSpaceDN w:val="0"/>
        <w:spacing w:line="560" w:lineRule="exact"/>
        <w:ind w:firstLine="643" w:firstLineChars="200"/>
        <w:rPr>
          <w:rFonts w:ascii="仿宋_GB2312" w:hAnsi="Times New Roman" w:eastAsia="仿宋_GB2312" w:cs="仿宋"/>
          <w:sz w:val="32"/>
          <w:szCs w:val="32"/>
        </w:rPr>
      </w:pPr>
      <w:r>
        <w:rPr>
          <w:rFonts w:hint="eastAsia" w:ascii="仿宋_GB2312" w:hAnsi="Times New Roman" w:eastAsia="仿宋_GB2312" w:cs="仿宋"/>
          <w:b/>
          <w:bCs/>
          <w:sz w:val="32"/>
          <w:szCs w:val="32"/>
        </w:rPr>
        <w:t>3.政府性基金预算收入</w:t>
      </w:r>
      <w:r>
        <w:rPr>
          <w:rFonts w:hint="eastAsia" w:ascii="仿宋_GB2312" w:hAnsi="Times New Roman" w:eastAsia="仿宋_GB2312" w:cs="仿宋"/>
          <w:sz w:val="32"/>
          <w:szCs w:val="32"/>
        </w:rPr>
        <w:t>：政府性基金是指各级政府及其所属部门根据法律、行政法规和中共中央、国务院文件规定，为支持特定公共基础设施和公共事业发展，向公民、法人和其他组织无偿征收的具有专项用途的财政资金。</w:t>
      </w:r>
    </w:p>
    <w:p w14:paraId="39968EB6">
      <w:pPr>
        <w:autoSpaceDN w:val="0"/>
        <w:spacing w:line="560" w:lineRule="exact"/>
        <w:ind w:firstLine="643" w:firstLineChars="200"/>
        <w:rPr>
          <w:rFonts w:ascii="仿宋_GB2312" w:hAnsi="Times New Roman" w:eastAsia="仿宋_GB2312" w:cs="仿宋"/>
          <w:sz w:val="32"/>
          <w:szCs w:val="32"/>
        </w:rPr>
      </w:pPr>
      <w:r>
        <w:rPr>
          <w:rFonts w:hint="eastAsia" w:ascii="仿宋_GB2312" w:hAnsi="Times New Roman" w:eastAsia="仿宋_GB2312" w:cs="仿宋"/>
          <w:b/>
          <w:bCs/>
          <w:sz w:val="32"/>
          <w:szCs w:val="32"/>
        </w:rPr>
        <w:t>4.国有资本经营预算收入：</w:t>
      </w:r>
      <w:r>
        <w:rPr>
          <w:rFonts w:hint="eastAsia" w:ascii="仿宋_GB2312" w:hAnsi="Times New Roman" w:eastAsia="仿宋_GB2312" w:cs="仿宋"/>
          <w:sz w:val="32"/>
          <w:szCs w:val="32"/>
        </w:rPr>
        <w:t>国有资本经营预算收入是指各级人民政府及部门、机构、履行出资人职责的企业上缴的国有资本收益。</w:t>
      </w:r>
    </w:p>
    <w:p w14:paraId="5FEDBC40">
      <w:pPr>
        <w:autoSpaceDN w:val="0"/>
        <w:spacing w:line="560" w:lineRule="exact"/>
        <w:ind w:firstLine="643" w:firstLineChars="200"/>
        <w:rPr>
          <w:rFonts w:hint="eastAsia" w:ascii="仿宋_GB2312" w:hAnsi="Times New Roman" w:eastAsia="仿宋_GB2312" w:cs="仿宋"/>
          <w:sz w:val="32"/>
          <w:szCs w:val="32"/>
        </w:rPr>
      </w:pPr>
      <w:r>
        <w:rPr>
          <w:rFonts w:hint="eastAsia" w:ascii="仿宋_GB2312" w:hAnsi="Times New Roman" w:eastAsia="仿宋_GB2312" w:cs="仿宋"/>
          <w:b/>
          <w:bCs/>
          <w:sz w:val="32"/>
          <w:szCs w:val="32"/>
        </w:rPr>
        <w:t>5.社会保险基金预算收入：</w:t>
      </w:r>
      <w:r>
        <w:rPr>
          <w:rFonts w:hint="eastAsia" w:ascii="仿宋_GB2312" w:hAnsi="Times New Roman" w:eastAsia="仿宋_GB2312" w:cs="仿宋"/>
          <w:sz w:val="32"/>
          <w:szCs w:val="32"/>
        </w:rPr>
        <w:t>社会保险基金预算收入包括单位缴纳的社会保险费收入、职工个人缴纳的社会保险费、基金利息收入、财政补贴收入、转移收入、上级补助收入、下级上解收入、其他收入。</w:t>
      </w:r>
    </w:p>
    <w:p w14:paraId="7B2989B3"/>
    <w:p w14:paraId="5C3263CD">
      <w:pPr>
        <w:pStyle w:val="2"/>
      </w:pPr>
    </w:p>
    <w:p w14:paraId="3FD84BF0">
      <w:pPr>
        <w:pBdr>
          <w:top w:val="single" w:color="auto" w:sz="6" w:space="0"/>
          <w:bottom w:val="single" w:color="auto" w:sz="6" w:space="1"/>
        </w:pBdr>
        <w:tabs>
          <w:tab w:val="left" w:pos="0"/>
        </w:tabs>
        <w:topLinePunct/>
        <w:spacing w:line="560" w:lineRule="exact"/>
        <w:rPr>
          <w:rFonts w:hint="eastAsia" w:ascii="仿宋_GB2312" w:hAnsi="Times New Roman" w:eastAsia="仿宋_GB2312" w:cs="仿宋"/>
          <w:sz w:val="32"/>
          <w:szCs w:val="32"/>
        </w:rPr>
      </w:pPr>
      <w:r>
        <w:rPr>
          <w:rFonts w:hint="eastAsia" w:ascii="仿宋_GB2312" w:hAnsi="宋体" w:eastAsia="仿宋_GB2312"/>
          <w:color w:val="000000"/>
          <w:sz w:val="32"/>
          <w:szCs w:val="32"/>
        </w:rPr>
        <w:t>县十七届人大</w:t>
      </w:r>
      <w:r>
        <w:rPr>
          <w:rFonts w:hint="eastAsia" w:ascii="仿宋_GB2312" w:hAnsi="宋体" w:eastAsia="仿宋_GB2312"/>
          <w:color w:val="000000"/>
          <w:sz w:val="32"/>
          <w:szCs w:val="32"/>
          <w:lang w:eastAsia="zh-CN"/>
        </w:rPr>
        <w:t>五</w:t>
      </w:r>
      <w:r>
        <w:rPr>
          <w:rFonts w:hint="eastAsia" w:ascii="仿宋_GB2312" w:hAnsi="宋体" w:eastAsia="仿宋_GB2312"/>
          <w:color w:val="000000"/>
          <w:sz w:val="32"/>
          <w:szCs w:val="32"/>
        </w:rPr>
        <w:t>次会议秘书处</w:t>
      </w:r>
      <w:r>
        <w:rPr>
          <w:rFonts w:ascii="仿宋_GB2312" w:hAnsi="宋体" w:eastAsia="仿宋_GB2312"/>
          <w:color w:val="000000"/>
          <w:sz w:val="32"/>
          <w:szCs w:val="32"/>
        </w:rPr>
        <w:t xml:space="preserve">      </w:t>
      </w:r>
      <w:r>
        <w:rPr>
          <w:rFonts w:hint="eastAsia" w:ascii="仿宋_GB2312" w:hAnsi="宋体"/>
          <w:color w:val="000000"/>
          <w:sz w:val="32"/>
          <w:szCs w:val="32"/>
          <w:lang w:val="en-US" w:eastAsia="zh-CN"/>
        </w:rPr>
        <w:t xml:space="preserve">    </w:t>
      </w:r>
      <w:r>
        <w:rPr>
          <w:rFonts w:ascii="仿宋_GB2312" w:hAnsi="宋体" w:eastAsia="仿宋_GB2312"/>
          <w:color w:val="000000"/>
          <w:sz w:val="32"/>
          <w:szCs w:val="32"/>
        </w:rPr>
        <w:t>202</w:t>
      </w:r>
      <w:r>
        <w:rPr>
          <w:rFonts w:hint="eastAsia" w:ascii="仿宋_GB2312" w:hAnsi="宋体" w:eastAsia="仿宋_GB2312"/>
          <w:color w:val="000000"/>
          <w:sz w:val="32"/>
          <w:szCs w:val="32"/>
          <w:lang w:val="en-US" w:eastAsia="zh-CN"/>
        </w:rPr>
        <w:t>5</w:t>
      </w:r>
      <w:r>
        <w:rPr>
          <w:rFonts w:ascii="仿宋_GB2312" w:hAnsi="宋体" w:eastAsia="仿宋_GB2312"/>
          <w:color w:val="000000"/>
          <w:sz w:val="32"/>
          <w:szCs w:val="32"/>
        </w:rPr>
        <w:t>年1月</w:t>
      </w:r>
      <w:r>
        <w:rPr>
          <w:rFonts w:hint="eastAsia" w:ascii="仿宋_GB2312" w:hAnsi="宋体" w:eastAsia="仿宋_GB2312"/>
          <w:color w:val="000000"/>
          <w:sz w:val="32"/>
          <w:szCs w:val="32"/>
          <w:lang w:val="en-US" w:eastAsia="zh-CN"/>
        </w:rPr>
        <w:t>4</w:t>
      </w:r>
      <w:r>
        <w:rPr>
          <w:rFonts w:ascii="仿宋_GB2312" w:hAnsi="宋体" w:eastAsia="仿宋_GB2312"/>
          <w:color w:val="000000"/>
          <w:sz w:val="32"/>
          <w:szCs w:val="32"/>
        </w:rPr>
        <w:t>日印</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95">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292F261">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292F261">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EwZjM1OTA5MTc4MTAwNjcxYmRhMTQzMzJiMDdjNTcifQ=="/>
  </w:docVars>
  <w:rsids>
    <w:rsidRoot w:val="000026CA"/>
    <w:rsid w:val="000026CA"/>
    <w:rsid w:val="0000369C"/>
    <w:rsid w:val="00004DB5"/>
    <w:rsid w:val="000057E1"/>
    <w:rsid w:val="00010BA6"/>
    <w:rsid w:val="00017375"/>
    <w:rsid w:val="000211B7"/>
    <w:rsid w:val="00021CFF"/>
    <w:rsid w:val="00024567"/>
    <w:rsid w:val="00033CE7"/>
    <w:rsid w:val="00053C35"/>
    <w:rsid w:val="00057C72"/>
    <w:rsid w:val="00065DCD"/>
    <w:rsid w:val="000759BE"/>
    <w:rsid w:val="00084478"/>
    <w:rsid w:val="000A37B6"/>
    <w:rsid w:val="000B4472"/>
    <w:rsid w:val="000C34B5"/>
    <w:rsid w:val="000D6917"/>
    <w:rsid w:val="000E298A"/>
    <w:rsid w:val="000E30E9"/>
    <w:rsid w:val="000F47CF"/>
    <w:rsid w:val="000F6D33"/>
    <w:rsid w:val="00101473"/>
    <w:rsid w:val="0010169F"/>
    <w:rsid w:val="0010261A"/>
    <w:rsid w:val="001121A5"/>
    <w:rsid w:val="001402D4"/>
    <w:rsid w:val="001468D6"/>
    <w:rsid w:val="00157C32"/>
    <w:rsid w:val="001655CC"/>
    <w:rsid w:val="00175AB8"/>
    <w:rsid w:val="00181CFA"/>
    <w:rsid w:val="00193298"/>
    <w:rsid w:val="00196BCB"/>
    <w:rsid w:val="001A1E77"/>
    <w:rsid w:val="001A1FDF"/>
    <w:rsid w:val="001A42E4"/>
    <w:rsid w:val="001C03AF"/>
    <w:rsid w:val="001C5373"/>
    <w:rsid w:val="001C7A6C"/>
    <w:rsid w:val="001E4487"/>
    <w:rsid w:val="0020412D"/>
    <w:rsid w:val="00205567"/>
    <w:rsid w:val="00206BF2"/>
    <w:rsid w:val="00211FB4"/>
    <w:rsid w:val="00227EE1"/>
    <w:rsid w:val="00233284"/>
    <w:rsid w:val="00234DF6"/>
    <w:rsid w:val="00235497"/>
    <w:rsid w:val="00247E28"/>
    <w:rsid w:val="00256AA8"/>
    <w:rsid w:val="0026047B"/>
    <w:rsid w:val="00266DEA"/>
    <w:rsid w:val="00277746"/>
    <w:rsid w:val="0028038E"/>
    <w:rsid w:val="002814C5"/>
    <w:rsid w:val="00292199"/>
    <w:rsid w:val="0029286D"/>
    <w:rsid w:val="002A2077"/>
    <w:rsid w:val="002A6629"/>
    <w:rsid w:val="002D216F"/>
    <w:rsid w:val="002D6A99"/>
    <w:rsid w:val="002E1AC1"/>
    <w:rsid w:val="002F0162"/>
    <w:rsid w:val="002F48EF"/>
    <w:rsid w:val="003018CB"/>
    <w:rsid w:val="00311121"/>
    <w:rsid w:val="0031446F"/>
    <w:rsid w:val="00316E77"/>
    <w:rsid w:val="00323801"/>
    <w:rsid w:val="003252F7"/>
    <w:rsid w:val="003311D9"/>
    <w:rsid w:val="00337828"/>
    <w:rsid w:val="00340FEC"/>
    <w:rsid w:val="0034104A"/>
    <w:rsid w:val="00342857"/>
    <w:rsid w:val="00343154"/>
    <w:rsid w:val="0036094B"/>
    <w:rsid w:val="003A0593"/>
    <w:rsid w:val="003A176B"/>
    <w:rsid w:val="003A592F"/>
    <w:rsid w:val="003C10E3"/>
    <w:rsid w:val="003C42F8"/>
    <w:rsid w:val="003C4689"/>
    <w:rsid w:val="003D681B"/>
    <w:rsid w:val="003D685F"/>
    <w:rsid w:val="003D7FBC"/>
    <w:rsid w:val="003E40C9"/>
    <w:rsid w:val="0040539C"/>
    <w:rsid w:val="004053AE"/>
    <w:rsid w:val="00423140"/>
    <w:rsid w:val="0042795B"/>
    <w:rsid w:val="0043412F"/>
    <w:rsid w:val="0043476A"/>
    <w:rsid w:val="004425F4"/>
    <w:rsid w:val="0044610D"/>
    <w:rsid w:val="004514D0"/>
    <w:rsid w:val="0045196F"/>
    <w:rsid w:val="00455A83"/>
    <w:rsid w:val="00456F4A"/>
    <w:rsid w:val="0046447D"/>
    <w:rsid w:val="004647B5"/>
    <w:rsid w:val="0046621A"/>
    <w:rsid w:val="00474AF8"/>
    <w:rsid w:val="0047592B"/>
    <w:rsid w:val="00475968"/>
    <w:rsid w:val="0048031F"/>
    <w:rsid w:val="00482011"/>
    <w:rsid w:val="004924A9"/>
    <w:rsid w:val="004A799E"/>
    <w:rsid w:val="004A7D11"/>
    <w:rsid w:val="004B0B5D"/>
    <w:rsid w:val="004B312E"/>
    <w:rsid w:val="004B3DF0"/>
    <w:rsid w:val="004C182E"/>
    <w:rsid w:val="004C230D"/>
    <w:rsid w:val="004D1624"/>
    <w:rsid w:val="004D605C"/>
    <w:rsid w:val="004E1435"/>
    <w:rsid w:val="004E3E56"/>
    <w:rsid w:val="004E753C"/>
    <w:rsid w:val="004F24B6"/>
    <w:rsid w:val="004F4D2A"/>
    <w:rsid w:val="004F68FD"/>
    <w:rsid w:val="00500E85"/>
    <w:rsid w:val="00501413"/>
    <w:rsid w:val="00520729"/>
    <w:rsid w:val="00523C4B"/>
    <w:rsid w:val="00525F3C"/>
    <w:rsid w:val="00530C73"/>
    <w:rsid w:val="00537D8D"/>
    <w:rsid w:val="0054093E"/>
    <w:rsid w:val="005515F5"/>
    <w:rsid w:val="00552125"/>
    <w:rsid w:val="00563C87"/>
    <w:rsid w:val="00565D0E"/>
    <w:rsid w:val="00572CFE"/>
    <w:rsid w:val="005809F8"/>
    <w:rsid w:val="00586672"/>
    <w:rsid w:val="00594720"/>
    <w:rsid w:val="00597C78"/>
    <w:rsid w:val="005B03CA"/>
    <w:rsid w:val="005C7343"/>
    <w:rsid w:val="005D77D5"/>
    <w:rsid w:val="005E3E95"/>
    <w:rsid w:val="005E502C"/>
    <w:rsid w:val="005E544D"/>
    <w:rsid w:val="005F2F0C"/>
    <w:rsid w:val="005F3293"/>
    <w:rsid w:val="005F36D5"/>
    <w:rsid w:val="006023E2"/>
    <w:rsid w:val="00611744"/>
    <w:rsid w:val="00611DAA"/>
    <w:rsid w:val="0062228B"/>
    <w:rsid w:val="00626B4B"/>
    <w:rsid w:val="00634CBA"/>
    <w:rsid w:val="00636365"/>
    <w:rsid w:val="0064150A"/>
    <w:rsid w:val="00656F2B"/>
    <w:rsid w:val="00660F94"/>
    <w:rsid w:val="00676C14"/>
    <w:rsid w:val="00677C3D"/>
    <w:rsid w:val="00684253"/>
    <w:rsid w:val="00691906"/>
    <w:rsid w:val="00691E3D"/>
    <w:rsid w:val="00695E80"/>
    <w:rsid w:val="00696043"/>
    <w:rsid w:val="00696D8A"/>
    <w:rsid w:val="006A45B3"/>
    <w:rsid w:val="006B2621"/>
    <w:rsid w:val="006B36CC"/>
    <w:rsid w:val="006C459D"/>
    <w:rsid w:val="006E41ED"/>
    <w:rsid w:val="006E570C"/>
    <w:rsid w:val="006E73F9"/>
    <w:rsid w:val="006F32DC"/>
    <w:rsid w:val="006F52EC"/>
    <w:rsid w:val="00700EBF"/>
    <w:rsid w:val="00703921"/>
    <w:rsid w:val="00707C0B"/>
    <w:rsid w:val="0071259E"/>
    <w:rsid w:val="00733A6F"/>
    <w:rsid w:val="00733D4F"/>
    <w:rsid w:val="0073464B"/>
    <w:rsid w:val="007376E7"/>
    <w:rsid w:val="00737E2D"/>
    <w:rsid w:val="00742D9C"/>
    <w:rsid w:val="00744CD0"/>
    <w:rsid w:val="007508B4"/>
    <w:rsid w:val="00755062"/>
    <w:rsid w:val="0075668A"/>
    <w:rsid w:val="007639FD"/>
    <w:rsid w:val="007643C7"/>
    <w:rsid w:val="00764E5C"/>
    <w:rsid w:val="00770A54"/>
    <w:rsid w:val="0077124A"/>
    <w:rsid w:val="007803B1"/>
    <w:rsid w:val="00780AD9"/>
    <w:rsid w:val="0079142F"/>
    <w:rsid w:val="00792F09"/>
    <w:rsid w:val="00794239"/>
    <w:rsid w:val="007A475F"/>
    <w:rsid w:val="007A6EC7"/>
    <w:rsid w:val="007B1326"/>
    <w:rsid w:val="007B568E"/>
    <w:rsid w:val="007C14D4"/>
    <w:rsid w:val="007C7612"/>
    <w:rsid w:val="007C7881"/>
    <w:rsid w:val="007D4300"/>
    <w:rsid w:val="007E1B5E"/>
    <w:rsid w:val="00801767"/>
    <w:rsid w:val="0081021E"/>
    <w:rsid w:val="008126C4"/>
    <w:rsid w:val="00817ABD"/>
    <w:rsid w:val="0082281C"/>
    <w:rsid w:val="008244D0"/>
    <w:rsid w:val="008316A5"/>
    <w:rsid w:val="00835361"/>
    <w:rsid w:val="00836AB9"/>
    <w:rsid w:val="008377CA"/>
    <w:rsid w:val="00837D04"/>
    <w:rsid w:val="00845572"/>
    <w:rsid w:val="0086403D"/>
    <w:rsid w:val="00867F1F"/>
    <w:rsid w:val="0087437D"/>
    <w:rsid w:val="00876DA9"/>
    <w:rsid w:val="00885717"/>
    <w:rsid w:val="008971BC"/>
    <w:rsid w:val="008A11FE"/>
    <w:rsid w:val="008A5281"/>
    <w:rsid w:val="008A6C58"/>
    <w:rsid w:val="008A7E70"/>
    <w:rsid w:val="008A7FF1"/>
    <w:rsid w:val="008C5281"/>
    <w:rsid w:val="008D26E1"/>
    <w:rsid w:val="008D7D4A"/>
    <w:rsid w:val="008E17D7"/>
    <w:rsid w:val="008E2129"/>
    <w:rsid w:val="008F569B"/>
    <w:rsid w:val="008F6FB3"/>
    <w:rsid w:val="00901606"/>
    <w:rsid w:val="00904583"/>
    <w:rsid w:val="00904B60"/>
    <w:rsid w:val="00906342"/>
    <w:rsid w:val="00907A77"/>
    <w:rsid w:val="00915C12"/>
    <w:rsid w:val="0091632E"/>
    <w:rsid w:val="00917594"/>
    <w:rsid w:val="00922C1E"/>
    <w:rsid w:val="00930149"/>
    <w:rsid w:val="00936911"/>
    <w:rsid w:val="009476D9"/>
    <w:rsid w:val="00947C22"/>
    <w:rsid w:val="00956D65"/>
    <w:rsid w:val="0098456C"/>
    <w:rsid w:val="00993B70"/>
    <w:rsid w:val="009A0386"/>
    <w:rsid w:val="009A0793"/>
    <w:rsid w:val="009B0360"/>
    <w:rsid w:val="009B5AEE"/>
    <w:rsid w:val="009C62B9"/>
    <w:rsid w:val="009C6C4F"/>
    <w:rsid w:val="009D0D83"/>
    <w:rsid w:val="009D304B"/>
    <w:rsid w:val="009D67B0"/>
    <w:rsid w:val="009E4ABA"/>
    <w:rsid w:val="00A01DEC"/>
    <w:rsid w:val="00A01EBA"/>
    <w:rsid w:val="00A07A8B"/>
    <w:rsid w:val="00A236BF"/>
    <w:rsid w:val="00A272CE"/>
    <w:rsid w:val="00A43403"/>
    <w:rsid w:val="00A47DA5"/>
    <w:rsid w:val="00A54203"/>
    <w:rsid w:val="00A5427C"/>
    <w:rsid w:val="00A54A0F"/>
    <w:rsid w:val="00A6113C"/>
    <w:rsid w:val="00A662C8"/>
    <w:rsid w:val="00A732E5"/>
    <w:rsid w:val="00A76277"/>
    <w:rsid w:val="00A7707A"/>
    <w:rsid w:val="00A90BEA"/>
    <w:rsid w:val="00A94615"/>
    <w:rsid w:val="00A96CF1"/>
    <w:rsid w:val="00AA7723"/>
    <w:rsid w:val="00AA79C1"/>
    <w:rsid w:val="00AB19A1"/>
    <w:rsid w:val="00AC054B"/>
    <w:rsid w:val="00AC318C"/>
    <w:rsid w:val="00AC6CA9"/>
    <w:rsid w:val="00AD340D"/>
    <w:rsid w:val="00AE5CFD"/>
    <w:rsid w:val="00AF14B0"/>
    <w:rsid w:val="00AF3FA4"/>
    <w:rsid w:val="00AF5DE4"/>
    <w:rsid w:val="00B000F7"/>
    <w:rsid w:val="00B14F44"/>
    <w:rsid w:val="00B25F81"/>
    <w:rsid w:val="00B26ABD"/>
    <w:rsid w:val="00B3055B"/>
    <w:rsid w:val="00B40A70"/>
    <w:rsid w:val="00B475B2"/>
    <w:rsid w:val="00B5167A"/>
    <w:rsid w:val="00B526A4"/>
    <w:rsid w:val="00B6086E"/>
    <w:rsid w:val="00B61487"/>
    <w:rsid w:val="00B6332D"/>
    <w:rsid w:val="00B7042F"/>
    <w:rsid w:val="00B740A5"/>
    <w:rsid w:val="00BA18A2"/>
    <w:rsid w:val="00BA3BBC"/>
    <w:rsid w:val="00BA4AE2"/>
    <w:rsid w:val="00BB0D3B"/>
    <w:rsid w:val="00BB63BC"/>
    <w:rsid w:val="00BC26CE"/>
    <w:rsid w:val="00BC363C"/>
    <w:rsid w:val="00BC6F62"/>
    <w:rsid w:val="00BD4DB3"/>
    <w:rsid w:val="00BE4FD3"/>
    <w:rsid w:val="00BF4CD2"/>
    <w:rsid w:val="00C009E9"/>
    <w:rsid w:val="00C0243A"/>
    <w:rsid w:val="00C07194"/>
    <w:rsid w:val="00C10875"/>
    <w:rsid w:val="00C10A98"/>
    <w:rsid w:val="00C165EA"/>
    <w:rsid w:val="00C233A6"/>
    <w:rsid w:val="00C274D0"/>
    <w:rsid w:val="00C345D3"/>
    <w:rsid w:val="00C506E6"/>
    <w:rsid w:val="00C54807"/>
    <w:rsid w:val="00C552F1"/>
    <w:rsid w:val="00C56EB9"/>
    <w:rsid w:val="00C57112"/>
    <w:rsid w:val="00C6207A"/>
    <w:rsid w:val="00C62CA9"/>
    <w:rsid w:val="00C63F80"/>
    <w:rsid w:val="00C72477"/>
    <w:rsid w:val="00C744E5"/>
    <w:rsid w:val="00C77E4A"/>
    <w:rsid w:val="00C80F0C"/>
    <w:rsid w:val="00C9512C"/>
    <w:rsid w:val="00CA4A8F"/>
    <w:rsid w:val="00CB7B8E"/>
    <w:rsid w:val="00CC30DE"/>
    <w:rsid w:val="00CC6B90"/>
    <w:rsid w:val="00CD2FA6"/>
    <w:rsid w:val="00CD3FFB"/>
    <w:rsid w:val="00CD47E2"/>
    <w:rsid w:val="00CE0C18"/>
    <w:rsid w:val="00CF0FC9"/>
    <w:rsid w:val="00D05FF8"/>
    <w:rsid w:val="00D13A9C"/>
    <w:rsid w:val="00D2112A"/>
    <w:rsid w:val="00D229ED"/>
    <w:rsid w:val="00D240C4"/>
    <w:rsid w:val="00D24666"/>
    <w:rsid w:val="00D26E80"/>
    <w:rsid w:val="00D31C80"/>
    <w:rsid w:val="00D41E79"/>
    <w:rsid w:val="00D429C8"/>
    <w:rsid w:val="00D42D19"/>
    <w:rsid w:val="00D45C4E"/>
    <w:rsid w:val="00D70D9C"/>
    <w:rsid w:val="00D761F1"/>
    <w:rsid w:val="00D83073"/>
    <w:rsid w:val="00D83DA1"/>
    <w:rsid w:val="00D91FAF"/>
    <w:rsid w:val="00D93FE4"/>
    <w:rsid w:val="00D9408E"/>
    <w:rsid w:val="00DB021C"/>
    <w:rsid w:val="00DB054A"/>
    <w:rsid w:val="00DB57D6"/>
    <w:rsid w:val="00DB76ED"/>
    <w:rsid w:val="00DC35D5"/>
    <w:rsid w:val="00DC5BD3"/>
    <w:rsid w:val="00DD143D"/>
    <w:rsid w:val="00DE01BB"/>
    <w:rsid w:val="00E26450"/>
    <w:rsid w:val="00E26DD1"/>
    <w:rsid w:val="00E32487"/>
    <w:rsid w:val="00E35D46"/>
    <w:rsid w:val="00E4498F"/>
    <w:rsid w:val="00E5074A"/>
    <w:rsid w:val="00E5540F"/>
    <w:rsid w:val="00E61450"/>
    <w:rsid w:val="00E662C5"/>
    <w:rsid w:val="00E70C80"/>
    <w:rsid w:val="00E71B49"/>
    <w:rsid w:val="00E7444C"/>
    <w:rsid w:val="00E7542A"/>
    <w:rsid w:val="00E8032B"/>
    <w:rsid w:val="00E86F5C"/>
    <w:rsid w:val="00E9138D"/>
    <w:rsid w:val="00EB3E75"/>
    <w:rsid w:val="00EB5FD7"/>
    <w:rsid w:val="00EC5AC6"/>
    <w:rsid w:val="00EC71EA"/>
    <w:rsid w:val="00ED05A0"/>
    <w:rsid w:val="00ED2786"/>
    <w:rsid w:val="00ED2C6E"/>
    <w:rsid w:val="00EE0BDA"/>
    <w:rsid w:val="00EE3228"/>
    <w:rsid w:val="00EE372A"/>
    <w:rsid w:val="00EE5770"/>
    <w:rsid w:val="00EF193E"/>
    <w:rsid w:val="00EF29D2"/>
    <w:rsid w:val="00EF5FF0"/>
    <w:rsid w:val="00F03EC0"/>
    <w:rsid w:val="00F1721F"/>
    <w:rsid w:val="00F223F8"/>
    <w:rsid w:val="00F2583E"/>
    <w:rsid w:val="00F26097"/>
    <w:rsid w:val="00F33B95"/>
    <w:rsid w:val="00F4071E"/>
    <w:rsid w:val="00F41553"/>
    <w:rsid w:val="00F43605"/>
    <w:rsid w:val="00F43CB1"/>
    <w:rsid w:val="00F44202"/>
    <w:rsid w:val="00F53398"/>
    <w:rsid w:val="00F545B6"/>
    <w:rsid w:val="00F54B74"/>
    <w:rsid w:val="00F6013E"/>
    <w:rsid w:val="00F76CC7"/>
    <w:rsid w:val="00F82F6C"/>
    <w:rsid w:val="00F83C65"/>
    <w:rsid w:val="00FA10D9"/>
    <w:rsid w:val="00FA5C06"/>
    <w:rsid w:val="00FC08DE"/>
    <w:rsid w:val="00FD7551"/>
    <w:rsid w:val="00FE1802"/>
    <w:rsid w:val="00FF38B8"/>
    <w:rsid w:val="08FB67D6"/>
    <w:rsid w:val="36040743"/>
    <w:rsid w:val="385C770E"/>
    <w:rsid w:val="39AD1BEB"/>
    <w:rsid w:val="639D74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Indent 2"/>
    <w:basedOn w:val="1"/>
    <w:next w:val="1"/>
    <w:link w:val="13"/>
    <w:qFormat/>
    <w:uiPriority w:val="0"/>
    <w:pPr>
      <w:spacing w:after="120" w:line="480" w:lineRule="auto"/>
      <w:ind w:left="200" w:leftChars="200"/>
    </w:pPr>
    <w:rPr>
      <w:rFonts w:ascii="Times New Roman" w:hAnsi="Times New Roman" w:eastAsia="宋体" w:cs="Times New Roman"/>
      <w:szCs w:val="24"/>
    </w:rPr>
  </w:style>
  <w:style w:type="paragraph" w:styleId="3">
    <w:name w:val="annotation text"/>
    <w:basedOn w:val="1"/>
    <w:link w:val="15"/>
    <w:semiHidden/>
    <w:unhideWhenUsed/>
    <w:qFormat/>
    <w:uiPriority w:val="99"/>
    <w:pPr>
      <w:jc w:val="left"/>
    </w:pPr>
  </w:style>
  <w:style w:type="paragraph" w:styleId="4">
    <w:name w:val="Body Text"/>
    <w:basedOn w:val="1"/>
    <w:link w:val="14"/>
    <w:semiHidden/>
    <w:unhideWhenUsed/>
    <w:qFormat/>
    <w:uiPriority w:val="99"/>
    <w:pPr>
      <w:spacing w:after="120"/>
    </w:p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tabs>
        <w:tab w:val="center" w:pos="4153"/>
        <w:tab w:val="right" w:pos="8306"/>
      </w:tabs>
      <w:snapToGrid w:val="0"/>
      <w:jc w:val="center"/>
    </w:pPr>
    <w:rPr>
      <w:sz w:val="18"/>
      <w:szCs w:val="18"/>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6"/>
    <w:qFormat/>
    <w:uiPriority w:val="99"/>
    <w:rPr>
      <w:sz w:val="18"/>
      <w:szCs w:val="18"/>
    </w:rPr>
  </w:style>
  <w:style w:type="character" w:customStyle="1" w:styleId="11">
    <w:name w:val="页脚 字符"/>
    <w:basedOn w:val="8"/>
    <w:link w:val="5"/>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正文文本缩进 2 字符"/>
    <w:basedOn w:val="8"/>
    <w:link w:val="2"/>
    <w:qFormat/>
    <w:uiPriority w:val="0"/>
    <w:rPr>
      <w:rFonts w:ascii="Times New Roman" w:hAnsi="Times New Roman" w:eastAsia="宋体" w:cs="Times New Roman"/>
      <w:szCs w:val="24"/>
    </w:rPr>
  </w:style>
  <w:style w:type="character" w:customStyle="1" w:styleId="14">
    <w:name w:val="正文文本 字符"/>
    <w:basedOn w:val="8"/>
    <w:link w:val="4"/>
    <w:semiHidden/>
    <w:qFormat/>
    <w:uiPriority w:val="99"/>
  </w:style>
  <w:style w:type="character" w:customStyle="1" w:styleId="15">
    <w:name w:val="批注文字 字符"/>
    <w:basedOn w:val="8"/>
    <w:link w:val="3"/>
    <w:semiHidden/>
    <w:qFormat/>
    <w:uiPriority w:val="99"/>
    <w:rPr>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66F4B7-A64B-4EBB-83B4-F38CAD7F0814}">
  <ds:schemaRefs/>
</ds:datastoreItem>
</file>

<file path=docProps/app.xml><?xml version="1.0" encoding="utf-8"?>
<Properties xmlns="http://schemas.openxmlformats.org/officeDocument/2006/extended-properties" xmlns:vt="http://schemas.openxmlformats.org/officeDocument/2006/docPropsVTypes">
  <Template>Normal</Template>
  <Pages>16</Pages>
  <Words>7796</Words>
  <Characters>9138</Characters>
  <Lines>65</Lines>
  <Paragraphs>18</Paragraphs>
  <TotalTime>1</TotalTime>
  <ScaleCrop>false</ScaleCrop>
  <LinksUpToDate>false</LinksUpToDate>
  <CharactersWithSpaces>9147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2024-11-25T01:10:00Z</dcterms:created>
  <dc:creator>雨婷 邓</dc:creator>
  <cp:lastModifiedBy>Administrator</cp:lastModifiedBy>
  <dcterms:modified xsi:type="dcterms:W3CDTF">2025-01-04T03:04:35Z</dcterms:modified>
  <cp:revision>414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7E4DB8C50A7044B1A7D070FF62CAA701_13</vt:lpwstr>
  </property>
  <property fmtid="{D5CDD505-2E9C-101B-9397-08002B2CF9AE}" pid="4" name="KSOTemplateDocerSaveRecord">
    <vt:lpwstr>eyJoZGlkIjoiNTcxMmQyODI3MzY2MDU0NGI4MTA2MzE1ZjI4NDJkODIifQ==</vt:lpwstr>
  </property>
</Properties>
</file>