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F4DFA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安义县202</w:t>
      </w:r>
      <w:r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年度一般公共预算“三公”经费预算安排情况</w:t>
      </w:r>
    </w:p>
    <w:p w14:paraId="4E1DE49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Cs w:val="32"/>
          <w:lang w:val="en-US" w:eastAsia="zh-CN"/>
        </w:rPr>
      </w:pPr>
    </w:p>
    <w:p w14:paraId="5D34A67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我县202</w:t>
      </w:r>
      <w:r>
        <w:rPr>
          <w:rFonts w:hint="default" w:ascii="仿宋" w:hAnsi="仿宋" w:eastAsia="仿宋" w:cs="仿宋"/>
          <w:color w:val="000000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年度一般公共预算“三公”经费预算合计为</w:t>
      </w:r>
      <w:r>
        <w:rPr>
          <w:rFonts w:hint="default" w:ascii="仿宋" w:hAnsi="仿宋" w:eastAsia="仿宋" w:cs="仿宋"/>
          <w:color w:val="000000"/>
          <w:szCs w:val="32"/>
          <w:lang w:val="en-US" w:eastAsia="zh-CN"/>
        </w:rPr>
        <w:t>1073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万元，同比去年预算安排数</w:t>
      </w:r>
      <w:r>
        <w:rPr>
          <w:rFonts w:hint="default" w:ascii="仿宋" w:hAnsi="仿宋" w:eastAsia="仿宋" w:cs="仿宋"/>
          <w:color w:val="000000"/>
          <w:szCs w:val="32"/>
          <w:lang w:val="en-US" w:eastAsia="zh-CN"/>
        </w:rPr>
        <w:t>1087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万元下降1.3%，其中因公出国（境）费用22万元，同比去年预算安排数增长100%，公务接待费345万元，同比去年预算安排数下降20.1%；公务用车购置及运行维护费705万元，同比去年预算数上升10.2%。</w:t>
      </w:r>
      <w:bookmarkStart w:id="0" w:name="_GoBack"/>
      <w:bookmarkEnd w:id="0"/>
    </w:p>
    <w:p w14:paraId="04F11A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B6713"/>
    <w:rsid w:val="42BB6713"/>
    <w:rsid w:val="454B6C95"/>
    <w:rsid w:val="5FAF7F9A"/>
    <w:rsid w:val="646D7C2F"/>
    <w:rsid w:val="FAEF8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30"/>
    </w:pPr>
    <w:rPr>
      <w:rFonts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2024-02-28T10:38:00Z</dcterms:created>
  <dc:creator>1</dc:creator>
  <cp:lastModifiedBy>冷锋</cp:lastModifiedBy>
  <dcterms:modified xsi:type="dcterms:W3CDTF">2026-04-03T14:37:36Z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873A4735827267B03060CF6989A9029C_43</vt:lpwstr>
  </property>
</Properties>
</file>