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7AE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ascii="微软雅黑" w:hAnsi="微软雅黑" w:eastAsia="微软雅黑" w:cs="微软雅黑"/>
          <w:i w:val="0"/>
          <w:iCs w:val="0"/>
          <w:caps w:val="0"/>
          <w:color w:val="333333"/>
          <w:spacing w:val="0"/>
          <w:sz w:val="27"/>
          <w:szCs w:val="27"/>
        </w:rPr>
      </w:pPr>
      <w:bookmarkStart w:id="0" w:name="_GoBack"/>
      <w:r>
        <w:rPr>
          <w:rFonts w:hint="eastAsia" w:ascii="微软雅黑" w:hAnsi="微软雅黑" w:eastAsia="微软雅黑" w:cs="微软雅黑"/>
          <w:i w:val="0"/>
          <w:iCs w:val="0"/>
          <w:caps w:val="0"/>
          <w:color w:val="333333"/>
          <w:spacing w:val="0"/>
          <w:sz w:val="27"/>
          <w:szCs w:val="27"/>
          <w:bdr w:val="none" w:color="auto" w:sz="0" w:space="0"/>
          <w:shd w:val="clear" w:fill="FFFFFF"/>
        </w:rPr>
        <w:t>关于节能节水、环境保护、安全生产专用设备数字化智能化改造企业所得税政策的公告</w:t>
      </w:r>
    </w:p>
    <w:bookmarkEnd w:id="0"/>
    <w:p w14:paraId="4DE40F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财政部 税务总局公告2024年第9号</w:t>
      </w:r>
    </w:p>
    <w:p w14:paraId="04E325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52CDA6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按照《国务院关于印发&lt;推动大规模设备更新和消费品以旧换新行动方案&gt;的通知》（国发〔2024〕7号）要求，现就节能节水、环境保护和安全生产专用设备（以下简称专用设备）数字化、智能化改造企业所得税政策公告如下： </w:t>
      </w:r>
    </w:p>
    <w:p w14:paraId="440207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397933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一、企业在2024年1月1日至2027年12月31日期间发生的专用设备数字化、智能化改造投入，不超过该专用设备购置时原计税基础50%的部分，可按照10%比例抵免企业当年应纳税额。企业当年应纳税额不足抵免的，可以向以后年度结转，但结转年限最长不得超过五年。 </w:t>
      </w:r>
    </w:p>
    <w:p w14:paraId="3B4F5C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031CC9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二、本公告所称专用设备，是指企业购置并实际使用列入《财政部 税务总局 应急管理部关于印发&lt;安全生产专用设备企业所得税优惠目录（2018年版）&gt;的通知》（财税〔2018〕84号）、《财政部 税务总局 国家发展改革委 工业和信息化部 生态环境部关于印发节能节水和环境保护专用设备企业所得税优惠目录（2017年版）的通知》（财税〔2017〕71号）的专用设备。专用设备改造后仍应符合上述目录规定条件，不符合上述目录规定条件的不得享受优惠。上述目录如有更新，从其规定。 </w:t>
      </w:r>
    </w:p>
    <w:p w14:paraId="555F89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4FD0ED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三、本公告所称专用设备数字化、智能化改造，是指企业利用信息技术和数字技术对专用设备进行技术改进和优化，从而提高该设备的数字化和智能化水平。具体包括以下方面： </w:t>
      </w:r>
    </w:p>
    <w:p w14:paraId="166743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1A31C3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1.数据采集。利用传感、自动识别、系统读取、工业控制数据解析等数据采集技术，将专用设备的性能参数、运行状态和环境状态等信息转化为数字形式，实现对专用设备信息的监测和采集。 </w:t>
      </w:r>
    </w:p>
    <w:p w14:paraId="637D07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68A4F8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2.数据传输和存储。利用网络连接、协议转换、数据存储等数据传输和管理技术，将采集的专用设备数据传输和存储，实现对专用设备采集数据的有效汇集。 </w:t>
      </w:r>
    </w:p>
    <w:p w14:paraId="51ABB3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52CB56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3.数据分析。利用数据计算处理、统计分析、建模仿真等数据分析技术，对采集的专用设备信息进行深度分析，实现专用设备故障诊断、预测维护、优化运行等方面的改进。 </w:t>
      </w:r>
    </w:p>
    <w:p w14:paraId="46CC88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2BA75F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4.智能控制。利用自动化技术和智能化技术，对专用设备监测告警、动态调参、反馈控制等功能进行升级，实现专用设备的智能化控制。 </w:t>
      </w:r>
    </w:p>
    <w:p w14:paraId="18A2D9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6E974D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5.数字安全与防护。利用数据加密、漏洞扫描、权限控制、冗余备份等数据和网络安全技术，对专用设备的数据机密性和完整性进行强化，实现专用设备数据和网络安全风险防控能力的明显提升。 </w:t>
      </w:r>
    </w:p>
    <w:p w14:paraId="11942D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590EA1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6.国务院财政、税务主管部门会同科技、工业和信息化部门规定的其他数字化、智能化改造情形。 </w:t>
      </w:r>
    </w:p>
    <w:p w14:paraId="306E60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553B9C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四、享受本公告税收优惠的改造投入，是指企业对专用设备数字化、智能化改造过程中发生的并形成该专用设备固定资产价值的支出，但不包括按有关规定退还的增值税税款以及专用设备运输、安装和调试等费用。 </w:t>
      </w:r>
    </w:p>
    <w:p w14:paraId="5DAFCC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745A5D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五、本公告所称企业所得税应纳税额，是指企业当年的应纳税所得额乘以适用税率，扣除依照企业所得税法和有关税收优惠政策规定减征、免征税额后的余额。 </w:t>
      </w:r>
    </w:p>
    <w:p w14:paraId="56EAFA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188758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六、享受本公告规定的税收优惠政策企业，应当自身实际使用改造后的专用设备。企业在专用设备改造完成后五个纳税年度内转让、出租的，应在该专用设备停止使用当月停止享受优惠，并补缴已经抵免的企业所得税税款。 </w:t>
      </w:r>
    </w:p>
    <w:p w14:paraId="1881D6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4C66B9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七、承租方企业以融资租赁方式租入的、并在融资租赁合同中约定租赁期届满时租赁设备所有权转移给承租方企业的专用设备，承租方企业发生的专用设备数字化、智能化改造投入，可按本公告规定享受优惠。如融资租赁期届满后租赁设备所有权未转移至承租方企业的，承租方企业应停止享受优惠，并补缴已经抵免的企业所得税税款。 </w:t>
      </w:r>
    </w:p>
    <w:p w14:paraId="42B4D5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537E3E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八、企业利用财政拨款资金进行的专用设备数字化、智能化改造投入，不得抵免企业当年的企业所得税应纳税额。 </w:t>
      </w:r>
    </w:p>
    <w:p w14:paraId="6F0721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57C85F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九、企业应对专用设备数字化、智能化改造投入进行单独核算，准确、合理归集各项支出；企业在一个纳税年度内对多个专用设备进行数字化、智能化改造的，应按照不同的专用设备分别归集相关支出。对相关支出划分不清的，不得享受本公告规定的税收优惠政策。 </w:t>
      </w:r>
    </w:p>
    <w:p w14:paraId="40A8A4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5EBACB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十、企业享受本公告规定的税收优惠政策，应事先制定专用设备数字化、智能化改造方案，或取得经技术合同认定登记机构登记的技术开发合同或技术服务合同，相关资料留存备查。税务部门在政策执行过程中，不能准确判断是否属于专用设备数字化、智能化改造的，可提请地市级（含）以上工业和信息化部门会同科技部门等鉴定。 </w:t>
      </w:r>
    </w:p>
    <w:p w14:paraId="656C2C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40E4D2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特此公告。 </w:t>
      </w:r>
    </w:p>
    <w:p w14:paraId="7E77E8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41CB49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财政部    税务总局</w:t>
      </w:r>
    </w:p>
    <w:p w14:paraId="432F92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微软雅黑" w:hAnsi="微软雅黑" w:eastAsia="微软雅黑" w:cs="微软雅黑"/>
          <w:i w:val="0"/>
          <w:iCs w:val="0"/>
          <w:caps w:val="0"/>
          <w:color w:val="333333"/>
          <w:spacing w:val="0"/>
          <w:sz w:val="27"/>
          <w:szCs w:val="27"/>
        </w:rPr>
      </w:pPr>
    </w:p>
    <w:p w14:paraId="711F8A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2024年7月12日</w:t>
      </w:r>
    </w:p>
    <w:p w14:paraId="0A2A18E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5MWJiM2FmMWU1MTM4NjJhYjI3ODMxZjFhODhmMmEifQ=="/>
  </w:docVars>
  <w:rsids>
    <w:rsidRoot w:val="00000000"/>
    <w:rsid w:val="301B2EE4"/>
    <w:rsid w:val="3F87652A"/>
    <w:rsid w:val="46A24CF0"/>
    <w:rsid w:val="6C705F6D"/>
    <w:rsid w:val="6DCF4F15"/>
    <w:rsid w:val="70716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bCs/>
    </w:rPr>
  </w:style>
  <w:style w:type="character" w:styleId="7">
    <w:name w:val="FollowedHyperlink"/>
    <w:basedOn w:val="5"/>
    <w:uiPriority w:val="0"/>
    <w:rPr>
      <w:color w:val="000000"/>
      <w:u w:val="none"/>
    </w:rPr>
  </w:style>
  <w:style w:type="character" w:styleId="8">
    <w:name w:val="Hyperlink"/>
    <w:basedOn w:val="5"/>
    <w:uiPriority w:val="0"/>
    <w:rPr>
      <w:color w:val="00000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209</Words>
  <Characters>216</Characters>
  <Lines>0</Lines>
  <Paragraphs>0</Paragraphs>
  <TotalTime>1</TotalTime>
  <ScaleCrop>false</ScaleCrop>
  <LinksUpToDate>false</LinksUpToDate>
  <CharactersWithSpaces>235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2024-08-07T01:40:00Z</dcterms:created>
  <dc:creator>Administrator</dc:creator>
  <cp:lastModifiedBy>soil</cp:lastModifiedBy>
  <dcterms:modified xsi:type="dcterms:W3CDTF">2024-10-21T06:32:54Z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97D3AD193AFA4F3FA18BF1766F6B672B_13</vt:lpwstr>
  </property>
</Properties>
</file>