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6" w:lineRule="exact"/>
        <w:jc w:val="center"/>
        <w:rPr>
          <w:rFonts w:hint="eastAsia" w:ascii="黑体" w:hAnsi="黑体" w:eastAsia="黑体"/>
          <w:sz w:val="44"/>
          <w:szCs w:val="36"/>
        </w:rPr>
      </w:pPr>
      <w:r>
        <w:rPr>
          <w:rFonts w:hint="eastAsia" w:ascii="黑体" w:hAnsi="宋体" w:eastAsia="黑体" w:cs="Times New Roman"/>
          <w:b/>
          <w:bCs/>
          <w:sz w:val="44"/>
          <w:szCs w:val="44"/>
          <w:lang w:val="en-US" w:eastAsia="zh-CN"/>
        </w:rPr>
        <w:t>安义县发展和改革委员会</w:t>
      </w: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b/>
          <w:bCs/>
          <w:sz w:val="44"/>
          <w:szCs w:val="44"/>
          <w:lang w:val="en-US" w:eastAsia="zh-CN"/>
        </w:rPr>
        <w:t>2022年度单位预算说明</w:t>
      </w:r>
    </w:p>
    <w:p>
      <w:pPr>
        <w:spacing w:line="540" w:lineRule="exact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目    录</w:t>
      </w:r>
    </w:p>
    <w:p>
      <w:pPr>
        <w:widowControl/>
        <w:spacing w:line="54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</w:p>
    <w:p>
      <w:pPr>
        <w:widowControl/>
        <w:spacing w:line="540" w:lineRule="exact"/>
        <w:ind w:firstLine="562" w:firstLineChars="200"/>
        <w:jc w:val="left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第一部分  安义县</w:t>
      </w:r>
      <w:r>
        <w:rPr>
          <w:rFonts w:hint="eastAsia" w:ascii="黑体" w:hAnsi="黑体" w:eastAsia="黑体" w:cs="Times New Roman"/>
          <w:b/>
          <w:sz w:val="28"/>
          <w:szCs w:val="28"/>
        </w:rPr>
        <w:t>发展和改革委员会</w:t>
      </w:r>
      <w:r>
        <w:rPr>
          <w:rFonts w:hint="eastAsia" w:ascii="黑体" w:hAnsi="黑体" w:eastAsia="黑体"/>
          <w:b/>
          <w:sz w:val="28"/>
          <w:szCs w:val="28"/>
        </w:rPr>
        <w:t>概况</w:t>
      </w:r>
    </w:p>
    <w:p>
      <w:pPr>
        <w:widowControl/>
        <w:spacing w:line="540" w:lineRule="exact"/>
        <w:ind w:firstLine="1150" w:firstLineChars="411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一、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单位</w:t>
      </w:r>
      <w:r>
        <w:rPr>
          <w:rFonts w:hint="eastAsia" w:ascii="仿宋_GB2312" w:hAnsi="仿宋" w:eastAsia="仿宋_GB2312"/>
          <w:sz w:val="28"/>
          <w:szCs w:val="28"/>
        </w:rPr>
        <w:t>主要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职责</w:t>
      </w:r>
    </w:p>
    <w:p>
      <w:pPr>
        <w:widowControl/>
        <w:spacing w:line="540" w:lineRule="exact"/>
        <w:ind w:firstLine="1150" w:firstLineChars="411"/>
        <w:jc w:val="left"/>
        <w:rPr>
          <w:rFonts w:hint="eastAsia"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</w:rPr>
        <w:t>二、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eastAsia="zh-CN"/>
        </w:rPr>
        <w:t>单位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基本情况</w:t>
      </w:r>
    </w:p>
    <w:p>
      <w:pPr>
        <w:widowControl/>
        <w:spacing w:line="540" w:lineRule="exact"/>
        <w:ind w:firstLine="562" w:firstLineChars="200"/>
        <w:jc w:val="left"/>
        <w:rPr>
          <w:rFonts w:hint="eastAsia" w:ascii="黑体" w:hAnsi="黑体" w:eastAsia="黑体" w:cs="Times New Roman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第二部分  </w:t>
      </w:r>
      <w:r>
        <w:rPr>
          <w:rFonts w:hint="eastAsia" w:ascii="黑体" w:hAnsi="黑体" w:eastAsia="黑体" w:cs="Times New Roman"/>
          <w:b/>
          <w:sz w:val="28"/>
          <w:szCs w:val="28"/>
          <w:lang w:eastAsia="zh-CN"/>
        </w:rPr>
        <w:t>安义县发展和改革委员会</w:t>
      </w:r>
      <w:r>
        <w:rPr>
          <w:rFonts w:hint="eastAsia" w:ascii="黑体" w:hAnsi="黑体" w:eastAsia="黑体" w:cs="Times New Roman"/>
          <w:b/>
          <w:sz w:val="28"/>
          <w:szCs w:val="28"/>
          <w:lang w:val="en-US" w:eastAsia="zh-CN"/>
        </w:rPr>
        <w:t>2022</w:t>
      </w:r>
      <w:r>
        <w:rPr>
          <w:rFonts w:hint="eastAsia" w:ascii="黑体" w:hAnsi="黑体" w:eastAsia="黑体" w:cs="Times New Roman"/>
          <w:b/>
          <w:sz w:val="28"/>
          <w:szCs w:val="28"/>
          <w:lang w:eastAsia="zh-CN"/>
        </w:rPr>
        <w:t>年度单位预算表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一、《收支预算总表》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二、《</w:t>
      </w:r>
      <w:r>
        <w:rPr>
          <w:rFonts w:hint="eastAsia" w:ascii="楷体_GB2312" w:eastAsia="楷体_GB2312"/>
          <w:color w:val="000000"/>
          <w:sz w:val="32"/>
          <w:szCs w:val="30"/>
          <w:lang w:eastAsia="zh-CN"/>
        </w:rPr>
        <w:t>单位</w:t>
      </w:r>
      <w:r>
        <w:rPr>
          <w:rFonts w:hint="eastAsia" w:ascii="楷体_GB2312" w:eastAsia="楷体_GB2312"/>
          <w:color w:val="000000"/>
          <w:sz w:val="32"/>
          <w:szCs w:val="30"/>
        </w:rPr>
        <w:t>收入总表》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三、《</w:t>
      </w:r>
      <w:r>
        <w:rPr>
          <w:rFonts w:hint="eastAsia" w:ascii="楷体_GB2312" w:eastAsia="楷体_GB2312"/>
          <w:color w:val="000000"/>
          <w:sz w:val="32"/>
          <w:szCs w:val="30"/>
          <w:lang w:eastAsia="zh-CN"/>
        </w:rPr>
        <w:t>单位</w:t>
      </w:r>
      <w:r>
        <w:rPr>
          <w:rFonts w:hint="eastAsia" w:ascii="楷体_GB2312" w:eastAsia="楷体_GB2312"/>
          <w:color w:val="000000"/>
          <w:sz w:val="32"/>
          <w:szCs w:val="30"/>
        </w:rPr>
        <w:t>支出总表》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四、《财政拨款收支总表》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五、《一般公共预算支出表》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六、《一般公共预算基本支出表》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七、《一般公共预算“三公”经费支出表》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八、《政府性基金预算支出表》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九、《国有资本经营预算支出表》</w:t>
      </w:r>
    </w:p>
    <w:p>
      <w:pPr>
        <w:widowControl/>
        <w:spacing w:line="60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十、《</w:t>
      </w:r>
      <w:r>
        <w:rPr>
          <w:rFonts w:hint="eastAsia" w:ascii="楷体_GB2312" w:eastAsia="楷体_GB2312"/>
          <w:color w:val="000000"/>
          <w:sz w:val="32"/>
          <w:szCs w:val="30"/>
          <w:lang w:eastAsia="zh-CN"/>
        </w:rPr>
        <w:t>单位</w:t>
      </w:r>
      <w:r>
        <w:rPr>
          <w:rFonts w:hint="eastAsia" w:ascii="楷体_GB2312" w:eastAsia="楷体_GB2312"/>
          <w:color w:val="000000"/>
          <w:sz w:val="32"/>
          <w:szCs w:val="30"/>
        </w:rPr>
        <w:t>整体支出绩效目标表》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楷体_GB2312" w:eastAsia="楷体_GB2312"/>
          <w:color w:val="000000"/>
          <w:sz w:val="32"/>
          <w:szCs w:val="30"/>
        </w:rPr>
        <w:t>十一、《重点项目绩效目标表》</w:t>
      </w:r>
    </w:p>
    <w:p>
      <w:pPr>
        <w:widowControl/>
        <w:spacing w:line="540" w:lineRule="exact"/>
        <w:ind w:firstLine="562" w:firstLineChars="200"/>
        <w:jc w:val="left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  <w:lang w:eastAsia="zh-CN"/>
        </w:rPr>
        <w:t xml:space="preserve">第三部分  </w:t>
      </w:r>
      <w:r>
        <w:rPr>
          <w:rFonts w:hint="eastAsia" w:ascii="黑体" w:hAnsi="黑体" w:eastAsia="黑体"/>
          <w:b/>
          <w:sz w:val="28"/>
          <w:szCs w:val="28"/>
        </w:rPr>
        <w:t>安义县</w:t>
      </w:r>
      <w:r>
        <w:rPr>
          <w:rFonts w:hint="eastAsia" w:ascii="黑体" w:hAnsi="黑体" w:eastAsia="黑体" w:cs="Times New Roman"/>
          <w:b/>
          <w:sz w:val="28"/>
          <w:szCs w:val="28"/>
        </w:rPr>
        <w:t>发展和改革委员会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2022</w:t>
      </w:r>
      <w:r>
        <w:rPr>
          <w:rFonts w:hint="eastAsia" w:ascii="黑体" w:hAnsi="黑体" w:eastAsia="黑体"/>
          <w:b/>
          <w:sz w:val="28"/>
          <w:szCs w:val="28"/>
        </w:rPr>
        <w:t>年度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单位预</w:t>
      </w:r>
      <w:r>
        <w:rPr>
          <w:rFonts w:hint="eastAsia" w:ascii="黑体" w:hAnsi="黑体" w:eastAsia="黑体"/>
          <w:b/>
          <w:sz w:val="28"/>
          <w:szCs w:val="28"/>
        </w:rPr>
        <w:t>算情况说明</w:t>
      </w:r>
    </w:p>
    <w:p>
      <w:pPr>
        <w:widowControl/>
        <w:numPr>
          <w:ilvl w:val="0"/>
          <w:numId w:val="1"/>
        </w:numPr>
        <w:spacing w:line="540" w:lineRule="exact"/>
        <w:ind w:firstLine="1150" w:firstLineChars="411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2022年单位预算收支情况</w:t>
      </w:r>
      <w:r>
        <w:rPr>
          <w:rFonts w:hint="eastAsia" w:ascii="仿宋_GB2312" w:hAnsi="仿宋" w:eastAsia="仿宋_GB2312"/>
          <w:sz w:val="28"/>
          <w:szCs w:val="28"/>
        </w:rPr>
        <w:t>说明</w:t>
      </w:r>
    </w:p>
    <w:p>
      <w:pPr>
        <w:widowControl/>
        <w:numPr>
          <w:ilvl w:val="0"/>
          <w:numId w:val="0"/>
        </w:numPr>
        <w:spacing w:line="540" w:lineRule="exact"/>
        <w:jc w:val="left"/>
        <w:rPr>
          <w:rFonts w:hint="eastAsia" w:ascii="楷体_GB2312" w:eastAsia="楷体_GB2312"/>
          <w:color w:val="000000"/>
          <w:sz w:val="32"/>
          <w:szCs w:val="30"/>
        </w:rPr>
      </w:pP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" w:eastAsia="仿宋_GB2312"/>
          <w:sz w:val="28"/>
          <w:szCs w:val="28"/>
        </w:rPr>
        <w:t>二、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2022年“三公”经费预</w:t>
      </w:r>
      <w:r>
        <w:rPr>
          <w:rFonts w:hint="eastAsia" w:ascii="仿宋_GB2312" w:hAnsi="仿宋" w:eastAsia="仿宋_GB2312"/>
          <w:sz w:val="28"/>
          <w:szCs w:val="28"/>
        </w:rPr>
        <w:t>算情况说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明</w:t>
      </w:r>
    </w:p>
    <w:p>
      <w:pPr>
        <w:widowControl/>
        <w:spacing w:line="540" w:lineRule="exact"/>
        <w:ind w:firstLine="562" w:firstLineChars="200"/>
        <w:jc w:val="left"/>
        <w:rPr>
          <w:rFonts w:hint="eastAsia" w:ascii="黑体" w:hAnsi="黑体" w:eastAsia="黑体" w:cs="Times New Roman"/>
          <w:b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b/>
          <w:sz w:val="28"/>
          <w:szCs w:val="28"/>
          <w:lang w:eastAsia="zh-CN"/>
        </w:rPr>
        <w:t>第四部分 名词解释</w:t>
      </w: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line="576" w:lineRule="exact"/>
        <w:jc w:val="both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第一部分：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安义县</w:t>
      </w: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发展和改革委员会</w:t>
      </w:r>
      <w:r>
        <w:rPr>
          <w:rFonts w:hint="eastAsia" w:ascii="黑体" w:hAnsi="宋体" w:eastAsia="黑体"/>
          <w:sz w:val="32"/>
          <w:szCs w:val="32"/>
        </w:rPr>
        <w:t>概况</w:t>
      </w:r>
    </w:p>
    <w:p>
      <w:pPr>
        <w:widowControl/>
        <w:spacing w:line="576" w:lineRule="exact"/>
        <w:jc w:val="both"/>
        <w:rPr>
          <w:rFonts w:hint="eastAsia" w:ascii="黑体" w:hAnsi="宋体" w:eastAsia="黑体"/>
          <w:sz w:val="32"/>
          <w:szCs w:val="32"/>
        </w:rPr>
      </w:pPr>
    </w:p>
    <w:p>
      <w:pPr>
        <w:numPr>
          <w:ilvl w:val="0"/>
          <w:numId w:val="2"/>
        </w:numPr>
        <w:spacing w:line="576" w:lineRule="exact"/>
        <w:ind w:firstLine="560" w:firstLineChars="20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单位</w:t>
      </w:r>
      <w:r>
        <w:rPr>
          <w:rFonts w:hint="eastAsia" w:ascii="黑体" w:hAnsi="黑体" w:eastAsia="黑体"/>
          <w:sz w:val="28"/>
          <w:szCs w:val="28"/>
        </w:rPr>
        <w:t>主要职责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（1）拟订并组织实施全县国民经济和社会发展战略、中长期规划和年度计划，协调相关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_GB2312"/>
          <w:sz w:val="32"/>
          <w:szCs w:val="32"/>
        </w:rPr>
        <w:t>和单位拟定并组织实施全县行业、产业和区域规划。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（2）协调产业和社会事业发展的政策和重大问题；组织协调开展争取国家、省、市重大经济政策支持工作。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（3）跟踪、分析全县经济运行情况，及时提出调控政策建议。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4）提出全县年度固定资产投资项目建设计划；统筹安排县级重大重点项目和政府主导投资项目计划；审批政府性投资建设项目，核准和备案社会投资项目，审查和上报权限外建设项目可行性报告、初步设计、节能评估报告等项目前期材料；负责对全县各类项目进行全过程监督管理、协调服务，开展项目验收工作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（5）开展全县工程项目招投标核准工作，并对其过程进行指导、协调、监督和管理。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（6）协调拟订经济体制改革方案，会同有关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_GB2312"/>
          <w:sz w:val="32"/>
          <w:szCs w:val="32"/>
        </w:rPr>
        <w:t>做好有关专项经济体制改革之间的衔接，指导推进经济体制改革工作。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7）负责节能的综合协调工作，组织拟订发展循环经济、全社会能源资源节约和综合利用规划及政策措施并协调实施，协调推进全县低碳经济发展和低碳城市建设工作；负责县本级公共机构节能监督管理工作，具体承办县公共机构节能领导小组的日常工作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（8）研究全县人口规模、趋势、素质、结构等人口重大问题，提出本县人口发展战略，编制人口中、长期发展规划和年度计划。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（9）负责全县的价格管理（不含药品和医疗服务价格管理）工作，根据定价权限和管理范围，制订和调整在全县执行的政府定价、政府指导价。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（10）负责全县的行政事业性、经营服务性收费项目标准的管理，开展收费报告工作。</w:t>
      </w:r>
    </w:p>
    <w:p>
      <w:pPr>
        <w:spacing w:line="58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（11）负责价格听证和价格调节基金管理工作，开展价格认定、成本审核、价格信息监测工作。</w:t>
      </w:r>
    </w:p>
    <w:p>
      <w:pPr>
        <w:numPr>
          <w:ilvl w:val="0"/>
          <w:numId w:val="0"/>
        </w:numPr>
        <w:spacing w:line="576" w:lineRule="exact"/>
        <w:ind w:firstLine="640" w:firstLineChars="20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仿宋" w:hAnsi="仿宋" w:eastAsia="仿宋" w:cs="仿宋_GB2312"/>
          <w:sz w:val="32"/>
          <w:szCs w:val="32"/>
        </w:rPr>
        <w:t>（12）完成县委、县政府交办的其它任务。</w:t>
      </w:r>
    </w:p>
    <w:p>
      <w:pPr>
        <w:spacing w:line="576" w:lineRule="exact"/>
        <w:ind w:firstLine="560" w:firstLineChars="20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  <w:lang w:eastAsia="zh-CN"/>
        </w:rPr>
        <w:t>单位</w:t>
      </w:r>
      <w:r>
        <w:rPr>
          <w:rFonts w:hint="eastAsia" w:ascii="黑体" w:hAnsi="黑体" w:eastAsia="黑体"/>
          <w:sz w:val="28"/>
          <w:szCs w:val="28"/>
        </w:rPr>
        <w:t>基本情况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</w:t>
      </w:r>
    </w:p>
    <w:p>
      <w:pPr>
        <w:ind w:firstLine="63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纳入本套</w:t>
      </w:r>
      <w:r>
        <w:rPr>
          <w:rFonts w:hint="eastAsia" w:ascii="仿宋" w:hAnsi="仿宋" w:eastAsia="仿宋"/>
          <w:sz w:val="30"/>
          <w:szCs w:val="30"/>
          <w:lang w:eastAsia="zh-CN"/>
        </w:rPr>
        <w:t>单位</w:t>
      </w:r>
      <w:r>
        <w:rPr>
          <w:rFonts w:hint="eastAsia" w:ascii="仿宋" w:hAnsi="仿宋" w:eastAsia="仿宋"/>
          <w:sz w:val="30"/>
          <w:szCs w:val="30"/>
        </w:rPr>
        <w:t>决算汇编范围的独立核算单位共</w:t>
      </w:r>
      <w:r>
        <w:rPr>
          <w:rFonts w:hint="eastAsia" w:ascii="仿宋" w:hAnsi="仿宋" w:eastAsia="仿宋" w:cs="仿宋_GB2312"/>
          <w:sz w:val="32"/>
          <w:szCs w:val="32"/>
        </w:rPr>
        <w:t>1个，为安义县发展和改革委员会本级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ind w:firstLine="63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</w:t>
      </w:r>
      <w:r>
        <w:rPr>
          <w:rFonts w:hint="eastAsia" w:ascii="仿宋" w:hAnsi="仿宋" w:eastAsia="仿宋"/>
          <w:sz w:val="30"/>
          <w:szCs w:val="30"/>
          <w:lang w:eastAsia="zh-CN"/>
        </w:rPr>
        <w:t>单位</w:t>
      </w:r>
      <w:r>
        <w:rPr>
          <w:rFonts w:hint="eastAsia"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/>
          <w:sz w:val="30"/>
          <w:szCs w:val="30"/>
        </w:rPr>
        <w:t>年年末职工人数</w:t>
      </w:r>
      <w:r>
        <w:rPr>
          <w:rFonts w:hint="eastAsia" w:ascii="仿宋" w:hAnsi="仿宋" w:eastAsia="仿宋" w:cs="仿宋_GB2312"/>
          <w:sz w:val="32"/>
          <w:szCs w:val="32"/>
        </w:rPr>
        <w:t>25人，其中：行政编制1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人，全额补助事业编制6人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自收自支1人</w:t>
      </w:r>
      <w:r>
        <w:rPr>
          <w:rFonts w:hint="eastAsia" w:ascii="仿宋" w:hAnsi="仿宋" w:eastAsia="仿宋" w:cs="仿宋_GB2312"/>
          <w:sz w:val="32"/>
          <w:szCs w:val="32"/>
        </w:rPr>
        <w:t>；</w:t>
      </w:r>
      <w:r>
        <w:rPr>
          <w:rFonts w:hint="eastAsia" w:ascii="仿宋" w:hAnsi="仿宋" w:eastAsia="仿宋"/>
          <w:sz w:val="30"/>
          <w:szCs w:val="30"/>
        </w:rPr>
        <w:t>其中在职人员</w:t>
      </w:r>
      <w:r>
        <w:rPr>
          <w:rFonts w:hint="eastAsia" w:ascii="仿宋" w:hAnsi="仿宋" w:eastAsia="仿宋" w:cs="仿宋_GB2312"/>
          <w:sz w:val="32"/>
          <w:szCs w:val="32"/>
        </w:rPr>
        <w:t>43人，其中：在职人数2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人，包括行政人员18人、全额补助事业人员6人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自收自支1人</w:t>
      </w:r>
      <w:r>
        <w:rPr>
          <w:rFonts w:hint="eastAsia" w:ascii="仿宋" w:hAnsi="仿宋" w:eastAsia="仿宋" w:cs="仿宋_GB2312"/>
          <w:sz w:val="32"/>
          <w:szCs w:val="32"/>
        </w:rPr>
        <w:t>；退休人员19人。</w:t>
      </w:r>
    </w:p>
    <w:p>
      <w:pPr>
        <w:spacing w:line="560" w:lineRule="exact"/>
        <w:ind w:left="420" w:leftChars="200" w:firstLine="640" w:firstLineChars="200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</w:pPr>
    </w:p>
    <w:p>
      <w:pPr>
        <w:spacing w:line="560" w:lineRule="exact"/>
        <w:ind w:left="420" w:leftChars="200" w:firstLine="640" w:firstLineChars="200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</w:pP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</w:rPr>
        <w:t>第二部分：</w:t>
      </w: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安义县发展和改革委员会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2022年单位预算表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0" w:lineRule="auto"/>
        <w:jc w:val="left"/>
        <w:textAlignment w:val="auto"/>
      </w:pPr>
      <w:r>
        <w:drawing>
          <wp:inline distT="0" distB="0" distL="114300" distR="114300">
            <wp:extent cx="5396230" cy="6523355"/>
            <wp:effectExtent l="0" t="0" r="1270" b="0"/>
            <wp:docPr id="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52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6230" cy="1361440"/>
            <wp:effectExtent l="0" t="0" r="1270" b="0"/>
            <wp:docPr id="2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8135" cy="1340485"/>
            <wp:effectExtent l="0" t="0" r="12065" b="0"/>
            <wp:docPr id="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0515" cy="6165215"/>
            <wp:effectExtent l="0" t="0" r="6985" b="0"/>
            <wp:docPr id="4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616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4960" cy="1523365"/>
            <wp:effectExtent l="0" t="0" r="2540" b="0"/>
            <wp:docPr id="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6230" cy="5215890"/>
            <wp:effectExtent l="0" t="0" r="1270" b="0"/>
            <wp:docPr id="6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21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4325" cy="1054100"/>
            <wp:effectExtent l="0" t="0" r="3175" b="0"/>
            <wp:docPr id="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2420" cy="1111885"/>
            <wp:effectExtent l="0" t="0" r="5080" b="0"/>
            <wp:docPr id="8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0" w:lineRule="auto"/>
        <w:jc w:val="left"/>
        <w:textAlignment w:val="auto"/>
      </w:pPr>
      <w:r>
        <w:drawing>
          <wp:inline distT="0" distB="0" distL="114300" distR="114300">
            <wp:extent cx="5396865" cy="1271905"/>
            <wp:effectExtent l="0" t="0" r="635" b="10795"/>
            <wp:docPr id="9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drawing>
          <wp:inline distT="0" distB="0" distL="114300" distR="114300">
            <wp:extent cx="5392420" cy="8819515"/>
            <wp:effectExtent l="0" t="0" r="5080" b="6985"/>
            <wp:docPr id="1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81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394325" cy="4811395"/>
            <wp:effectExtent l="0" t="0" r="3175" b="1905"/>
            <wp:docPr id="1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76" w:lineRule="exact"/>
        <w:ind w:firstLine="640" w:firstLineChars="200"/>
        <w:jc w:val="left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>
      <w:pPr>
        <w:widowControl/>
        <w:spacing w:line="576" w:lineRule="exact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宋体" w:eastAsia="黑体"/>
          <w:sz w:val="32"/>
          <w:szCs w:val="32"/>
        </w:rPr>
        <w:t>部分：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安义县</w:t>
      </w: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发展和改革委员会20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22</w:t>
      </w:r>
      <w:r>
        <w:rPr>
          <w:rFonts w:hint="eastAsia" w:ascii="黑体" w:hAnsi="宋体" w:eastAsia="黑体"/>
          <w:sz w:val="32"/>
          <w:szCs w:val="32"/>
        </w:rPr>
        <w:t>年</w:t>
      </w:r>
      <w:r>
        <w:rPr>
          <w:rFonts w:hint="eastAsia" w:ascii="黑体" w:hAnsi="宋体" w:eastAsia="黑体"/>
          <w:sz w:val="32"/>
          <w:szCs w:val="32"/>
          <w:lang w:eastAsia="zh-CN"/>
        </w:rPr>
        <w:t>单位</w:t>
      </w:r>
      <w:r>
        <w:rPr>
          <w:rFonts w:hint="eastAsia" w:ascii="黑体" w:hAnsi="宋体" w:eastAsia="黑体"/>
          <w:sz w:val="32"/>
          <w:szCs w:val="32"/>
        </w:rPr>
        <w:t>预算情况说明</w:t>
      </w:r>
    </w:p>
    <w:p>
      <w:pPr>
        <w:spacing w:line="576" w:lineRule="exact"/>
        <w:ind w:firstLine="560" w:firstLineChars="20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一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2022</w:t>
      </w:r>
      <w:r>
        <w:rPr>
          <w:rFonts w:hint="eastAsia" w:ascii="黑体" w:hAnsi="黑体" w:eastAsia="黑体"/>
          <w:sz w:val="28"/>
          <w:szCs w:val="28"/>
        </w:rPr>
        <w:t>年</w:t>
      </w:r>
      <w:r>
        <w:rPr>
          <w:rFonts w:hint="eastAsia" w:ascii="黑体" w:hAnsi="黑体" w:eastAsia="黑体"/>
          <w:sz w:val="28"/>
          <w:szCs w:val="28"/>
          <w:lang w:eastAsia="zh-CN"/>
        </w:rPr>
        <w:t>单位</w:t>
      </w:r>
      <w:r>
        <w:rPr>
          <w:rFonts w:hint="eastAsia" w:ascii="黑体" w:hAnsi="黑体" w:eastAsia="黑体"/>
          <w:sz w:val="28"/>
          <w:szCs w:val="28"/>
        </w:rPr>
        <w:t>预算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收支</w:t>
      </w:r>
      <w:r>
        <w:rPr>
          <w:rFonts w:hint="eastAsia" w:ascii="黑体" w:hAnsi="黑体" w:eastAsia="黑体"/>
          <w:sz w:val="28"/>
          <w:szCs w:val="28"/>
        </w:rPr>
        <w:t>情况说明</w:t>
      </w:r>
    </w:p>
    <w:p>
      <w:pPr>
        <w:numPr>
          <w:ilvl w:val="0"/>
          <w:numId w:val="0"/>
        </w:numPr>
        <w:spacing w:line="560" w:lineRule="exact"/>
        <w:ind w:left="0" w:leftChars="0" w:firstLine="641" w:firstLineChars="228"/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收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入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预算情况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</w:p>
    <w:p>
      <w:pPr>
        <w:spacing w:line="560" w:lineRule="exact"/>
        <w:ind w:left="0" w:leftChars="0" w:firstLine="638" w:firstLineChars="228"/>
        <w:rPr>
          <w:rFonts w:hint="default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2022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安义县发展和改革委员会收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</w:rPr>
        <w:t>入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预算总额为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495.99万元。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其中：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一般公共预算拨款收入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495.99万元。较上年预算减少70.19万元，下降11.71%。</w:t>
      </w:r>
    </w:p>
    <w:p>
      <w:pPr>
        <w:spacing w:line="560" w:lineRule="exact"/>
        <w:ind w:left="0" w:leftChars="0" w:firstLine="641" w:firstLineChars="228"/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）支出预算情况</w:t>
      </w:r>
    </w:p>
    <w:p>
      <w:pPr>
        <w:spacing w:line="560" w:lineRule="exact"/>
        <w:ind w:left="0" w:leftChars="0" w:firstLine="729" w:firstLineChars="228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安义县发展和改革委员会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支出预算总额为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495.99万元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较上年预算安排减少70.19万元。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其中：</w:t>
      </w:r>
    </w:p>
    <w:p>
      <w:pPr>
        <w:spacing w:line="560" w:lineRule="exact"/>
        <w:ind w:left="0" w:leftChars="0" w:firstLine="729" w:firstLineChars="228"/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按支出项目类别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</w:rPr>
        <w:t>划分：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工资福利支出260.43万元，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较上年预算减少185.55万元。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商品和服务支出141.81万元，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较上年预算增加70.89万元。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对个人和家庭的补助63.75万元，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较上年预算增加63.47万元。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资本性支出30万元，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较上年预算减少19万元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spacing w:line="560" w:lineRule="exact"/>
        <w:ind w:left="0" w:leftChars="0" w:firstLine="729" w:firstLineChars="228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按支出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功能科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目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</w:rPr>
        <w:t>划分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行政运行440.41万元，机关事业单位基本养老保险缴费支出20.22万元，行政单位医疗20.19万元，住房公积金15.17万元。</w:t>
      </w:r>
    </w:p>
    <w:p>
      <w:pPr>
        <w:spacing w:line="560" w:lineRule="exact"/>
        <w:ind w:left="0" w:leftChars="0" w:firstLine="641" w:firstLineChars="228"/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（三）财政拨款支出情况</w:t>
      </w:r>
    </w:p>
    <w:p>
      <w:pPr>
        <w:spacing w:line="560" w:lineRule="exact"/>
        <w:ind w:left="0" w:leftChars="0" w:firstLine="729" w:firstLineChars="228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安义县发展和改革委员会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财政拨款支出预算总额495.99万元。较上年预算安排减少70.19万元。</w:t>
      </w:r>
      <w:bookmarkStart w:id="0" w:name="_GoBack"/>
      <w:bookmarkEnd w:id="0"/>
    </w:p>
    <w:p>
      <w:pPr>
        <w:numPr>
          <w:ilvl w:val="0"/>
          <w:numId w:val="3"/>
        </w:numPr>
        <w:spacing w:line="560" w:lineRule="exact"/>
        <w:ind w:left="0" w:leftChars="0" w:firstLine="641" w:firstLineChars="228"/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政府采购情况</w:t>
      </w:r>
    </w:p>
    <w:p>
      <w:pPr>
        <w:numPr>
          <w:ilvl w:val="0"/>
          <w:numId w:val="0"/>
        </w:numPr>
        <w:spacing w:line="560" w:lineRule="exact"/>
        <w:rPr>
          <w:rFonts w:hint="default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    2022年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安义县发展和改革委员会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采购预算安排支出30万元，其中：办公设备采购30万元。</w:t>
      </w:r>
    </w:p>
    <w:p>
      <w:pPr>
        <w:spacing w:line="576" w:lineRule="exact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二、2022年“三公”经费预算说明情况</w:t>
      </w:r>
    </w:p>
    <w:p>
      <w:pPr>
        <w:spacing w:line="576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  <w:lang w:val="en-US" w:eastAsia="zh-CN"/>
        </w:rPr>
        <w:t>2022年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安义县发展和改革委员会</w:t>
      </w: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  <w:lang w:val="en-US" w:eastAsia="zh-CN"/>
        </w:rPr>
        <w:t>“三公”经费预算合计5.4万元，其中:公务接待5.4万元。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spacing w:line="576" w:lineRule="exact"/>
        <w:ind w:firstLine="640" w:firstLineChars="200"/>
        <w:jc w:val="center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宋体" w:eastAsia="黑体"/>
          <w:sz w:val="32"/>
          <w:szCs w:val="32"/>
        </w:rPr>
        <w:t>部分：</w:t>
      </w:r>
      <w:r>
        <w:rPr>
          <w:rFonts w:hint="eastAsia" w:ascii="黑体" w:hAnsi="宋体" w:eastAsia="黑体"/>
          <w:sz w:val="32"/>
          <w:szCs w:val="32"/>
          <w:lang w:eastAsia="zh-CN"/>
        </w:rPr>
        <w:t>名词解释</w:t>
      </w:r>
    </w:p>
    <w:p>
      <w:pPr>
        <w:pStyle w:val="2"/>
        <w:rPr>
          <w:rFonts w:hint="eastAsia"/>
          <w:vertAlign w:val="subscript"/>
          <w:lang w:eastAsia="zh-CN"/>
        </w:rPr>
      </w:pPr>
    </w:p>
    <w:p>
      <w:pPr>
        <w:ind w:firstLine="643" w:firstLineChars="200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收入预算：</w:t>
      </w:r>
      <w:r>
        <w:rPr>
          <w:rFonts w:hint="eastAsia" w:ascii="仿宋_GB2312" w:eastAsia="仿宋_GB2312"/>
          <w:sz w:val="32"/>
          <w:szCs w:val="32"/>
        </w:rPr>
        <w:t>是指各项税收、国有资产经营收益、政府收费和其他收入。</w:t>
      </w:r>
    </w:p>
    <w:p>
      <w:pPr>
        <w:ind w:firstLine="643" w:firstLineChars="200"/>
        <w:rPr>
          <w:rFonts w:hint="default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工资福利支出</w:t>
      </w:r>
      <w:r>
        <w:rPr>
          <w:rFonts w:hint="default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：反映单位开支的在职职工和编制外长期聘用人员的各类劳动报酬，以及为上述人员缴纳的各项保险费等。</w:t>
      </w:r>
    </w:p>
    <w:p>
      <w:pPr>
        <w:ind w:firstLine="643" w:firstLineChars="200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三公经费：</w:t>
      </w:r>
      <w:r>
        <w:rPr>
          <w:rFonts w:hint="default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指政府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单位</w:t>
      </w:r>
      <w:r>
        <w:rPr>
          <w:rFonts w:hint="default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人员因公出国（境）经费、公务车购置及运行费、公务招待费产生的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经</w:t>
      </w:r>
      <w:r>
        <w:rPr>
          <w:rFonts w:hint="default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费</w:t>
      </w: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   </w:t>
      </w:r>
    </w:p>
    <w:p>
      <w:pPr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sectPr>
      <w:footerReference r:id="rId3" w:type="default"/>
      <w:pgSz w:w="11906" w:h="16838"/>
      <w:pgMar w:top="1418" w:right="1701" w:bottom="1418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6FE8EE"/>
    <w:multiLevelType w:val="singleLevel"/>
    <w:tmpl w:val="B76FE8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86477FE"/>
    <w:multiLevelType w:val="singleLevel"/>
    <w:tmpl w:val="586477FE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8649A8A"/>
    <w:multiLevelType w:val="singleLevel"/>
    <w:tmpl w:val="58649A8A"/>
    <w:lvl w:ilvl="0" w:tentative="0">
      <w:start w:val="4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YTJlZGEyNGQ5OGVjNGQzNDNlOWJmYTBjMWU2MTAifQ=="/>
  </w:docVars>
  <w:rsids>
    <w:rsidRoot w:val="00172A27"/>
    <w:rsid w:val="022515CB"/>
    <w:rsid w:val="039570E6"/>
    <w:rsid w:val="059E2141"/>
    <w:rsid w:val="05F05CE8"/>
    <w:rsid w:val="061F5A10"/>
    <w:rsid w:val="07492634"/>
    <w:rsid w:val="09601C51"/>
    <w:rsid w:val="097019DF"/>
    <w:rsid w:val="0A28668E"/>
    <w:rsid w:val="0CF75865"/>
    <w:rsid w:val="0E9916E4"/>
    <w:rsid w:val="19914A12"/>
    <w:rsid w:val="1DC019F5"/>
    <w:rsid w:val="21EC6212"/>
    <w:rsid w:val="220423A9"/>
    <w:rsid w:val="249B545C"/>
    <w:rsid w:val="2556689B"/>
    <w:rsid w:val="2A2071EB"/>
    <w:rsid w:val="2B44197D"/>
    <w:rsid w:val="3BFE502D"/>
    <w:rsid w:val="3EFA1314"/>
    <w:rsid w:val="411D6F13"/>
    <w:rsid w:val="414C3333"/>
    <w:rsid w:val="42D02DDD"/>
    <w:rsid w:val="47185003"/>
    <w:rsid w:val="49820A05"/>
    <w:rsid w:val="4DD3218A"/>
    <w:rsid w:val="4F8F1309"/>
    <w:rsid w:val="57BD000E"/>
    <w:rsid w:val="58567077"/>
    <w:rsid w:val="589F55E8"/>
    <w:rsid w:val="62DA17EF"/>
    <w:rsid w:val="65A2009C"/>
    <w:rsid w:val="732D1352"/>
    <w:rsid w:val="73C172E7"/>
    <w:rsid w:val="747A64CD"/>
    <w:rsid w:val="750914F2"/>
    <w:rsid w:val="7A13078E"/>
    <w:rsid w:val="7A3D60B5"/>
    <w:rsid w:val="7AE64C64"/>
    <w:rsid w:val="7C03173F"/>
    <w:rsid w:val="7C6735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FollowedHyperlink"/>
    <w:basedOn w:val="5"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  <w:rPr>
      <w:i/>
    </w:rPr>
  </w:style>
  <w:style w:type="character" w:styleId="9">
    <w:name w:val="HTML Acronym"/>
    <w:basedOn w:val="5"/>
    <w:qFormat/>
    <w:uiPriority w:val="0"/>
  </w:style>
  <w:style w:type="character" w:styleId="10">
    <w:name w:val="Hyperlink"/>
    <w:basedOn w:val="5"/>
    <w:qFormat/>
    <w:uiPriority w:val="0"/>
    <w:rPr>
      <w:color w:val="333333"/>
      <w:u w:val="none"/>
    </w:rPr>
  </w:style>
  <w:style w:type="character" w:customStyle="1" w:styleId="11">
    <w:name w:val="de_sl"/>
    <w:basedOn w:val="5"/>
    <w:uiPriority w:val="0"/>
  </w:style>
  <w:style w:type="character" w:customStyle="1" w:styleId="12">
    <w:name w:val="datetime"/>
    <w:basedOn w:val="5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13">
    <w:name w:val="de_sr"/>
    <w:basedOn w:val="5"/>
    <w:qFormat/>
    <w:uiPriority w:val="0"/>
  </w:style>
  <w:style w:type="character" w:customStyle="1" w:styleId="14">
    <w:name w:val="positions"/>
    <w:basedOn w:val="5"/>
    <w:qFormat/>
    <w:uiPriority w:val="0"/>
    <w:rPr>
      <w:color w:val="999999"/>
      <w:sz w:val="21"/>
      <w:szCs w:val="21"/>
    </w:rPr>
  </w:style>
  <w:style w:type="character" w:customStyle="1" w:styleId="15">
    <w:name w:val="name"/>
    <w:basedOn w:val="5"/>
    <w:qFormat/>
    <w:uiPriority w:val="0"/>
    <w:rPr>
      <w:b/>
      <w:sz w:val="24"/>
      <w:szCs w:val="24"/>
    </w:rPr>
  </w:style>
  <w:style w:type="paragraph" w:customStyle="1" w:styleId="16">
    <w:name w:val="无间隔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1.emf"/><Relationship Id="rId14" Type="http://schemas.openxmlformats.org/officeDocument/2006/relationships/image" Target="media/image10.emf"/><Relationship Id="rId13" Type="http://schemas.openxmlformats.org/officeDocument/2006/relationships/image" Target="media/image9.emf"/><Relationship Id="rId12" Type="http://schemas.openxmlformats.org/officeDocument/2006/relationships/image" Target="media/image8.emf"/><Relationship Id="rId11" Type="http://schemas.openxmlformats.org/officeDocument/2006/relationships/image" Target="media/image7.emf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1760</Words>
  <Characters>1899</Characters>
  <Lines>0</Lines>
  <Paragraphs>0</Paragraphs>
  <TotalTime>1</TotalTime>
  <ScaleCrop>false</ScaleCrop>
  <LinksUpToDate>false</LinksUpToDate>
  <CharactersWithSpaces>1928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lenovo11</dc:creator>
  <cp:lastModifiedBy>张大大大敏</cp:lastModifiedBy>
  <cp:lastPrinted>2016-12-30T07:48:00Z</cp:lastPrinted>
  <dcterms:modified xsi:type="dcterms:W3CDTF">2022-05-30T09:31:36Z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01212DDB314F489F8168AEC5B467DE75</vt:lpwstr>
  </property>
</Properties>
</file>