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Lines="0" w:afterLines="0" w:line="560" w:lineRule="exact"/>
        <w:jc w:val="left"/>
        <w:rPr>
          <w:rFonts w:hint="eastAsia" w:ascii="黑体" w:hAnsi="Times New Roman" w:eastAsia="黑体"/>
          <w:kern w:val="0"/>
          <w:sz w:val="21"/>
        </w:rPr>
      </w:pPr>
      <w:r>
        <w:rPr>
          <w:rFonts w:hint="eastAsia" w:ascii="黑体" w:hAnsi="Times New Roman" w:eastAsia="黑体"/>
          <w:kern w:val="0"/>
          <w:sz w:val="32"/>
        </w:rPr>
        <w:t>附件1：</w:t>
      </w:r>
    </w:p>
    <w:p>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bookmarkStart w:id="0" w:name="_GoBack"/>
      <w:r>
        <w:rPr>
          <w:rFonts w:hint="eastAsia" w:ascii="方正小标宋简体" w:hAnsi="方正小标宋简体" w:eastAsia="方正小标宋简体"/>
          <w:kern w:val="0"/>
          <w:sz w:val="32"/>
          <w:lang w:eastAsia="zh-CN"/>
        </w:rPr>
        <w:t>安义县发展和改革委员会</w:t>
      </w:r>
      <w:r>
        <w:rPr>
          <w:rFonts w:hint="eastAsia" w:ascii="方正小标宋简体" w:hAnsi="方正小标宋简体" w:eastAsia="方正小标宋简体"/>
          <w:kern w:val="0"/>
          <w:sz w:val="32"/>
        </w:rPr>
        <w:t>部门整体支出绩效自评报告</w:t>
      </w:r>
    </w:p>
    <w:bookmarkEnd w:id="0"/>
    <w:p>
      <w:pPr>
        <w:autoSpaceDE w:val="0"/>
        <w:autoSpaceDN w:val="0"/>
        <w:adjustRightInd w:val="0"/>
        <w:spacing w:beforeLines="0" w:afterLines="0" w:line="560" w:lineRule="exact"/>
        <w:jc w:val="center"/>
        <w:rPr>
          <w:rFonts w:hint="eastAsia" w:ascii="楷体_GB2312" w:eastAsia="楷体_GB2312"/>
          <w:kern w:val="0"/>
          <w:sz w:val="21"/>
        </w:rPr>
      </w:pPr>
      <w:r>
        <w:rPr>
          <w:rFonts w:hint="eastAsia" w:ascii="楷体_GB2312" w:hAnsi="Times New Roman" w:eastAsia="楷体_GB2312"/>
          <w:kern w:val="0"/>
          <w:sz w:val="32"/>
        </w:rPr>
        <w:t>（</w:t>
      </w:r>
      <w:r>
        <w:rPr>
          <w:rFonts w:hint="eastAsia" w:ascii="楷体_GB2312" w:hAnsi="Times New Roman" w:eastAsia="楷体_GB2312"/>
          <w:kern w:val="0"/>
          <w:sz w:val="32"/>
          <w:lang w:val="en-US" w:eastAsia="zh-CN"/>
        </w:rPr>
        <w:t>2023</w:t>
      </w:r>
      <w:r>
        <w:rPr>
          <w:rFonts w:hint="eastAsia" w:ascii="楷体_GB2312" w:hAnsi="Times New Roman" w:eastAsia="楷体_GB2312"/>
          <w:kern w:val="0"/>
          <w:sz w:val="32"/>
        </w:rPr>
        <w:t>年度）</w:t>
      </w:r>
    </w:p>
    <w:p>
      <w:pPr>
        <w:numPr>
          <w:ilvl w:val="0"/>
          <w:numId w:val="1"/>
        </w:numPr>
        <w:autoSpaceDE w:val="0"/>
        <w:autoSpaceDN w:val="0"/>
        <w:adjustRightInd w:val="0"/>
        <w:spacing w:beforeLines="0" w:afterLines="0" w:line="560" w:lineRule="exact"/>
        <w:ind w:firstLine="640" w:firstLineChars="200"/>
        <w:jc w:val="left"/>
        <w:rPr>
          <w:rFonts w:hint="eastAsia" w:ascii="黑体" w:hAnsi="Times New Roman" w:eastAsia="黑体"/>
          <w:kern w:val="0"/>
          <w:sz w:val="32"/>
        </w:rPr>
      </w:pPr>
      <w:r>
        <w:rPr>
          <w:rFonts w:hint="eastAsia" w:ascii="黑体" w:hAnsi="Times New Roman" w:eastAsia="黑体"/>
          <w:kern w:val="0"/>
          <w:sz w:val="32"/>
        </w:rPr>
        <w:t>部门概况</w:t>
      </w:r>
    </w:p>
    <w:p>
      <w:pPr>
        <w:pStyle w:val="2"/>
        <w:numPr>
          <w:ilvl w:val="0"/>
          <w:numId w:val="0"/>
        </w:numPr>
        <w:rPr>
          <w:rFonts w:hint="eastAsia" w:ascii="仿宋_GB2312" w:hAnsi="Times New Roman" w:eastAsia="仿宋_GB2312"/>
          <w:b/>
          <w:bCs/>
          <w:kern w:val="0"/>
          <w:sz w:val="32"/>
        </w:rPr>
      </w:pPr>
      <w:r>
        <w:rPr>
          <w:rFonts w:hint="eastAsia"/>
          <w:lang w:val="en-US" w:eastAsia="zh-CN"/>
        </w:rPr>
        <w:t xml:space="preserve">      </w:t>
      </w:r>
      <w:r>
        <w:rPr>
          <w:rFonts w:hint="eastAsia"/>
          <w:b/>
          <w:bCs/>
          <w:lang w:val="en-US" w:eastAsia="zh-CN"/>
        </w:rPr>
        <w:t xml:space="preserve"> </w:t>
      </w:r>
      <w:r>
        <w:rPr>
          <w:rFonts w:hint="eastAsia" w:ascii="仿宋_GB2312" w:hAnsi="Times New Roman" w:eastAsia="仿宋_GB2312"/>
          <w:b/>
          <w:bCs/>
          <w:kern w:val="0"/>
          <w:sz w:val="32"/>
        </w:rPr>
        <w:t>部门主要职责职能</w:t>
      </w:r>
    </w:p>
    <w:p>
      <w:pPr>
        <w:pStyle w:val="2"/>
        <w:numPr>
          <w:ilvl w:val="0"/>
          <w:numId w:val="0"/>
        </w:numPr>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（1）拟订并组织实施全县国民经济和社会发展战略、中长期规划和年度计划，协调相关</w:t>
      </w:r>
      <w:r>
        <w:rPr>
          <w:rFonts w:hint="eastAsia" w:ascii="仿宋" w:hAnsi="仿宋" w:eastAsia="仿宋" w:cs="仿宋_GB2312"/>
          <w:sz w:val="32"/>
          <w:szCs w:val="32"/>
          <w:lang w:eastAsia="zh-CN"/>
        </w:rPr>
        <w:t>部门</w:t>
      </w:r>
      <w:r>
        <w:rPr>
          <w:rFonts w:hint="eastAsia" w:ascii="仿宋" w:hAnsi="仿宋" w:eastAsia="仿宋" w:cs="仿宋_GB2312"/>
          <w:sz w:val="32"/>
          <w:szCs w:val="32"/>
        </w:rPr>
        <w:t>和单位拟定并组织实施全县行业、产业和区域规划。</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（2）协调产业和社会事业发展的政策和重大问题；组织协调开展争取国家、省、市重大经济政策支持工作。</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（3）跟踪、分析全县经济运行情况，及时提出调控政策建议。</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4）提出全县年度固定资产投资项目建设计划；统筹安排县级重大重点项目和政府主导投资项目计划；审批政府性投资建设项目，核准和备案社会投资项目，审查和上报权限外建设项目可行性报告、初步设计、节能评估报告等项目前期材料；负责对全县各类项目进行全过程监督管理、协调服务，开展项目验收工作。</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（5）开展全县工程项目招投标核准工作，并对其过程进行指导、协调、监督和管理。</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（6）协调拟订经济体制改革方案，会同有关</w:t>
      </w:r>
      <w:r>
        <w:rPr>
          <w:rFonts w:hint="eastAsia" w:ascii="仿宋" w:hAnsi="仿宋" w:eastAsia="仿宋" w:cs="仿宋_GB2312"/>
          <w:sz w:val="32"/>
          <w:szCs w:val="32"/>
          <w:lang w:eastAsia="zh-CN"/>
        </w:rPr>
        <w:t>部门</w:t>
      </w:r>
      <w:r>
        <w:rPr>
          <w:rFonts w:hint="eastAsia" w:ascii="仿宋" w:hAnsi="仿宋" w:eastAsia="仿宋" w:cs="仿宋_GB2312"/>
          <w:sz w:val="32"/>
          <w:szCs w:val="32"/>
        </w:rPr>
        <w:t>做好有关专项经济体制改革之间的衔接，指导推进经济体制改革工作。</w:t>
      </w:r>
    </w:p>
    <w:p>
      <w:pPr>
        <w:autoSpaceDE w:val="0"/>
        <w:autoSpaceDN w:val="0"/>
        <w:adjustRightInd w:val="0"/>
        <w:spacing w:beforeLines="0" w:afterLines="0"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（7）负责节能的综合协调工作，组织拟订发展循环经济、</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全社会能源资源节约和综合利用规划及政策措施并协调实施，协调推进全县低碳经济发展和低碳城市建设工作；负责县本级公共机构节能监督管理工作，具体承办县公共机构节能领导小组的日常工作。</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（8）研究全县人口规模、趋势、素质、结构等人口重大问题，提出本县人口发展战略，编制人口中、长期发展规划和年度计划。</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（9）负责全县的价格管理（不含药品和医疗服务价格管理）工作，根据定价权限和管理范围，制订和调整在全县执行的政府定价、政府指导价。</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（10）负责全县的行政事业性、经营服务性收费项目标准的管理，开展收费报告工作。</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（11）负责价格听证和价格调节基金管理工作，开展价格认定、成本审核、价格信息监测工作。</w:t>
      </w:r>
    </w:p>
    <w:p>
      <w:pPr>
        <w:numPr>
          <w:ilvl w:val="0"/>
          <w:numId w:val="0"/>
        </w:numPr>
        <w:spacing w:line="576"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（12）完成县委、县政府交办的其它任务。</w:t>
      </w:r>
    </w:p>
    <w:p>
      <w:pPr>
        <w:autoSpaceDE w:val="0"/>
        <w:autoSpaceDN w:val="0"/>
        <w:adjustRightInd w:val="0"/>
        <w:spacing w:beforeLines="0" w:afterLines="0" w:line="560" w:lineRule="exact"/>
        <w:ind w:firstLine="643" w:firstLineChars="200"/>
        <w:jc w:val="left"/>
        <w:rPr>
          <w:rFonts w:hint="eastAsia"/>
          <w:b/>
          <w:bCs/>
        </w:rPr>
      </w:pPr>
      <w:r>
        <w:rPr>
          <w:rFonts w:hint="eastAsia" w:ascii="仿宋_GB2312" w:hAnsi="Times New Roman" w:eastAsia="仿宋_GB2312"/>
          <w:b/>
          <w:bCs/>
          <w:kern w:val="0"/>
          <w:sz w:val="32"/>
          <w:lang w:eastAsia="zh-CN"/>
        </w:rPr>
        <w:t>部门机构设置及人员</w:t>
      </w:r>
      <w:r>
        <w:rPr>
          <w:rFonts w:hint="eastAsia" w:ascii="仿宋_GB2312" w:hAnsi="Times New Roman" w:eastAsia="仿宋_GB2312"/>
          <w:b/>
          <w:bCs/>
          <w:kern w:val="0"/>
          <w:sz w:val="32"/>
        </w:rPr>
        <w:t>情况</w:t>
      </w:r>
    </w:p>
    <w:p>
      <w:pPr>
        <w:widowControl/>
        <w:spacing w:line="600" w:lineRule="exact"/>
        <w:ind w:firstLine="640"/>
        <w:jc w:val="left"/>
        <w:rPr>
          <w:rFonts w:hint="eastAsia" w:ascii="仿宋_GB2312" w:hAnsi="Times New Roman" w:eastAsia="仿宋_GB2312" w:cs="Times New Roman"/>
          <w:b w:val="0"/>
          <w:bCs w:val="0"/>
          <w:kern w:val="2"/>
          <w:sz w:val="32"/>
          <w:szCs w:val="32"/>
          <w:lang w:val="en-US" w:eastAsia="zh-CN" w:bidi="ar-SA"/>
        </w:rPr>
      </w:pP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年安义县</w:t>
      </w:r>
      <w:r>
        <w:rPr>
          <w:rFonts w:hint="eastAsia" w:ascii="仿宋_GB2312" w:eastAsia="仿宋_GB2312"/>
          <w:sz w:val="32"/>
          <w:szCs w:val="32"/>
          <w:lang w:val="en-US" w:eastAsia="zh-CN"/>
        </w:rPr>
        <w:t>发展和改革委员会单位内设股室8个</w:t>
      </w:r>
      <w:r>
        <w:rPr>
          <w:rFonts w:hint="eastAsia" w:ascii="仿宋_GB2312" w:hAnsi="Times New Roman" w:eastAsia="仿宋_GB2312" w:cs="Times New Roman"/>
          <w:sz w:val="32"/>
          <w:szCs w:val="32"/>
          <w:lang w:val="en-US" w:eastAsia="zh-CN"/>
        </w:rPr>
        <w:t>，包括：办公室、综合计划股（经济运行监测股）、项目管理股、产业协调股、能源环资股、审批服务股、物价管理股、粮食管理股。</w:t>
      </w:r>
    </w:p>
    <w:p>
      <w:pPr>
        <w:widowControl/>
        <w:spacing w:line="600" w:lineRule="exact"/>
        <w:ind w:firstLine="640"/>
        <w:jc w:val="left"/>
        <w:rPr>
          <w:rFonts w:hint="eastAsia"/>
        </w:rPr>
      </w:pPr>
      <w:r>
        <w:rPr>
          <w:rFonts w:hint="eastAsia" w:ascii="仿宋_GB2312" w:eastAsia="仿宋_GB2312"/>
          <w:sz w:val="32"/>
          <w:szCs w:val="32"/>
        </w:rPr>
        <w:t>编制人数小计</w:t>
      </w:r>
      <w:r>
        <w:rPr>
          <w:rFonts w:hint="eastAsia" w:ascii="仿宋_GB2312" w:eastAsia="仿宋_GB2312"/>
          <w:sz w:val="32"/>
          <w:szCs w:val="32"/>
          <w:lang w:val="en-US" w:eastAsia="zh-CN"/>
        </w:rPr>
        <w:t>20</w:t>
      </w:r>
      <w:r>
        <w:rPr>
          <w:rFonts w:hint="eastAsia" w:ascii="仿宋_GB2312" w:eastAsia="仿宋_GB2312"/>
          <w:sz w:val="32"/>
          <w:szCs w:val="32"/>
        </w:rPr>
        <w:t>人，其中：行政编制</w:t>
      </w:r>
      <w:r>
        <w:rPr>
          <w:rFonts w:hint="eastAsia" w:ascii="仿宋_GB2312" w:eastAsia="仿宋_GB2312"/>
          <w:sz w:val="32"/>
          <w:szCs w:val="32"/>
          <w:lang w:val="en-US" w:eastAsia="zh-CN"/>
        </w:rPr>
        <w:t>16</w:t>
      </w:r>
      <w:r>
        <w:rPr>
          <w:rFonts w:hint="eastAsia" w:ascii="仿宋_GB2312" w:eastAsia="仿宋_GB2312"/>
          <w:sz w:val="32"/>
          <w:szCs w:val="32"/>
        </w:rPr>
        <w:t>人、</w:t>
      </w:r>
      <w:r>
        <w:rPr>
          <w:rFonts w:hint="eastAsia" w:ascii="仿宋_GB2312" w:eastAsia="仿宋_GB2312"/>
          <w:color w:val="333333"/>
          <w:sz w:val="32"/>
          <w:szCs w:val="32"/>
        </w:rPr>
        <w:t>参照公务员管理的事业编制</w:t>
      </w:r>
      <w:r>
        <w:rPr>
          <w:rFonts w:hint="eastAsia" w:ascii="仿宋_GB2312" w:eastAsia="仿宋_GB2312"/>
          <w:sz w:val="32"/>
          <w:szCs w:val="32"/>
          <w:lang w:val="en-US" w:eastAsia="zh-CN"/>
        </w:rPr>
        <w:t>4</w:t>
      </w:r>
      <w:r>
        <w:rPr>
          <w:rFonts w:hint="eastAsia" w:ascii="仿宋_GB2312" w:eastAsia="仿宋_GB2312"/>
          <w:sz w:val="32"/>
          <w:szCs w:val="32"/>
        </w:rPr>
        <w:t>人、全部补助事业编制</w:t>
      </w:r>
      <w:r>
        <w:rPr>
          <w:rFonts w:hint="eastAsia" w:ascii="仿宋_GB2312" w:eastAsia="仿宋_GB2312"/>
          <w:sz w:val="32"/>
          <w:szCs w:val="32"/>
          <w:lang w:val="en-US" w:eastAsia="zh-CN"/>
        </w:rPr>
        <w:t>0</w:t>
      </w:r>
      <w:r>
        <w:rPr>
          <w:rFonts w:hint="eastAsia" w:ascii="仿宋_GB2312" w:eastAsia="仿宋_GB2312"/>
          <w:sz w:val="32"/>
          <w:szCs w:val="32"/>
        </w:rPr>
        <w:t>人、部分补助事业编制</w:t>
      </w:r>
      <w:r>
        <w:rPr>
          <w:rFonts w:hint="eastAsia" w:ascii="仿宋_GB2312" w:eastAsia="仿宋_GB2312"/>
          <w:sz w:val="32"/>
          <w:szCs w:val="32"/>
          <w:lang w:val="en-US" w:eastAsia="zh-CN"/>
        </w:rPr>
        <w:t>0</w:t>
      </w:r>
      <w:r>
        <w:rPr>
          <w:rFonts w:hint="eastAsia" w:ascii="仿宋_GB2312" w:eastAsia="仿宋_GB2312"/>
          <w:sz w:val="32"/>
          <w:szCs w:val="32"/>
        </w:rPr>
        <w:t>人、自收自支事业编制</w:t>
      </w:r>
      <w:r>
        <w:rPr>
          <w:rFonts w:hint="eastAsia" w:ascii="仿宋_GB2312" w:eastAsia="仿宋_GB2312"/>
          <w:sz w:val="32"/>
          <w:szCs w:val="32"/>
          <w:lang w:val="en-US" w:eastAsia="zh-CN"/>
        </w:rPr>
        <w:t>0</w:t>
      </w:r>
      <w:r>
        <w:rPr>
          <w:rFonts w:hint="eastAsia" w:ascii="仿宋_GB2312" w:eastAsia="仿宋_GB2312"/>
          <w:sz w:val="32"/>
          <w:szCs w:val="32"/>
        </w:rPr>
        <w:t>人。实有人数</w:t>
      </w:r>
      <w:r>
        <w:rPr>
          <w:rFonts w:hint="eastAsia" w:ascii="仿宋_GB2312" w:eastAsia="仿宋_GB2312"/>
          <w:sz w:val="32"/>
          <w:szCs w:val="32"/>
          <w:lang w:val="en-US" w:eastAsia="zh-CN"/>
        </w:rPr>
        <w:t>79</w:t>
      </w:r>
      <w:r>
        <w:rPr>
          <w:rFonts w:hint="eastAsia" w:ascii="仿宋_GB2312" w:eastAsia="仿宋_GB2312"/>
          <w:sz w:val="32"/>
          <w:szCs w:val="32"/>
        </w:rPr>
        <w:t>人，其中：在职人数小计</w:t>
      </w:r>
      <w:r>
        <w:rPr>
          <w:rFonts w:hint="eastAsia" w:ascii="仿宋_GB2312" w:eastAsia="仿宋_GB2312"/>
          <w:sz w:val="32"/>
          <w:szCs w:val="32"/>
          <w:lang w:val="en-US" w:eastAsia="zh-CN"/>
        </w:rPr>
        <w:t>35</w:t>
      </w:r>
      <w:r>
        <w:rPr>
          <w:rFonts w:hint="eastAsia" w:ascii="仿宋_GB2312" w:eastAsia="仿宋_GB2312"/>
          <w:sz w:val="32"/>
          <w:szCs w:val="32"/>
        </w:rPr>
        <w:t>人，包括行政人员</w:t>
      </w:r>
      <w:r>
        <w:rPr>
          <w:rFonts w:hint="eastAsia" w:ascii="仿宋_GB2312" w:eastAsia="仿宋_GB2312"/>
          <w:sz w:val="32"/>
          <w:szCs w:val="32"/>
          <w:lang w:val="en-US" w:eastAsia="zh-CN"/>
        </w:rPr>
        <w:t>25</w:t>
      </w:r>
      <w:r>
        <w:rPr>
          <w:rFonts w:hint="eastAsia" w:ascii="仿宋_GB2312" w:eastAsia="仿宋_GB2312"/>
          <w:sz w:val="32"/>
          <w:szCs w:val="32"/>
        </w:rPr>
        <w:t>人、参照公务员管理的事业编制</w:t>
      </w:r>
      <w:r>
        <w:rPr>
          <w:rFonts w:hint="eastAsia" w:ascii="仿宋_GB2312" w:eastAsia="仿宋_GB2312"/>
          <w:sz w:val="32"/>
          <w:szCs w:val="32"/>
          <w:lang w:val="en-US" w:eastAsia="zh-CN"/>
        </w:rPr>
        <w:t>9</w:t>
      </w:r>
      <w:r>
        <w:rPr>
          <w:rFonts w:hint="eastAsia" w:ascii="仿宋_GB2312" w:eastAsia="仿宋_GB2312"/>
          <w:sz w:val="32"/>
          <w:szCs w:val="32"/>
        </w:rPr>
        <w:t>人、全部补助事业人员</w:t>
      </w:r>
      <w:r>
        <w:rPr>
          <w:rFonts w:hint="eastAsia" w:ascii="仿宋_GB2312" w:eastAsia="仿宋_GB2312"/>
          <w:sz w:val="32"/>
          <w:szCs w:val="32"/>
          <w:lang w:val="en-US" w:eastAsia="zh-CN"/>
        </w:rPr>
        <w:t>0</w:t>
      </w:r>
      <w:r>
        <w:rPr>
          <w:rFonts w:hint="eastAsia" w:ascii="仿宋_GB2312" w:eastAsia="仿宋_GB2312"/>
          <w:sz w:val="32"/>
          <w:szCs w:val="32"/>
        </w:rPr>
        <w:t>人、部分补助事业人员</w:t>
      </w:r>
      <w:r>
        <w:rPr>
          <w:rFonts w:hint="eastAsia" w:ascii="仿宋_GB2312" w:eastAsia="仿宋_GB2312"/>
          <w:sz w:val="32"/>
          <w:szCs w:val="32"/>
          <w:lang w:val="en-US" w:eastAsia="zh-CN"/>
        </w:rPr>
        <w:t>0</w:t>
      </w:r>
      <w:r>
        <w:rPr>
          <w:rFonts w:hint="eastAsia" w:ascii="仿宋_GB2312" w:eastAsia="仿宋_GB2312"/>
          <w:sz w:val="32"/>
          <w:szCs w:val="32"/>
        </w:rPr>
        <w:t>人、自收自支事业人员</w:t>
      </w:r>
      <w:r>
        <w:rPr>
          <w:rFonts w:hint="eastAsia" w:ascii="仿宋_GB2312" w:eastAsia="仿宋_GB2312"/>
          <w:sz w:val="32"/>
          <w:szCs w:val="32"/>
          <w:lang w:val="en-US" w:eastAsia="zh-CN"/>
        </w:rPr>
        <w:t>1</w:t>
      </w:r>
      <w:r>
        <w:rPr>
          <w:rFonts w:hint="eastAsia" w:ascii="仿宋_GB2312" w:eastAsia="仿宋_GB2312"/>
          <w:sz w:val="32"/>
          <w:szCs w:val="32"/>
        </w:rPr>
        <w:t>人；离休人数小计</w:t>
      </w:r>
      <w:r>
        <w:rPr>
          <w:rFonts w:hint="eastAsia" w:ascii="仿宋_GB2312" w:eastAsia="仿宋_GB2312"/>
          <w:sz w:val="32"/>
          <w:szCs w:val="32"/>
          <w:lang w:val="en-US" w:eastAsia="zh-CN"/>
        </w:rPr>
        <w:t>0</w:t>
      </w:r>
      <w:r>
        <w:rPr>
          <w:rFonts w:hint="eastAsia" w:ascii="仿宋_GB2312" w:eastAsia="仿宋_GB2312"/>
          <w:sz w:val="32"/>
          <w:szCs w:val="32"/>
        </w:rPr>
        <w:t>人；退休人员小计</w:t>
      </w:r>
      <w:r>
        <w:rPr>
          <w:rFonts w:hint="eastAsia" w:ascii="仿宋_GB2312" w:eastAsia="仿宋_GB2312"/>
          <w:sz w:val="32"/>
          <w:szCs w:val="32"/>
          <w:lang w:val="en-US" w:eastAsia="zh-CN"/>
        </w:rPr>
        <w:t>44</w:t>
      </w:r>
      <w:r>
        <w:rPr>
          <w:rFonts w:hint="eastAsia" w:ascii="仿宋_GB2312" w:eastAsia="仿宋_GB2312"/>
          <w:sz w:val="32"/>
          <w:szCs w:val="32"/>
        </w:rPr>
        <w:t>人。遗属人数</w:t>
      </w:r>
      <w:r>
        <w:rPr>
          <w:rFonts w:hint="eastAsia" w:ascii="仿宋_GB2312" w:eastAsia="仿宋_GB2312"/>
          <w:sz w:val="32"/>
          <w:szCs w:val="32"/>
          <w:lang w:val="en-US" w:eastAsia="zh-CN"/>
        </w:rPr>
        <w:t>0</w:t>
      </w:r>
      <w:r>
        <w:rPr>
          <w:rFonts w:hint="eastAsia" w:ascii="仿宋_GB2312" w:eastAsia="仿宋_GB2312"/>
          <w:sz w:val="32"/>
          <w:szCs w:val="32"/>
        </w:rPr>
        <w:t>人。在校学生</w:t>
      </w:r>
      <w:r>
        <w:rPr>
          <w:rFonts w:hint="eastAsia" w:ascii="仿宋_GB2312" w:eastAsia="仿宋_GB2312"/>
          <w:sz w:val="32"/>
          <w:szCs w:val="32"/>
          <w:lang w:val="en-US" w:eastAsia="zh-CN"/>
        </w:rPr>
        <w:t>0</w:t>
      </w:r>
      <w:r>
        <w:rPr>
          <w:rFonts w:hint="eastAsia" w:ascii="仿宋_GB2312" w:eastAsia="仿宋_GB2312"/>
          <w:sz w:val="32"/>
          <w:szCs w:val="32"/>
        </w:rPr>
        <w:t>人，其中：高等学校</w:t>
      </w:r>
      <w:r>
        <w:rPr>
          <w:rFonts w:hint="eastAsia" w:ascii="仿宋_GB2312" w:eastAsia="仿宋_GB2312"/>
          <w:sz w:val="32"/>
          <w:szCs w:val="32"/>
          <w:lang w:val="en-US" w:eastAsia="zh-CN"/>
        </w:rPr>
        <w:t>0</w:t>
      </w:r>
      <w:r>
        <w:rPr>
          <w:rFonts w:hint="eastAsia" w:ascii="仿宋_GB2312" w:eastAsia="仿宋_GB2312"/>
          <w:sz w:val="32"/>
          <w:szCs w:val="32"/>
        </w:rPr>
        <w:t>人、中等专业学校</w:t>
      </w:r>
      <w:r>
        <w:rPr>
          <w:rFonts w:hint="eastAsia" w:ascii="仿宋_GB2312" w:eastAsia="仿宋_GB2312"/>
          <w:sz w:val="32"/>
          <w:szCs w:val="32"/>
          <w:lang w:val="en-US" w:eastAsia="zh-CN"/>
        </w:rPr>
        <w:t>0</w:t>
      </w:r>
      <w:r>
        <w:rPr>
          <w:rFonts w:hint="eastAsia" w:ascii="仿宋_GB2312" w:eastAsia="仿宋_GB2312"/>
          <w:sz w:val="32"/>
          <w:szCs w:val="32"/>
        </w:rPr>
        <w:t>人，其他</w:t>
      </w:r>
      <w:r>
        <w:rPr>
          <w:rFonts w:hint="eastAsia" w:ascii="仿宋_GB2312" w:eastAsia="仿宋_GB2312"/>
          <w:sz w:val="32"/>
          <w:szCs w:val="32"/>
          <w:lang w:val="en-US" w:eastAsia="zh-CN"/>
        </w:rPr>
        <w:t>0</w:t>
      </w:r>
      <w:r>
        <w:rPr>
          <w:rFonts w:hint="eastAsia" w:ascii="仿宋_GB2312" w:eastAsia="仿宋_GB2312"/>
          <w:sz w:val="32"/>
          <w:szCs w:val="32"/>
        </w:rPr>
        <w:t>人。</w:t>
      </w:r>
    </w:p>
    <w:p>
      <w:pPr>
        <w:autoSpaceDE w:val="0"/>
        <w:autoSpaceDN w:val="0"/>
        <w:adjustRightInd w:val="0"/>
        <w:spacing w:beforeLines="0" w:afterLines="0" w:line="560" w:lineRule="exact"/>
        <w:ind w:firstLine="640" w:firstLineChars="200"/>
        <w:jc w:val="left"/>
        <w:rPr>
          <w:rFonts w:hint="eastAsia" w:ascii="黑体" w:hAnsi="Times New Roman" w:eastAsia="黑体"/>
          <w:kern w:val="0"/>
          <w:sz w:val="21"/>
        </w:rPr>
      </w:pPr>
      <w:r>
        <w:rPr>
          <w:rFonts w:hint="eastAsia" w:ascii="黑体" w:hAnsi="Times New Roman" w:eastAsia="黑体"/>
          <w:kern w:val="0"/>
          <w:sz w:val="32"/>
        </w:rPr>
        <w:t>二、部门整体支出绩效实现情况</w:t>
      </w:r>
    </w:p>
    <w:tbl>
      <w:tblPr>
        <w:tblStyle w:val="4"/>
        <w:tblW w:w="90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62"/>
        <w:gridCol w:w="187"/>
        <w:gridCol w:w="857"/>
        <w:gridCol w:w="1369"/>
        <w:gridCol w:w="846"/>
        <w:gridCol w:w="612"/>
        <w:gridCol w:w="839"/>
        <w:gridCol w:w="608"/>
        <w:gridCol w:w="605"/>
        <w:gridCol w:w="1235"/>
        <w:gridCol w:w="8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4" w:hRule="atLeast"/>
        </w:trPr>
        <w:tc>
          <w:tcPr>
            <w:tcW w:w="9037" w:type="dxa"/>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部门整体支出绩效自评表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037" w:type="dxa"/>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评价部门名称</w:t>
            </w:r>
          </w:p>
        </w:tc>
        <w:tc>
          <w:tcPr>
            <w:tcW w:w="29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安义县发展和改革委员会(部门)</w:t>
            </w:r>
          </w:p>
        </w:tc>
        <w:tc>
          <w:tcPr>
            <w:tcW w:w="2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下属单位个数</w:t>
            </w:r>
          </w:p>
        </w:tc>
        <w:tc>
          <w:tcPr>
            <w:tcW w:w="2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整体支出规模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4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608"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6,305.194</w:t>
            </w:r>
          </w:p>
        </w:tc>
        <w:tc>
          <w:tcPr>
            <w:tcW w:w="14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5,893.439</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93.47</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6271.511251</w:t>
            </w:r>
          </w:p>
        </w:tc>
        <w:tc>
          <w:tcPr>
            <w:tcW w:w="14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5893.43923</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93.97</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1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33.682262</w:t>
            </w:r>
          </w:p>
        </w:tc>
        <w:tc>
          <w:tcPr>
            <w:tcW w:w="14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trPr>
        <w:tc>
          <w:tcPr>
            <w:tcW w:w="35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预算执行率偏差原因分析及改进措施</w:t>
            </w:r>
          </w:p>
        </w:tc>
        <w:tc>
          <w:tcPr>
            <w:tcW w:w="548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3"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29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476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9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476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贯彻执行国家、省、市的价格方针、政策和法规；负责国务院和省、市、区人民政府及上级价格主管部门下达的价格改革和价格调整方案在全区的实施；执行国家及省、市商品和服务价格管理目录，负责全县行政性、事业性收费及经营性收费管理；负责全县涉案物品鉴定；指导、监督县政府各业务主管部门和各镇、街道（管委会）的价格管理工作；负责对全县行政事业性收费、经营服务性收费的价格监督检查；受理价格举报案件；组织实施监督商品和服务实行明码标价的执行情况。（四）研究全县经济体制改革和对外开放的重大问题，组织拟订综合性经济体制改革方案，协调有关专项经济体制改革方案，提出以改革开放促进发展的建议，指导和推进全区经济体制改革。（五）提出全县全社会固定资产的总规模和投资重点，规划重大项目和生产力布局；安排县政府出资的建设项目、重大建设项目；引导民间资金用于固定资产投资的方向；指导全县招投标工作；负责县政府投资项目和重要基础设施项目的立项审批。（六）推进产业结构战略性调整和升级；提出国民经济重要产业的发展战略规划；组织制订工业总体发展规划、行业发展规划，拟订基础产业发展规划；推动高技术产业发展，实施技术进步和产业现代化的宏观指导；研究提出服务业的重大政策，协调服务业发展；组织研究城镇化战略，协调、指导全县城镇化工作；研究提出现代物流业发展规划，协调流通体制改革的重大问题。（七）做好人口和计划生育、科学技术、教育、文化、卫生等社会事业与整个国民经济发展的衔接平衡；提出经济与社会协调发展、相互促进的政策，协调社会事业发展的重大问题。（八）提出全县区域经济协调发展的规划，组织实施区域经济合作；推进可持续发展战略的实施，参与编制生态建设规划，提出资源节约综合利用政策，协调生态建设和资源节约综合利用的重大问题；组织协调环保产业工作。（九）研究拟订全县国民经济和社会发展以及经济体制改革的有关制度办法，参与有关制度、办法的起草和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标值</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实际</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完成值</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分值</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得分</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偏差原因分析及</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0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县级储备粮利息及费用支出</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县储备粮数量不减少</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计划编制经费</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项目支出真实性</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计划编制采用率</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计划编制及时率</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利息费用拨付及时率</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计划编制经费</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≤802830元</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802830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县级储备粮利息及费用支出</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≥2298873元</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2298873</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0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利息费用拨付到位率</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县区域营业收入规模</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≥80亿元</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计划编制采用</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县储粮安全率</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县级储备粮定期轮换</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按规定要求</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服务对象满意度测评</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57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 w:hRule="atLeast"/>
        </w:trPr>
        <w:tc>
          <w:tcPr>
            <w:tcW w:w="9037"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说明：自评指标为各部门年初申报的部门整体支出绩效目标申报表的各项指标</w:t>
            </w:r>
          </w:p>
        </w:tc>
      </w:tr>
    </w:tbl>
    <w:p>
      <w:pPr>
        <w:autoSpaceDE w:val="0"/>
        <w:autoSpaceDN w:val="0"/>
        <w:adjustRightInd w:val="0"/>
        <w:spacing w:beforeLines="0" w:afterLines="0" w:line="560" w:lineRule="exact"/>
        <w:ind w:firstLine="640" w:firstLineChars="200"/>
        <w:jc w:val="left"/>
        <w:rPr>
          <w:rFonts w:hint="eastAsia" w:ascii="黑体" w:hAnsi="Times New Roman" w:eastAsia="黑体"/>
          <w:kern w:val="0"/>
          <w:sz w:val="21"/>
        </w:rPr>
      </w:pPr>
      <w:r>
        <w:rPr>
          <w:rFonts w:hint="eastAsia" w:ascii="黑体" w:hAnsi="Times New Roman" w:eastAsia="黑体"/>
          <w:kern w:val="0"/>
          <w:sz w:val="32"/>
        </w:rPr>
        <w:t>三、部门整体支出绩效中存在问题及改进措施</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（一）主要问题及原因分析。</w:t>
      </w:r>
    </w:p>
    <w:p>
      <w:pPr>
        <w:autoSpaceDE w:val="0"/>
        <w:autoSpaceDN w:val="0"/>
        <w:adjustRightInd w:val="0"/>
        <w:spacing w:beforeLines="0" w:afterLines="0" w:line="560" w:lineRule="exact"/>
        <w:ind w:firstLine="960" w:firstLineChars="3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无</w:t>
      </w:r>
    </w:p>
    <w:p>
      <w:pPr>
        <w:numPr>
          <w:ilvl w:val="0"/>
          <w:numId w:val="2"/>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改进的方向和具体措施。</w:t>
      </w:r>
    </w:p>
    <w:p>
      <w:pPr>
        <w:numPr>
          <w:ilvl w:val="0"/>
          <w:numId w:val="0"/>
        </w:numPr>
        <w:autoSpaceDE w:val="0"/>
        <w:autoSpaceDN w:val="0"/>
        <w:adjustRightInd w:val="0"/>
        <w:spacing w:beforeLines="0" w:afterLines="0" w:line="560" w:lineRule="exact"/>
        <w:jc w:val="left"/>
        <w:rPr>
          <w:rFonts w:hint="default"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 xml:space="preserve">      无</w:t>
      </w:r>
    </w:p>
    <w:p>
      <w:pPr>
        <w:spacing w:beforeLines="0" w:afterLines="0" w:line="560" w:lineRule="exact"/>
        <w:ind w:firstLine="640" w:firstLineChars="200"/>
        <w:rPr>
          <w:rFonts w:hint="eastAsia" w:ascii="黑体" w:hAnsi="Times New Roman" w:eastAsia="黑体"/>
          <w:kern w:val="0"/>
          <w:sz w:val="21"/>
        </w:rPr>
      </w:pPr>
      <w:r>
        <w:rPr>
          <w:rFonts w:hint="eastAsia" w:ascii="黑体" w:hAnsi="Times New Roman" w:eastAsia="黑体"/>
          <w:kern w:val="0"/>
          <w:sz w:val="32"/>
        </w:rPr>
        <w:t>四、绩效自评结果拟应用和公开情况</w:t>
      </w:r>
    </w:p>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CE9461"/>
    <w:multiLevelType w:val="singleLevel"/>
    <w:tmpl w:val="E1CE9461"/>
    <w:lvl w:ilvl="0" w:tentative="0">
      <w:start w:val="2"/>
      <w:numFmt w:val="chineseCounting"/>
      <w:suff w:val="nothing"/>
      <w:lvlText w:val="（%1）"/>
      <w:lvlJc w:val="left"/>
      <w:rPr>
        <w:rFonts w:hint="eastAsia"/>
      </w:rPr>
    </w:lvl>
  </w:abstractNum>
  <w:abstractNum w:abstractNumId="1">
    <w:nsid w:val="34D14D41"/>
    <w:multiLevelType w:val="singleLevel"/>
    <w:tmpl w:val="34D14D4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FiM2EyY2YxOTVkNmQ3ODQxMjFlZmZjMTQzMDc5NzQifQ=="/>
  </w:docVars>
  <w:rsids>
    <w:rsidRoot w:val="00172A27"/>
    <w:rsid w:val="13386F35"/>
    <w:rsid w:val="1E486302"/>
    <w:rsid w:val="2D23435A"/>
    <w:rsid w:val="31D125D7"/>
    <w:rsid w:val="366369BF"/>
    <w:rsid w:val="3E6E73FF"/>
    <w:rsid w:val="422844C0"/>
    <w:rsid w:val="42ED4DAE"/>
    <w:rsid w:val="48547666"/>
    <w:rsid w:val="6E405E13"/>
    <w:rsid w:val="72A05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unhideWhenUsed/>
    <w:qFormat/>
    <w:uiPriority w:val="0"/>
    <w:pPr>
      <w:widowControl w:val="0"/>
      <w:spacing w:beforeLines="0" w:afterLines="0"/>
      <w:jc w:val="both"/>
    </w:pPr>
    <w:rPr>
      <w:rFonts w:hint="default" w:ascii="Calibri" w:hAnsi="Calibri" w:eastAsia="宋体" w:cstheme="minorBidi"/>
      <w:kern w:val="2"/>
      <w:sz w:val="21"/>
      <w:lang w:val="en-US" w:eastAsia="zh-CN"/>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unhideWhenUsed/>
    <w:qFormat/>
    <w:uiPriority w:val="0"/>
    <w:pPr>
      <w:spacing w:beforeLines="0" w:after="120" w:afterLines="0"/>
    </w:pPr>
    <w:rPr>
      <w:rFonts w:hint="default"/>
      <w:sz w:val="21"/>
    </w:rPr>
  </w:style>
  <w:style w:type="paragraph" w:styleId="3">
    <w:name w:val="footer"/>
    <w:basedOn w:val="1"/>
    <w:autoRedefine/>
    <w:unhideWhenUsed/>
    <w:qFormat/>
    <w:uiPriority w:val="0"/>
    <w:pPr>
      <w:tabs>
        <w:tab w:val="center" w:pos="4153"/>
        <w:tab w:val="right" w:pos="8306"/>
      </w:tabs>
      <w:snapToGrid w:val="0"/>
      <w:spacing w:beforeLines="0" w:afterLines="0"/>
      <w:jc w:val="left"/>
    </w:pPr>
    <w:rPr>
      <w:rFonts w:hint="default"/>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2417</Words>
  <Characters>2550</Characters>
  <Lines>0</Lines>
  <Paragraphs>0</Paragraphs>
  <TotalTime>20</TotalTime>
  <ScaleCrop>false</ScaleCrop>
  <LinksUpToDate>false</LinksUpToDate>
  <CharactersWithSpaces>2563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2024-04-23T05:57:00Z</dcterms:created>
  <dc:creator>ASUS</dc:creator>
  <cp:lastModifiedBy>皮宪林</cp:lastModifiedBy>
  <dcterms:modified xsi:type="dcterms:W3CDTF">2024-05-31T07:56:32Z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C83F5B2431124E7B908DC0DDEB0CBFED_13</vt:lpwstr>
  </property>
</Properties>
</file>