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Lines="0" w:afterLines="0" w:line="560" w:lineRule="exact"/>
        <w:jc w:val="left"/>
        <w:rPr>
          <w:rFonts w:hint="eastAsia" w:ascii="黑体" w:hAnsi="Times New Roman" w:eastAsia="黑体"/>
          <w:kern w:val="0"/>
          <w:sz w:val="21"/>
        </w:rPr>
      </w:pPr>
      <w:r>
        <w:rPr>
          <w:rFonts w:hint="eastAsia" w:ascii="黑体" w:hAnsi="Times New Roman" w:eastAsia="黑体"/>
          <w:kern w:val="0"/>
          <w:sz w:val="32"/>
        </w:rPr>
        <w:t>附件1：</w:t>
      </w:r>
    </w:p>
    <w:p>
      <w:pPr>
        <w:autoSpaceDE w:val="0"/>
        <w:autoSpaceDN w:val="0"/>
        <w:adjustRightInd w:val="0"/>
        <w:spacing w:beforeLines="0" w:afterLines="0" w:line="560" w:lineRule="exact"/>
        <w:jc w:val="center"/>
        <w:rPr>
          <w:rFonts w:hint="eastAsia" w:ascii="方正小标宋简体" w:hAnsi="方正小标宋简体" w:eastAsia="方正小标宋简体"/>
          <w:kern w:val="0"/>
          <w:sz w:val="32"/>
        </w:rPr>
      </w:pPr>
      <w:bookmarkStart w:id="0" w:name="_GoBack"/>
      <w:r>
        <w:rPr>
          <w:rFonts w:hint="eastAsia" w:ascii="方正小标宋简体" w:hAnsi="方正小标宋简体" w:eastAsia="方正小标宋简体"/>
          <w:kern w:val="0"/>
          <w:sz w:val="32"/>
        </w:rPr>
        <w:t>部门整体支出绩效自评报告</w:t>
      </w:r>
    </w:p>
    <w:bookmarkEnd w:id="0"/>
    <w:p>
      <w:pPr>
        <w:autoSpaceDE w:val="0"/>
        <w:autoSpaceDN w:val="0"/>
        <w:adjustRightInd w:val="0"/>
        <w:spacing w:beforeLines="0" w:afterLines="0" w:line="560" w:lineRule="exact"/>
        <w:jc w:val="center"/>
        <w:rPr>
          <w:rFonts w:hint="eastAsia" w:ascii="楷体_GB2312" w:eastAsia="楷体_GB2312"/>
          <w:kern w:val="0"/>
          <w:sz w:val="21"/>
        </w:rPr>
      </w:pPr>
      <w:r>
        <w:rPr>
          <w:rFonts w:hint="eastAsia" w:ascii="楷体_GB2312" w:hAnsi="Times New Roman" w:eastAsia="楷体_GB2312"/>
          <w:kern w:val="0"/>
          <w:sz w:val="32"/>
        </w:rPr>
        <w:t>（</w:t>
      </w:r>
      <w:r>
        <w:rPr>
          <w:rFonts w:hint="eastAsia" w:ascii="楷体_GB2312" w:hAnsi="Times New Roman" w:eastAsia="楷体_GB2312"/>
          <w:kern w:val="0"/>
          <w:sz w:val="32"/>
          <w:lang w:val="en-US" w:eastAsia="zh-CN"/>
        </w:rPr>
        <w:t>2023</w:t>
      </w:r>
      <w:r>
        <w:rPr>
          <w:rFonts w:hint="eastAsia" w:ascii="楷体_GB2312" w:hAnsi="Times New Roman" w:eastAsia="楷体_GB2312"/>
          <w:kern w:val="0"/>
          <w:sz w:val="32"/>
        </w:rPr>
        <w:t>年度）</w:t>
      </w:r>
    </w:p>
    <w:p>
      <w:pPr>
        <w:numPr>
          <w:ilvl w:val="0"/>
          <w:numId w:val="1"/>
        </w:num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黑体" w:hAnsi="Times New Roman" w:eastAsia="黑体"/>
          <w:kern w:val="0"/>
          <w:sz w:val="32"/>
        </w:rPr>
      </w:pPr>
      <w:r>
        <w:rPr>
          <w:rFonts w:hint="eastAsia" w:ascii="黑体" w:hAnsi="Times New Roman" w:eastAsia="黑体"/>
          <w:kern w:val="0"/>
          <w:sz w:val="32"/>
        </w:rPr>
        <w:t>部门概况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beforeLines="0" w:afterLines="0" w:line="560" w:lineRule="exact"/>
        <w:jc w:val="left"/>
        <w:rPr>
          <w:rFonts w:hint="default" w:ascii="仿宋_GB2312" w:hAnsi="仿宋_GB2312" w:eastAsia="仿宋_GB2312" w:cs="仿宋_GB2312"/>
          <w:spacing w:val="-4"/>
          <w:sz w:val="32"/>
          <w:szCs w:val="32"/>
          <w:lang w:val="en-US" w:eastAsia="zh-CN"/>
        </w:rPr>
      </w:pPr>
      <w:r>
        <w:rPr>
          <w:rFonts w:hint="eastAsia" w:ascii="黑体" w:hAnsi="Times New Roman" w:eastAsia="黑体"/>
          <w:kern w:val="0"/>
          <w:sz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val="en-US" w:eastAsia="zh-CN"/>
        </w:rPr>
        <w:t>(一)基本情况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24" w:firstLineChars="200"/>
        <w:textAlignment w:val="auto"/>
        <w:rPr>
          <w:rFonts w:hint="eastAsia" w:ascii="仿宋_GB2312" w:hAnsi="仿宋_GB2312" w:eastAsia="仿宋_GB2312" w:cs="仿宋_GB2312"/>
          <w:spacing w:val="-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val="en-US" w:eastAsia="zh-CN"/>
        </w:rPr>
        <w:t>安义县下罗粮管所3.64万吨粮食仓储建设在6月1日挂网公告,7月4日招标。7月11日签订施工合用并开工建设。下罗粮管所3.64万吨粮食仓储项目在2022年申报了3500万元专项债并获通过发行，目前正在进行审批程序，将转到县发改委，该项目的业主单位为安义县下罗粮管所。</w:t>
      </w:r>
    </w:p>
    <w:p>
      <w:pPr>
        <w:numPr>
          <w:ilvl w:val="0"/>
          <w:numId w:val="2"/>
        </w:num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仿宋_GB2312" w:hAnsi="Times New Roman" w:eastAsia="仿宋_GB2312"/>
          <w:kern w:val="0"/>
          <w:sz w:val="32"/>
          <w:lang w:eastAsia="zh-CN"/>
        </w:rPr>
      </w:pPr>
      <w:r>
        <w:rPr>
          <w:rFonts w:hint="eastAsia" w:ascii="仿宋_GB2312" w:hAnsi="Times New Roman" w:eastAsia="仿宋_GB2312"/>
          <w:kern w:val="0"/>
          <w:sz w:val="32"/>
          <w:lang w:eastAsia="zh-CN"/>
        </w:rPr>
        <w:t>项目主要内容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24" w:firstLineChars="200"/>
        <w:textAlignment w:val="auto"/>
        <w:rPr>
          <w:rFonts w:hint="eastAsia" w:ascii="仿宋_GB2312" w:hAnsi="仿宋_GB2312" w:eastAsia="仿宋_GB2312" w:cs="仿宋_GB2312"/>
          <w:spacing w:val="-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val="en-US" w:eastAsia="zh-CN"/>
        </w:rPr>
        <w:t xml:space="preserve"> 1、平房仓：总建筑面积8526平方米，共7栋，仓容3.64万吨；2、消防池：建筑面积350平方米；3、泵房：建筑面积50平方米；4、道路：占地面积6000平方米；5、硬化地面：占地面积3574平方米；6、绿化：占地面积1500平方米；                                                                          7、设备：购置仓库运输、称量及检测设备。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24" w:firstLineChars="200"/>
        <w:textAlignment w:val="auto"/>
        <w:rPr>
          <w:rFonts w:hint="eastAsia" w:ascii="仿宋_GB2312" w:hAnsi="仿宋_GB2312" w:eastAsia="仿宋_GB2312" w:cs="仿宋_GB2312"/>
          <w:spacing w:val="-4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val="en-US" w:eastAsia="zh-CN"/>
        </w:rPr>
        <w:t>（三）项目组织管理</w:t>
      </w:r>
    </w:p>
    <w:p>
      <w:pPr>
        <w:pStyle w:val="2"/>
        <w:ind w:firstLine="624" w:firstLineChars="200"/>
        <w:rPr>
          <w:rFonts w:hint="default" w:ascii="仿宋_GB2312" w:hAnsi="仿宋_GB2312" w:eastAsia="仿宋_GB2312" w:cs="仿宋_GB2312"/>
          <w:spacing w:val="-4"/>
          <w:kern w:val="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pacing w:val="-4"/>
          <w:kern w:val="2"/>
          <w:sz w:val="32"/>
          <w:szCs w:val="32"/>
          <w:lang w:val="en-US" w:eastAsia="zh-CN"/>
        </w:rPr>
        <w:t>为合理有效地组织项目建设，在项目建设初期成立项目部，由项目投资单位有关人员组成，下设办公室、基建组和财务组，全面具体负责项目的建设工作。项目实行项目法人</w:t>
      </w: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zh-CN"/>
        </w:rPr>
        <w:t>责任</w:t>
      </w:r>
      <w:r>
        <w:rPr>
          <w:rFonts w:hint="default" w:ascii="仿宋_GB2312" w:hAnsi="仿宋_GB2312" w:eastAsia="仿宋_GB2312" w:cs="仿宋_GB2312"/>
          <w:spacing w:val="-4"/>
          <w:kern w:val="2"/>
          <w:sz w:val="32"/>
          <w:szCs w:val="32"/>
          <w:lang w:val="en-US" w:eastAsia="zh-CN"/>
        </w:rPr>
        <w:t>制，建设应严格遵守建设程序、招投标制及监理制，严把质量关，保证建设资金合理、高效的使用。工程完成后，要严格执行验收标准。</w:t>
      </w:r>
    </w:p>
    <w:p>
      <w:pPr>
        <w:pStyle w:val="2"/>
        <w:ind w:firstLine="624" w:firstLineChars="200"/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pacing w:val="-4"/>
          <w:kern w:val="2"/>
          <w:sz w:val="32"/>
          <w:szCs w:val="32"/>
          <w:lang w:val="en-US" w:eastAsia="zh-CN"/>
        </w:rPr>
        <w:t>为确保该项目顺利实施，尽快发挥投资效益，成立</w:t>
      </w: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zh-CN"/>
        </w:rPr>
        <w:t>本</w:t>
      </w:r>
      <w:r>
        <w:rPr>
          <w:rFonts w:hint="default" w:ascii="仿宋_GB2312" w:hAnsi="仿宋_GB2312" w:eastAsia="仿宋_GB2312" w:cs="仿宋_GB2312"/>
          <w:spacing w:val="-4"/>
          <w:kern w:val="2"/>
          <w:sz w:val="32"/>
          <w:szCs w:val="32"/>
          <w:lang w:val="en-US" w:eastAsia="zh-CN"/>
        </w:rPr>
        <w:t>项目领导小组，组长项目第一责任人，领导小组负责项目的规划、施工管理、资金使用管理、竣工验收、总结上报等工作</w:t>
      </w:r>
      <w:r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zh-CN"/>
        </w:rPr>
        <w:t>。</w:t>
      </w:r>
    </w:p>
    <w:p>
      <w:pPr>
        <w:pStyle w:val="2"/>
        <w:ind w:firstLine="640" w:firstLineChars="200"/>
        <w:rPr>
          <w:rFonts w:hint="eastAsia" w:ascii="黑体" w:hAnsi="Times New Roman" w:eastAsia="黑体"/>
          <w:kern w:val="0"/>
          <w:sz w:val="21"/>
        </w:rPr>
      </w:pPr>
      <w:r>
        <w:rPr>
          <w:rFonts w:hint="eastAsia" w:ascii="黑体" w:hAnsi="Times New Roman" w:eastAsia="黑体"/>
          <w:kern w:val="0"/>
          <w:sz w:val="32"/>
        </w:rPr>
        <w:t>二、部门整体支出绩效实现情况</w:t>
      </w:r>
    </w:p>
    <w:p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仿宋_GB2312" w:hAnsi="Times New Roman" w:eastAsia="仿宋_GB2312"/>
          <w:kern w:val="0"/>
          <w:sz w:val="32"/>
          <w:lang w:eastAsia="zh-CN"/>
        </w:rPr>
      </w:pPr>
      <w:r>
        <w:rPr>
          <w:rFonts w:hint="eastAsia" w:ascii="仿宋_GB2312" w:hAnsi="Times New Roman" w:eastAsia="仿宋_GB2312"/>
          <w:kern w:val="0"/>
          <w:sz w:val="32"/>
          <w:lang w:eastAsia="zh-CN"/>
        </w:rPr>
        <w:t>绩效目标与指标：</w:t>
      </w:r>
    </w:p>
    <w:p>
      <w:pPr>
        <w:pStyle w:val="2"/>
        <w:jc w:val="both"/>
        <w:rPr>
          <w:rFonts w:hint="default" w:ascii="仿宋_GB2312" w:hAnsi="Times New Roman" w:eastAsia="仿宋_GB2312" w:cstheme="minorBidi"/>
          <w:kern w:val="0"/>
          <w:sz w:val="32"/>
          <w:lang w:val="en-US" w:eastAsia="zh-CN"/>
        </w:rPr>
      </w:pPr>
      <w:r>
        <w:rPr>
          <w:rFonts w:hint="eastAsia" w:ascii="仿宋_GB2312" w:hAnsi="Times New Roman" w:eastAsia="仿宋_GB2312"/>
          <w:kern w:val="0"/>
          <w:sz w:val="32"/>
          <w:lang w:val="en-US" w:eastAsia="zh-CN"/>
        </w:rPr>
        <w:t xml:space="preserve">  </w:t>
      </w:r>
      <w:r>
        <w:rPr>
          <w:rFonts w:hint="eastAsia" w:ascii="仿宋_GB2312" w:hAnsi="Times New Roman" w:eastAsia="仿宋_GB2312" w:cstheme="minorBidi"/>
          <w:kern w:val="0"/>
          <w:sz w:val="32"/>
          <w:lang w:val="en-US" w:eastAsia="zh-CN"/>
        </w:rPr>
        <w:t xml:space="preserve">  1.数量指标方面：完成支持粮库信息化监控项目库区数5个。</w:t>
      </w:r>
    </w:p>
    <w:p>
      <w:pPr>
        <w:ind w:firstLine="640" w:firstLineChars="200"/>
        <w:jc w:val="both"/>
        <w:rPr>
          <w:rFonts w:hint="default" w:ascii="仿宋_GB2312" w:hAnsi="Times New Roman" w:eastAsia="仿宋_GB2312" w:cstheme="minorBidi"/>
          <w:kern w:val="0"/>
          <w:sz w:val="32"/>
          <w:lang w:val="en-US" w:eastAsia="zh-CN"/>
        </w:rPr>
      </w:pPr>
      <w:r>
        <w:rPr>
          <w:rFonts w:hint="eastAsia" w:ascii="仿宋_GB2312" w:hAnsi="Times New Roman" w:eastAsia="仿宋_GB2312" w:cstheme="minorBidi"/>
          <w:kern w:val="0"/>
          <w:sz w:val="32"/>
          <w:lang w:val="en-US" w:eastAsia="zh-CN"/>
        </w:rPr>
        <w:t>2.质量指标方面：项目验收通过率100%；设备验收合格率100%。</w:t>
      </w:r>
    </w:p>
    <w:p>
      <w:pPr>
        <w:pStyle w:val="2"/>
        <w:ind w:firstLine="640" w:firstLineChars="200"/>
        <w:jc w:val="both"/>
        <w:rPr>
          <w:rFonts w:hint="default" w:ascii="仿宋_GB2312" w:hAnsi="Times New Roman" w:eastAsia="仿宋_GB2312" w:cstheme="minorBidi"/>
          <w:kern w:val="0"/>
          <w:sz w:val="32"/>
          <w:lang w:val="en-US" w:eastAsia="zh-CN"/>
        </w:rPr>
      </w:pPr>
      <w:r>
        <w:rPr>
          <w:rFonts w:hint="eastAsia" w:ascii="仿宋_GB2312" w:hAnsi="Times New Roman" w:eastAsia="仿宋_GB2312" w:cstheme="minorBidi"/>
          <w:kern w:val="0"/>
          <w:sz w:val="32"/>
          <w:lang w:val="en-US" w:eastAsia="zh-CN"/>
        </w:rPr>
        <w:t>3.时效指标方面：项目完成及时率100%。</w:t>
      </w:r>
    </w:p>
    <w:p>
      <w:pPr>
        <w:pStyle w:val="2"/>
        <w:ind w:firstLine="640" w:firstLineChars="200"/>
        <w:jc w:val="both"/>
        <w:rPr>
          <w:rFonts w:hint="default" w:ascii="仿宋_GB2312" w:hAnsi="Times New Roman" w:eastAsia="仿宋_GB2312" w:cstheme="minorBidi"/>
          <w:kern w:val="0"/>
          <w:sz w:val="32"/>
          <w:lang w:val="en-US" w:eastAsia="zh-CN"/>
        </w:rPr>
      </w:pPr>
      <w:r>
        <w:rPr>
          <w:rFonts w:hint="eastAsia" w:ascii="仿宋_GB2312" w:hAnsi="Times New Roman" w:eastAsia="仿宋_GB2312" w:cstheme="minorBidi"/>
          <w:kern w:val="0"/>
          <w:sz w:val="32"/>
          <w:lang w:val="en-US" w:eastAsia="zh-CN"/>
        </w:rPr>
        <w:t>4.成本指标方面：项目成本控制率≤100%</w:t>
      </w:r>
    </w:p>
    <w:p>
      <w:pPr>
        <w:pStyle w:val="2"/>
        <w:ind w:firstLine="640" w:firstLineChars="200"/>
        <w:jc w:val="both"/>
        <w:rPr>
          <w:rFonts w:hint="eastAsia" w:ascii="仿宋_GB2312" w:hAnsi="Times New Roman" w:eastAsia="仿宋_GB2312" w:cstheme="minorBidi"/>
          <w:kern w:val="0"/>
          <w:sz w:val="32"/>
          <w:lang w:val="en-US" w:eastAsia="zh-CN"/>
        </w:rPr>
      </w:pPr>
      <w:r>
        <w:rPr>
          <w:rFonts w:hint="eastAsia" w:ascii="仿宋_GB2312" w:hAnsi="Times New Roman" w:eastAsia="仿宋_GB2312" w:cstheme="minorBidi"/>
          <w:kern w:val="0"/>
          <w:sz w:val="32"/>
          <w:lang w:val="en-US" w:eastAsia="zh-CN"/>
        </w:rPr>
        <w:t>5.效益指标方面</w:t>
      </w:r>
    </w:p>
    <w:p>
      <w:pPr>
        <w:pStyle w:val="2"/>
        <w:ind w:firstLine="640" w:firstLineChars="200"/>
        <w:rPr>
          <w:rFonts w:hint="default" w:ascii="仿宋_GB2312" w:hAnsi="Times New Roman" w:eastAsia="仿宋_GB2312" w:cstheme="minorBidi"/>
          <w:kern w:val="0"/>
          <w:sz w:val="32"/>
          <w:lang w:val="en-US" w:eastAsia="zh-CN"/>
        </w:rPr>
      </w:pPr>
      <w:r>
        <w:rPr>
          <w:rFonts w:hint="default" w:ascii="仿宋_GB2312" w:hAnsi="Times New Roman" w:eastAsia="仿宋_GB2312" w:cstheme="minorBidi"/>
          <w:kern w:val="0"/>
          <w:sz w:val="32"/>
          <w:lang w:val="en-US" w:eastAsia="zh-CN"/>
        </w:rPr>
        <w:t>经济效益指标：粮食产业工业总产值比上年同期比上年同期略增长；</w:t>
      </w:r>
    </w:p>
    <w:p>
      <w:pPr>
        <w:pStyle w:val="2"/>
        <w:ind w:firstLine="640" w:firstLineChars="200"/>
        <w:rPr>
          <w:rFonts w:hint="default" w:ascii="仿宋_GB2312" w:hAnsi="Times New Roman" w:eastAsia="仿宋_GB2312" w:cstheme="minorBidi"/>
          <w:kern w:val="0"/>
          <w:sz w:val="32"/>
          <w:lang w:val="en-US" w:eastAsia="zh-CN"/>
        </w:rPr>
      </w:pPr>
      <w:r>
        <w:rPr>
          <w:rFonts w:hint="default" w:ascii="仿宋_GB2312" w:hAnsi="Times New Roman" w:eastAsia="仿宋_GB2312" w:cstheme="minorBidi"/>
          <w:kern w:val="0"/>
          <w:sz w:val="32"/>
          <w:lang w:val="en-US" w:eastAsia="zh-CN"/>
        </w:rPr>
        <w:t>社会效益指标：改善粮仓储粮条件、提升监管信息化能力稳步提高；</w:t>
      </w:r>
    </w:p>
    <w:p>
      <w:pPr>
        <w:pStyle w:val="2"/>
        <w:ind w:firstLine="640" w:firstLineChars="200"/>
        <w:rPr>
          <w:rFonts w:hint="default" w:ascii="仿宋_GB2312" w:hAnsi="Times New Roman" w:eastAsia="仿宋_GB2312" w:cstheme="minorBidi"/>
          <w:kern w:val="0"/>
          <w:sz w:val="32"/>
          <w:lang w:val="en-US" w:eastAsia="zh-CN"/>
        </w:rPr>
      </w:pPr>
      <w:r>
        <w:rPr>
          <w:rFonts w:hint="default" w:ascii="仿宋_GB2312" w:hAnsi="Times New Roman" w:eastAsia="仿宋_GB2312" w:cstheme="minorBidi"/>
          <w:kern w:val="0"/>
          <w:sz w:val="32"/>
          <w:lang w:val="en-US" w:eastAsia="zh-CN"/>
        </w:rPr>
        <w:t>生态效益指标：减少保粮化学药剂使用、改善库区生态环境持续改善；减少储粮资源节约和高效利用持续改善</w:t>
      </w:r>
      <w:r>
        <w:rPr>
          <w:rFonts w:hint="eastAsia" w:ascii="仿宋_GB2312" w:hAnsi="Times New Roman" w:eastAsia="仿宋_GB2312" w:cstheme="minorBidi"/>
          <w:kern w:val="0"/>
          <w:sz w:val="32"/>
          <w:lang w:val="en-US" w:eastAsia="zh-CN"/>
        </w:rPr>
        <w:t>；</w:t>
      </w:r>
    </w:p>
    <w:p>
      <w:pPr>
        <w:pStyle w:val="2"/>
        <w:ind w:firstLine="640" w:firstLineChars="200"/>
        <w:rPr>
          <w:rFonts w:hint="default" w:ascii="仿宋_GB2312" w:hAnsi="Times New Roman" w:eastAsia="仿宋_GB2312" w:cstheme="minorBidi"/>
          <w:kern w:val="0"/>
          <w:sz w:val="32"/>
          <w:lang w:val="en-US" w:eastAsia="zh-CN"/>
        </w:rPr>
      </w:pPr>
      <w:r>
        <w:rPr>
          <w:rFonts w:hint="default" w:ascii="仿宋_GB2312" w:hAnsi="Times New Roman" w:eastAsia="仿宋_GB2312" w:cstheme="minorBidi"/>
          <w:kern w:val="0"/>
          <w:sz w:val="32"/>
          <w:lang w:val="en-US" w:eastAsia="zh-CN"/>
        </w:rPr>
        <w:t>可持续影响：经过改造的粮食存储监管能力稳步提高。</w:t>
      </w:r>
    </w:p>
    <w:p>
      <w:pPr>
        <w:numPr>
          <w:ilvl w:val="0"/>
          <w:numId w:val="3"/>
        </w:numPr>
        <w:ind w:firstLine="640" w:firstLineChars="200"/>
        <w:rPr>
          <w:rFonts w:hint="eastAsia" w:ascii="仿宋_GB2312" w:hAnsi="Times New Roman" w:eastAsia="仿宋_GB2312" w:cstheme="minorBidi"/>
          <w:kern w:val="0"/>
          <w:sz w:val="32"/>
          <w:lang w:val="en-US" w:eastAsia="zh-CN"/>
        </w:rPr>
      </w:pPr>
      <w:r>
        <w:rPr>
          <w:rFonts w:hint="eastAsia" w:ascii="仿宋_GB2312" w:hAnsi="Times New Roman" w:eastAsia="仿宋_GB2312" w:cstheme="minorBidi"/>
          <w:kern w:val="0"/>
          <w:sz w:val="32"/>
          <w:lang w:val="en-US" w:eastAsia="zh-CN"/>
        </w:rPr>
        <w:t>服务对象满意度方面：</w:t>
      </w:r>
      <w:r>
        <w:rPr>
          <w:rFonts w:hint="default" w:ascii="仿宋_GB2312" w:hAnsi="Times New Roman" w:eastAsia="仿宋_GB2312" w:cstheme="minorBidi"/>
          <w:kern w:val="0"/>
          <w:sz w:val="32"/>
          <w:lang w:val="en-US" w:eastAsia="zh-CN"/>
        </w:rPr>
        <w:t>售粮农户满意度（%）</w:t>
      </w:r>
      <w:r>
        <w:rPr>
          <w:rFonts w:hint="default" w:ascii="仿宋_GB2312" w:hAnsi="Times New Roman" w:eastAsia="仿宋_GB2312" w:cstheme="minorBidi"/>
          <w:kern w:val="0"/>
          <w:sz w:val="32"/>
          <w:lang w:val="en-US" w:eastAsia="zh-CN"/>
        </w:rPr>
        <w:tab/>
      </w:r>
      <w:r>
        <w:rPr>
          <w:rFonts w:hint="default" w:ascii="仿宋_GB2312" w:hAnsi="Times New Roman" w:eastAsia="仿宋_GB2312" w:cstheme="minorBidi"/>
          <w:kern w:val="0"/>
          <w:sz w:val="32"/>
          <w:lang w:val="en-US" w:eastAsia="zh-CN"/>
        </w:rPr>
        <w:t>≧95%</w:t>
      </w:r>
      <w:r>
        <w:rPr>
          <w:rFonts w:hint="eastAsia" w:ascii="仿宋_GB2312" w:hAnsi="Times New Roman" w:eastAsia="仿宋_GB2312" w:cstheme="minorBidi"/>
          <w:kern w:val="0"/>
          <w:sz w:val="32"/>
          <w:lang w:val="en-US" w:eastAsia="zh-CN"/>
        </w:rPr>
        <w:t>；</w:t>
      </w:r>
      <w:r>
        <w:rPr>
          <w:rFonts w:hint="default" w:ascii="仿宋_GB2312" w:hAnsi="Times New Roman" w:eastAsia="仿宋_GB2312" w:cstheme="minorBidi"/>
          <w:kern w:val="0"/>
          <w:sz w:val="32"/>
          <w:lang w:val="en-US" w:eastAsia="zh-CN"/>
        </w:rPr>
        <w:t>社会公众满意度（%）</w:t>
      </w:r>
      <w:r>
        <w:rPr>
          <w:rFonts w:hint="default" w:ascii="仿宋_GB2312" w:hAnsi="Times New Roman" w:eastAsia="仿宋_GB2312" w:cstheme="minorBidi"/>
          <w:kern w:val="0"/>
          <w:sz w:val="32"/>
          <w:lang w:val="en-US" w:eastAsia="zh-CN"/>
        </w:rPr>
        <w:tab/>
      </w:r>
      <w:r>
        <w:rPr>
          <w:rFonts w:hint="default" w:ascii="仿宋_GB2312" w:hAnsi="Times New Roman" w:eastAsia="仿宋_GB2312" w:cstheme="minorBidi"/>
          <w:kern w:val="0"/>
          <w:sz w:val="32"/>
          <w:lang w:val="en-US" w:eastAsia="zh-CN"/>
        </w:rPr>
        <w:t>≧95%</w:t>
      </w:r>
      <w:r>
        <w:rPr>
          <w:rFonts w:hint="eastAsia" w:ascii="仿宋_GB2312" w:hAnsi="Times New Roman" w:eastAsia="仿宋_GB2312" w:cstheme="minorBidi"/>
          <w:kern w:val="0"/>
          <w:sz w:val="32"/>
          <w:lang w:val="en-US"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Times New Roman" w:eastAsia="黑体"/>
          <w:kern w:val="0"/>
          <w:sz w:val="21"/>
        </w:rPr>
      </w:pPr>
      <w:r>
        <w:rPr>
          <w:rFonts w:hint="eastAsia" w:ascii="黑体" w:hAnsi="Times New Roman" w:eastAsia="黑体"/>
          <w:kern w:val="0"/>
          <w:sz w:val="32"/>
        </w:rPr>
        <w:t>三、部门整体支出绩效中存在问题及改进措施</w:t>
      </w:r>
    </w:p>
    <w:p>
      <w:pPr>
        <w:autoSpaceDE w:val="0"/>
        <w:autoSpaceDN w:val="0"/>
        <w:adjustRightInd w:val="0"/>
        <w:spacing w:beforeLines="0" w:afterLines="0" w:line="560" w:lineRule="exact"/>
        <w:ind w:firstLine="640" w:firstLineChars="200"/>
        <w:jc w:val="left"/>
        <w:rPr>
          <w:rFonts w:hint="eastAsia" w:ascii="仿宋_GB2312" w:hAnsi="Times New Roman" w:eastAsia="仿宋_GB2312"/>
          <w:kern w:val="0"/>
          <w:sz w:val="32"/>
        </w:rPr>
      </w:pPr>
      <w:r>
        <w:rPr>
          <w:rFonts w:hint="eastAsia" w:ascii="仿宋_GB2312" w:hAnsi="Times New Roman" w:eastAsia="仿宋_GB2312"/>
          <w:kern w:val="0"/>
          <w:sz w:val="32"/>
        </w:rPr>
        <w:t>（一）主要问题及原因分析。</w:t>
      </w:r>
    </w:p>
    <w:p>
      <w:pPr>
        <w:pStyle w:val="2"/>
        <w:rPr>
          <w:rFonts w:hint="default" w:eastAsia="仿宋_GB2312"/>
          <w:lang w:val="en-US" w:eastAsia="zh-CN"/>
        </w:rPr>
      </w:pPr>
      <w:r>
        <w:rPr>
          <w:rFonts w:hint="eastAsia" w:ascii="仿宋_GB2312" w:hAnsi="Times New Roman" w:eastAsia="仿宋_GB2312"/>
          <w:kern w:val="0"/>
          <w:sz w:val="32"/>
          <w:lang w:val="en-US" w:eastAsia="zh-CN"/>
        </w:rPr>
        <w:t xml:space="preserve">     无</w:t>
      </w:r>
    </w:p>
    <w:p>
      <w:pPr>
        <w:numPr>
          <w:ilvl w:val="0"/>
          <w:numId w:val="2"/>
        </w:numPr>
        <w:autoSpaceDE w:val="0"/>
        <w:autoSpaceDN w:val="0"/>
        <w:adjustRightInd w:val="0"/>
        <w:spacing w:beforeLines="0" w:afterLines="0" w:line="560" w:lineRule="exact"/>
        <w:ind w:left="0" w:leftChars="0" w:firstLine="640" w:firstLineChars="200"/>
        <w:jc w:val="left"/>
        <w:rPr>
          <w:rFonts w:hint="eastAsia" w:ascii="仿宋_GB2312" w:hAnsi="Times New Roman" w:eastAsia="仿宋_GB2312"/>
          <w:kern w:val="0"/>
          <w:sz w:val="32"/>
        </w:rPr>
      </w:pPr>
      <w:r>
        <w:rPr>
          <w:rFonts w:hint="eastAsia" w:ascii="仿宋_GB2312" w:hAnsi="Times New Roman" w:eastAsia="仿宋_GB2312"/>
          <w:kern w:val="0"/>
          <w:sz w:val="32"/>
        </w:rPr>
        <w:t>改进的方向和具体措施。</w:t>
      </w:r>
    </w:p>
    <w:p>
      <w:pPr>
        <w:pStyle w:val="2"/>
        <w:numPr>
          <w:ilvl w:val="0"/>
          <w:numId w:val="0"/>
        </w:numPr>
        <w:ind w:leftChars="200"/>
        <w:rPr>
          <w:rFonts w:hint="default" w:ascii="仿宋_GB2312" w:hAnsi="Times New Roman" w:eastAsia="仿宋_GB2312"/>
          <w:kern w:val="0"/>
          <w:sz w:val="32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 w:ascii="仿宋_GB2312" w:hAnsi="Times New Roman" w:eastAsia="仿宋_GB2312"/>
          <w:kern w:val="0"/>
          <w:sz w:val="32"/>
          <w:lang w:val="en-US" w:eastAsia="zh-CN"/>
        </w:rPr>
        <w:t xml:space="preserve">  无</w:t>
      </w:r>
    </w:p>
    <w:p>
      <w:pPr>
        <w:spacing w:beforeLines="0" w:afterLines="0" w:line="560" w:lineRule="exact"/>
        <w:ind w:firstLine="640" w:firstLineChars="200"/>
        <w:rPr>
          <w:rFonts w:hint="eastAsia" w:ascii="黑体" w:hAnsi="Times New Roman" w:eastAsia="黑体"/>
          <w:kern w:val="0"/>
          <w:sz w:val="21"/>
        </w:rPr>
      </w:pPr>
      <w:r>
        <w:rPr>
          <w:rFonts w:hint="eastAsia" w:ascii="黑体" w:hAnsi="Times New Roman" w:eastAsia="黑体"/>
          <w:kern w:val="0"/>
          <w:sz w:val="32"/>
        </w:rPr>
        <w:t>四、绩效自评结果拟应用和公开情况</w:t>
      </w:r>
    </w:p>
    <w:p/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D58E1F"/>
    <w:multiLevelType w:val="singleLevel"/>
    <w:tmpl w:val="CDD58E1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E31981A"/>
    <w:multiLevelType w:val="singleLevel"/>
    <w:tmpl w:val="EE31981A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5EC8A1C8"/>
    <w:multiLevelType w:val="singleLevel"/>
    <w:tmpl w:val="5EC8A1C8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1YTJlZGEyNGQ5OGVjNGQzNDNlOWJmYTBjMWU2MTAifQ=="/>
  </w:docVars>
  <w:rsids>
    <w:rsidRoot w:val="00172A27"/>
    <w:rsid w:val="00060C6A"/>
    <w:rsid w:val="0DB508F3"/>
    <w:rsid w:val="116366FD"/>
    <w:rsid w:val="19267830"/>
    <w:rsid w:val="1CF57C45"/>
    <w:rsid w:val="1DFC5003"/>
    <w:rsid w:val="1E676920"/>
    <w:rsid w:val="2B6620C8"/>
    <w:rsid w:val="2C371C64"/>
    <w:rsid w:val="301F34FF"/>
    <w:rsid w:val="31D43E75"/>
    <w:rsid w:val="366369BF"/>
    <w:rsid w:val="3F7E18C4"/>
    <w:rsid w:val="49995C78"/>
    <w:rsid w:val="5CA6628A"/>
    <w:rsid w:val="6558033E"/>
    <w:rsid w:val="6E1D2124"/>
    <w:rsid w:val="76984A3E"/>
    <w:rsid w:val="7C136B1C"/>
    <w:rsid w:val="7F8F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theme="minorBidi"/>
      <w:kern w:val="2"/>
      <w:sz w:val="21"/>
      <w:lang w:val="en-US" w:eastAsia="zh-CN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unhideWhenUsed/>
    <w:qFormat/>
    <w:uiPriority w:val="0"/>
    <w:pPr>
      <w:spacing w:beforeLines="0" w:after="120" w:afterLines="0"/>
    </w:pPr>
    <w:rPr>
      <w:rFonts w:hint="default"/>
      <w:sz w:val="21"/>
    </w:rPr>
  </w:style>
  <w:style w:type="paragraph" w:customStyle="1" w:styleId="3">
    <w:name w:val="引用1"/>
    <w:next w:val="1"/>
    <w:autoRedefine/>
    <w:qFormat/>
    <w:uiPriority w:val="0"/>
    <w:pPr>
      <w:wordWrap w:val="0"/>
      <w:spacing w:before="200" w:after="160"/>
      <w:ind w:left="864" w:right="864"/>
      <w:jc w:val="center"/>
    </w:pPr>
    <w:rPr>
      <w:rFonts w:ascii="Calibri" w:hAnsi="Calibri" w:eastAsia="宋体" w:cs="Times New Roman"/>
      <w:i/>
      <w:sz w:val="21"/>
      <w:lang w:val="en-US" w:eastAsia="zh-CN" w:bidi="ar-SA"/>
    </w:rPr>
  </w:style>
  <w:style w:type="paragraph" w:styleId="4">
    <w:name w:val="footer"/>
    <w:basedOn w:val="1"/>
    <w:autoRedefine/>
    <w:unhideWhenUsed/>
    <w:qFormat/>
    <w:uiPriority w:val="0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default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847</Words>
  <Characters>903</Characters>
  <Lines>0</Lines>
  <Paragraphs>0</Paragraphs>
  <TotalTime>1</TotalTime>
  <ScaleCrop>false</ScaleCrop>
  <LinksUpToDate>false</LinksUpToDate>
  <CharactersWithSpaces>997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2024-04-23T05:57:00Z</dcterms:created>
  <dc:creator>ASUS</dc:creator>
  <cp:lastModifiedBy>皮宪林</cp:lastModifiedBy>
  <dcterms:modified xsi:type="dcterms:W3CDTF">2024-06-13T09:02:44Z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C098FBF6448747848941CE02C63FC59E_13</vt:lpwstr>
  </property>
</Properties>
</file>