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4704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1"/>
          <w:right w:val="none" w:color="000000" w:sz="0" w:space="0"/>
        </w:pBd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="0" w:leftChars="0" w:right="0" w:rightChars="0"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2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2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县发改委2025年工作计划</w:t>
      </w:r>
      <w:bookmarkEnd w:id="0"/>
    </w:p>
    <w:p w14:paraId="4BC0635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1"/>
          <w:right w:val="none" w:color="000000" w:sz="0" w:space="0"/>
        </w:pBd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="0" w:leftChars="0" w:right="0" w:rightChars="0"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2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3BCE65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1"/>
          <w:right w:val="none" w:color="000000" w:sz="0" w:space="0"/>
        </w:pBd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="0" w:leftChars="0" w:right="0" w:righ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一、抓谋划推项目促建设。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一是深挖潜力，抓好项目谋划储备。</w:t>
      </w:r>
      <w:r>
        <w:rPr>
          <w:rFonts w:hint="eastAsia" w:ascii="仿宋_GB2312" w:hAnsi="仿宋_GB2312" w:eastAsia="仿宋_GB2312" w:cs="仿宋_GB2312"/>
          <w:b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始终坚持牢固树立“项目为王”理念，将抓项目作为工作推进的重中之重，坚持把项目谋划储备摆在突出位置，重点围绕国家新近出台的各项政策举措，联合第三方咨询公司，通过实地走访、座谈等方式，全力做好2025年项目谋划储备工作；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二是强化调度，抓好项目统筹推进。</w:t>
      </w:r>
      <w:r>
        <w:rPr>
          <w:rFonts w:hint="eastAsia" w:ascii="仿宋_GB2312" w:hAnsi="仿宋_GB2312" w:eastAsia="仿宋_GB2312" w:cs="仿宋_GB2312"/>
          <w:b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持续开展常态化督导，针对进度滞后的消防营房等项目，下发工作提醒函、督办单。及时提醒项目挂点县领导，深入项目一线，加强协调调</w:t>
      </w:r>
      <w:r>
        <w:rPr>
          <w:rFonts w:hint="eastAsia" w:ascii="仿宋_GB2312" w:hAnsi="Times New Roman" w:eastAsia="仿宋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度，督促项目责任单位，解决项目存在问题，加快项目实施推进，形成更多实物工作量。</w:t>
      </w:r>
      <w:r>
        <w:rPr>
          <w:rFonts w:hint="eastAsia" w:ascii="仿宋_GB2312" w:hAnsi="Times New Roman" w:eastAsia="仿宋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三是加强保障，抓好项目落地实施。</w:t>
      </w:r>
      <w:r>
        <w:rPr>
          <w:rFonts w:hint="eastAsia" w:ascii="仿宋_GB2312" w:hAnsi="Times New Roman" w:eastAsia="仿宋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持续坚持“要素跟着项目走”“服务围着项目转”，各项目责任单位要定期收集项目要素保障问题，与县要素保障办公室、县自然资源局、县财政局等要素保障部门保持紧密对接，及时破解要素瓶颈制约和问题，加快推动项目顺利落地实施，形成更多实</w:t>
      </w: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物工作量。</w:t>
      </w:r>
    </w:p>
    <w:p w14:paraId="1B8B6C9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1"/>
          <w:right w:val="none" w:color="000000" w:sz="0" w:space="0"/>
        </w:pBd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="0" w:leftChars="0" w:right="0" w:righ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二、重争资盯争项促投资。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一是加强政策理解分析。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要进一步吃透上级政策精神，邀请第三方专家对当前最新争资政策进行培训和解读，全面分析政策领域和方向，将争资工作作为重点工作推进，借助第三方专家指导，加快谋划储备项目的前期手续办理，切实提高我县争资项目申报的成功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二是加强项目谋划储备。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紧紧围绕上级支持的重点领域，积极谋划一批补短板、强弱项、增后劲的优质项目，力争获得上级相关部门的大力支持，切实提高我县储备项目的数量和质量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三是加强上级沟通对接。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要进一步加强与省市单位沟通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，全力争取上级政策和资金向我县倾斜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，全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面提升我县争资争项工作能力水平，找准政策资金的扶持方向，做到对有关政策精神、操作流程、项目谋划等内容了然于胸，力争让利好政策转化为支持我县发展的真金白银。</w:t>
      </w:r>
    </w:p>
    <w:p w14:paraId="70DE51D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1"/>
          <w:right w:val="none" w:color="000000" w:sz="0" w:space="0"/>
        </w:pBd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="0" w:leftChars="0" w:right="0" w:righ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三、推改革优环境促发展。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一是大力发展数字经济。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加速推动中国电信（安义）云计算大数据中心落地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围绕铝型材、光伏新能源和智能制造等优势产业的数字化车间、智能工厂以及智慧农业、智</w:t>
      </w:r>
      <w:r>
        <w:rPr>
          <w:rFonts w:hint="default" w:ascii="仿宋_GB2312" w:hAnsi="仿宋_GB2312" w:eastAsia="仿宋_GB2312" w:cs="仿宋_GB2312"/>
          <w:bCs/>
          <w:color w:val="auto"/>
          <w:kern w:val="2"/>
          <w:sz w:val="32"/>
          <w:szCs w:val="24"/>
          <w:lang w:val="en-US" w:eastAsia="zh-CN" w:bidi="ar-SA"/>
        </w:rPr>
        <w:t>慧旅游等本地计算需求，加快推进华为（南昌）工业智造赋能中心、洛可可等项目尽快落户门窗特色产业小镇，并引导乡镇将数字经济企业落户门窗小镇邻里中心，提高数字经济产业聚集区效能效用。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24"/>
          <w:lang w:val="en-US" w:eastAsia="zh-CN" w:bidi="ar-SA"/>
        </w:rPr>
        <w:t>二是持续推动体制改革。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24"/>
          <w:lang w:val="en-US" w:eastAsia="zh-CN" w:bidi="ar-SA"/>
        </w:rPr>
        <w:t>贯彻落实县委深改委工作部署，聚焦科技创新、营商环境、民生制度保障等重点领域，梳理务实改革任务举措，每月调度并督促责任单位落实改革任务，深入推进我县经济体制和生态文明体制改革。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24"/>
          <w:lang w:val="en-US" w:eastAsia="zh-CN" w:bidi="ar-SA"/>
        </w:rPr>
        <w:t>三是持续优化营商环境。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24"/>
          <w:lang w:val="en-US" w:eastAsia="zh-CN" w:bidi="ar-SA"/>
        </w:rPr>
        <w:t>优化投资审批流程，对</w:t>
      </w:r>
      <w:r>
        <w:rPr>
          <w:rFonts w:hint="eastAsia" w:ascii="仿宋_GB2312" w:hAnsi="宋体" w:eastAsia="仿宋_GB2312" w:cstheme="minorBidi"/>
          <w:color w:val="auto"/>
          <w:spacing w:val="-4"/>
          <w:kern w:val="2"/>
          <w:sz w:val="32"/>
          <w:szCs w:val="32"/>
          <w:lang w:val="en-US" w:eastAsia="zh-CN" w:bidi="ar-SA"/>
        </w:rPr>
        <w:t>重大项目立项备案开“绿色通道”，对符合要求的审批事项进行“容缺审批”或“承诺制”办理，进一步简化重大项目前期手续办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理流程。同时，进一步做好基层项目建设中不正之风和腐败问题专项整治，持续做好招投标领域专项治理成效。</w:t>
      </w:r>
    </w:p>
    <w:p w14:paraId="2BF56CC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21"/>
          <w:right w:val="none" w:color="000000" w:sz="0" w:space="0"/>
        </w:pBd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="0" w:leftChars="0" w:right="0" w:rightChars="0" w:firstLine="643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四、强分析抓监测稳经济。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强化服务业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运行提升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对培育库企业符合月度升规的企业营收情况实时每月动态监控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推动正在对接</w:t>
      </w:r>
      <w:r>
        <w:rPr>
          <w:rFonts w:hint="default" w:ascii="仿宋_GB2312" w:hAnsi="仿宋_GB2312" w:eastAsia="仿宋_GB2312" w:cs="仿宋_GB2312"/>
          <w:bCs/>
          <w:color w:val="auto"/>
          <w:kern w:val="2"/>
          <w:sz w:val="32"/>
          <w:szCs w:val="24"/>
          <w:highlight w:val="none"/>
          <w:lang w:val="en-US" w:eastAsia="zh-CN" w:bidi="ar-SA"/>
        </w:rPr>
        <w:t>的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24"/>
          <w:highlight w:val="none"/>
          <w:lang w:val="en-US" w:eastAsia="zh-CN" w:bidi="ar-SA"/>
        </w:rPr>
        <w:t>服务业</w:t>
      </w:r>
      <w:r>
        <w:rPr>
          <w:rFonts w:hint="default" w:ascii="仿宋_GB2312" w:hAnsi="仿宋_GB2312" w:eastAsia="仿宋_GB2312" w:cs="仿宋_GB2312"/>
          <w:bCs/>
          <w:color w:val="auto"/>
          <w:kern w:val="2"/>
          <w:sz w:val="32"/>
          <w:szCs w:val="24"/>
          <w:highlight w:val="none"/>
          <w:lang w:val="en-US" w:eastAsia="zh-CN" w:bidi="ar-SA"/>
        </w:rPr>
        <w:t>企业落户安义，引导企业业务导入至安义公司，争取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24"/>
          <w:highlight w:val="none"/>
          <w:lang w:val="en-US" w:eastAsia="zh-CN" w:bidi="ar-SA"/>
        </w:rPr>
        <w:t>企业</w:t>
      </w:r>
      <w:r>
        <w:rPr>
          <w:rFonts w:hint="default" w:ascii="仿宋_GB2312" w:hAnsi="仿宋_GB2312" w:eastAsia="仿宋_GB2312" w:cs="仿宋_GB2312"/>
          <w:bCs/>
          <w:color w:val="auto"/>
          <w:kern w:val="2"/>
          <w:sz w:val="32"/>
          <w:szCs w:val="24"/>
          <w:highlight w:val="none"/>
          <w:lang w:val="en-US" w:eastAsia="zh-CN" w:bidi="ar-SA"/>
        </w:rPr>
        <w:t>升规成功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24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对每月报数情况进行分析研判，加强对重点企业数据波动异常的监测分析，并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与统计部门开展联合实地督查，提升数据质量，确保数出有据、应统尽统、应报尽报</w:t>
      </w:r>
      <w:r>
        <w:rPr>
          <w:rFonts w:hint="default" w:ascii="仿宋_GB2312" w:hAnsi="仿宋_GB2312" w:eastAsia="仿宋_GB2312" w:cs="仿宋_GB2312"/>
          <w:bCs/>
          <w:color w:val="auto"/>
          <w:kern w:val="2"/>
          <w:sz w:val="32"/>
          <w:szCs w:val="24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24"/>
          <w:lang w:val="en-US" w:eastAsia="zh-CN" w:bidi="ar-SA"/>
        </w:rPr>
        <w:t>二是</w:t>
      </w:r>
      <w:r>
        <w:rPr>
          <w:rFonts w:hint="default" w:ascii="仿宋_GB2312" w:hAnsi="仿宋_GB2312" w:eastAsia="仿宋_GB2312" w:cs="仿宋_GB2312"/>
          <w:b/>
          <w:bCs w:val="0"/>
          <w:color w:val="auto"/>
          <w:kern w:val="2"/>
          <w:sz w:val="32"/>
          <w:szCs w:val="24"/>
          <w:lang w:val="en-US" w:eastAsia="zh-CN" w:bidi="ar-SA"/>
        </w:rPr>
        <w:t>强化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24"/>
          <w:lang w:val="en-US" w:eastAsia="zh-CN" w:bidi="ar-SA"/>
        </w:rPr>
        <w:t>固定资产投资运行监测。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围绕我县在建计划入统项目，逐个逐项加快推进入统工作，对被打回的项目，督促对接单位抓住问题关键点，做细做实申请材料，尽快重新报审，做到“应统尽统”；对在库的项目，围绕项目分类，协同县统计局、科工信局、住保中心督促抓好各个项目的投资报数，提前摸清项目底数，尽早掌握项目开工进度，做好对在库项目报数流程、报数时间节点等方面的精准指导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三是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24"/>
          <w:lang w:val="en-US" w:eastAsia="zh-CN" w:bidi="ar-SA"/>
        </w:rPr>
        <w:t>强化全县经济运行分析。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</w:rPr>
        <w:t>全面贯彻落实县委、县政府关于经济工作的重要部署和要求，统筹谋划和指导我县各项经济工作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lang w:val="en-US" w:eastAsia="zh-CN"/>
        </w:rPr>
        <w:t>定期监测主要经济指标运行情况，认真分析全县经济运行态势，协调解决经济运行中的重大问题。</w:t>
      </w:r>
    </w:p>
    <w:p w14:paraId="39C3BD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F746F"/>
    <w:rsid w:val="551F746F"/>
    <w:rsid w:val="5985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1569</Words>
  <Characters>1578</Characters>
  <Lines>0</Lines>
  <Paragraphs>0</Paragraphs>
  <TotalTime>1</TotalTime>
  <ScaleCrop>false</ScaleCrop>
  <LinksUpToDate>false</LinksUpToDate>
  <CharactersWithSpaces>1578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2025-01-13T07:51:00Z</dcterms:created>
  <dc:creator>露C</dc:creator>
  <cp:lastModifiedBy>露C</cp:lastModifiedBy>
  <dcterms:modified xsi:type="dcterms:W3CDTF">2025-01-13T07:56:31Z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A9E81754C9484017AF56FE50AFB17698_13</vt:lpwstr>
  </property>
  <property fmtid="{D5CDD505-2E9C-101B-9397-08002B2CF9AE}" pid="4" name="KSOTemplateDocerSaveRecord">
    <vt:lpwstr>eyJoZGlkIjoiNzI1YTJlZGEyNGQ5OGVjNGQzNDNlOWJmYTBjMWU2MTAiLCJ1c2VySWQiOiIxMDQzMzQwMTQ2In0=</vt:lpwstr>
  </property>
</Properties>
</file>