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75C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县发改委2026年</w:t>
      </w:r>
      <w:r>
        <w:rPr>
          <w:rFonts w:hint="eastAsia" w:ascii="方正小标宋简体" w:hAnsi="方正小标宋简体" w:eastAsia="方正小标宋简体" w:cs="方正小标宋简体"/>
          <w:sz w:val="44"/>
          <w:szCs w:val="44"/>
        </w:rPr>
        <w:t>重点工作</w:t>
      </w:r>
      <w:r>
        <w:rPr>
          <w:rFonts w:hint="eastAsia" w:ascii="方正小标宋简体" w:hAnsi="方正小标宋简体" w:eastAsia="方正小标宋简体" w:cs="方正小标宋简体"/>
          <w:sz w:val="44"/>
          <w:szCs w:val="44"/>
          <w:lang w:val="en-US" w:eastAsia="zh-CN"/>
        </w:rPr>
        <w:t>计划</w:t>
      </w:r>
    </w:p>
    <w:bookmarkEnd w:id="0"/>
    <w:p w14:paraId="14308D0D">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lang w:val="en-US" w:eastAsia="zh-CN"/>
        </w:rPr>
      </w:pPr>
    </w:p>
    <w:p w14:paraId="069EE508">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一、抓实项目攻坚，筑牢发展硬支撑</w:t>
      </w:r>
    </w:p>
    <w:p w14:paraId="17A5501E">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始终坚持“项目为王、实干为先”理念，把项目建设作为扩投资、稳增长、促发展的核心引擎，以清单化管理、节点化推进、责任化落实，推动重大重点项目落地见效、提速增效。</w:t>
      </w:r>
      <w:r>
        <w:rPr>
          <w:rFonts w:hint="eastAsia" w:ascii="仿宋_GB2312" w:hAnsi="仿宋_GB2312" w:eastAsia="仿宋_GB2312" w:cs="仿宋_GB2312"/>
          <w:b/>
          <w:bCs/>
          <w:color w:val="auto"/>
          <w:kern w:val="2"/>
          <w:sz w:val="32"/>
          <w:szCs w:val="32"/>
          <w:highlight w:val="none"/>
          <w:lang w:val="en-US" w:eastAsia="zh-CN" w:bidi="ar-SA"/>
        </w:rPr>
        <w:t>一是</w:t>
      </w:r>
      <w:r>
        <w:rPr>
          <w:rFonts w:hint="default" w:ascii="仿宋_GB2312" w:hAnsi="仿宋_GB2312" w:eastAsia="仿宋_GB2312" w:cs="仿宋_GB2312"/>
          <w:b/>
          <w:bCs/>
          <w:color w:val="auto"/>
          <w:kern w:val="2"/>
          <w:sz w:val="32"/>
          <w:szCs w:val="32"/>
          <w:highlight w:val="none"/>
          <w:lang w:val="en-US" w:eastAsia="zh-CN" w:bidi="ar-SA"/>
        </w:rPr>
        <w:t>精准定计划，明晰任务清单。</w:t>
      </w:r>
      <w:r>
        <w:rPr>
          <w:rFonts w:hint="default" w:ascii="仿宋_GB2312" w:hAnsi="仿宋_GB2312" w:eastAsia="仿宋_GB2312" w:cs="仿宋_GB2312"/>
          <w:color w:val="auto"/>
          <w:kern w:val="2"/>
          <w:sz w:val="32"/>
          <w:szCs w:val="32"/>
          <w:highlight w:val="none"/>
          <w:lang w:val="en-US" w:eastAsia="zh-CN" w:bidi="ar-SA"/>
        </w:rPr>
        <w:t>系统制定2026年县级重大重点项目、县重点推进项目、市22个重点领域专班项目三张清单，绘制民生实事项目推进链条图，</w:t>
      </w:r>
      <w:r>
        <w:rPr>
          <w:rFonts w:hint="eastAsia" w:ascii="仿宋_GB2312" w:hAnsi="仿宋_GB2312" w:eastAsia="仿宋_GB2312" w:cs="仿宋_GB2312"/>
          <w:color w:val="auto"/>
          <w:kern w:val="2"/>
          <w:sz w:val="32"/>
          <w:szCs w:val="32"/>
          <w:highlight w:val="none"/>
          <w:lang w:val="en-US" w:eastAsia="zh-CN" w:bidi="ar-SA"/>
        </w:rPr>
        <w:t>实行</w:t>
      </w:r>
      <w:r>
        <w:rPr>
          <w:rFonts w:hint="default" w:ascii="仿宋_GB2312" w:hAnsi="仿宋_GB2312" w:eastAsia="仿宋_GB2312" w:cs="仿宋_GB2312"/>
          <w:color w:val="auto"/>
          <w:kern w:val="2"/>
          <w:sz w:val="32"/>
          <w:szCs w:val="32"/>
          <w:highlight w:val="none"/>
          <w:lang w:val="en-US" w:eastAsia="zh-CN" w:bidi="ar-SA"/>
        </w:rPr>
        <w:t>清单化管理、项目化推进、闭环式落实。</w:t>
      </w:r>
      <w:r>
        <w:rPr>
          <w:rFonts w:hint="eastAsia" w:ascii="仿宋_GB2312" w:hAnsi="仿宋_GB2312" w:eastAsia="仿宋_GB2312" w:cs="仿宋_GB2312"/>
          <w:b/>
          <w:bCs/>
          <w:color w:val="auto"/>
          <w:kern w:val="2"/>
          <w:sz w:val="32"/>
          <w:szCs w:val="32"/>
          <w:highlight w:val="none"/>
          <w:lang w:val="en-US" w:eastAsia="zh-CN" w:bidi="ar-SA"/>
        </w:rPr>
        <w:t>二是</w:t>
      </w:r>
      <w:r>
        <w:rPr>
          <w:rFonts w:hint="default" w:ascii="仿宋_GB2312" w:hAnsi="仿宋_GB2312" w:eastAsia="仿宋_GB2312" w:cs="仿宋_GB2312"/>
          <w:b/>
          <w:bCs/>
          <w:color w:val="auto"/>
          <w:kern w:val="2"/>
          <w:sz w:val="32"/>
          <w:szCs w:val="32"/>
          <w:highlight w:val="none"/>
          <w:lang w:val="en-US" w:eastAsia="zh-CN" w:bidi="ar-SA"/>
        </w:rPr>
        <w:t>强力促推进，紧盯节点攻坚。</w:t>
      </w:r>
      <w:r>
        <w:rPr>
          <w:rFonts w:hint="default" w:ascii="仿宋_GB2312" w:hAnsi="仿宋_GB2312" w:eastAsia="仿宋_GB2312" w:cs="仿宋_GB2312"/>
          <w:color w:val="auto"/>
          <w:kern w:val="2"/>
          <w:sz w:val="32"/>
          <w:szCs w:val="32"/>
          <w:highlight w:val="none"/>
          <w:lang w:val="en-US" w:eastAsia="zh-CN" w:bidi="ar-SA"/>
        </w:rPr>
        <w:t>建立“月初通报、月中督导、月底汇总”工作机制，每月通报需开工及逾期未开工项目，常态化开展实地督导调度，对进度滞后项目及时下发提醒函、督办单，全力推动项目按期建设、达效投用。</w:t>
      </w:r>
      <w:r>
        <w:rPr>
          <w:rFonts w:hint="eastAsia" w:ascii="仿宋_GB2312" w:hAnsi="仿宋_GB2312" w:eastAsia="仿宋_GB2312" w:cs="仿宋_GB2312"/>
          <w:b/>
          <w:bCs/>
          <w:color w:val="auto"/>
          <w:kern w:val="2"/>
          <w:sz w:val="32"/>
          <w:szCs w:val="32"/>
          <w:highlight w:val="none"/>
          <w:lang w:val="en-US" w:eastAsia="zh-CN" w:bidi="ar-SA"/>
        </w:rPr>
        <w:t>三是</w:t>
      </w:r>
      <w:r>
        <w:rPr>
          <w:rFonts w:hint="default" w:ascii="仿宋_GB2312" w:hAnsi="仿宋_GB2312" w:eastAsia="仿宋_GB2312" w:cs="仿宋_GB2312"/>
          <w:b/>
          <w:bCs/>
          <w:color w:val="auto"/>
          <w:kern w:val="2"/>
          <w:sz w:val="32"/>
          <w:szCs w:val="32"/>
          <w:highlight w:val="none"/>
          <w:lang w:val="en-US" w:eastAsia="zh-CN" w:bidi="ar-SA"/>
        </w:rPr>
        <w:t>从严压责任，强化考核导向。</w:t>
      </w:r>
      <w:r>
        <w:rPr>
          <w:rFonts w:hint="default" w:ascii="仿宋_GB2312" w:hAnsi="仿宋_GB2312" w:eastAsia="仿宋_GB2312" w:cs="仿宋_GB2312"/>
          <w:color w:val="auto"/>
          <w:kern w:val="2"/>
          <w:sz w:val="32"/>
          <w:szCs w:val="32"/>
          <w:highlight w:val="none"/>
          <w:lang w:val="en-US" w:eastAsia="zh-CN" w:bidi="ar-SA"/>
        </w:rPr>
        <w:t>严格执行奖优罚劣、激励约束机制，对项目推进成效显著、完成目标任务的责任单位予以加分激励；对推进不力、进展滞后、未完成任务的严肃通报批评、督促整改，以刚性考核倒逼责任落实。</w:t>
      </w:r>
    </w:p>
    <w:p w14:paraId="13F6D2FA">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二、</w:t>
      </w:r>
      <w:r>
        <w:rPr>
          <w:rFonts w:hint="default" w:ascii="楷体_GB2312" w:hAnsi="楷体_GB2312" w:eastAsia="楷体_GB2312" w:cs="楷体_GB2312"/>
          <w:b/>
          <w:bCs/>
          <w:color w:val="auto"/>
          <w:kern w:val="2"/>
          <w:sz w:val="32"/>
          <w:szCs w:val="32"/>
          <w:highlight w:val="none"/>
          <w:lang w:val="en-US" w:eastAsia="zh-CN" w:bidi="ar-SA"/>
        </w:rPr>
        <w:t>强化争资争项，激活发展源动力</w:t>
      </w:r>
    </w:p>
    <w:p w14:paraId="10D895E2">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紧扣国家、省市政策导向与资金投向，立足县域发展实际，精准对接、靶向发力、全力拼争，着力提升项目申报质量和资金争取成效，为全县经济社会高质量发展注入强劲动能。</w:t>
      </w:r>
      <w:r>
        <w:rPr>
          <w:rFonts w:hint="eastAsia" w:ascii="仿宋_GB2312" w:hAnsi="仿宋_GB2312" w:eastAsia="仿宋_GB2312" w:cs="仿宋_GB2312"/>
          <w:b/>
          <w:bCs/>
          <w:color w:val="auto"/>
          <w:kern w:val="2"/>
          <w:sz w:val="32"/>
          <w:szCs w:val="32"/>
          <w:highlight w:val="none"/>
          <w:lang w:val="en-US" w:eastAsia="zh-CN" w:bidi="ar-SA"/>
        </w:rPr>
        <w:t>一是</w:t>
      </w:r>
      <w:r>
        <w:rPr>
          <w:rFonts w:hint="default" w:ascii="仿宋_GB2312" w:hAnsi="仿宋_GB2312" w:eastAsia="仿宋_GB2312" w:cs="仿宋_GB2312"/>
          <w:b/>
          <w:bCs/>
          <w:color w:val="auto"/>
          <w:kern w:val="2"/>
          <w:sz w:val="32"/>
          <w:szCs w:val="32"/>
          <w:highlight w:val="none"/>
          <w:lang w:val="en-US" w:eastAsia="zh-CN" w:bidi="ar-SA"/>
        </w:rPr>
        <w:t>深研政策方向，提升对接实效。</w:t>
      </w:r>
      <w:r>
        <w:rPr>
          <w:rFonts w:hint="default" w:ascii="仿宋_GB2312" w:hAnsi="仿宋_GB2312" w:eastAsia="仿宋_GB2312" w:cs="仿宋_GB2312"/>
          <w:color w:val="auto"/>
          <w:kern w:val="2"/>
          <w:sz w:val="32"/>
          <w:szCs w:val="32"/>
          <w:highlight w:val="none"/>
          <w:lang w:val="en-US" w:eastAsia="zh-CN" w:bidi="ar-SA"/>
        </w:rPr>
        <w:t>成立政策学习专项工作组，常态化开展上级政策学习研讨，邀请第三方专家开展争资政策专题培训解读，精准把握政策支持领域与申报方向；强化已报送项目跟踪对接，全程跟进审核流程，全力提高项目审核通过率。</w:t>
      </w:r>
      <w:r>
        <w:rPr>
          <w:rFonts w:hint="eastAsia" w:ascii="仿宋_GB2312" w:hAnsi="仿宋_GB2312" w:eastAsia="仿宋_GB2312" w:cs="仿宋_GB2312"/>
          <w:b/>
          <w:bCs/>
          <w:color w:val="auto"/>
          <w:kern w:val="2"/>
          <w:sz w:val="32"/>
          <w:szCs w:val="32"/>
          <w:highlight w:val="none"/>
          <w:lang w:val="en-US" w:eastAsia="zh-CN" w:bidi="ar-SA"/>
        </w:rPr>
        <w:t>二是</w:t>
      </w:r>
      <w:r>
        <w:rPr>
          <w:rFonts w:hint="default" w:ascii="仿宋_GB2312" w:hAnsi="仿宋_GB2312" w:eastAsia="仿宋_GB2312" w:cs="仿宋_GB2312"/>
          <w:b/>
          <w:bCs/>
          <w:color w:val="auto"/>
          <w:kern w:val="2"/>
          <w:sz w:val="32"/>
          <w:szCs w:val="32"/>
          <w:highlight w:val="none"/>
          <w:lang w:val="en-US" w:eastAsia="zh-CN" w:bidi="ar-SA"/>
        </w:rPr>
        <w:t>精谋储备项目，夯实申报基础。</w:t>
      </w:r>
      <w:r>
        <w:rPr>
          <w:rFonts w:hint="default" w:ascii="仿宋_GB2312" w:hAnsi="仿宋_GB2312" w:eastAsia="仿宋_GB2312" w:cs="仿宋_GB2312"/>
          <w:color w:val="auto"/>
          <w:kern w:val="2"/>
          <w:sz w:val="32"/>
          <w:szCs w:val="32"/>
          <w:highlight w:val="none"/>
          <w:lang w:val="en-US" w:eastAsia="zh-CN" w:bidi="ar-SA"/>
        </w:rPr>
        <w:t>梳理编制2026年重点争资项目储备清单，提前推进项目前期手续办理，细化完善申报材料，确保储备项目“储得实、报得上、争得到、能落地”。</w:t>
      </w:r>
      <w:r>
        <w:rPr>
          <w:rFonts w:hint="eastAsia" w:ascii="仿宋_GB2312" w:hAnsi="仿宋_GB2312" w:eastAsia="仿宋_GB2312" w:cs="仿宋_GB2312"/>
          <w:b/>
          <w:bCs/>
          <w:color w:val="auto"/>
          <w:kern w:val="2"/>
          <w:sz w:val="32"/>
          <w:szCs w:val="32"/>
          <w:highlight w:val="none"/>
          <w:lang w:val="en-US" w:eastAsia="zh-CN" w:bidi="ar-SA"/>
        </w:rPr>
        <w:t>三是</w:t>
      </w:r>
      <w:r>
        <w:rPr>
          <w:rFonts w:hint="default" w:ascii="仿宋_GB2312" w:hAnsi="仿宋_GB2312" w:eastAsia="仿宋_GB2312" w:cs="仿宋_GB2312"/>
          <w:b/>
          <w:bCs/>
          <w:color w:val="auto"/>
          <w:kern w:val="2"/>
          <w:sz w:val="32"/>
          <w:szCs w:val="32"/>
          <w:highlight w:val="none"/>
          <w:lang w:val="en-US" w:eastAsia="zh-CN" w:bidi="ar-SA"/>
        </w:rPr>
        <w:t>健全工作机制，凝聚拼争合力。</w:t>
      </w:r>
      <w:r>
        <w:rPr>
          <w:rFonts w:hint="default" w:ascii="仿宋_GB2312" w:hAnsi="仿宋_GB2312" w:eastAsia="仿宋_GB2312" w:cs="仿宋_GB2312"/>
          <w:color w:val="auto"/>
          <w:kern w:val="2"/>
          <w:sz w:val="32"/>
          <w:szCs w:val="32"/>
          <w:highlight w:val="none"/>
          <w:lang w:val="en-US" w:eastAsia="zh-CN" w:bidi="ar-SA"/>
        </w:rPr>
        <w:t>出台争资争项拼争行动实施方案，提请县分管领导每月专题调度；组建专项债、国债、中央预算内投资、“两重”“两新”4个攻坚专班，集中力量重点突破、提质增效。</w:t>
      </w:r>
    </w:p>
    <w:p w14:paraId="3072D7B7">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三、</w:t>
      </w:r>
      <w:r>
        <w:rPr>
          <w:rFonts w:hint="default" w:ascii="楷体_GB2312" w:hAnsi="楷体_GB2312" w:eastAsia="楷体_GB2312" w:cs="楷体_GB2312"/>
          <w:b/>
          <w:bCs/>
          <w:color w:val="auto"/>
          <w:kern w:val="2"/>
          <w:sz w:val="32"/>
          <w:szCs w:val="32"/>
          <w:highlight w:val="none"/>
          <w:lang w:val="en-US" w:eastAsia="zh-CN" w:bidi="ar-SA"/>
        </w:rPr>
        <w:t>紧盯固投入统，稳住增长基本盘</w:t>
      </w:r>
    </w:p>
    <w:p w14:paraId="55063D35">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聚焦项目入统、建设、报数三大关键环节，紧扣月初、月中、月末时间节点，强化部门协同、上下联动、闭环推进，全力推动固定资产投资有序增长、应统尽统。</w:t>
      </w:r>
      <w:r>
        <w:rPr>
          <w:rFonts w:hint="eastAsia" w:ascii="仿宋_GB2312" w:hAnsi="仿宋_GB2312" w:eastAsia="仿宋_GB2312" w:cs="仿宋_GB2312"/>
          <w:b/>
          <w:bCs/>
          <w:color w:val="auto"/>
          <w:kern w:val="2"/>
          <w:sz w:val="32"/>
          <w:szCs w:val="32"/>
          <w:highlight w:val="none"/>
          <w:lang w:val="en-US" w:eastAsia="zh-CN" w:bidi="ar-SA"/>
        </w:rPr>
        <w:t>一是</w:t>
      </w:r>
      <w:r>
        <w:rPr>
          <w:rFonts w:hint="default" w:ascii="仿宋_GB2312" w:hAnsi="仿宋_GB2312" w:eastAsia="仿宋_GB2312" w:cs="仿宋_GB2312"/>
          <w:b/>
          <w:bCs/>
          <w:color w:val="auto"/>
          <w:kern w:val="2"/>
          <w:sz w:val="32"/>
          <w:szCs w:val="32"/>
          <w:highlight w:val="none"/>
          <w:lang w:val="en-US" w:eastAsia="zh-CN" w:bidi="ar-SA"/>
        </w:rPr>
        <w:t>抓实数据上报，确保应报尽报。</w:t>
      </w:r>
      <w:r>
        <w:rPr>
          <w:rFonts w:hint="default" w:ascii="仿宋_GB2312" w:hAnsi="仿宋_GB2312" w:eastAsia="仿宋_GB2312" w:cs="仿宋_GB2312"/>
          <w:color w:val="auto"/>
          <w:kern w:val="2"/>
          <w:sz w:val="32"/>
          <w:szCs w:val="32"/>
          <w:highlight w:val="none"/>
          <w:lang w:val="en-US" w:eastAsia="zh-CN" w:bidi="ar-SA"/>
        </w:rPr>
        <w:t>严格对照统计部门规范要求，每月月初督促各乡镇（处）按时完成固投数据上报，第一时间对接核实，确保数据真实、准确、及时。</w:t>
      </w:r>
      <w:r>
        <w:rPr>
          <w:rFonts w:hint="eastAsia" w:ascii="仿宋_GB2312" w:hAnsi="仿宋_GB2312" w:eastAsia="仿宋_GB2312" w:cs="仿宋_GB2312"/>
          <w:b/>
          <w:bCs/>
          <w:color w:val="auto"/>
          <w:kern w:val="2"/>
          <w:sz w:val="32"/>
          <w:szCs w:val="32"/>
          <w:highlight w:val="none"/>
          <w:lang w:val="en-US" w:eastAsia="zh-CN" w:bidi="ar-SA"/>
        </w:rPr>
        <w:t>二是</w:t>
      </w:r>
      <w:r>
        <w:rPr>
          <w:rFonts w:hint="default" w:ascii="仿宋_GB2312" w:hAnsi="仿宋_GB2312" w:eastAsia="仿宋_GB2312" w:cs="仿宋_GB2312"/>
          <w:b/>
          <w:bCs/>
          <w:color w:val="auto"/>
          <w:kern w:val="2"/>
          <w:sz w:val="32"/>
          <w:szCs w:val="32"/>
          <w:highlight w:val="none"/>
          <w:lang w:val="en-US" w:eastAsia="zh-CN" w:bidi="ar-SA"/>
        </w:rPr>
        <w:t>规范入统申报，提升申报质效。</w:t>
      </w:r>
      <w:r>
        <w:rPr>
          <w:rFonts w:hint="default" w:ascii="仿宋_GB2312" w:hAnsi="仿宋_GB2312" w:eastAsia="仿宋_GB2312" w:cs="仿宋_GB2312"/>
          <w:color w:val="auto"/>
          <w:kern w:val="2"/>
          <w:sz w:val="32"/>
          <w:szCs w:val="32"/>
          <w:highlight w:val="none"/>
          <w:lang w:val="en-US" w:eastAsia="zh-CN" w:bidi="ar-SA"/>
        </w:rPr>
        <w:t>紧盯入统申报窗口期，主动靠前服务、一对一精准指导，帮助项目单位完善入统佐证材料；每月20日前完成同类项目排查整合、资料汇总审核，推动项目规范申报、快速入统。</w:t>
      </w:r>
      <w:r>
        <w:rPr>
          <w:rFonts w:hint="eastAsia" w:ascii="仿宋_GB2312" w:hAnsi="仿宋_GB2312" w:eastAsia="仿宋_GB2312" w:cs="仿宋_GB2312"/>
          <w:b/>
          <w:bCs/>
          <w:color w:val="auto"/>
          <w:kern w:val="2"/>
          <w:sz w:val="32"/>
          <w:szCs w:val="32"/>
          <w:highlight w:val="none"/>
          <w:lang w:val="en-US" w:eastAsia="zh-CN" w:bidi="ar-SA"/>
        </w:rPr>
        <w:t>三是</w:t>
      </w:r>
      <w:r>
        <w:rPr>
          <w:rFonts w:hint="default" w:ascii="仿宋_GB2312" w:hAnsi="仿宋_GB2312" w:eastAsia="仿宋_GB2312" w:cs="仿宋_GB2312"/>
          <w:b/>
          <w:bCs/>
          <w:color w:val="auto"/>
          <w:kern w:val="2"/>
          <w:sz w:val="32"/>
          <w:szCs w:val="32"/>
          <w:highlight w:val="none"/>
          <w:lang w:val="en-US" w:eastAsia="zh-CN" w:bidi="ar-SA"/>
        </w:rPr>
        <w:t>强化审核跟进，实现应纳尽纳。</w:t>
      </w:r>
      <w:r>
        <w:rPr>
          <w:rFonts w:hint="default" w:ascii="仿宋_GB2312" w:hAnsi="仿宋_GB2312" w:eastAsia="仿宋_GB2312" w:cs="仿宋_GB2312"/>
          <w:color w:val="auto"/>
          <w:kern w:val="2"/>
          <w:sz w:val="32"/>
          <w:szCs w:val="32"/>
          <w:highlight w:val="none"/>
          <w:lang w:val="en-US" w:eastAsia="zh-CN" w:bidi="ar-SA"/>
        </w:rPr>
        <w:t>每月月底主动对接统计部门，实时跟进入统审核进度，对发现问题第一时间协调整改，确保当月符合条件项目成功入统，坚决做到应统尽统、不漏一户一项。</w:t>
      </w:r>
    </w:p>
    <w:p w14:paraId="1EA833D8">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四、</w:t>
      </w:r>
      <w:r>
        <w:rPr>
          <w:rFonts w:hint="default" w:ascii="楷体_GB2312" w:hAnsi="楷体_GB2312" w:eastAsia="楷体_GB2312" w:cs="楷体_GB2312"/>
          <w:b/>
          <w:bCs/>
          <w:color w:val="auto"/>
          <w:kern w:val="2"/>
          <w:sz w:val="32"/>
          <w:szCs w:val="32"/>
          <w:highlight w:val="none"/>
          <w:lang w:val="en-US" w:eastAsia="zh-CN" w:bidi="ar-SA"/>
        </w:rPr>
        <w:t>助推服务业升级，推动脱虚向实</w:t>
      </w:r>
    </w:p>
    <w:p w14:paraId="38E8147C">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围绕稳增速、优主体、提质效核心目标，聚焦生产性服务业重点领域，联动特色赋能平台，推动生产性服务业提质扩容、总部经济规范健康发展，实现服务业实体经济提质增效。</w:t>
      </w:r>
      <w:r>
        <w:rPr>
          <w:rFonts w:hint="eastAsia" w:ascii="仿宋_GB2312" w:hAnsi="仿宋_GB2312" w:eastAsia="仿宋_GB2312" w:cs="仿宋_GB2312"/>
          <w:b/>
          <w:bCs/>
          <w:color w:val="auto"/>
          <w:kern w:val="2"/>
          <w:sz w:val="32"/>
          <w:szCs w:val="32"/>
          <w:highlight w:val="none"/>
          <w:lang w:val="en-US" w:eastAsia="zh-CN" w:bidi="ar-SA"/>
        </w:rPr>
        <w:t>一是</w:t>
      </w:r>
      <w:r>
        <w:rPr>
          <w:rFonts w:hint="default" w:ascii="仿宋_GB2312" w:hAnsi="仿宋_GB2312" w:eastAsia="仿宋_GB2312" w:cs="仿宋_GB2312"/>
          <w:b/>
          <w:bCs/>
          <w:color w:val="auto"/>
          <w:kern w:val="2"/>
          <w:sz w:val="32"/>
          <w:szCs w:val="32"/>
          <w:highlight w:val="none"/>
          <w:lang w:val="en-US" w:eastAsia="zh-CN" w:bidi="ar-SA"/>
        </w:rPr>
        <w:t>紧盯运行稳增速。</w:t>
      </w:r>
      <w:r>
        <w:rPr>
          <w:rFonts w:hint="default" w:ascii="仿宋_GB2312" w:hAnsi="仿宋_GB2312" w:eastAsia="仿宋_GB2312" w:cs="仿宋_GB2312"/>
          <w:color w:val="auto"/>
          <w:kern w:val="2"/>
          <w:sz w:val="32"/>
          <w:szCs w:val="32"/>
          <w:highlight w:val="none"/>
          <w:lang w:val="en-US" w:eastAsia="zh-CN" w:bidi="ar-SA"/>
        </w:rPr>
        <w:t>常态化监测规上服务业企业经营数据，精准分析营收、增速等核心指标，对标找差、补齐短板；密切跟进总部经济企业政策调整，联合统计、属地乡镇综合研判企业质量，精准施策稳住行业增长基本面</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
          <w:bCs/>
          <w:color w:val="auto"/>
          <w:kern w:val="2"/>
          <w:sz w:val="32"/>
          <w:szCs w:val="32"/>
          <w:highlight w:val="none"/>
          <w:lang w:val="en-US" w:eastAsia="zh-CN" w:bidi="ar-SA"/>
        </w:rPr>
        <w:t>二是</w:t>
      </w:r>
      <w:r>
        <w:rPr>
          <w:rFonts w:hint="default" w:ascii="仿宋_GB2312" w:hAnsi="仿宋_GB2312" w:eastAsia="仿宋_GB2312" w:cs="仿宋_GB2312"/>
          <w:b/>
          <w:bCs/>
          <w:color w:val="auto"/>
          <w:kern w:val="2"/>
          <w:sz w:val="32"/>
          <w:szCs w:val="32"/>
          <w:highlight w:val="none"/>
          <w:lang w:val="en-US" w:eastAsia="zh-CN" w:bidi="ar-SA"/>
        </w:rPr>
        <w:t>靶向培育优主体。</w:t>
      </w:r>
      <w:r>
        <w:rPr>
          <w:rFonts w:hint="default" w:ascii="仿宋_GB2312" w:hAnsi="仿宋_GB2312" w:eastAsia="仿宋_GB2312" w:cs="仿宋_GB2312"/>
          <w:color w:val="auto"/>
          <w:kern w:val="2"/>
          <w:sz w:val="32"/>
          <w:szCs w:val="32"/>
          <w:highlight w:val="none"/>
          <w:lang w:val="en-US" w:eastAsia="zh-CN" w:bidi="ar-SA"/>
        </w:rPr>
        <w:t>全面摸排物流、物业、维修等实体企业发展底数，以行业主管部门牵头、属地乡镇配合，制定重点企业培育升规计划；从新注册企业中筛选优质市场主体，建立培育库，推动更多企业达标入规、壮大体量。</w:t>
      </w:r>
      <w:r>
        <w:rPr>
          <w:rFonts w:hint="eastAsia" w:ascii="仿宋_GB2312" w:hAnsi="仿宋_GB2312" w:eastAsia="仿宋_GB2312" w:cs="仿宋_GB2312"/>
          <w:b/>
          <w:bCs/>
          <w:color w:val="auto"/>
          <w:kern w:val="2"/>
          <w:sz w:val="32"/>
          <w:szCs w:val="32"/>
          <w:highlight w:val="none"/>
          <w:lang w:val="en-US" w:eastAsia="zh-CN" w:bidi="ar-SA"/>
        </w:rPr>
        <w:t>三是</w:t>
      </w:r>
      <w:r>
        <w:rPr>
          <w:rFonts w:hint="default" w:ascii="仿宋_GB2312" w:hAnsi="仿宋_GB2312" w:eastAsia="仿宋_GB2312" w:cs="仿宋_GB2312"/>
          <w:b/>
          <w:bCs/>
          <w:color w:val="auto"/>
          <w:kern w:val="2"/>
          <w:sz w:val="32"/>
          <w:szCs w:val="32"/>
          <w:highlight w:val="none"/>
          <w:lang w:val="en-US" w:eastAsia="zh-CN" w:bidi="ar-SA"/>
        </w:rPr>
        <w:t>聚焦项目提质效。</w:t>
      </w:r>
      <w:r>
        <w:rPr>
          <w:rFonts w:hint="default" w:ascii="仿宋_GB2312" w:hAnsi="仿宋_GB2312" w:eastAsia="仿宋_GB2312" w:cs="仿宋_GB2312"/>
          <w:color w:val="auto"/>
          <w:kern w:val="2"/>
          <w:sz w:val="32"/>
          <w:szCs w:val="32"/>
          <w:highlight w:val="none"/>
          <w:lang w:val="en-US" w:eastAsia="zh-CN" w:bidi="ar-SA"/>
        </w:rPr>
        <w:t>加快推进安义智慧物流园等重点项目建设，完善服务业基础设施配套；积极争取职教城职业教育产业园纳入市级高品质服务业集聚发展支持范围，力争获得政策奖补；联合商务部门制定招商图谱，精准对接省级服务业龙头企业，力争全年引进龙头企业实现突破。</w:t>
      </w:r>
    </w:p>
    <w:p w14:paraId="0344A406">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五、</w:t>
      </w:r>
      <w:r>
        <w:rPr>
          <w:rFonts w:hint="default" w:ascii="楷体_GB2312" w:hAnsi="楷体_GB2312" w:eastAsia="楷体_GB2312" w:cs="楷体_GB2312"/>
          <w:b/>
          <w:bCs/>
          <w:color w:val="auto"/>
          <w:kern w:val="2"/>
          <w:sz w:val="32"/>
          <w:szCs w:val="32"/>
          <w:highlight w:val="none"/>
          <w:lang w:val="en-US" w:eastAsia="zh-CN" w:bidi="ar-SA"/>
        </w:rPr>
        <w:t>夯实能源保障，完善基础设施</w:t>
      </w:r>
    </w:p>
    <w:p w14:paraId="1E84EE6E">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统筹能源项目建设、民生服务供给与绿色低碳发展，加快重点能源项目落地、完善能源服务网络，全面提升能源保障能力和便民服务水平。</w:t>
      </w:r>
      <w:r>
        <w:rPr>
          <w:rFonts w:hint="eastAsia" w:ascii="仿宋_GB2312" w:hAnsi="仿宋_GB2312" w:eastAsia="仿宋_GB2312" w:cs="仿宋_GB2312"/>
          <w:b/>
          <w:bCs/>
          <w:color w:val="auto"/>
          <w:kern w:val="2"/>
          <w:sz w:val="32"/>
          <w:szCs w:val="32"/>
          <w:highlight w:val="none"/>
          <w:lang w:val="en-US" w:eastAsia="zh-CN" w:bidi="ar-SA"/>
        </w:rPr>
        <w:t>一是</w:t>
      </w:r>
      <w:r>
        <w:rPr>
          <w:rFonts w:hint="default" w:ascii="仿宋_GB2312" w:hAnsi="仿宋_GB2312" w:eastAsia="仿宋_GB2312" w:cs="仿宋_GB2312"/>
          <w:b/>
          <w:bCs/>
          <w:color w:val="auto"/>
          <w:kern w:val="2"/>
          <w:sz w:val="32"/>
          <w:szCs w:val="32"/>
          <w:highlight w:val="none"/>
          <w:lang w:val="en-US" w:eastAsia="zh-CN" w:bidi="ar-SA"/>
        </w:rPr>
        <w:t>推进重点能源项目建设。</w:t>
      </w:r>
      <w:r>
        <w:rPr>
          <w:rFonts w:hint="default" w:ascii="仿宋_GB2312" w:hAnsi="仿宋_GB2312" w:eastAsia="仿宋_GB2312" w:cs="仿宋_GB2312"/>
          <w:color w:val="auto"/>
          <w:kern w:val="2"/>
          <w:sz w:val="32"/>
          <w:szCs w:val="32"/>
          <w:highlight w:val="none"/>
          <w:lang w:val="en-US" w:eastAsia="zh-CN" w:bidi="ar-SA"/>
        </w:rPr>
        <w:t>加强与供电部门对接协作，加快龙津220kV、战坪110kV输变电工程前期工作，推动尽早开工投运；加快3个风电项目核准办理，力争全面开工建设，实现我县风电项目零的突破。</w:t>
      </w:r>
      <w:r>
        <w:rPr>
          <w:rFonts w:hint="eastAsia" w:ascii="仿宋_GB2312" w:hAnsi="仿宋_GB2312" w:eastAsia="仿宋_GB2312" w:cs="仿宋_GB2312"/>
          <w:b/>
          <w:bCs/>
          <w:color w:val="auto"/>
          <w:kern w:val="2"/>
          <w:sz w:val="32"/>
          <w:szCs w:val="32"/>
          <w:highlight w:val="none"/>
          <w:lang w:val="en-US" w:eastAsia="zh-CN" w:bidi="ar-SA"/>
        </w:rPr>
        <w:t>二是</w:t>
      </w:r>
      <w:r>
        <w:rPr>
          <w:rFonts w:hint="default" w:ascii="仿宋_GB2312" w:hAnsi="仿宋_GB2312" w:eastAsia="仿宋_GB2312" w:cs="仿宋_GB2312"/>
          <w:b/>
          <w:bCs/>
          <w:color w:val="auto"/>
          <w:kern w:val="2"/>
          <w:sz w:val="32"/>
          <w:szCs w:val="32"/>
          <w:highlight w:val="none"/>
          <w:lang w:val="en-US" w:eastAsia="zh-CN" w:bidi="ar-SA"/>
        </w:rPr>
        <w:t>加快“充电一张网”布局。</w:t>
      </w:r>
      <w:r>
        <w:rPr>
          <w:rFonts w:hint="default" w:ascii="仿宋_GB2312" w:hAnsi="仿宋_GB2312" w:eastAsia="仿宋_GB2312" w:cs="仿宋_GB2312"/>
          <w:color w:val="auto"/>
          <w:kern w:val="2"/>
          <w:sz w:val="32"/>
          <w:szCs w:val="32"/>
          <w:highlight w:val="none"/>
          <w:lang w:val="en-US" w:eastAsia="zh-CN" w:bidi="ar-SA"/>
        </w:rPr>
        <w:t>依托市交投、县城投等平台，优化全县公用充电桩布局，推动全部公用充电桩接入“赣云充”“赣智充”平台，全面提升充电服务便捷化、智能化水平。</w:t>
      </w:r>
      <w:r>
        <w:rPr>
          <w:rFonts w:hint="eastAsia" w:ascii="仿宋_GB2312" w:hAnsi="仿宋_GB2312" w:eastAsia="仿宋_GB2312" w:cs="仿宋_GB2312"/>
          <w:b/>
          <w:bCs/>
          <w:color w:val="auto"/>
          <w:kern w:val="2"/>
          <w:sz w:val="32"/>
          <w:szCs w:val="32"/>
          <w:highlight w:val="none"/>
          <w:lang w:val="en-US" w:eastAsia="zh-CN" w:bidi="ar-SA"/>
        </w:rPr>
        <w:t>三是</w:t>
      </w:r>
      <w:r>
        <w:rPr>
          <w:rFonts w:hint="default" w:ascii="仿宋_GB2312" w:hAnsi="仿宋_GB2312" w:eastAsia="仿宋_GB2312" w:cs="仿宋_GB2312"/>
          <w:b/>
          <w:bCs/>
          <w:color w:val="auto"/>
          <w:kern w:val="2"/>
          <w:sz w:val="32"/>
          <w:szCs w:val="32"/>
          <w:highlight w:val="none"/>
          <w:lang w:val="en-US" w:eastAsia="zh-CN" w:bidi="ar-SA"/>
        </w:rPr>
        <w:t>持续推进光伏屋顶开发。</w:t>
      </w:r>
      <w:r>
        <w:rPr>
          <w:rFonts w:hint="default" w:ascii="仿宋_GB2312" w:hAnsi="仿宋_GB2312" w:eastAsia="仿宋_GB2312" w:cs="仿宋_GB2312"/>
          <w:color w:val="auto"/>
          <w:kern w:val="2"/>
          <w:sz w:val="32"/>
          <w:szCs w:val="32"/>
          <w:highlight w:val="none"/>
          <w:lang w:val="en-US" w:eastAsia="zh-CN" w:bidi="ar-SA"/>
        </w:rPr>
        <w:t>督促园区光伏项目加快建设、尽早并网；密切跟踪县域电力消纳容量，指导企业规范办理接入手续与竞争优选，推动分布式光伏应装尽装、高效利用。</w:t>
      </w:r>
    </w:p>
    <w:p w14:paraId="1490D7B3">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六、</w:t>
      </w:r>
      <w:r>
        <w:rPr>
          <w:rFonts w:hint="default" w:ascii="楷体_GB2312" w:hAnsi="楷体_GB2312" w:eastAsia="楷体_GB2312" w:cs="楷体_GB2312"/>
          <w:b/>
          <w:bCs/>
          <w:color w:val="auto"/>
          <w:kern w:val="2"/>
          <w:sz w:val="32"/>
          <w:szCs w:val="32"/>
          <w:highlight w:val="none"/>
          <w:lang w:val="en-US" w:eastAsia="zh-CN" w:bidi="ar-SA"/>
        </w:rPr>
        <w:t>坚守安全底线，筑牢发展稳防线</w:t>
      </w:r>
    </w:p>
    <w:p w14:paraId="56309262">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统筹发展和安全，聚焦能源安全、粮食安全、人防安全，从严从细落实安全监管责任，健全风险防范机制，全力守住安全发展底线，为经济社会发展保驾护航。</w:t>
      </w:r>
      <w:r>
        <w:rPr>
          <w:rFonts w:hint="eastAsia" w:ascii="仿宋_GB2312" w:hAnsi="仿宋_GB2312" w:eastAsia="仿宋_GB2312" w:cs="仿宋_GB2312"/>
          <w:b/>
          <w:bCs/>
          <w:color w:val="auto"/>
          <w:kern w:val="2"/>
          <w:sz w:val="32"/>
          <w:szCs w:val="32"/>
          <w:highlight w:val="none"/>
          <w:lang w:val="en-US" w:eastAsia="zh-CN" w:bidi="ar-SA"/>
        </w:rPr>
        <w:t>一是</w:t>
      </w:r>
      <w:r>
        <w:rPr>
          <w:rFonts w:hint="default" w:ascii="仿宋_GB2312" w:hAnsi="仿宋_GB2312" w:eastAsia="仿宋_GB2312" w:cs="仿宋_GB2312"/>
          <w:b/>
          <w:bCs/>
          <w:color w:val="auto"/>
          <w:kern w:val="2"/>
          <w:sz w:val="32"/>
          <w:szCs w:val="32"/>
          <w:highlight w:val="none"/>
          <w:lang w:val="en-US" w:eastAsia="zh-CN" w:bidi="ar-SA"/>
        </w:rPr>
        <w:t>严守能源安全防线。</w:t>
      </w:r>
      <w:r>
        <w:rPr>
          <w:rFonts w:hint="default" w:ascii="仿宋_GB2312" w:hAnsi="仿宋_GB2312" w:eastAsia="仿宋_GB2312" w:cs="仿宋_GB2312"/>
          <w:color w:val="auto"/>
          <w:kern w:val="2"/>
          <w:sz w:val="32"/>
          <w:szCs w:val="32"/>
          <w:highlight w:val="none"/>
          <w:lang w:val="en-US" w:eastAsia="zh-CN" w:bidi="ar-SA"/>
        </w:rPr>
        <w:t>强化电力、天然气等重点能源供需动态监测，完善能源保供协调机制和应急保障预案，确保企业生产、居民生活用能安全稳定供应，有效防范化解能源供应风险。</w:t>
      </w:r>
      <w:r>
        <w:rPr>
          <w:rFonts w:hint="eastAsia" w:ascii="仿宋_GB2312" w:hAnsi="仿宋_GB2312" w:eastAsia="仿宋_GB2312" w:cs="仿宋_GB2312"/>
          <w:b/>
          <w:bCs/>
          <w:color w:val="auto"/>
          <w:kern w:val="2"/>
          <w:sz w:val="32"/>
          <w:szCs w:val="32"/>
          <w:highlight w:val="none"/>
          <w:lang w:val="en-US" w:eastAsia="zh-CN" w:bidi="ar-SA"/>
        </w:rPr>
        <w:t>二是</w:t>
      </w:r>
      <w:r>
        <w:rPr>
          <w:rFonts w:hint="default" w:ascii="仿宋_GB2312" w:hAnsi="仿宋_GB2312" w:eastAsia="仿宋_GB2312" w:cs="仿宋_GB2312"/>
          <w:b/>
          <w:bCs/>
          <w:color w:val="auto"/>
          <w:kern w:val="2"/>
          <w:sz w:val="32"/>
          <w:szCs w:val="32"/>
          <w:highlight w:val="none"/>
          <w:lang w:val="en-US" w:eastAsia="zh-CN" w:bidi="ar-SA"/>
        </w:rPr>
        <w:t>筑牢粮食安全根基。</w:t>
      </w:r>
      <w:r>
        <w:rPr>
          <w:rFonts w:hint="default" w:ascii="仿宋_GB2312" w:hAnsi="仿宋_GB2312" w:eastAsia="仿宋_GB2312" w:cs="仿宋_GB2312"/>
          <w:color w:val="auto"/>
          <w:kern w:val="2"/>
          <w:sz w:val="32"/>
          <w:szCs w:val="32"/>
          <w:highlight w:val="none"/>
          <w:lang w:val="en-US" w:eastAsia="zh-CN" w:bidi="ar-SA"/>
        </w:rPr>
        <w:t>扎实做好最低收购价粮食收购、储备粮轮换等工作，严格落实储备粮管理规范，确保数量真实、质量良好、储存安全；加快高标准粮仓建设，完善粮食应急供应体系，强化流通监管，保障粮食市场平稳运行。</w:t>
      </w:r>
      <w:r>
        <w:rPr>
          <w:rFonts w:hint="eastAsia" w:ascii="仿宋_GB2312" w:hAnsi="仿宋_GB2312" w:eastAsia="仿宋_GB2312" w:cs="仿宋_GB2312"/>
          <w:b/>
          <w:bCs/>
          <w:color w:val="auto"/>
          <w:kern w:val="2"/>
          <w:sz w:val="32"/>
          <w:szCs w:val="32"/>
          <w:highlight w:val="none"/>
          <w:lang w:val="en-US" w:eastAsia="zh-CN" w:bidi="ar-SA"/>
        </w:rPr>
        <w:t>三是</w:t>
      </w:r>
      <w:r>
        <w:rPr>
          <w:rFonts w:hint="default" w:ascii="仿宋_GB2312" w:hAnsi="仿宋_GB2312" w:eastAsia="仿宋_GB2312" w:cs="仿宋_GB2312"/>
          <w:b/>
          <w:bCs/>
          <w:color w:val="auto"/>
          <w:kern w:val="2"/>
          <w:sz w:val="32"/>
          <w:szCs w:val="32"/>
          <w:highlight w:val="none"/>
          <w:lang w:val="en-US" w:eastAsia="zh-CN" w:bidi="ar-SA"/>
        </w:rPr>
        <w:t>强化人防安全管理。</w:t>
      </w:r>
      <w:r>
        <w:rPr>
          <w:rFonts w:hint="default" w:ascii="仿宋_GB2312" w:hAnsi="仿宋_GB2312" w:eastAsia="仿宋_GB2312" w:cs="仿宋_GB2312"/>
          <w:color w:val="auto"/>
          <w:kern w:val="2"/>
          <w:sz w:val="32"/>
          <w:szCs w:val="32"/>
          <w:highlight w:val="none"/>
          <w:lang w:val="en-US" w:eastAsia="zh-CN" w:bidi="ar-SA"/>
        </w:rPr>
        <w:t>严格人防工程审批、建设、验收全流程监管，确保工程质量达标；常态化开展人防工程安全隐患排查整治，加强日常维护管理，及时消除结构、消防等安全隐患，筑牢人防安全屏障。</w:t>
      </w:r>
    </w:p>
    <w:p w14:paraId="23F7A8F2">
      <w:pPr>
        <w:keepNext w:val="0"/>
        <w:keepLines w:val="0"/>
        <w:pageBreakBefore w:val="0"/>
        <w:widowControl w:val="0"/>
        <w:kinsoku/>
        <w:wordWrap/>
        <w:overflowPunct/>
        <w:topLinePunct w:val="0"/>
        <w:autoSpaceDE/>
        <w:autoSpaceDN/>
        <w:bidi w:val="0"/>
        <w:adjustRightInd/>
        <w:snapToGrid/>
        <w:spacing w:line="560" w:lineRule="exact"/>
        <w:textAlignment w:val="auto"/>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3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D0645"/>
    <w:rsid w:val="3AFD0645"/>
    <w:rsid w:val="4B041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2209</Words>
  <Characters>2228</Characters>
  <Lines>0</Lines>
  <Paragraphs>0</Paragraphs>
  <TotalTime>7</TotalTime>
  <ScaleCrop>false</ScaleCrop>
  <LinksUpToDate>false</LinksUpToDate>
  <CharactersWithSpaces>2228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2026-03-06T07:33:00Z</dcterms:created>
  <dc:creator>搁浅</dc:creator>
  <cp:lastModifiedBy>搁浅</cp:lastModifiedBy>
  <dcterms:modified xsi:type="dcterms:W3CDTF">2026-03-06T07:46:06Z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6C876544F4114B06A2A942EFA2E2D18A_11</vt:lpwstr>
  </property>
  <property fmtid="{D5CDD505-2E9C-101B-9397-08002B2CF9AE}" pid="4" name="KSOTemplateDocerSaveRecord">
    <vt:lpwstr>eyJoZGlkIjoiYWRlZGZlM2Y0MDJkMDUxMTY4ZWJkZmI3ZjcwZDQ2YjEiLCJ1c2VySWQiOiI2OTAzMjU4NjAifQ==</vt:lpwstr>
  </property>
</Properties>
</file>