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22274">
      <w:pPr>
        <w:pStyle w:val="6"/>
      </w:pPr>
      <w:r>
        <w:rPr>
          <w:rFonts w:hint="eastAsia"/>
          <w:lang w:val="en-US" w:eastAsia="zh-CN"/>
        </w:rPr>
        <w:t xml:space="preserve">  </w:t>
      </w:r>
      <w:r>
        <w:rPr>
          <w:rFonts w:hint="eastAsia"/>
        </w:rPr>
        <w:t>20</w:t>
      </w:r>
      <w:r>
        <w:rPr>
          <w:rFonts w:hint="eastAsia"/>
          <w:lang w:val="en-US" w:eastAsia="zh-CN"/>
        </w:rPr>
        <w:t>24</w:t>
      </w:r>
      <w:r>
        <w:rPr>
          <w:rFonts w:hint="eastAsia"/>
        </w:rPr>
        <w:t>年度安义县公安局整体支出绩效自评报告</w:t>
      </w:r>
    </w:p>
    <w:p w14:paraId="573F64FF">
      <w:pPr>
        <w:ind w:firstLine="600" w:firstLineChars="200"/>
        <w:rPr>
          <w:rFonts w:eastAsia="仿宋_GB2312"/>
          <w:sz w:val="30"/>
        </w:rPr>
      </w:pPr>
      <w:r>
        <w:rPr>
          <w:rFonts w:hint="eastAsia" w:eastAsia="仿宋_GB2312"/>
          <w:sz w:val="30"/>
        </w:rPr>
        <w:t>为切实做好20</w:t>
      </w:r>
      <w:r>
        <w:rPr>
          <w:rFonts w:hint="eastAsia" w:eastAsia="仿宋_GB2312"/>
          <w:sz w:val="30"/>
          <w:lang w:val="en-US" w:eastAsia="zh-CN"/>
        </w:rPr>
        <w:t>24</w:t>
      </w:r>
      <w:r>
        <w:rPr>
          <w:rFonts w:hint="eastAsia" w:eastAsia="仿宋_GB2312"/>
          <w:sz w:val="30"/>
        </w:rPr>
        <w:t>年度部门整体支出绩效自评工作，提高财政资金使用效益，根据《安义县财政局关于开展20</w:t>
      </w:r>
      <w:r>
        <w:rPr>
          <w:rFonts w:hint="eastAsia" w:eastAsia="仿宋_GB2312"/>
          <w:sz w:val="30"/>
          <w:lang w:val="en-US" w:eastAsia="zh-CN"/>
        </w:rPr>
        <w:t>24</w:t>
      </w:r>
      <w:r>
        <w:rPr>
          <w:rFonts w:hint="eastAsia" w:eastAsia="仿宋_GB2312"/>
          <w:sz w:val="30"/>
        </w:rPr>
        <w:t>年度</w:t>
      </w:r>
      <w:r>
        <w:rPr>
          <w:rFonts w:hint="eastAsia" w:eastAsia="仿宋_GB2312"/>
          <w:sz w:val="30"/>
          <w:lang w:val="en-US" w:eastAsia="zh-CN"/>
        </w:rPr>
        <w:t>全县预算单位自评及部门评价工作</w:t>
      </w:r>
      <w:r>
        <w:rPr>
          <w:rFonts w:hint="eastAsia" w:eastAsia="仿宋_GB2312"/>
          <w:sz w:val="30"/>
        </w:rPr>
        <w:t>的通知》（安财字〔202</w:t>
      </w:r>
      <w:r>
        <w:rPr>
          <w:rFonts w:hint="eastAsia" w:eastAsia="仿宋_GB2312"/>
          <w:sz w:val="30"/>
          <w:lang w:val="en-US" w:eastAsia="zh-CN"/>
        </w:rPr>
        <w:t>5</w:t>
      </w:r>
      <w:r>
        <w:rPr>
          <w:rFonts w:hint="eastAsia" w:eastAsia="仿宋_GB2312"/>
          <w:sz w:val="30"/>
        </w:rPr>
        <w:t>〕</w:t>
      </w:r>
      <w:r>
        <w:rPr>
          <w:rFonts w:hint="eastAsia" w:eastAsia="仿宋_GB2312"/>
          <w:sz w:val="30"/>
          <w:lang w:val="en-US" w:eastAsia="zh-CN"/>
        </w:rPr>
        <w:t>7</w:t>
      </w:r>
      <w:r>
        <w:rPr>
          <w:rFonts w:hint="eastAsia" w:eastAsia="仿宋_GB2312"/>
          <w:sz w:val="30"/>
        </w:rPr>
        <w:t>号）文件要求，结合我局的实际，现将我局开展20</w:t>
      </w:r>
      <w:r>
        <w:rPr>
          <w:rFonts w:hint="eastAsia" w:eastAsia="仿宋_GB2312"/>
          <w:sz w:val="30"/>
          <w:lang w:val="en-US" w:eastAsia="zh-CN"/>
        </w:rPr>
        <w:t>24</w:t>
      </w:r>
      <w:r>
        <w:rPr>
          <w:rFonts w:hint="eastAsia" w:eastAsia="仿宋_GB2312"/>
          <w:sz w:val="30"/>
        </w:rPr>
        <w:t>年度整体支出绩效</w:t>
      </w:r>
      <w:r>
        <w:rPr>
          <w:rFonts w:hint="eastAsia" w:eastAsia="仿宋_GB2312"/>
          <w:sz w:val="30"/>
          <w:lang w:val="en-US" w:eastAsia="zh-CN"/>
        </w:rPr>
        <w:t>评价</w:t>
      </w:r>
      <w:r>
        <w:rPr>
          <w:rFonts w:hint="eastAsia" w:eastAsia="仿宋_GB2312"/>
          <w:sz w:val="30"/>
        </w:rPr>
        <w:t>工作情况总结如下：</w:t>
      </w:r>
    </w:p>
    <w:p w14:paraId="6B83541C">
      <w:pPr>
        <w:ind w:firstLine="602" w:firstLineChars="200"/>
        <w:rPr>
          <w:rFonts w:eastAsia="仿宋_GB2312"/>
          <w:b/>
          <w:sz w:val="30"/>
        </w:rPr>
      </w:pPr>
      <w:r>
        <w:rPr>
          <w:rFonts w:hint="eastAsia" w:eastAsia="仿宋_GB2312"/>
          <w:b/>
          <w:sz w:val="30"/>
        </w:rPr>
        <w:t>一、</w:t>
      </w:r>
      <w:r>
        <w:rPr>
          <w:rFonts w:hint="eastAsia" w:eastAsia="仿宋_GB2312"/>
          <w:b/>
          <w:sz w:val="30"/>
        </w:rPr>
        <w:tab/>
      </w:r>
      <w:r>
        <w:rPr>
          <w:rFonts w:hint="eastAsia" w:eastAsia="仿宋_GB2312"/>
          <w:b/>
          <w:sz w:val="30"/>
        </w:rPr>
        <w:t>部门概况</w:t>
      </w:r>
    </w:p>
    <w:p w14:paraId="2F9FCA3B">
      <w:pPr>
        <w:ind w:firstLine="600" w:firstLineChars="200"/>
        <w:rPr>
          <w:rFonts w:eastAsia="仿宋_GB2312"/>
          <w:sz w:val="30"/>
        </w:rPr>
      </w:pPr>
      <w:r>
        <w:rPr>
          <w:rFonts w:hint="eastAsia" w:eastAsia="仿宋_GB2312"/>
          <w:sz w:val="30"/>
        </w:rPr>
        <w:t>（一）主要职责职能，组织架构、人员及资产等基本情况。</w:t>
      </w:r>
    </w:p>
    <w:p w14:paraId="096D0857">
      <w:pPr>
        <w:ind w:firstLine="600" w:firstLineChars="200"/>
        <w:rPr>
          <w:rFonts w:eastAsia="仿宋_GB2312"/>
          <w:sz w:val="30"/>
        </w:rPr>
      </w:pPr>
      <w:r>
        <w:rPr>
          <w:rFonts w:hint="eastAsia" w:eastAsia="仿宋_GB2312"/>
          <w:sz w:val="30"/>
        </w:rPr>
        <w:t>安义县公安局是主管公安工作的县政府直属机构，副县级建制。单位主要职责有：贯彻执行国家的法律、法规和公安工作的路线、方针、政策;研究拟定有关公安工作的规定和实施方法;研究改革开放中出现的社会治安新情况、新问题,掌握信息,及时准确的分析、预测敌情、刑事犯罪和社会治安状况,对全县公安工作进行决策部署；为县委、县政府和上级公安机关提供社会治安方面的重要信息,并提出相应对策；组织实施并指导预防、制止和侦查违法犯罪活动；组织实施并指导管理社会治安,维护社会治安秩序, 制止危害社会治安秩序行为,处置突发事件；管理全县道路交通安全,维护交通秩序,查处交通事故；组织实施消防工作,实行消防监督；警卫国家规定的特定人员,守卫重要的场所和设施；向居(村)民进行提高警惕、加强安全防范和遵守法律、遵守公共秩序的宣传教育,指导和监督机关、团体、企业、事业、大专院校等单位和重点建设工程的治安保卫工作,指导治安保卫委员会等群众性保卫组织的建设和治安防范工作；管理户籍、居民身份证、入境出境事务和外国人在境内居留、旅行的有关事务；管理枪支弹药、管制刀具和易燃易爆、剧毒放射性等危险物品、管理特种行业、管理集会游行、示威活动；组织实施并指导监所管理工作,对被裁决治安拘留人员执行行政处罚；监督、管理全县计算机信息系统安全保护工作，组织指导企事业公安业务工作；规划、组织全县公安科学技术,规划公安装备现代化建设；规划和指导全县公安队伍的革命化、现代化、正规化建设及公安民警的管理、教育、训练；指导、检查、监督全县公安机关的执法活动和法律法规规定的其他职责。县公安局设定29个内设机构。（一）执法勤务机构12个。分别为指挥中心(办公室)、国内安全保卫大队（反恐大队）、经济犯罪侦查大队、治安管理大队、刑事侦察大队、交通警察大队、特巡警大队、出入境管理大队、情报信息大队、缉毒大队、直属大队和森林分局；（二）综合管理机构4个。政治处、警务督察大队、警务保障室、法制大队；（三）派出机构及监管场所13个。设置龙津、鼎湖、万埠、石鼻、长埠、东阳、黄洲、新民、长均、乔乐、凤凰山共11个派出所。县公安局监管场所分别设立县看守所和拘留所。现有政法专项编制208名，工勤编制24名；</w:t>
      </w:r>
      <w:r>
        <w:rPr>
          <w:rFonts w:hint="eastAsia" w:eastAsia="仿宋_GB2312"/>
          <w:sz w:val="30"/>
          <w:highlight w:val="none"/>
        </w:rPr>
        <w:t>在职在岗人员</w:t>
      </w:r>
      <w:r>
        <w:rPr>
          <w:rFonts w:hint="eastAsia" w:eastAsia="仿宋_GB2312"/>
          <w:sz w:val="30"/>
          <w:highlight w:val="none"/>
          <w:lang w:val="en-US" w:eastAsia="zh-CN"/>
        </w:rPr>
        <w:t>269</w:t>
      </w:r>
      <w:r>
        <w:rPr>
          <w:rFonts w:hint="eastAsia" w:eastAsia="仿宋_GB2312"/>
          <w:sz w:val="30"/>
          <w:highlight w:val="none"/>
        </w:rPr>
        <w:t>人，其中：政法专项编制</w:t>
      </w:r>
      <w:r>
        <w:rPr>
          <w:rFonts w:hint="eastAsia" w:eastAsia="仿宋_GB2312"/>
          <w:sz w:val="30"/>
          <w:highlight w:val="none"/>
          <w:lang w:val="en-US" w:eastAsia="zh-CN"/>
        </w:rPr>
        <w:t>253</w:t>
      </w:r>
      <w:r>
        <w:rPr>
          <w:rFonts w:hint="eastAsia" w:eastAsia="仿宋_GB2312"/>
          <w:sz w:val="30"/>
          <w:highlight w:val="none"/>
        </w:rPr>
        <w:t>人，工勤编制</w:t>
      </w:r>
      <w:r>
        <w:rPr>
          <w:rFonts w:hint="eastAsia" w:eastAsia="仿宋_GB2312"/>
          <w:sz w:val="30"/>
          <w:highlight w:val="none"/>
          <w:lang w:val="en-US" w:eastAsia="zh-CN"/>
        </w:rPr>
        <w:t>16</w:t>
      </w:r>
      <w:r>
        <w:rPr>
          <w:rFonts w:hint="eastAsia" w:eastAsia="仿宋_GB2312"/>
          <w:sz w:val="30"/>
          <w:highlight w:val="none"/>
        </w:rPr>
        <w:t>名。截止20</w:t>
      </w:r>
      <w:r>
        <w:rPr>
          <w:rFonts w:hint="eastAsia" w:eastAsia="仿宋_GB2312"/>
          <w:sz w:val="30"/>
          <w:highlight w:val="none"/>
          <w:lang w:val="en-US" w:eastAsia="zh-CN"/>
        </w:rPr>
        <w:t>24</w:t>
      </w:r>
      <w:r>
        <w:rPr>
          <w:rFonts w:hint="eastAsia" w:eastAsia="仿宋_GB2312"/>
          <w:sz w:val="30"/>
          <w:highlight w:val="none"/>
        </w:rPr>
        <w:t>年12月31日，本部门共有车辆</w:t>
      </w:r>
      <w:r>
        <w:rPr>
          <w:rFonts w:hint="eastAsia" w:eastAsia="仿宋_GB2312"/>
          <w:sz w:val="30"/>
          <w:highlight w:val="none"/>
          <w:lang w:val="en-US" w:eastAsia="zh-CN"/>
        </w:rPr>
        <w:t>53</w:t>
      </w:r>
      <w:r>
        <w:rPr>
          <w:rFonts w:hint="eastAsia" w:eastAsia="仿宋_GB2312"/>
          <w:sz w:val="30"/>
          <w:highlight w:val="none"/>
        </w:rPr>
        <w:t>辆，其中特种专业技术用车</w:t>
      </w:r>
      <w:r>
        <w:rPr>
          <w:rFonts w:hint="eastAsia" w:eastAsia="仿宋_GB2312"/>
          <w:sz w:val="30"/>
          <w:highlight w:val="none"/>
          <w:lang w:val="en-US" w:eastAsia="zh-CN"/>
        </w:rPr>
        <w:t>19</w:t>
      </w:r>
      <w:r>
        <w:rPr>
          <w:rFonts w:hint="eastAsia" w:eastAsia="仿宋_GB2312"/>
          <w:sz w:val="30"/>
          <w:highlight w:val="none"/>
        </w:rPr>
        <w:t>辆、</w:t>
      </w:r>
      <w:r>
        <w:rPr>
          <w:rFonts w:hint="eastAsia" w:eastAsia="仿宋_GB2312"/>
          <w:sz w:val="30"/>
          <w:highlight w:val="none"/>
          <w:lang w:eastAsia="zh-CN"/>
        </w:rPr>
        <w:t>一般</w:t>
      </w:r>
      <w:r>
        <w:rPr>
          <w:rFonts w:hint="eastAsia" w:eastAsia="仿宋_GB2312"/>
          <w:sz w:val="30"/>
          <w:highlight w:val="none"/>
        </w:rPr>
        <w:t>执法执勤用车</w:t>
      </w:r>
      <w:r>
        <w:rPr>
          <w:rFonts w:hint="eastAsia" w:eastAsia="仿宋_GB2312"/>
          <w:sz w:val="30"/>
          <w:highlight w:val="none"/>
          <w:lang w:val="en-US" w:eastAsia="zh-CN"/>
        </w:rPr>
        <w:t>34</w:t>
      </w:r>
      <w:r>
        <w:rPr>
          <w:rFonts w:hint="eastAsia" w:eastAsia="仿宋_GB2312"/>
          <w:sz w:val="30"/>
          <w:highlight w:val="none"/>
        </w:rPr>
        <w:t>辆</w:t>
      </w:r>
      <w:r>
        <w:rPr>
          <w:rFonts w:hint="eastAsia" w:eastAsia="仿宋_GB2312"/>
          <w:sz w:val="30"/>
          <w:highlight w:val="none"/>
          <w:lang w:eastAsia="zh-CN"/>
        </w:rPr>
        <w:t>。</w:t>
      </w:r>
      <w:r>
        <w:rPr>
          <w:rFonts w:hint="eastAsia" w:eastAsia="仿宋_GB2312"/>
          <w:sz w:val="30"/>
          <w:highlight w:val="none"/>
        </w:rPr>
        <w:t>固定资产总额为</w:t>
      </w:r>
      <w:r>
        <w:rPr>
          <w:rFonts w:hint="eastAsia" w:eastAsia="仿宋_GB2312"/>
          <w:sz w:val="30"/>
          <w:highlight w:val="none"/>
          <w:lang w:val="en-US" w:eastAsia="zh-CN"/>
        </w:rPr>
        <w:t>14150.21</w:t>
      </w:r>
      <w:r>
        <w:rPr>
          <w:rFonts w:hint="eastAsia" w:eastAsia="仿宋_GB2312"/>
          <w:sz w:val="30"/>
          <w:highlight w:val="none"/>
        </w:rPr>
        <w:t>万元</w:t>
      </w:r>
      <w:r>
        <w:rPr>
          <w:rFonts w:hint="eastAsia" w:eastAsia="仿宋_GB2312"/>
          <w:sz w:val="30"/>
        </w:rPr>
        <w:t>。</w:t>
      </w:r>
    </w:p>
    <w:p w14:paraId="492A47D2">
      <w:pPr>
        <w:ind w:firstLine="600" w:firstLineChars="200"/>
        <w:rPr>
          <w:rFonts w:hint="eastAsia" w:eastAsia="仿宋_GB2312"/>
          <w:sz w:val="30"/>
        </w:rPr>
      </w:pPr>
      <w:r>
        <w:rPr>
          <w:rFonts w:hint="eastAsia" w:eastAsia="仿宋_GB2312"/>
          <w:sz w:val="30"/>
        </w:rPr>
        <w:t>（二）20</w:t>
      </w:r>
      <w:r>
        <w:rPr>
          <w:rFonts w:hint="eastAsia" w:eastAsia="仿宋_GB2312"/>
          <w:sz w:val="30"/>
          <w:lang w:val="en-US" w:eastAsia="zh-CN"/>
        </w:rPr>
        <w:t>24</w:t>
      </w:r>
      <w:r>
        <w:rPr>
          <w:rFonts w:hint="eastAsia" w:eastAsia="仿宋_GB2312"/>
          <w:sz w:val="30"/>
        </w:rPr>
        <w:t>年履职总体目标、工作任务。</w:t>
      </w:r>
    </w:p>
    <w:p w14:paraId="1B3B948D">
      <w:pPr>
        <w:ind w:firstLine="600" w:firstLineChars="200"/>
        <w:rPr>
          <w:rFonts w:hint="eastAsia" w:ascii="Times New Roman" w:hAnsi="Times New Roman" w:eastAsia="仿宋_GB2312" w:cs="Times New Roman"/>
          <w:color w:val="auto"/>
          <w:sz w:val="32"/>
          <w:szCs w:val="32"/>
          <w:u w:val="none"/>
          <w:lang w:eastAsia="zh-CN"/>
        </w:rPr>
      </w:pPr>
      <w:r>
        <w:rPr>
          <w:rFonts w:hint="eastAsia" w:ascii="Times New Roman" w:hAnsi="Times New Roman" w:eastAsia="仿宋_GB2312" w:cs="Times New Roman"/>
          <w:sz w:val="30"/>
          <w:szCs w:val="22"/>
          <w:highlight w:val="none"/>
          <w:lang w:val="en-US" w:eastAsia="zh-CN"/>
        </w:rPr>
        <w:t>2024年，</w:t>
      </w:r>
      <w:r>
        <w:rPr>
          <w:rFonts w:hint="default" w:ascii="Times New Roman" w:hAnsi="Times New Roman" w:eastAsia="仿宋_GB2312" w:cs="Times New Roman"/>
          <w:sz w:val="30"/>
          <w:szCs w:val="22"/>
          <w:highlight w:val="none"/>
          <w:lang w:val="en-US" w:eastAsia="zh-CN"/>
        </w:rPr>
        <w:t>安义县局</w:t>
      </w:r>
      <w:r>
        <w:rPr>
          <w:rFonts w:hint="eastAsia" w:ascii="Times New Roman" w:hAnsi="Times New Roman" w:eastAsia="仿宋_GB2312" w:cs="Times New Roman"/>
          <w:sz w:val="30"/>
          <w:szCs w:val="22"/>
          <w:highlight w:val="none"/>
          <w:lang w:val="en-US" w:eastAsia="zh-CN"/>
        </w:rPr>
        <w:t>在市局党委和县委、县政府</w:t>
      </w:r>
      <w:r>
        <w:rPr>
          <w:rFonts w:hint="default" w:ascii="Times New Roman" w:hAnsi="Times New Roman" w:eastAsia="仿宋_GB2312" w:cs="Times New Roman"/>
          <w:sz w:val="30"/>
          <w:szCs w:val="22"/>
          <w:highlight w:val="none"/>
          <w:lang w:val="en-US" w:eastAsia="zh-CN"/>
        </w:rPr>
        <w:t>的坚强领导下，</w:t>
      </w:r>
      <w:r>
        <w:rPr>
          <w:rFonts w:hint="default" w:ascii="Times New Roman" w:hAnsi="Times New Roman" w:eastAsia="仿宋_GB2312" w:cs="Times New Roman"/>
          <w:sz w:val="30"/>
          <w:szCs w:val="22"/>
          <w:highlight w:val="none"/>
        </w:rPr>
        <w:t>锚定</w:t>
      </w:r>
      <w:r>
        <w:rPr>
          <w:rFonts w:hint="eastAsia" w:ascii="Times New Roman" w:hAnsi="Times New Roman" w:eastAsia="仿宋_GB2312" w:cs="Times New Roman"/>
          <w:sz w:val="30"/>
          <w:szCs w:val="22"/>
          <w:highlight w:val="none"/>
          <w:lang w:val="en-US" w:eastAsia="zh-CN"/>
        </w:rPr>
        <w:t>笃行</w:t>
      </w:r>
      <w:r>
        <w:rPr>
          <w:rFonts w:hint="default" w:ascii="Times New Roman" w:hAnsi="Times New Roman" w:eastAsia="仿宋_GB2312" w:cs="Times New Roman"/>
          <w:sz w:val="30"/>
          <w:szCs w:val="22"/>
          <w:highlight w:val="none"/>
        </w:rPr>
        <w:t>省厅“13156”、市局“12359”总体工作思路，</w:t>
      </w:r>
      <w:r>
        <w:rPr>
          <w:rFonts w:hint="eastAsia" w:ascii="Times New Roman" w:hAnsi="Times New Roman" w:eastAsia="仿宋_GB2312" w:cs="Times New Roman"/>
          <w:sz w:val="30"/>
          <w:szCs w:val="22"/>
          <w:highlight w:val="none"/>
          <w:lang w:val="en-US" w:eastAsia="zh-CN"/>
        </w:rPr>
        <w:t>以推进公安工作现代化为主线，全力以赴防风险、保安全、护稳定、促发展，坚定不移固根基、补短板、强弱项，持之以恒抓队伍、严管理、正风纪，</w:t>
      </w:r>
      <w:r>
        <w:rPr>
          <w:rFonts w:hint="default" w:ascii="Times New Roman" w:hAnsi="Times New Roman" w:eastAsia="仿宋_GB2312" w:cs="Times New Roman"/>
          <w:sz w:val="30"/>
          <w:szCs w:val="22"/>
          <w:highlight w:val="none"/>
          <w:lang w:val="en-US" w:eastAsia="zh-CN"/>
        </w:rPr>
        <w:t>不断增强人民群众获得感、幸福感、安全感</w:t>
      </w:r>
      <w:r>
        <w:rPr>
          <w:rFonts w:hint="eastAsia" w:ascii="Times New Roman" w:hAnsi="Times New Roman" w:eastAsia="仿宋_GB2312" w:cs="Times New Roman"/>
          <w:sz w:val="30"/>
          <w:szCs w:val="22"/>
          <w:highlight w:val="none"/>
          <w:lang w:val="en-US" w:eastAsia="zh-CN"/>
        </w:rPr>
        <w:t>，</w:t>
      </w:r>
      <w:r>
        <w:rPr>
          <w:rFonts w:hint="default" w:ascii="Times New Roman" w:hAnsi="Times New Roman" w:eastAsia="仿宋_GB2312" w:cs="Times New Roman"/>
          <w:sz w:val="30"/>
          <w:szCs w:val="22"/>
          <w:highlight w:val="none"/>
          <w:lang w:val="en-US" w:eastAsia="zh-CN"/>
        </w:rPr>
        <w:t>营造安全稳定的政治环境、安定有序的社会环境、公平正义的法治环境、优质高效的服务环境。</w:t>
      </w:r>
    </w:p>
    <w:p w14:paraId="14690C46">
      <w:pPr>
        <w:ind w:firstLine="600" w:firstLineChars="200"/>
        <w:rPr>
          <w:rFonts w:hint="eastAsia" w:eastAsia="仿宋_GB2312"/>
          <w:sz w:val="30"/>
          <w:highlight w:val="none"/>
        </w:rPr>
      </w:pPr>
      <w:r>
        <w:rPr>
          <w:rFonts w:hint="eastAsia" w:eastAsia="仿宋_GB2312"/>
          <w:sz w:val="30"/>
          <w:highlight w:val="none"/>
        </w:rPr>
        <w:t>（三）20</w:t>
      </w:r>
      <w:r>
        <w:rPr>
          <w:rFonts w:hint="eastAsia" w:eastAsia="仿宋_GB2312"/>
          <w:sz w:val="30"/>
          <w:highlight w:val="none"/>
          <w:lang w:val="en-US" w:eastAsia="zh-CN"/>
        </w:rPr>
        <w:t>24</w:t>
      </w:r>
      <w:r>
        <w:rPr>
          <w:rFonts w:hint="eastAsia" w:eastAsia="仿宋_GB2312"/>
          <w:sz w:val="30"/>
          <w:highlight w:val="none"/>
        </w:rPr>
        <w:t>年度整体支出绩效目标。</w:t>
      </w:r>
    </w:p>
    <w:p w14:paraId="0EBBC9D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一是忠诚履责、勇于担当，扎实筑牢政治安全防线。坚决捍卫政治安全、坚决化解涉稳风险、健全重点人员</w:t>
      </w:r>
      <w:r>
        <w:rPr>
          <w:rFonts w:hint="default" w:ascii="Times New Roman" w:hAnsi="Times New Roman" w:eastAsia="仿宋_GB2312" w:cs="Times New Roman"/>
          <w:kern w:val="2"/>
          <w:sz w:val="30"/>
          <w:szCs w:val="22"/>
          <w:lang w:val="en-US" w:eastAsia="zh-CN" w:bidi="ar-SA"/>
        </w:rPr>
        <w:t>“一人一档”</w:t>
      </w:r>
      <w:r>
        <w:rPr>
          <w:rFonts w:hint="eastAsia" w:ascii="Times New Roman" w:hAnsi="Times New Roman" w:eastAsia="仿宋_GB2312" w:cs="Times New Roman"/>
          <w:kern w:val="2"/>
          <w:sz w:val="30"/>
          <w:szCs w:val="22"/>
          <w:lang w:val="en-US" w:eastAsia="zh-CN" w:bidi="ar-SA"/>
        </w:rPr>
        <w:t>并</w:t>
      </w:r>
      <w:r>
        <w:rPr>
          <w:rFonts w:hint="default" w:ascii="Times New Roman" w:hAnsi="Times New Roman" w:eastAsia="仿宋_GB2312" w:cs="Times New Roman"/>
          <w:kern w:val="2"/>
          <w:sz w:val="30"/>
          <w:szCs w:val="22"/>
          <w:lang w:val="en-US" w:eastAsia="zh-CN" w:bidi="ar-SA"/>
        </w:rPr>
        <w:t>定期开展风险评估</w:t>
      </w:r>
      <w:r>
        <w:rPr>
          <w:rFonts w:hint="eastAsia" w:ascii="Times New Roman" w:hAnsi="Times New Roman" w:eastAsia="仿宋_GB2312" w:cs="Times New Roman"/>
          <w:kern w:val="2"/>
          <w:sz w:val="30"/>
          <w:szCs w:val="22"/>
          <w:lang w:val="en-US" w:eastAsia="zh-CN" w:bidi="ar-SA"/>
        </w:rPr>
        <w:t>。</w:t>
      </w:r>
    </w:p>
    <w:p w14:paraId="124DDFA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二是坚守底线、整体防控，持续深化公共安全治理。全力化解各类矛盾纠纷、</w:t>
      </w:r>
      <w:r>
        <w:rPr>
          <w:rFonts w:hint="default" w:ascii="Times New Roman" w:hAnsi="Times New Roman" w:eastAsia="仿宋_GB2312" w:cs="Times New Roman"/>
          <w:kern w:val="2"/>
          <w:sz w:val="30"/>
          <w:szCs w:val="22"/>
          <w:lang w:val="en-US" w:eastAsia="zh-CN" w:bidi="ar-SA"/>
        </w:rPr>
        <w:t>全力维护道路交通安全。</w:t>
      </w:r>
      <w:r>
        <w:rPr>
          <w:rFonts w:hint="eastAsia" w:ascii="Times New Roman" w:hAnsi="Times New Roman" w:eastAsia="仿宋_GB2312" w:cs="Times New Roman"/>
          <w:kern w:val="2"/>
          <w:sz w:val="30"/>
          <w:szCs w:val="22"/>
          <w:lang w:val="en-US" w:eastAsia="zh-CN" w:bidi="ar-SA"/>
        </w:rPr>
        <w:t>全警交通夜查、交通劝导常态化，会同职能部门扎实开展马路市场整治，彻底根治国省道赶集、占道经营等道路风险隐患，全力筑牢消防安全屏障。</w:t>
      </w:r>
    </w:p>
    <w:p w14:paraId="0EF9072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三是立足主责、机制引领，全力保障社会治安稳定</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完善合成作战机制、健全电诈治理体系。</w:t>
      </w:r>
    </w:p>
    <w:p w14:paraId="682EF8A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四是强基固本、服务发展，全面提升基层治理效能。主防根基不断夯实</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执法执勤更加规范。强化办案全流程管理和执法质量考评，做到嫌疑人零脱逃、零事故，劣质案件零发生。</w:t>
      </w:r>
    </w:p>
    <w:p w14:paraId="22482B4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pPr>
      <w:r>
        <w:rPr>
          <w:rFonts w:hint="eastAsia" w:ascii="Times New Roman" w:hAnsi="Times New Roman" w:eastAsia="仿宋_GB2312" w:cs="Times New Roman"/>
          <w:kern w:val="2"/>
          <w:sz w:val="30"/>
          <w:szCs w:val="22"/>
          <w:lang w:val="en-US" w:eastAsia="zh-CN" w:bidi="ar-SA"/>
        </w:rPr>
        <w:t>五是内强素质、外塑形象，着力锻造过硬公安铁军</w:t>
      </w:r>
      <w:r>
        <w:rPr>
          <w:rFonts w:hint="default" w:ascii="Times New Roman" w:hAnsi="Times New Roman" w:eastAsia="仿宋_GB2312" w:cs="Times New Roman"/>
          <w:kern w:val="2"/>
          <w:sz w:val="30"/>
          <w:szCs w:val="22"/>
          <w:lang w:val="en-US" w:eastAsia="zh-CN" w:bidi="ar-SA"/>
        </w:rPr>
        <w:t>。政治建警增强向心力。持之以恒抓好“第一议题”、忠诚教育</w:t>
      </w:r>
      <w:r>
        <w:rPr>
          <w:rFonts w:hint="eastAsia" w:ascii="Times New Roman" w:hAnsi="Times New Roman" w:eastAsia="仿宋_GB2312" w:cs="Times New Roman"/>
          <w:kern w:val="2"/>
          <w:sz w:val="30"/>
          <w:szCs w:val="22"/>
          <w:lang w:val="en-US" w:eastAsia="zh-CN" w:bidi="ar-SA"/>
        </w:rPr>
        <w:t>，扎实开展党纪学习教育，</w:t>
      </w:r>
      <w:r>
        <w:rPr>
          <w:rFonts w:hint="default" w:ascii="Times New Roman" w:hAnsi="Times New Roman" w:eastAsia="仿宋_GB2312" w:cs="Times New Roman"/>
          <w:kern w:val="2"/>
          <w:sz w:val="30"/>
          <w:szCs w:val="22"/>
          <w:lang w:val="en-US" w:eastAsia="zh-CN" w:bidi="ar-SA"/>
        </w:rPr>
        <w:t>全警政治判断力、政治领悟力、政治执行力有效提升</w:t>
      </w:r>
      <w:r>
        <w:rPr>
          <w:rFonts w:hint="eastAsia" w:ascii="Times New Roman" w:hAnsi="Times New Roman" w:eastAsia="仿宋_GB2312" w:cs="Times New Roman"/>
          <w:kern w:val="2"/>
          <w:sz w:val="30"/>
          <w:szCs w:val="22"/>
          <w:lang w:val="en-US" w:eastAsia="zh-CN" w:bidi="ar-SA"/>
        </w:rPr>
        <w:t>;</w:t>
      </w:r>
      <w:r>
        <w:rPr>
          <w:rFonts w:hint="default" w:ascii="Times New Roman" w:hAnsi="Times New Roman" w:eastAsia="仿宋_GB2312" w:cs="Times New Roman"/>
          <w:kern w:val="2"/>
          <w:sz w:val="30"/>
          <w:szCs w:val="22"/>
          <w:lang w:val="en-US" w:eastAsia="zh-CN" w:bidi="ar-SA"/>
        </w:rPr>
        <w:t>素质强警增强战斗力。扎实开展“实战大练兵”“送教下基层”</w:t>
      </w:r>
      <w:r>
        <w:rPr>
          <w:rFonts w:hint="eastAsia" w:ascii="Times New Roman" w:hAnsi="Times New Roman" w:eastAsia="仿宋_GB2312" w:cs="Times New Roman"/>
          <w:kern w:val="2"/>
          <w:sz w:val="30"/>
          <w:szCs w:val="22"/>
          <w:lang w:val="en-US" w:eastAsia="zh-CN" w:bidi="ar-SA"/>
        </w:rPr>
        <w:t>活动</w:t>
      </w:r>
      <w:r>
        <w:rPr>
          <w:rFonts w:hint="default" w:ascii="Times New Roman" w:hAnsi="Times New Roman" w:eastAsia="仿宋_GB2312" w:cs="Times New Roman"/>
          <w:kern w:val="2"/>
          <w:sz w:val="30"/>
          <w:szCs w:val="22"/>
          <w:lang w:val="en-US" w:eastAsia="zh-CN" w:bidi="ar-SA"/>
        </w:rPr>
        <w:t>，警务实战技能水平</w:t>
      </w:r>
      <w:r>
        <w:rPr>
          <w:rFonts w:hint="eastAsia" w:ascii="Times New Roman" w:hAnsi="Times New Roman" w:eastAsia="仿宋_GB2312" w:cs="Times New Roman"/>
          <w:kern w:val="2"/>
          <w:sz w:val="30"/>
          <w:szCs w:val="22"/>
          <w:lang w:val="en-US" w:eastAsia="zh-CN" w:bidi="ar-SA"/>
        </w:rPr>
        <w:t>进一步提升;</w:t>
      </w:r>
      <w:r>
        <w:rPr>
          <w:rFonts w:hint="default" w:ascii="Times New Roman" w:hAnsi="Times New Roman" w:eastAsia="仿宋_GB2312" w:cs="Times New Roman"/>
          <w:kern w:val="2"/>
          <w:sz w:val="30"/>
          <w:szCs w:val="22"/>
          <w:lang w:val="en-US" w:eastAsia="zh-CN" w:bidi="ar-SA"/>
        </w:rPr>
        <w:t>从严治警增强执行力。</w:t>
      </w:r>
    </w:p>
    <w:p w14:paraId="2309798B">
      <w:pPr>
        <w:ind w:firstLine="600" w:firstLineChars="200"/>
        <w:rPr>
          <w:rFonts w:eastAsia="仿宋_GB2312"/>
          <w:sz w:val="30"/>
          <w:highlight w:val="none"/>
        </w:rPr>
      </w:pPr>
      <w:r>
        <w:rPr>
          <w:rFonts w:hint="eastAsia" w:eastAsia="仿宋_GB2312"/>
          <w:sz w:val="30"/>
          <w:highlight w:val="none"/>
        </w:rPr>
        <w:t>（四）预算绩效管理开展情况。</w:t>
      </w:r>
    </w:p>
    <w:p w14:paraId="48415A01">
      <w:pPr>
        <w:ind w:firstLine="600" w:firstLineChars="200"/>
        <w:rPr>
          <w:rFonts w:eastAsia="仿宋_GB2312"/>
          <w:sz w:val="30"/>
          <w:highlight w:val="none"/>
        </w:rPr>
      </w:pPr>
      <w:r>
        <w:rPr>
          <w:rFonts w:hint="eastAsia" w:eastAsia="仿宋_GB2312"/>
          <w:sz w:val="30"/>
          <w:highlight w:val="none"/>
        </w:rPr>
        <w:t>1、绩效管理：年初制定本部门绩效目标考核办法，对考核指标进行了具体细化，分到各科、所、队、室，年底对各科、所、队、室履职及目标任务完成情况进行考核评价。</w:t>
      </w:r>
    </w:p>
    <w:p w14:paraId="36380CB8">
      <w:pPr>
        <w:ind w:firstLine="750" w:firstLineChars="250"/>
        <w:rPr>
          <w:rFonts w:eastAsia="仿宋_GB2312"/>
          <w:sz w:val="30"/>
          <w:highlight w:val="none"/>
        </w:rPr>
      </w:pPr>
      <w:r>
        <w:rPr>
          <w:rFonts w:hint="eastAsia" w:eastAsia="仿宋_GB2312"/>
          <w:sz w:val="30"/>
          <w:highlight w:val="none"/>
        </w:rPr>
        <w:t>2、预决算管理：按照《</w:t>
      </w:r>
      <w:r>
        <w:rPr>
          <w:rFonts w:hint="eastAsia" w:eastAsia="仿宋_GB2312"/>
          <w:sz w:val="30"/>
          <w:highlight w:val="none"/>
          <w:lang w:eastAsia="zh-CN"/>
        </w:rPr>
        <w:t>中华人民共和国</w:t>
      </w:r>
      <w:r>
        <w:rPr>
          <w:rFonts w:hint="eastAsia" w:eastAsia="仿宋_GB2312"/>
          <w:sz w:val="30"/>
          <w:highlight w:val="none"/>
        </w:rPr>
        <w:t>预算法》要求编制年初部门预算并在政府门户网站上进行了信息公开。做到“无预算不开支，有预算不超支”，坚持厉行节约，严格控制支出，建立健全财务管理制度，对各项资金的使用严把审核审批关，重大开支实行上会制，由局长办公会和党委会会议研究决定，并根据年度财务数据如实填报决算报表。</w:t>
      </w:r>
    </w:p>
    <w:p w14:paraId="0F280298">
      <w:pPr>
        <w:ind w:firstLine="600" w:firstLineChars="200"/>
        <w:rPr>
          <w:rFonts w:eastAsia="仿宋_GB2312"/>
          <w:sz w:val="30"/>
          <w:highlight w:val="none"/>
        </w:rPr>
      </w:pPr>
      <w:r>
        <w:rPr>
          <w:rFonts w:hint="eastAsia" w:eastAsia="仿宋_GB2312"/>
          <w:sz w:val="30"/>
          <w:highlight w:val="none"/>
        </w:rPr>
        <w:t>3、资产管理：</w:t>
      </w:r>
      <w:r>
        <w:rPr>
          <w:rFonts w:hint="eastAsia" w:eastAsia="仿宋_GB2312"/>
          <w:sz w:val="30"/>
          <w:highlight w:val="none"/>
          <w:lang w:eastAsia="zh-CN"/>
        </w:rPr>
        <w:t>按照</w:t>
      </w:r>
      <w:r>
        <w:rPr>
          <w:rFonts w:hint="eastAsia" w:eastAsia="仿宋_GB2312"/>
          <w:sz w:val="30"/>
          <w:highlight w:val="none"/>
        </w:rPr>
        <w:t>《安义县公安局固定资产管理制度》</w:t>
      </w:r>
      <w:r>
        <w:rPr>
          <w:rFonts w:hint="eastAsia" w:eastAsia="仿宋_GB2312"/>
          <w:sz w:val="30"/>
          <w:highlight w:val="none"/>
          <w:lang w:eastAsia="zh-CN"/>
        </w:rPr>
        <w:t>的规定，</w:t>
      </w:r>
      <w:r>
        <w:rPr>
          <w:rFonts w:hint="eastAsia" w:eastAsia="仿宋_GB2312"/>
          <w:sz w:val="30"/>
          <w:highlight w:val="none"/>
        </w:rPr>
        <w:t>对资产的配置、登记、维护、处置等方面作了具体细化，</w:t>
      </w:r>
      <w:r>
        <w:rPr>
          <w:rFonts w:hint="eastAsia" w:eastAsia="仿宋_GB2312"/>
          <w:sz w:val="30"/>
          <w:highlight w:val="none"/>
          <w:lang w:eastAsia="zh-CN"/>
        </w:rPr>
        <w:t>引进了一套固定资产电子化管理系统，并</w:t>
      </w:r>
      <w:r>
        <w:rPr>
          <w:rFonts w:hint="eastAsia" w:eastAsia="仿宋_GB2312"/>
          <w:sz w:val="30"/>
          <w:highlight w:val="none"/>
        </w:rPr>
        <w:t>由专人负责管理。</w:t>
      </w:r>
    </w:p>
    <w:p w14:paraId="7774F254">
      <w:pPr>
        <w:ind w:firstLine="600" w:firstLineChars="200"/>
        <w:rPr>
          <w:rFonts w:eastAsia="仿宋_GB2312"/>
          <w:sz w:val="30"/>
          <w:highlight w:val="none"/>
        </w:rPr>
      </w:pPr>
      <w:r>
        <w:rPr>
          <w:rFonts w:hint="eastAsia" w:eastAsia="仿宋_GB2312"/>
          <w:sz w:val="30"/>
          <w:highlight w:val="none"/>
        </w:rPr>
        <w:t>4.</w:t>
      </w:r>
      <w:r>
        <w:rPr>
          <w:rFonts w:hint="eastAsia" w:eastAsia="仿宋_GB2312"/>
          <w:sz w:val="30"/>
          <w:highlight w:val="none"/>
          <w:lang w:eastAsia="zh-CN"/>
        </w:rPr>
        <w:t>“</w:t>
      </w:r>
      <w:r>
        <w:rPr>
          <w:rFonts w:hint="eastAsia" w:eastAsia="仿宋_GB2312"/>
          <w:sz w:val="30"/>
          <w:highlight w:val="none"/>
        </w:rPr>
        <w:t>三公</w:t>
      </w:r>
      <w:r>
        <w:rPr>
          <w:rFonts w:hint="eastAsia" w:eastAsia="仿宋_GB2312"/>
          <w:sz w:val="30"/>
          <w:highlight w:val="none"/>
          <w:lang w:eastAsia="zh-CN"/>
        </w:rPr>
        <w:t>”</w:t>
      </w:r>
      <w:r>
        <w:rPr>
          <w:rFonts w:hint="eastAsia" w:eastAsia="仿宋_GB2312"/>
          <w:sz w:val="30"/>
          <w:highlight w:val="none"/>
        </w:rPr>
        <w:t>经费管理：严格执行上级有关文件精神，加强“三公”经费管理，</w:t>
      </w:r>
      <w:r>
        <w:rPr>
          <w:rFonts w:hint="eastAsia" w:eastAsia="仿宋_GB2312"/>
          <w:sz w:val="30"/>
          <w:highlight w:val="none"/>
          <w:lang w:eastAsia="zh-CN"/>
        </w:rPr>
        <w:t>按照</w:t>
      </w:r>
      <w:r>
        <w:rPr>
          <w:rFonts w:hint="eastAsia" w:eastAsia="仿宋_GB2312"/>
          <w:sz w:val="30"/>
          <w:highlight w:val="none"/>
        </w:rPr>
        <w:t>《安义县公安局公务接待管理办法》</w:t>
      </w:r>
      <w:r>
        <w:rPr>
          <w:rFonts w:hint="eastAsia" w:eastAsia="仿宋_GB2312"/>
          <w:sz w:val="30"/>
          <w:highlight w:val="none"/>
          <w:lang w:eastAsia="zh-CN"/>
        </w:rPr>
        <w:t>的规定</w:t>
      </w:r>
      <w:r>
        <w:rPr>
          <w:rFonts w:hint="eastAsia" w:eastAsia="仿宋_GB2312"/>
          <w:sz w:val="30"/>
          <w:highlight w:val="none"/>
        </w:rPr>
        <w:t>，严控“三公”经费开支，严禁超预算。</w:t>
      </w:r>
    </w:p>
    <w:p w14:paraId="558FB38B">
      <w:pPr>
        <w:ind w:firstLine="600" w:firstLineChars="200"/>
        <w:rPr>
          <w:rFonts w:eastAsia="仿宋_GB2312"/>
          <w:sz w:val="30"/>
          <w:highlight w:val="none"/>
        </w:rPr>
      </w:pPr>
      <w:r>
        <w:rPr>
          <w:rFonts w:hint="eastAsia" w:eastAsia="仿宋_GB2312"/>
          <w:sz w:val="30"/>
          <w:highlight w:val="none"/>
        </w:rPr>
        <w:t>5.内部控制管理：根据内部控制规范的要求，建立健全内部控制制度，明确各相关科室和业务所队在内部监督中的职责权限，规定内部监督的程序和要求，</w:t>
      </w:r>
      <w:r>
        <w:rPr>
          <w:rFonts w:hint="eastAsia" w:eastAsia="仿宋_GB2312"/>
          <w:sz w:val="30"/>
          <w:highlight w:val="none"/>
          <w:lang w:eastAsia="zh-CN"/>
        </w:rPr>
        <w:t>严格执行</w:t>
      </w:r>
      <w:r>
        <w:rPr>
          <w:rFonts w:hint="eastAsia" w:eastAsia="仿宋_GB2312"/>
          <w:sz w:val="30"/>
          <w:highlight w:val="none"/>
        </w:rPr>
        <w:t>《安义县公安局财务管理制度》、《安义县公安局公务接待管理制度》、《安义县公安局固定资产管理制度》等内部管理制度。</w:t>
      </w:r>
    </w:p>
    <w:p w14:paraId="60D72CEE">
      <w:pPr>
        <w:ind w:firstLine="600" w:firstLineChars="200"/>
        <w:rPr>
          <w:rFonts w:eastAsia="仿宋_GB2312"/>
          <w:sz w:val="30"/>
          <w:highlight w:val="none"/>
        </w:rPr>
      </w:pPr>
      <w:r>
        <w:rPr>
          <w:rFonts w:hint="eastAsia" w:eastAsia="仿宋_GB2312"/>
          <w:sz w:val="30"/>
          <w:highlight w:val="none"/>
        </w:rPr>
        <w:t>（五）20</w:t>
      </w:r>
      <w:r>
        <w:rPr>
          <w:rFonts w:hint="eastAsia" w:eastAsia="仿宋_GB2312"/>
          <w:sz w:val="30"/>
          <w:highlight w:val="none"/>
          <w:lang w:val="en-US" w:eastAsia="zh-CN"/>
        </w:rPr>
        <w:t>24</w:t>
      </w:r>
      <w:r>
        <w:rPr>
          <w:rFonts w:hint="eastAsia" w:eastAsia="仿宋_GB2312"/>
          <w:sz w:val="30"/>
          <w:highlight w:val="none"/>
        </w:rPr>
        <w:t>年预算及执行情况。</w:t>
      </w:r>
    </w:p>
    <w:p w14:paraId="4F91AD96">
      <w:pPr>
        <w:ind w:firstLine="600" w:firstLineChars="200"/>
        <w:rPr>
          <w:rFonts w:hint="eastAsia" w:eastAsia="仿宋_GB2312"/>
          <w:sz w:val="30"/>
          <w:highlight w:val="none"/>
        </w:rPr>
      </w:pPr>
      <w:r>
        <w:rPr>
          <w:rFonts w:hint="eastAsia" w:eastAsia="仿宋_GB2312"/>
          <w:color w:val="auto"/>
          <w:sz w:val="30"/>
          <w:highlight w:val="none"/>
        </w:rPr>
        <w:t>20</w:t>
      </w:r>
      <w:r>
        <w:rPr>
          <w:rFonts w:hint="eastAsia" w:eastAsia="仿宋_GB2312"/>
          <w:color w:val="auto"/>
          <w:sz w:val="30"/>
          <w:highlight w:val="none"/>
          <w:lang w:val="en-US" w:eastAsia="zh-CN"/>
        </w:rPr>
        <w:t>24</w:t>
      </w:r>
      <w:r>
        <w:rPr>
          <w:rFonts w:hint="eastAsia" w:eastAsia="仿宋_GB2312"/>
          <w:color w:val="auto"/>
          <w:sz w:val="30"/>
          <w:highlight w:val="none"/>
        </w:rPr>
        <w:t>年</w:t>
      </w:r>
      <w:r>
        <w:rPr>
          <w:rFonts w:hint="eastAsia" w:eastAsia="仿宋_GB2312"/>
          <w:color w:val="auto"/>
          <w:sz w:val="30"/>
          <w:highlight w:val="none"/>
          <w:lang w:val="en-US" w:eastAsia="zh-CN"/>
        </w:rPr>
        <w:t>部门本年支出年初预算安排数为8035.91万元，其中</w:t>
      </w:r>
      <w:r>
        <w:rPr>
          <w:rFonts w:hint="eastAsia" w:eastAsia="仿宋_GB2312"/>
          <w:color w:val="auto"/>
          <w:sz w:val="30"/>
          <w:highlight w:val="none"/>
        </w:rPr>
        <w:t>财政拨款本年支出年初预算安排</w:t>
      </w:r>
      <w:r>
        <w:rPr>
          <w:rFonts w:hint="eastAsia" w:ascii="Times New Roman" w:hAnsi="Times New Roman" w:eastAsia="仿宋_GB2312" w:cs="Times New Roman"/>
          <w:color w:val="auto"/>
          <w:sz w:val="30"/>
          <w:szCs w:val="22"/>
          <w:highlight w:val="none"/>
        </w:rPr>
        <w:t>数为</w:t>
      </w:r>
      <w:r>
        <w:rPr>
          <w:rFonts w:hint="eastAsia" w:eastAsia="仿宋_GB2312" w:cs="Times New Roman"/>
          <w:color w:val="auto"/>
          <w:sz w:val="30"/>
          <w:szCs w:val="22"/>
          <w:highlight w:val="none"/>
          <w:lang w:val="en-US" w:eastAsia="zh-CN"/>
        </w:rPr>
        <w:t>6176.91</w:t>
      </w:r>
      <w:r>
        <w:rPr>
          <w:rFonts w:hint="eastAsia" w:ascii="Times New Roman" w:hAnsi="Times New Roman" w:eastAsia="仿宋_GB2312" w:cs="Times New Roman"/>
          <w:color w:val="auto"/>
          <w:sz w:val="30"/>
          <w:szCs w:val="22"/>
          <w:highlight w:val="none"/>
        </w:rPr>
        <w:t>万</w:t>
      </w:r>
      <w:r>
        <w:rPr>
          <w:rFonts w:hint="eastAsia" w:eastAsia="仿宋_GB2312"/>
          <w:color w:val="auto"/>
          <w:sz w:val="30"/>
          <w:highlight w:val="none"/>
        </w:rPr>
        <w:t>元</w:t>
      </w:r>
      <w:r>
        <w:rPr>
          <w:rFonts w:hint="eastAsia" w:eastAsia="仿宋_GB2312"/>
          <w:color w:val="auto"/>
          <w:sz w:val="30"/>
          <w:highlight w:val="none"/>
          <w:lang w:eastAsia="zh-CN"/>
        </w:rPr>
        <w:t>。</w:t>
      </w:r>
      <w:r>
        <w:rPr>
          <w:rFonts w:hint="eastAsia" w:eastAsia="仿宋_GB2312"/>
          <w:color w:val="auto"/>
          <w:sz w:val="30"/>
          <w:highlight w:val="none"/>
        </w:rPr>
        <w:t>20</w:t>
      </w:r>
      <w:r>
        <w:rPr>
          <w:rFonts w:hint="eastAsia" w:eastAsia="仿宋_GB2312"/>
          <w:color w:val="auto"/>
          <w:sz w:val="30"/>
          <w:highlight w:val="none"/>
          <w:lang w:val="en-US" w:eastAsia="zh-CN"/>
        </w:rPr>
        <w:t>24</w:t>
      </w:r>
      <w:r>
        <w:rPr>
          <w:rFonts w:hint="eastAsia" w:eastAsia="仿宋_GB2312"/>
          <w:color w:val="auto"/>
          <w:sz w:val="30"/>
          <w:highlight w:val="none"/>
        </w:rPr>
        <w:t>年</w:t>
      </w:r>
      <w:r>
        <w:rPr>
          <w:rFonts w:hint="eastAsia" w:eastAsia="仿宋_GB2312"/>
          <w:color w:val="auto"/>
          <w:sz w:val="30"/>
          <w:highlight w:val="none"/>
          <w:lang w:val="en-US" w:eastAsia="zh-CN"/>
        </w:rPr>
        <w:t>本部门</w:t>
      </w:r>
      <w:r>
        <w:rPr>
          <w:rFonts w:hint="eastAsia" w:eastAsia="仿宋_GB2312"/>
          <w:color w:val="auto"/>
          <w:sz w:val="30"/>
          <w:highlight w:val="none"/>
        </w:rPr>
        <w:t>整体支出</w:t>
      </w:r>
      <w:r>
        <w:rPr>
          <w:rFonts w:hint="eastAsia" w:eastAsia="仿宋_GB2312"/>
          <w:color w:val="auto"/>
          <w:sz w:val="30"/>
          <w:highlight w:val="none"/>
          <w:lang w:val="en-US" w:eastAsia="zh-CN"/>
        </w:rPr>
        <w:t>决算数为</w:t>
      </w:r>
      <w:r>
        <w:rPr>
          <w:rFonts w:hint="eastAsia" w:ascii="仿宋_GB2312" w:hAnsi="仿宋" w:eastAsia="仿宋_GB2312"/>
          <w:color w:val="auto"/>
          <w:sz w:val="32"/>
          <w:szCs w:val="32"/>
          <w:highlight w:val="none"/>
          <w:lang w:val="en-US" w:eastAsia="zh-CN"/>
        </w:rPr>
        <w:t>12095.24</w:t>
      </w:r>
      <w:r>
        <w:rPr>
          <w:rFonts w:hint="eastAsia" w:eastAsia="仿宋_GB2312"/>
          <w:color w:val="auto"/>
          <w:sz w:val="30"/>
          <w:highlight w:val="none"/>
        </w:rPr>
        <w:t>万元。</w:t>
      </w:r>
      <w:r>
        <w:rPr>
          <w:rFonts w:hint="eastAsia" w:eastAsia="仿宋_GB2312"/>
          <w:color w:val="auto"/>
          <w:sz w:val="30"/>
          <w:highlight w:val="none"/>
          <w:lang w:val="en-US" w:eastAsia="zh-CN"/>
        </w:rPr>
        <w:t>其中</w:t>
      </w:r>
      <w:r>
        <w:rPr>
          <w:rFonts w:hint="eastAsia" w:eastAsia="仿宋_GB2312"/>
          <w:color w:val="auto"/>
          <w:sz w:val="30"/>
          <w:highlight w:val="none"/>
        </w:rPr>
        <w:t>一般公共预算财政拨款支出</w:t>
      </w:r>
      <w:r>
        <w:rPr>
          <w:rFonts w:hint="eastAsia" w:eastAsia="仿宋_GB2312"/>
          <w:color w:val="auto"/>
          <w:sz w:val="30"/>
          <w:highlight w:val="none"/>
          <w:lang w:val="en-US" w:eastAsia="zh-CN"/>
        </w:rPr>
        <w:t>为11941.95</w:t>
      </w:r>
      <w:r>
        <w:rPr>
          <w:rFonts w:hint="eastAsia" w:eastAsia="仿宋_GB2312"/>
          <w:color w:val="auto"/>
          <w:sz w:val="30"/>
          <w:highlight w:val="none"/>
        </w:rPr>
        <w:t>万元</w:t>
      </w:r>
      <w:r>
        <w:rPr>
          <w:rFonts w:hint="eastAsia" w:eastAsia="仿宋_GB2312"/>
          <w:color w:val="auto"/>
          <w:sz w:val="30"/>
          <w:highlight w:val="none"/>
          <w:lang w:eastAsia="zh-CN"/>
        </w:rPr>
        <w:t>。</w:t>
      </w:r>
      <w:r>
        <w:rPr>
          <w:rFonts w:hint="eastAsia" w:eastAsia="仿宋_GB2312"/>
          <w:color w:val="auto"/>
          <w:sz w:val="30"/>
          <w:highlight w:val="none"/>
        </w:rPr>
        <w:t>按支出性质和经济分类，基本支出</w:t>
      </w:r>
      <w:r>
        <w:rPr>
          <w:rFonts w:hint="eastAsia" w:eastAsia="仿宋_GB2312"/>
          <w:color w:val="auto"/>
          <w:sz w:val="30"/>
          <w:highlight w:val="none"/>
          <w:lang w:val="en-US" w:eastAsia="zh-CN"/>
        </w:rPr>
        <w:t>8925.54</w:t>
      </w:r>
      <w:r>
        <w:rPr>
          <w:rFonts w:hint="eastAsia" w:eastAsia="仿宋_GB2312"/>
          <w:color w:val="auto"/>
          <w:sz w:val="30"/>
          <w:highlight w:val="none"/>
        </w:rPr>
        <w:t>万元，其中工资福利支出</w:t>
      </w:r>
      <w:r>
        <w:rPr>
          <w:rFonts w:hint="eastAsia" w:eastAsia="仿宋_GB2312"/>
          <w:color w:val="auto"/>
          <w:sz w:val="30"/>
          <w:highlight w:val="none"/>
          <w:lang w:val="en-US" w:eastAsia="zh-CN"/>
        </w:rPr>
        <w:t>6654.98</w:t>
      </w:r>
      <w:r>
        <w:rPr>
          <w:rFonts w:hint="eastAsia" w:eastAsia="仿宋_GB2312"/>
          <w:color w:val="auto"/>
          <w:sz w:val="30"/>
          <w:highlight w:val="none"/>
        </w:rPr>
        <w:t>万元，商品和服务支出</w:t>
      </w:r>
      <w:r>
        <w:rPr>
          <w:rFonts w:hint="eastAsia" w:eastAsia="仿宋_GB2312"/>
          <w:color w:val="auto"/>
          <w:sz w:val="30"/>
          <w:highlight w:val="none"/>
          <w:lang w:val="en-US" w:eastAsia="zh-CN"/>
        </w:rPr>
        <w:t>1744.95</w:t>
      </w:r>
      <w:r>
        <w:rPr>
          <w:rFonts w:hint="eastAsia" w:eastAsia="仿宋_GB2312"/>
          <w:color w:val="auto"/>
          <w:sz w:val="30"/>
          <w:highlight w:val="none"/>
        </w:rPr>
        <w:t>万元，对个人和家庭支出</w:t>
      </w:r>
      <w:r>
        <w:rPr>
          <w:rFonts w:hint="eastAsia" w:eastAsia="仿宋_GB2312"/>
          <w:color w:val="auto"/>
          <w:sz w:val="30"/>
          <w:highlight w:val="none"/>
          <w:lang w:val="en-US" w:eastAsia="zh-CN"/>
        </w:rPr>
        <w:t>515.01</w:t>
      </w:r>
      <w:r>
        <w:rPr>
          <w:rFonts w:hint="eastAsia" w:eastAsia="仿宋_GB2312"/>
          <w:color w:val="auto"/>
          <w:sz w:val="30"/>
          <w:highlight w:val="none"/>
        </w:rPr>
        <w:t>万元</w:t>
      </w:r>
      <w:r>
        <w:rPr>
          <w:rFonts w:hint="eastAsia" w:eastAsia="仿宋_GB2312"/>
          <w:color w:val="auto"/>
          <w:sz w:val="30"/>
          <w:highlight w:val="none"/>
          <w:lang w:eastAsia="zh-CN"/>
        </w:rPr>
        <w:t>，</w:t>
      </w:r>
      <w:r>
        <w:rPr>
          <w:rFonts w:hint="eastAsia" w:eastAsia="仿宋_GB2312"/>
          <w:color w:val="auto"/>
          <w:sz w:val="30"/>
          <w:highlight w:val="none"/>
          <w:lang w:val="en-US" w:eastAsia="zh-CN"/>
        </w:rPr>
        <w:t>资本性支出0.6万元</w:t>
      </w:r>
      <w:r>
        <w:rPr>
          <w:rFonts w:hint="eastAsia" w:eastAsia="仿宋_GB2312"/>
          <w:color w:val="auto"/>
          <w:sz w:val="30"/>
          <w:highlight w:val="none"/>
        </w:rPr>
        <w:t>；项目支出</w:t>
      </w:r>
      <w:r>
        <w:rPr>
          <w:rFonts w:hint="eastAsia" w:eastAsia="仿宋_GB2312"/>
          <w:color w:val="auto"/>
          <w:sz w:val="30"/>
          <w:highlight w:val="none"/>
          <w:lang w:val="en-US" w:eastAsia="zh-CN"/>
        </w:rPr>
        <w:t>3169.7</w:t>
      </w:r>
      <w:r>
        <w:rPr>
          <w:rFonts w:hint="eastAsia" w:eastAsia="仿宋_GB2312"/>
          <w:color w:val="auto"/>
          <w:sz w:val="30"/>
          <w:highlight w:val="none"/>
        </w:rPr>
        <w:t>万元。</w:t>
      </w:r>
      <w:r>
        <w:rPr>
          <w:rFonts w:hint="eastAsia" w:eastAsia="仿宋_GB2312"/>
          <w:sz w:val="30"/>
          <w:highlight w:val="none"/>
        </w:rPr>
        <w:t>年末财政拨款结转和结余</w:t>
      </w:r>
      <w:r>
        <w:rPr>
          <w:rFonts w:hint="eastAsia" w:eastAsia="仿宋_GB2312"/>
          <w:sz w:val="30"/>
          <w:highlight w:val="none"/>
          <w:lang w:val="en-US" w:eastAsia="zh-CN"/>
        </w:rPr>
        <w:t>为0</w:t>
      </w:r>
      <w:r>
        <w:rPr>
          <w:rFonts w:hint="eastAsia" w:eastAsia="仿宋_GB2312"/>
          <w:sz w:val="30"/>
          <w:highlight w:val="none"/>
        </w:rPr>
        <w:t>万元。</w:t>
      </w:r>
    </w:p>
    <w:p w14:paraId="4944E6F9">
      <w:pPr>
        <w:ind w:firstLine="600" w:firstLineChars="200"/>
        <w:rPr>
          <w:rFonts w:hint="eastAsia" w:eastAsia="仿宋_GB2312"/>
          <w:b/>
          <w:sz w:val="30"/>
          <w:lang w:val="en-US" w:eastAsia="zh-CN"/>
        </w:rPr>
      </w:pPr>
      <w:r>
        <w:rPr>
          <w:rFonts w:hint="eastAsia" w:eastAsia="仿宋_GB2312"/>
          <w:sz w:val="30"/>
          <w:highlight w:val="none"/>
        </w:rPr>
        <w:t>“三公”经费支出情况：本部门</w:t>
      </w:r>
      <w:r>
        <w:rPr>
          <w:rFonts w:hint="eastAsia" w:eastAsia="仿宋_GB2312"/>
          <w:sz w:val="30"/>
          <w:highlight w:val="none"/>
          <w:lang w:val="en-US" w:eastAsia="zh-CN"/>
        </w:rPr>
        <w:t>2024</w:t>
      </w:r>
      <w:r>
        <w:rPr>
          <w:rFonts w:hint="eastAsia" w:eastAsia="仿宋_GB2312"/>
          <w:sz w:val="30"/>
          <w:highlight w:val="none"/>
        </w:rPr>
        <w:t>年度一般公共预算财政拨款“三公”经费支出年初预算安排数为</w:t>
      </w:r>
      <w:r>
        <w:rPr>
          <w:rFonts w:hint="eastAsia" w:eastAsia="仿宋_GB2312"/>
          <w:sz w:val="30"/>
          <w:highlight w:val="none"/>
          <w:lang w:val="en-US" w:eastAsia="zh-CN"/>
        </w:rPr>
        <w:t>385.39</w:t>
      </w:r>
      <w:r>
        <w:rPr>
          <w:rFonts w:hint="eastAsia" w:eastAsia="仿宋_GB2312"/>
          <w:sz w:val="30"/>
          <w:highlight w:val="none"/>
        </w:rPr>
        <w:t>万元（其中公务接待费支出年初预算数为</w:t>
      </w:r>
      <w:r>
        <w:rPr>
          <w:rFonts w:hint="eastAsia" w:eastAsia="仿宋_GB2312"/>
          <w:sz w:val="30"/>
          <w:highlight w:val="none"/>
          <w:lang w:val="en-US" w:eastAsia="zh-CN"/>
        </w:rPr>
        <w:t>4</w:t>
      </w:r>
      <w:r>
        <w:rPr>
          <w:rFonts w:hint="eastAsia" w:eastAsia="仿宋_GB2312"/>
          <w:sz w:val="30"/>
          <w:highlight w:val="none"/>
        </w:rPr>
        <w:t>万元、公务用车购置</w:t>
      </w:r>
      <w:r>
        <w:rPr>
          <w:rFonts w:hint="eastAsia" w:eastAsia="仿宋_GB2312"/>
          <w:sz w:val="30"/>
          <w:highlight w:val="none"/>
          <w:lang w:val="en-US" w:eastAsia="zh-CN"/>
        </w:rPr>
        <w:t>221</w:t>
      </w:r>
      <w:r>
        <w:rPr>
          <w:rFonts w:hint="eastAsia" w:eastAsia="仿宋_GB2312"/>
          <w:sz w:val="30"/>
          <w:highlight w:val="none"/>
        </w:rPr>
        <w:t>万元、运行维护费支出</w:t>
      </w:r>
      <w:r>
        <w:rPr>
          <w:rFonts w:hint="eastAsia" w:eastAsia="仿宋_GB2312"/>
          <w:sz w:val="30"/>
          <w:highlight w:val="none"/>
          <w:lang w:val="en-US" w:eastAsia="zh-CN"/>
        </w:rPr>
        <w:t>160.39</w:t>
      </w:r>
      <w:r>
        <w:rPr>
          <w:rFonts w:hint="eastAsia" w:eastAsia="仿宋_GB2312"/>
          <w:sz w:val="30"/>
          <w:highlight w:val="none"/>
        </w:rPr>
        <w:t>万元），完成数为</w:t>
      </w:r>
      <w:r>
        <w:rPr>
          <w:rFonts w:hint="eastAsia" w:eastAsia="仿宋_GB2312"/>
          <w:sz w:val="30"/>
          <w:highlight w:val="none"/>
          <w:lang w:val="en-US" w:eastAsia="zh-CN"/>
        </w:rPr>
        <w:t>135</w:t>
      </w:r>
      <w:r>
        <w:rPr>
          <w:rFonts w:hint="eastAsia" w:eastAsia="仿宋_GB2312"/>
          <w:sz w:val="30"/>
          <w:highlight w:val="none"/>
        </w:rPr>
        <w:t>万元（其中公务接待费支出数为</w:t>
      </w:r>
      <w:r>
        <w:rPr>
          <w:rFonts w:hint="eastAsia" w:eastAsia="仿宋_GB2312"/>
          <w:sz w:val="30"/>
          <w:highlight w:val="none"/>
          <w:lang w:val="en-US" w:eastAsia="zh-CN"/>
        </w:rPr>
        <w:t>2.94</w:t>
      </w:r>
      <w:r>
        <w:rPr>
          <w:rFonts w:hint="eastAsia" w:eastAsia="仿宋_GB2312"/>
          <w:sz w:val="30"/>
          <w:highlight w:val="none"/>
        </w:rPr>
        <w:t>万元、公务用车购置</w:t>
      </w:r>
      <w:r>
        <w:rPr>
          <w:rFonts w:hint="eastAsia" w:eastAsia="仿宋_GB2312"/>
          <w:sz w:val="30"/>
          <w:highlight w:val="none"/>
          <w:lang w:val="en-US" w:eastAsia="zh-CN"/>
        </w:rPr>
        <w:t>0</w:t>
      </w:r>
      <w:r>
        <w:rPr>
          <w:rFonts w:hint="eastAsia" w:eastAsia="仿宋_GB2312"/>
          <w:sz w:val="30"/>
          <w:highlight w:val="none"/>
        </w:rPr>
        <w:t>万元、运行维护费支出</w:t>
      </w:r>
      <w:r>
        <w:rPr>
          <w:rFonts w:hint="eastAsia" w:eastAsia="仿宋_GB2312"/>
          <w:sz w:val="30"/>
          <w:highlight w:val="none"/>
          <w:lang w:val="en-US" w:eastAsia="zh-CN"/>
        </w:rPr>
        <w:t>132.06</w:t>
      </w:r>
      <w:r>
        <w:rPr>
          <w:rFonts w:hint="eastAsia" w:eastAsia="仿宋_GB2312"/>
          <w:sz w:val="30"/>
          <w:highlight w:val="none"/>
        </w:rPr>
        <w:t>万元）。我局严格控制公务接待支出。所有公务接待由局警务保障室统一安排。公务活动事前填写申请单，以便确定接待标准，再严格按照标准来安排用餐，事后及时如实填写接待清单，再按财务程序核报。所有车辆购置均按照规定的采购程序进行采购。车辆的运行维护费支出按照公务消费网络监管系统的要求和规定进行管理。实现每笔</w:t>
      </w:r>
      <w:bookmarkStart w:id="0" w:name="_GoBack"/>
      <w:r>
        <w:rPr>
          <w:rFonts w:hint="eastAsia" w:eastAsia="仿宋_GB2312"/>
          <w:sz w:val="30"/>
          <w:highlight w:val="none"/>
        </w:rPr>
        <w:t>三公</w:t>
      </w:r>
      <w:bookmarkEnd w:id="0"/>
      <w:r>
        <w:rPr>
          <w:rFonts w:hint="eastAsia" w:eastAsia="仿宋_GB2312"/>
          <w:sz w:val="30"/>
          <w:highlight w:val="none"/>
        </w:rPr>
        <w:t>支出均上网公开，阳光运行，接受职能部门的监管。</w:t>
      </w:r>
    </w:p>
    <w:p w14:paraId="764E3B89">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lang w:val="en-US" w:eastAsia="zh-CN"/>
        </w:rPr>
        <w:t>二、</w:t>
      </w:r>
      <w:r>
        <w:rPr>
          <w:rFonts w:hint="eastAsia" w:ascii="黑体" w:hAnsi="Times New Roman" w:eastAsia="黑体" w:cs="黑体"/>
          <w:kern w:val="0"/>
          <w:sz w:val="32"/>
          <w:szCs w:val="32"/>
        </w:rPr>
        <w:t>部门整体支出绩效实现情况</w:t>
      </w:r>
    </w:p>
    <w:p w14:paraId="0DF0D973">
      <w:pPr>
        <w:ind w:firstLine="600" w:firstLineChars="200"/>
        <w:rPr>
          <w:rFonts w:eastAsia="仿宋_GB2312"/>
          <w:sz w:val="30"/>
        </w:rPr>
      </w:pPr>
      <w:r>
        <w:rPr>
          <w:rFonts w:hint="eastAsia" w:eastAsia="仿宋_GB2312"/>
          <w:sz w:val="30"/>
        </w:rPr>
        <w:t>（一）</w:t>
      </w:r>
      <w:r>
        <w:rPr>
          <w:rFonts w:hint="eastAsia" w:eastAsia="仿宋_GB2312"/>
          <w:sz w:val="30"/>
        </w:rPr>
        <w:tab/>
      </w:r>
      <w:r>
        <w:rPr>
          <w:rFonts w:hint="eastAsia" w:eastAsia="仿宋_GB2312"/>
          <w:sz w:val="30"/>
        </w:rPr>
        <w:t>履职完成情况：</w:t>
      </w:r>
    </w:p>
    <w:p w14:paraId="1567672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firstLine="600" w:firstLineChars="200"/>
        <w:jc w:val="both"/>
        <w:textAlignment w:val="auto"/>
        <w:rPr>
          <w:rFonts w:eastAsia="仿宋_GB2312"/>
          <w:sz w:val="30"/>
        </w:rPr>
      </w:pPr>
      <w:r>
        <w:rPr>
          <w:rFonts w:hint="eastAsia" w:ascii="Times New Roman" w:hAnsi="Times New Roman" w:eastAsia="仿宋_GB2312" w:cs="Times New Roman"/>
          <w:kern w:val="2"/>
          <w:sz w:val="30"/>
          <w:szCs w:val="22"/>
          <w:lang w:val="en-US" w:eastAsia="zh-CN" w:bidi="ar-SA"/>
        </w:rPr>
        <w:t>202</w:t>
      </w:r>
      <w:r>
        <w:rPr>
          <w:rFonts w:hint="eastAsia" w:eastAsia="仿宋_GB2312" w:cs="Times New Roman"/>
          <w:kern w:val="2"/>
          <w:sz w:val="30"/>
          <w:szCs w:val="22"/>
          <w:lang w:val="en-US" w:eastAsia="zh-CN" w:bidi="ar-SA"/>
        </w:rPr>
        <w:t>4</w:t>
      </w:r>
      <w:r>
        <w:rPr>
          <w:rFonts w:hint="eastAsia" w:ascii="Times New Roman" w:hAnsi="Times New Roman" w:eastAsia="仿宋_GB2312" w:cs="Times New Roman"/>
          <w:kern w:val="2"/>
          <w:sz w:val="30"/>
          <w:szCs w:val="22"/>
          <w:lang w:val="en-US" w:eastAsia="zh-CN" w:bidi="ar-SA"/>
        </w:rPr>
        <w:t>年，安义县局在市局党委和县委、县政府的坚强领导下，坚持以更严标准找定位，以更高眼界谋全局，以更硬作风抓落实，靠前一步、主动作为，有力维护国家安全和社会稳定，守护人民幸福和安宁，用不懈奋斗书写了浓墨重彩的“202</w:t>
      </w:r>
      <w:r>
        <w:rPr>
          <w:rFonts w:hint="eastAsia" w:eastAsia="仿宋_GB2312" w:cs="Times New Roman"/>
          <w:kern w:val="2"/>
          <w:sz w:val="30"/>
          <w:szCs w:val="22"/>
          <w:lang w:val="en-US" w:eastAsia="zh-CN" w:bidi="ar-SA"/>
        </w:rPr>
        <w:t>4</w:t>
      </w:r>
      <w:r>
        <w:rPr>
          <w:rFonts w:hint="eastAsia" w:ascii="Times New Roman" w:hAnsi="Times New Roman" w:eastAsia="仿宋_GB2312" w:cs="Times New Roman"/>
          <w:kern w:val="2"/>
          <w:sz w:val="30"/>
          <w:szCs w:val="22"/>
          <w:lang w:val="en-US" w:eastAsia="zh-CN" w:bidi="ar-SA"/>
        </w:rPr>
        <w:t>安义公安足迹”，公安工作和队伍建设取得长足进步和发展，为全县经济、社会高质量发展做出了突出贡献，</w:t>
      </w:r>
      <w:r>
        <w:rPr>
          <w:rFonts w:hint="eastAsia" w:eastAsia="仿宋_GB2312"/>
          <w:sz w:val="30"/>
        </w:rPr>
        <w:t>圆满完成了我</w:t>
      </w:r>
      <w:r>
        <w:rPr>
          <w:rFonts w:hint="eastAsia" w:eastAsia="仿宋_GB2312"/>
          <w:sz w:val="30"/>
          <w:lang w:val="en-US" w:eastAsia="zh-CN"/>
        </w:rPr>
        <w:t>局</w:t>
      </w:r>
      <w:r>
        <w:rPr>
          <w:rFonts w:hint="eastAsia" w:eastAsia="仿宋_GB2312"/>
          <w:sz w:val="30"/>
        </w:rPr>
        <w:t>年初确定的各项目标任务。</w:t>
      </w:r>
    </w:p>
    <w:p w14:paraId="07991EF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坚决捍卫政治安全。</w:t>
      </w:r>
      <w:r>
        <w:rPr>
          <w:rFonts w:hint="default" w:ascii="Times New Roman" w:hAnsi="Times New Roman" w:eastAsia="仿宋_GB2312" w:cs="Times New Roman"/>
          <w:kern w:val="2"/>
          <w:sz w:val="30"/>
          <w:szCs w:val="22"/>
          <w:lang w:val="en-US" w:eastAsia="zh-CN" w:bidi="ar-SA"/>
        </w:rPr>
        <w:t>摸排上报行动性、预警性信息</w:t>
      </w:r>
      <w:r>
        <w:rPr>
          <w:rFonts w:hint="eastAsia" w:ascii="Times New Roman" w:hAnsi="Times New Roman" w:eastAsia="仿宋_GB2312" w:cs="Times New Roman"/>
          <w:kern w:val="2"/>
          <w:sz w:val="30"/>
          <w:szCs w:val="22"/>
          <w:lang w:val="en-US" w:eastAsia="zh-CN" w:bidi="ar-SA"/>
        </w:rPr>
        <w:t>321</w:t>
      </w:r>
      <w:r>
        <w:rPr>
          <w:rFonts w:hint="default" w:ascii="Times New Roman" w:hAnsi="Times New Roman" w:eastAsia="仿宋_GB2312" w:cs="Times New Roman"/>
          <w:kern w:val="2"/>
          <w:sz w:val="30"/>
          <w:szCs w:val="22"/>
          <w:lang w:val="en-US" w:eastAsia="zh-CN" w:bidi="ar-SA"/>
        </w:rPr>
        <w:t>条，</w:t>
      </w:r>
      <w:r>
        <w:rPr>
          <w:rFonts w:hint="eastAsia" w:ascii="Times New Roman" w:hAnsi="Times New Roman" w:eastAsia="仿宋_GB2312" w:cs="Times New Roman"/>
          <w:kern w:val="2"/>
          <w:sz w:val="30"/>
          <w:szCs w:val="22"/>
          <w:lang w:val="en-US" w:eastAsia="zh-CN" w:bidi="ar-SA"/>
        </w:rPr>
        <w:t>撰写的情报文章被省委办公厅采用。坚决保障网络安靖。严格落实7×24小时网上巡查，全年未发生重大舆情，未发生因本地负面舆情引发的政治安全及社会稳定案事件。坚决化解涉稳风险</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健全重点人员</w:t>
      </w:r>
      <w:r>
        <w:rPr>
          <w:rFonts w:hint="default" w:ascii="Times New Roman" w:hAnsi="Times New Roman" w:eastAsia="仿宋_GB2312" w:cs="Times New Roman"/>
          <w:kern w:val="2"/>
          <w:sz w:val="30"/>
          <w:szCs w:val="22"/>
          <w:lang w:val="en-US" w:eastAsia="zh-CN" w:bidi="ar-SA"/>
        </w:rPr>
        <w:t>“一人一档”</w:t>
      </w:r>
      <w:r>
        <w:rPr>
          <w:rFonts w:hint="eastAsia" w:ascii="Times New Roman" w:hAnsi="Times New Roman" w:eastAsia="仿宋_GB2312" w:cs="Times New Roman"/>
          <w:kern w:val="2"/>
          <w:sz w:val="30"/>
          <w:szCs w:val="22"/>
          <w:lang w:val="en-US" w:eastAsia="zh-CN" w:bidi="ar-SA"/>
        </w:rPr>
        <w:t>并</w:t>
      </w:r>
      <w:r>
        <w:rPr>
          <w:rFonts w:hint="default" w:ascii="Times New Roman" w:hAnsi="Times New Roman" w:eastAsia="仿宋_GB2312" w:cs="Times New Roman"/>
          <w:kern w:val="2"/>
          <w:sz w:val="30"/>
          <w:szCs w:val="22"/>
          <w:lang w:val="en-US" w:eastAsia="zh-CN" w:bidi="ar-SA"/>
        </w:rPr>
        <w:t>定期开展风险评估</w:t>
      </w:r>
      <w:r>
        <w:rPr>
          <w:rFonts w:hint="eastAsia" w:ascii="Times New Roman" w:hAnsi="Times New Roman" w:eastAsia="仿宋_GB2312" w:cs="Times New Roman"/>
          <w:kern w:val="2"/>
          <w:sz w:val="30"/>
          <w:szCs w:val="22"/>
          <w:lang w:val="en-US" w:eastAsia="zh-CN" w:bidi="ar-SA"/>
        </w:rPr>
        <w:t>，落地核查涉稳信息1050条，打击缠闹访等违法人员6人，实现大型活动保障“零事故”、</w:t>
      </w:r>
      <w:r>
        <w:rPr>
          <w:rFonts w:hint="default" w:ascii="Times New Roman" w:hAnsi="Times New Roman" w:eastAsia="仿宋_GB2312" w:cs="Times New Roman"/>
          <w:kern w:val="2"/>
          <w:sz w:val="30"/>
          <w:szCs w:val="22"/>
          <w:lang w:val="en-US" w:eastAsia="zh-CN" w:bidi="ar-SA"/>
        </w:rPr>
        <w:t>敏感节点</w:t>
      </w:r>
      <w:r>
        <w:rPr>
          <w:rFonts w:hint="eastAsia" w:ascii="Times New Roman" w:hAnsi="Times New Roman" w:eastAsia="仿宋_GB2312" w:cs="Times New Roman"/>
          <w:kern w:val="2"/>
          <w:sz w:val="30"/>
          <w:szCs w:val="22"/>
          <w:lang w:val="en-US" w:eastAsia="zh-CN" w:bidi="ar-SA"/>
        </w:rPr>
        <w:t>重点人员</w:t>
      </w:r>
      <w:r>
        <w:rPr>
          <w:rFonts w:hint="default" w:ascii="Times New Roman" w:hAnsi="Times New Roman" w:eastAsia="仿宋_GB2312" w:cs="Times New Roman"/>
          <w:kern w:val="2"/>
          <w:sz w:val="30"/>
          <w:szCs w:val="22"/>
          <w:lang w:val="en-US" w:eastAsia="zh-CN" w:bidi="ar-SA"/>
        </w:rPr>
        <w:t>“零漏管”</w:t>
      </w:r>
      <w:r>
        <w:rPr>
          <w:rFonts w:hint="eastAsia" w:ascii="Times New Roman" w:hAnsi="Times New Roman" w:eastAsia="仿宋_GB2312" w:cs="Times New Roman"/>
          <w:kern w:val="2"/>
          <w:sz w:val="30"/>
          <w:szCs w:val="22"/>
          <w:lang w:val="en-US" w:eastAsia="zh-CN" w:bidi="ar-SA"/>
        </w:rPr>
        <w:t>“零</w:t>
      </w:r>
      <w:r>
        <w:rPr>
          <w:rFonts w:hint="default" w:ascii="Times New Roman" w:hAnsi="Times New Roman" w:eastAsia="仿宋_GB2312" w:cs="Times New Roman"/>
          <w:kern w:val="2"/>
          <w:sz w:val="30"/>
          <w:szCs w:val="22"/>
          <w:lang w:val="en-US" w:eastAsia="zh-CN" w:bidi="ar-SA"/>
        </w:rPr>
        <w:t>失控</w:t>
      </w:r>
      <w:r>
        <w:rPr>
          <w:rFonts w:hint="eastAsia" w:ascii="Times New Roman" w:hAnsi="Times New Roman" w:eastAsia="仿宋_GB2312" w:cs="Times New Roman"/>
          <w:kern w:val="2"/>
          <w:sz w:val="30"/>
          <w:szCs w:val="22"/>
          <w:lang w:val="en-US" w:eastAsia="zh-CN" w:bidi="ar-SA"/>
        </w:rPr>
        <w:t>”</w:t>
      </w:r>
      <w:r>
        <w:rPr>
          <w:rFonts w:hint="default" w:ascii="Times New Roman" w:hAnsi="Times New Roman" w:eastAsia="仿宋_GB2312" w:cs="Times New Roman"/>
          <w:kern w:val="2"/>
          <w:sz w:val="30"/>
          <w:szCs w:val="22"/>
          <w:lang w:val="en-US" w:eastAsia="zh-CN" w:bidi="ar-SA"/>
        </w:rPr>
        <w:t>。</w:t>
      </w:r>
    </w:p>
    <w:p w14:paraId="178A324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全力化解各类矛盾纠纷。推动制定</w:t>
      </w:r>
      <w:r>
        <w:rPr>
          <w:rFonts w:hint="default" w:ascii="Times New Roman" w:hAnsi="Times New Roman" w:eastAsia="仿宋_GB2312" w:cs="Times New Roman"/>
          <w:kern w:val="2"/>
          <w:sz w:val="30"/>
          <w:szCs w:val="22"/>
          <w:lang w:val="en-US" w:eastAsia="zh-CN" w:bidi="ar-SA"/>
        </w:rPr>
        <w:t>《安义县非警务矛盾纠纷分类分级调处工作机制》</w:t>
      </w:r>
      <w:r>
        <w:rPr>
          <w:rFonts w:hint="eastAsia" w:ascii="Times New Roman" w:hAnsi="Times New Roman" w:eastAsia="仿宋_GB2312" w:cs="Times New Roman"/>
          <w:kern w:val="2"/>
          <w:sz w:val="30"/>
          <w:szCs w:val="22"/>
          <w:lang w:val="en-US" w:eastAsia="zh-CN" w:bidi="ar-SA"/>
        </w:rPr>
        <w:t>，完善</w:t>
      </w:r>
      <w:r>
        <w:rPr>
          <w:rFonts w:hint="default" w:ascii="Times New Roman" w:hAnsi="Times New Roman" w:eastAsia="仿宋_GB2312" w:cs="Times New Roman"/>
          <w:kern w:val="2"/>
          <w:sz w:val="30"/>
          <w:szCs w:val="22"/>
          <w:lang w:val="en-US" w:eastAsia="zh-CN" w:bidi="ar-SA"/>
        </w:rPr>
        <w:t>县、乡两级矛排化解全流程闭环调处工作</w:t>
      </w:r>
      <w:r>
        <w:rPr>
          <w:rFonts w:hint="eastAsia" w:ascii="Times New Roman" w:hAnsi="Times New Roman" w:eastAsia="仿宋_GB2312" w:cs="Times New Roman"/>
          <w:kern w:val="2"/>
          <w:sz w:val="30"/>
          <w:szCs w:val="22"/>
          <w:lang w:val="en-US" w:eastAsia="zh-CN" w:bidi="ar-SA"/>
        </w:rPr>
        <w:t>模式</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共</w:t>
      </w:r>
      <w:r>
        <w:rPr>
          <w:rFonts w:hint="default" w:ascii="Times New Roman" w:hAnsi="Times New Roman" w:eastAsia="仿宋_GB2312" w:cs="Times New Roman"/>
          <w:kern w:val="2"/>
          <w:sz w:val="30"/>
          <w:szCs w:val="22"/>
          <w:lang w:val="en-US" w:eastAsia="zh-CN" w:bidi="ar-SA"/>
        </w:rPr>
        <w:t>排查</w:t>
      </w:r>
      <w:r>
        <w:rPr>
          <w:rFonts w:hint="eastAsia" w:ascii="Times New Roman" w:hAnsi="Times New Roman" w:eastAsia="仿宋_GB2312" w:cs="Times New Roman"/>
          <w:kern w:val="2"/>
          <w:sz w:val="30"/>
          <w:szCs w:val="22"/>
          <w:lang w:val="en-US" w:eastAsia="zh-CN" w:bidi="ar-SA"/>
        </w:rPr>
        <w:t>化解</w:t>
      </w:r>
      <w:r>
        <w:rPr>
          <w:rFonts w:hint="default" w:ascii="Times New Roman" w:hAnsi="Times New Roman" w:eastAsia="仿宋_GB2312" w:cs="Times New Roman"/>
          <w:kern w:val="2"/>
          <w:sz w:val="30"/>
          <w:szCs w:val="22"/>
          <w:lang w:val="en-US" w:eastAsia="zh-CN" w:bidi="ar-SA"/>
        </w:rPr>
        <w:t>14类易发矛盾纠纷3097起</w:t>
      </w:r>
      <w:r>
        <w:rPr>
          <w:rFonts w:hint="eastAsia" w:ascii="Times New Roman" w:hAnsi="Times New Roman" w:eastAsia="仿宋_GB2312" w:cs="Times New Roman"/>
          <w:kern w:val="2"/>
          <w:sz w:val="30"/>
          <w:szCs w:val="22"/>
          <w:lang w:val="en-US" w:eastAsia="zh-CN" w:bidi="ar-SA"/>
        </w:rPr>
        <w:t>、</w:t>
      </w:r>
      <w:r>
        <w:rPr>
          <w:rFonts w:hint="default" w:ascii="Times New Roman" w:hAnsi="Times New Roman" w:eastAsia="仿宋_GB2312" w:cs="Times New Roman"/>
          <w:kern w:val="2"/>
          <w:sz w:val="30"/>
          <w:szCs w:val="22"/>
          <w:lang w:val="en-US" w:eastAsia="zh-CN" w:bidi="ar-SA"/>
        </w:rPr>
        <w:t>流转96起</w:t>
      </w:r>
      <w:r>
        <w:rPr>
          <w:rFonts w:hint="eastAsia" w:ascii="Times New Roman" w:hAnsi="Times New Roman" w:eastAsia="仿宋_GB2312" w:cs="Times New Roman"/>
          <w:kern w:val="2"/>
          <w:sz w:val="30"/>
          <w:szCs w:val="22"/>
          <w:lang w:val="en-US" w:eastAsia="zh-CN" w:bidi="ar-SA"/>
        </w:rPr>
        <w:t>，化解率99.8%</w:t>
      </w:r>
      <w:r>
        <w:rPr>
          <w:rFonts w:hint="default" w:ascii="Times New Roman" w:hAnsi="Times New Roman" w:eastAsia="仿宋_GB2312" w:cs="Times New Roman"/>
          <w:kern w:val="2"/>
          <w:sz w:val="30"/>
          <w:szCs w:val="22"/>
          <w:lang w:val="en-US" w:eastAsia="zh-CN" w:bidi="ar-SA"/>
        </w:rPr>
        <w:t>，“民转刑”“刑转命”案件</w:t>
      </w:r>
      <w:r>
        <w:rPr>
          <w:rFonts w:hint="eastAsia" w:ascii="Times New Roman" w:hAnsi="Times New Roman" w:eastAsia="仿宋_GB2312" w:cs="Times New Roman"/>
          <w:kern w:val="2"/>
          <w:sz w:val="30"/>
          <w:szCs w:val="22"/>
          <w:lang w:val="en-US" w:eastAsia="zh-CN" w:bidi="ar-SA"/>
        </w:rPr>
        <w:t>零发生</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全力保障校园及周边稳定。</w:t>
      </w:r>
      <w:r>
        <w:rPr>
          <w:rFonts w:hint="default" w:ascii="Times New Roman" w:hAnsi="Times New Roman" w:eastAsia="仿宋_GB2312" w:cs="Times New Roman"/>
          <w:kern w:val="2"/>
          <w:sz w:val="30"/>
          <w:szCs w:val="22"/>
          <w:lang w:val="en-US" w:eastAsia="zh-CN" w:bidi="ar-SA"/>
        </w:rPr>
        <w:t>联合教体部门</w:t>
      </w:r>
      <w:r>
        <w:rPr>
          <w:rFonts w:hint="eastAsia" w:ascii="Times New Roman" w:hAnsi="Times New Roman" w:eastAsia="仿宋_GB2312" w:cs="Times New Roman"/>
          <w:kern w:val="2"/>
          <w:sz w:val="30"/>
          <w:szCs w:val="22"/>
          <w:lang w:val="en-US" w:eastAsia="zh-CN" w:bidi="ar-SA"/>
        </w:rPr>
        <w:t>开展</w:t>
      </w:r>
      <w:r>
        <w:rPr>
          <w:rFonts w:hint="default" w:ascii="Times New Roman" w:hAnsi="Times New Roman" w:eastAsia="仿宋_GB2312" w:cs="Times New Roman"/>
          <w:kern w:val="2"/>
          <w:sz w:val="30"/>
          <w:szCs w:val="22"/>
          <w:lang w:val="en-US" w:eastAsia="zh-CN" w:bidi="ar-SA"/>
        </w:rPr>
        <w:t>校园安全专项检查，</w:t>
      </w:r>
      <w:r>
        <w:rPr>
          <w:rFonts w:hint="eastAsia" w:ascii="Times New Roman" w:hAnsi="Times New Roman" w:eastAsia="仿宋_GB2312" w:cs="Times New Roman"/>
          <w:kern w:val="2"/>
          <w:sz w:val="30"/>
          <w:szCs w:val="22"/>
          <w:lang w:val="en-US" w:eastAsia="zh-CN" w:bidi="ar-SA"/>
        </w:rPr>
        <w:t>完善“一校一策”，常态化开展护学岗，确保了校园及周边绝对安全。</w:t>
      </w:r>
      <w:r>
        <w:rPr>
          <w:rFonts w:hint="default" w:ascii="Times New Roman" w:hAnsi="Times New Roman" w:eastAsia="仿宋_GB2312" w:cs="Times New Roman"/>
          <w:kern w:val="2"/>
          <w:sz w:val="30"/>
          <w:szCs w:val="22"/>
          <w:lang w:val="en-US" w:eastAsia="zh-CN" w:bidi="ar-SA"/>
        </w:rPr>
        <w:t>稳步推进防溺水“1+4+1”工程，</w:t>
      </w:r>
      <w:r>
        <w:rPr>
          <w:rFonts w:hint="eastAsia" w:ascii="Times New Roman" w:hAnsi="Times New Roman" w:eastAsia="仿宋_GB2312" w:cs="Times New Roman"/>
          <w:kern w:val="2"/>
          <w:sz w:val="30"/>
          <w:szCs w:val="22"/>
          <w:lang w:val="en-US" w:eastAsia="zh-CN" w:bidi="ar-SA"/>
        </w:rPr>
        <w:t>对</w:t>
      </w:r>
      <w:r>
        <w:rPr>
          <w:rFonts w:hint="default" w:ascii="Times New Roman" w:hAnsi="Times New Roman" w:eastAsia="仿宋_GB2312" w:cs="Times New Roman"/>
          <w:kern w:val="2"/>
          <w:sz w:val="30"/>
          <w:szCs w:val="22"/>
          <w:lang w:val="en-US" w:eastAsia="zh-CN" w:bidi="ar-SA"/>
        </w:rPr>
        <w:t>全县1656处重点水域防溺水设施查漏补缺</w:t>
      </w:r>
      <w:r>
        <w:rPr>
          <w:rFonts w:hint="eastAsia" w:ascii="Times New Roman" w:hAnsi="Times New Roman" w:eastAsia="仿宋_GB2312" w:cs="Times New Roman"/>
          <w:kern w:val="2"/>
          <w:sz w:val="30"/>
          <w:szCs w:val="22"/>
          <w:lang w:val="en-US" w:eastAsia="zh-CN" w:bidi="ar-SA"/>
        </w:rPr>
        <w:t>，更新完善</w:t>
      </w:r>
      <w:r>
        <w:rPr>
          <w:rFonts w:hint="default" w:ascii="Times New Roman" w:hAnsi="Times New Roman" w:eastAsia="仿宋_GB2312" w:cs="Times New Roman"/>
          <w:kern w:val="2"/>
          <w:sz w:val="30"/>
          <w:szCs w:val="22"/>
          <w:lang w:val="en-US" w:eastAsia="zh-CN" w:bidi="ar-SA"/>
        </w:rPr>
        <w:t>“四个一”</w:t>
      </w:r>
      <w:r>
        <w:rPr>
          <w:rFonts w:hint="eastAsia" w:ascii="Times New Roman" w:hAnsi="Times New Roman" w:eastAsia="仿宋_GB2312" w:cs="Times New Roman"/>
          <w:kern w:val="2"/>
          <w:sz w:val="30"/>
          <w:szCs w:val="22"/>
          <w:lang w:val="en-US" w:eastAsia="zh-CN" w:bidi="ar-SA"/>
        </w:rPr>
        <w:t>设施</w:t>
      </w:r>
      <w:r>
        <w:rPr>
          <w:rFonts w:hint="default" w:ascii="Times New Roman" w:hAnsi="Times New Roman" w:eastAsia="仿宋_GB2312" w:cs="Times New Roman"/>
          <w:kern w:val="2"/>
          <w:sz w:val="30"/>
          <w:szCs w:val="22"/>
          <w:lang w:val="en-US" w:eastAsia="zh-CN" w:bidi="ar-SA"/>
        </w:rPr>
        <w:t>136处，开展“防溺水一堂课”126场次，溺水事故连续三年“零发生”。全力维护道路交通安全。</w:t>
      </w:r>
      <w:r>
        <w:rPr>
          <w:rFonts w:hint="eastAsia" w:ascii="Times New Roman" w:hAnsi="Times New Roman" w:eastAsia="仿宋_GB2312" w:cs="Times New Roman"/>
          <w:kern w:val="2"/>
          <w:sz w:val="30"/>
          <w:szCs w:val="22"/>
          <w:lang w:val="en-US" w:eastAsia="zh-CN" w:bidi="ar-SA"/>
        </w:rPr>
        <w:t>严查交通违法行为2.4万起，</w:t>
      </w:r>
      <w:r>
        <w:rPr>
          <w:rFonts w:hint="default" w:ascii="Times New Roman" w:hAnsi="Times New Roman" w:eastAsia="仿宋_GB2312" w:cs="Times New Roman"/>
          <w:kern w:val="2"/>
          <w:sz w:val="30"/>
          <w:szCs w:val="22"/>
          <w:lang w:val="en-US" w:eastAsia="zh-CN" w:bidi="ar-SA"/>
        </w:rPr>
        <w:t>排查治理道路</w:t>
      </w:r>
      <w:r>
        <w:rPr>
          <w:rFonts w:hint="eastAsia" w:ascii="Times New Roman" w:hAnsi="Times New Roman" w:eastAsia="仿宋_GB2312" w:cs="Times New Roman"/>
          <w:kern w:val="2"/>
          <w:sz w:val="30"/>
          <w:szCs w:val="22"/>
          <w:lang w:val="en-US" w:eastAsia="zh-CN" w:bidi="ar-SA"/>
        </w:rPr>
        <w:t>安全</w:t>
      </w:r>
      <w:r>
        <w:rPr>
          <w:rFonts w:hint="default" w:ascii="Times New Roman" w:hAnsi="Times New Roman" w:eastAsia="仿宋_GB2312" w:cs="Times New Roman"/>
          <w:kern w:val="2"/>
          <w:sz w:val="30"/>
          <w:szCs w:val="22"/>
          <w:lang w:val="en-US" w:eastAsia="zh-CN" w:bidi="ar-SA"/>
        </w:rPr>
        <w:t>隐患</w:t>
      </w:r>
      <w:r>
        <w:rPr>
          <w:rFonts w:hint="eastAsia" w:ascii="Times New Roman" w:hAnsi="Times New Roman" w:eastAsia="仿宋_GB2312" w:cs="Times New Roman"/>
          <w:kern w:val="2"/>
          <w:sz w:val="30"/>
          <w:szCs w:val="22"/>
          <w:lang w:val="en-US" w:eastAsia="zh-CN" w:bidi="ar-SA"/>
        </w:rPr>
        <w:t>484</w:t>
      </w:r>
      <w:r>
        <w:rPr>
          <w:rFonts w:hint="default" w:ascii="Times New Roman" w:hAnsi="Times New Roman" w:eastAsia="仿宋_GB2312" w:cs="Times New Roman"/>
          <w:kern w:val="2"/>
          <w:sz w:val="30"/>
          <w:szCs w:val="22"/>
          <w:lang w:val="en-US" w:eastAsia="zh-CN" w:bidi="ar-SA"/>
        </w:rPr>
        <w:t>处，清理中高风险驾驶人</w:t>
      </w:r>
      <w:r>
        <w:rPr>
          <w:rFonts w:hint="eastAsia" w:ascii="Times New Roman" w:hAnsi="Times New Roman" w:eastAsia="仿宋_GB2312" w:cs="Times New Roman"/>
          <w:kern w:val="2"/>
          <w:sz w:val="30"/>
          <w:szCs w:val="22"/>
          <w:lang w:val="en-US" w:eastAsia="zh-CN" w:bidi="ar-SA"/>
        </w:rPr>
        <w:t>215</w:t>
      </w:r>
      <w:r>
        <w:rPr>
          <w:rFonts w:hint="default" w:ascii="Times New Roman" w:hAnsi="Times New Roman" w:eastAsia="仿宋_GB2312" w:cs="Times New Roman"/>
          <w:kern w:val="2"/>
          <w:sz w:val="30"/>
          <w:szCs w:val="22"/>
          <w:lang w:val="en-US" w:eastAsia="zh-CN" w:bidi="ar-SA"/>
        </w:rPr>
        <w:t>名、中高风险车辆</w:t>
      </w:r>
      <w:r>
        <w:rPr>
          <w:rFonts w:hint="eastAsia" w:ascii="Times New Roman" w:hAnsi="Times New Roman" w:eastAsia="仿宋_GB2312" w:cs="Times New Roman"/>
          <w:kern w:val="2"/>
          <w:sz w:val="30"/>
          <w:szCs w:val="22"/>
          <w:lang w:val="en-US" w:eastAsia="zh-CN" w:bidi="ar-SA"/>
        </w:rPr>
        <w:t>412</w:t>
      </w:r>
      <w:r>
        <w:rPr>
          <w:rFonts w:hint="default" w:ascii="Times New Roman" w:hAnsi="Times New Roman" w:eastAsia="仿宋_GB2312" w:cs="Times New Roman"/>
          <w:kern w:val="2"/>
          <w:sz w:val="30"/>
          <w:szCs w:val="22"/>
          <w:lang w:val="en-US" w:eastAsia="zh-CN" w:bidi="ar-SA"/>
        </w:rPr>
        <w:t>辆、中高风险企业</w:t>
      </w:r>
      <w:r>
        <w:rPr>
          <w:rFonts w:hint="eastAsia" w:ascii="Times New Roman" w:hAnsi="Times New Roman" w:eastAsia="仿宋_GB2312" w:cs="Times New Roman"/>
          <w:kern w:val="2"/>
          <w:sz w:val="30"/>
          <w:szCs w:val="22"/>
          <w:lang w:val="en-US" w:eastAsia="zh-CN" w:bidi="ar-SA"/>
        </w:rPr>
        <w:t>8</w:t>
      </w:r>
      <w:r>
        <w:rPr>
          <w:rFonts w:hint="default" w:ascii="Times New Roman" w:hAnsi="Times New Roman" w:eastAsia="仿宋_GB2312" w:cs="Times New Roman"/>
          <w:kern w:val="2"/>
          <w:sz w:val="30"/>
          <w:szCs w:val="22"/>
          <w:lang w:val="en-US" w:eastAsia="zh-CN" w:bidi="ar-SA"/>
        </w:rPr>
        <w:t>家</w:t>
      </w:r>
      <w:r>
        <w:rPr>
          <w:rFonts w:hint="eastAsia" w:ascii="Times New Roman" w:hAnsi="Times New Roman" w:eastAsia="仿宋_GB2312" w:cs="Times New Roman"/>
          <w:kern w:val="2"/>
          <w:sz w:val="30"/>
          <w:szCs w:val="22"/>
          <w:lang w:val="en-US" w:eastAsia="zh-CN" w:bidi="ar-SA"/>
        </w:rPr>
        <w:t>；全警交通夜查、交通劝导常态化，头盔佩戴率保持在85%以上，排名全市前列。会同职能部门扎实开展马路市场整治，彻底根治国省道赶集、占道经营等道路风险隐患，</w:t>
      </w:r>
      <w:r>
        <w:rPr>
          <w:rFonts w:hint="default" w:ascii="Times New Roman" w:hAnsi="Times New Roman" w:eastAsia="仿宋_GB2312" w:cs="Times New Roman"/>
          <w:kern w:val="2"/>
          <w:sz w:val="30"/>
          <w:szCs w:val="22"/>
          <w:lang w:val="en-US" w:eastAsia="zh-CN" w:bidi="ar-SA"/>
        </w:rPr>
        <w:t>道路交通事故数、死亡人数同比下降</w:t>
      </w:r>
      <w:r>
        <w:rPr>
          <w:rFonts w:hint="eastAsia" w:ascii="Times New Roman" w:hAnsi="Times New Roman" w:eastAsia="仿宋_GB2312" w:cs="Times New Roman"/>
          <w:kern w:val="2"/>
          <w:sz w:val="30"/>
          <w:szCs w:val="22"/>
          <w:lang w:val="en-US" w:eastAsia="zh-CN" w:bidi="ar-SA"/>
        </w:rPr>
        <w:t>6</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24</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全力筑牢消防安全屏障。开展系列消防安全检查整治行动，检查“九小场所”2368家次、企业厂房121家次，督促整改青羊家具城等安全隐患657处，推动消防安全监管常态化</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开展森林防火巡查100余次，张贴禁火令2500余张、发放宣传册2万余份，</w:t>
      </w:r>
      <w:r>
        <w:rPr>
          <w:rFonts w:hint="default" w:ascii="Times New Roman" w:hAnsi="Times New Roman" w:eastAsia="仿宋_GB2312" w:cs="Times New Roman"/>
          <w:kern w:val="2"/>
          <w:sz w:val="30"/>
          <w:szCs w:val="22"/>
          <w:lang w:val="en-US" w:eastAsia="zh-CN" w:bidi="ar-SA"/>
        </w:rPr>
        <w:t>查处野外违规用火</w:t>
      </w:r>
      <w:r>
        <w:rPr>
          <w:rFonts w:hint="eastAsia" w:ascii="Times New Roman" w:hAnsi="Times New Roman" w:eastAsia="仿宋_GB2312" w:cs="Times New Roman"/>
          <w:kern w:val="2"/>
          <w:sz w:val="30"/>
          <w:szCs w:val="22"/>
          <w:lang w:val="en-US" w:eastAsia="zh-CN" w:bidi="ar-SA"/>
        </w:rPr>
        <w:t>12</w:t>
      </w:r>
      <w:r>
        <w:rPr>
          <w:rFonts w:hint="default" w:ascii="Times New Roman" w:hAnsi="Times New Roman" w:eastAsia="仿宋_GB2312" w:cs="Times New Roman"/>
          <w:kern w:val="2"/>
          <w:sz w:val="30"/>
          <w:szCs w:val="22"/>
          <w:lang w:val="en-US" w:eastAsia="zh-CN" w:bidi="ar-SA"/>
        </w:rPr>
        <w:t>起，行政</w:t>
      </w:r>
      <w:r>
        <w:rPr>
          <w:rFonts w:hint="eastAsia" w:ascii="Times New Roman" w:hAnsi="Times New Roman" w:eastAsia="仿宋_GB2312" w:cs="Times New Roman"/>
          <w:kern w:val="2"/>
          <w:sz w:val="30"/>
          <w:szCs w:val="22"/>
          <w:lang w:val="en-US" w:eastAsia="zh-CN" w:bidi="ar-SA"/>
        </w:rPr>
        <w:t>处罚13</w:t>
      </w:r>
      <w:r>
        <w:rPr>
          <w:rFonts w:hint="default" w:ascii="Times New Roman" w:hAnsi="Times New Roman" w:eastAsia="仿宋_GB2312" w:cs="Times New Roman"/>
          <w:kern w:val="2"/>
          <w:sz w:val="30"/>
          <w:szCs w:val="22"/>
          <w:lang w:val="en-US" w:eastAsia="zh-CN" w:bidi="ar-SA"/>
        </w:rPr>
        <w:t>人。</w:t>
      </w:r>
    </w:p>
    <w:p w14:paraId="371A342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完善合成作战机制。</w:t>
      </w:r>
      <w:r>
        <w:rPr>
          <w:rFonts w:hint="default" w:ascii="Times New Roman" w:hAnsi="Times New Roman" w:eastAsia="仿宋_GB2312" w:cs="Times New Roman"/>
          <w:kern w:val="2"/>
          <w:sz w:val="30"/>
          <w:szCs w:val="22"/>
          <w:lang w:val="en-US" w:eastAsia="zh-CN" w:bidi="ar-SA"/>
        </w:rPr>
        <w:t>扎实开展“春雷”</w:t>
      </w:r>
      <w:r>
        <w:rPr>
          <w:rFonts w:hint="eastAsia" w:ascii="Times New Roman" w:hAnsi="Times New Roman" w:eastAsia="仿宋_GB2312" w:cs="Times New Roman"/>
          <w:kern w:val="2"/>
          <w:sz w:val="30"/>
          <w:szCs w:val="22"/>
          <w:lang w:val="en-US" w:eastAsia="zh-CN" w:bidi="ar-SA"/>
        </w:rPr>
        <w:t>、“夏季行动”</w:t>
      </w:r>
      <w:r>
        <w:rPr>
          <w:rFonts w:hint="default" w:ascii="Times New Roman" w:hAnsi="Times New Roman" w:eastAsia="仿宋_GB2312" w:cs="Times New Roman"/>
          <w:kern w:val="2"/>
          <w:sz w:val="30"/>
          <w:szCs w:val="22"/>
          <w:lang w:val="en-US" w:eastAsia="zh-CN" w:bidi="ar-SA"/>
        </w:rPr>
        <w:t>等专项行动，</w:t>
      </w:r>
      <w:r>
        <w:rPr>
          <w:rFonts w:hint="eastAsia" w:ascii="Times New Roman" w:hAnsi="Times New Roman" w:eastAsia="仿宋_GB2312" w:cs="Times New Roman"/>
          <w:kern w:val="2"/>
          <w:sz w:val="30"/>
          <w:szCs w:val="22"/>
          <w:lang w:val="en-US" w:eastAsia="zh-CN" w:bidi="ar-SA"/>
        </w:rPr>
        <w:t>报立刑事案件337起，抓获犯罪嫌疑人243名；查处行政案件454起，行政处罚939人。成功破获“9.30杀人案”“11.15杀人案”、</w:t>
      </w:r>
      <w:r>
        <w:rPr>
          <w:rFonts w:hint="default" w:ascii="Times New Roman" w:hAnsi="Times New Roman" w:eastAsia="仿宋_GB2312" w:cs="Times New Roman"/>
          <w:kern w:val="2"/>
          <w:sz w:val="30"/>
          <w:szCs w:val="22"/>
          <w:lang w:val="en-US" w:eastAsia="zh-CN" w:bidi="ar-SA"/>
        </w:rPr>
        <w:t>特大盗窃电缆线</w:t>
      </w:r>
      <w:r>
        <w:rPr>
          <w:rFonts w:hint="eastAsia" w:ascii="Times New Roman" w:hAnsi="Times New Roman" w:eastAsia="仿宋_GB2312" w:cs="Times New Roman"/>
          <w:kern w:val="2"/>
          <w:sz w:val="30"/>
          <w:szCs w:val="22"/>
          <w:lang w:val="en-US" w:eastAsia="zh-CN" w:bidi="ar-SA"/>
        </w:rPr>
        <w:t>；健全电诈治理体系。</w:t>
      </w:r>
      <w:r>
        <w:rPr>
          <w:rFonts w:hint="default" w:ascii="Times New Roman" w:hAnsi="Times New Roman" w:eastAsia="仿宋_GB2312" w:cs="Times New Roman"/>
          <w:kern w:val="2"/>
          <w:sz w:val="30"/>
          <w:szCs w:val="22"/>
          <w:lang w:val="en-US" w:eastAsia="zh-CN" w:bidi="ar-SA"/>
        </w:rPr>
        <w:t>深入推进“断卡”“断流”行动，</w:t>
      </w:r>
      <w:r>
        <w:rPr>
          <w:rFonts w:hint="eastAsia" w:ascii="Times New Roman" w:hAnsi="Times New Roman" w:eastAsia="仿宋_GB2312" w:cs="Times New Roman"/>
          <w:kern w:val="2"/>
          <w:sz w:val="30"/>
          <w:szCs w:val="22"/>
          <w:lang w:val="en-US" w:eastAsia="zh-CN" w:bidi="ar-SA"/>
        </w:rPr>
        <w:t>破获电诈案件51起，打掉涉诈窝点1个、摧毁团伙6个，抓获犯罪嫌疑人66名。涉诈重点人员劝返率达94.29%，稳居全市前列。积极探索“无诈高校”创建模式，辖区高校连续两年实现“零发案”；探索新型警务模式</w:t>
      </w:r>
      <w:r>
        <w:rPr>
          <w:rFonts w:hint="default" w:ascii="Times New Roman" w:hAnsi="Times New Roman" w:eastAsia="仿宋_GB2312" w:cs="Times New Roman"/>
          <w:kern w:val="2"/>
          <w:sz w:val="30"/>
          <w:szCs w:val="22"/>
          <w:lang w:val="en-US" w:eastAsia="zh-CN" w:bidi="ar-SA"/>
        </w:rPr>
        <w:t>。</w:t>
      </w:r>
      <w:r>
        <w:rPr>
          <w:rFonts w:hint="eastAsia" w:ascii="Times New Roman" w:hAnsi="Times New Roman" w:eastAsia="仿宋_GB2312" w:cs="Times New Roman"/>
          <w:kern w:val="2"/>
          <w:sz w:val="30"/>
          <w:szCs w:val="22"/>
          <w:lang w:val="en-US" w:eastAsia="zh-CN" w:bidi="ar-SA"/>
        </w:rPr>
        <w:t>探索建立步巡＋车巡＋视频巡＋无人机巡“四位一体”立体巡防新模式，街面可防性案件环比下降10%，“两抢”案件零发案。</w:t>
      </w:r>
    </w:p>
    <w:p w14:paraId="7751B6D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kern w:val="2"/>
          <w:sz w:val="30"/>
          <w:szCs w:val="22"/>
          <w:lang w:val="en-US" w:eastAsia="zh-CN" w:bidi="ar-SA"/>
        </w:rPr>
      </w:pPr>
      <w:r>
        <w:rPr>
          <w:rFonts w:hint="eastAsia" w:ascii="Times New Roman" w:hAnsi="Times New Roman" w:eastAsia="仿宋_GB2312" w:cs="Times New Roman"/>
          <w:kern w:val="2"/>
          <w:sz w:val="30"/>
          <w:szCs w:val="22"/>
          <w:lang w:val="en-US" w:eastAsia="zh-CN" w:bidi="ar-SA"/>
        </w:rPr>
        <w:t>主防根基不断夯实</w:t>
      </w:r>
      <w:r>
        <w:rPr>
          <w:rFonts w:hint="default" w:ascii="Times New Roman" w:hAnsi="Times New Roman" w:eastAsia="仿宋_GB2312" w:cs="Times New Roman"/>
          <w:kern w:val="2"/>
          <w:sz w:val="30"/>
          <w:szCs w:val="22"/>
          <w:lang w:val="en-US" w:eastAsia="zh-CN" w:bidi="ar-SA"/>
        </w:rPr>
        <w:t>。派出所基层基础工作在全市作经验发言</w:t>
      </w:r>
      <w:r>
        <w:rPr>
          <w:rFonts w:hint="eastAsia" w:ascii="Times New Roman" w:hAnsi="Times New Roman" w:eastAsia="仿宋_GB2312" w:cs="Times New Roman"/>
          <w:kern w:val="2"/>
          <w:sz w:val="30"/>
          <w:szCs w:val="22"/>
          <w:lang w:val="en-US" w:eastAsia="zh-CN" w:bidi="ar-SA"/>
        </w:rPr>
        <w:t>，石鼻派出所成功获评一级派出所，实现我县一级派出所“零”的突破。执法执勤更加规范。涉企执法突出问题、执法不作为慢作为乱作为问题专项治理工作做法获省公安厅督导组表扬，先进经验刊发全省学习。强化办案全流程管理和执法质量考评，做到嫌疑人零脱逃、零事故，劣质案件零发生，荣获江西省人民政府颁发的全省依法行政先进单位。</w:t>
      </w:r>
    </w:p>
    <w:p w14:paraId="18929FA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kern w:val="2"/>
          <w:sz w:val="30"/>
          <w:szCs w:val="22"/>
          <w:lang w:val="en-US" w:eastAsia="zh-CN" w:bidi="ar-SA"/>
        </w:rPr>
      </w:pPr>
      <w:r>
        <w:rPr>
          <w:rFonts w:hint="default" w:ascii="Times New Roman" w:hAnsi="Times New Roman" w:eastAsia="仿宋_GB2312" w:cs="Times New Roman"/>
          <w:kern w:val="2"/>
          <w:sz w:val="30"/>
          <w:szCs w:val="22"/>
          <w:lang w:val="en-US" w:eastAsia="zh-CN" w:bidi="ar-SA"/>
        </w:rPr>
        <w:t>政治建警增强向心力。持之以恒抓好“第一议题”、忠诚教育</w:t>
      </w:r>
      <w:r>
        <w:rPr>
          <w:rFonts w:hint="eastAsia" w:ascii="Times New Roman" w:hAnsi="Times New Roman" w:eastAsia="仿宋_GB2312" w:cs="Times New Roman"/>
          <w:kern w:val="2"/>
          <w:sz w:val="30"/>
          <w:szCs w:val="22"/>
          <w:lang w:val="en-US" w:eastAsia="zh-CN" w:bidi="ar-SA"/>
        </w:rPr>
        <w:t>，扎实开展党纪学习教育，</w:t>
      </w:r>
      <w:r>
        <w:rPr>
          <w:rFonts w:hint="default" w:ascii="Times New Roman" w:hAnsi="Times New Roman" w:eastAsia="仿宋_GB2312" w:cs="Times New Roman"/>
          <w:kern w:val="2"/>
          <w:sz w:val="30"/>
          <w:szCs w:val="22"/>
          <w:lang w:val="en-US" w:eastAsia="zh-CN" w:bidi="ar-SA"/>
        </w:rPr>
        <w:t>全警政治判断力、政治领悟力、政治执行力有效提升</w:t>
      </w:r>
      <w:r>
        <w:rPr>
          <w:rFonts w:hint="eastAsia" w:ascii="Times New Roman" w:hAnsi="Times New Roman" w:eastAsia="仿宋_GB2312" w:cs="Times New Roman"/>
          <w:kern w:val="2"/>
          <w:sz w:val="30"/>
          <w:szCs w:val="22"/>
          <w:lang w:val="en-US" w:eastAsia="zh-CN" w:bidi="ar-SA"/>
        </w:rPr>
        <w:t>;</w:t>
      </w:r>
      <w:r>
        <w:rPr>
          <w:rFonts w:hint="default" w:ascii="Times New Roman" w:hAnsi="Times New Roman" w:eastAsia="仿宋_GB2312" w:cs="Times New Roman"/>
          <w:kern w:val="2"/>
          <w:sz w:val="30"/>
          <w:szCs w:val="22"/>
          <w:lang w:val="en-US" w:eastAsia="zh-CN" w:bidi="ar-SA"/>
        </w:rPr>
        <w:t>素质强警增强战斗力。扎实开展“实战大练兵”“送教下基层”</w:t>
      </w:r>
      <w:r>
        <w:rPr>
          <w:rFonts w:hint="eastAsia" w:ascii="Times New Roman" w:hAnsi="Times New Roman" w:eastAsia="仿宋_GB2312" w:cs="Times New Roman"/>
          <w:kern w:val="2"/>
          <w:sz w:val="30"/>
          <w:szCs w:val="22"/>
          <w:lang w:val="en-US" w:eastAsia="zh-CN" w:bidi="ar-SA"/>
        </w:rPr>
        <w:t>活动</w:t>
      </w:r>
      <w:r>
        <w:rPr>
          <w:rFonts w:hint="default" w:ascii="Times New Roman" w:hAnsi="Times New Roman" w:eastAsia="仿宋_GB2312" w:cs="Times New Roman"/>
          <w:kern w:val="2"/>
          <w:sz w:val="30"/>
          <w:szCs w:val="22"/>
          <w:lang w:val="en-US" w:eastAsia="zh-CN" w:bidi="ar-SA"/>
        </w:rPr>
        <w:t>，培训民辅警</w:t>
      </w:r>
      <w:r>
        <w:rPr>
          <w:rFonts w:hint="eastAsia" w:ascii="Times New Roman" w:hAnsi="Times New Roman" w:eastAsia="仿宋_GB2312" w:cs="Times New Roman"/>
          <w:kern w:val="2"/>
          <w:sz w:val="30"/>
          <w:szCs w:val="22"/>
          <w:lang w:val="en-US" w:eastAsia="zh-CN" w:bidi="ar-SA"/>
        </w:rPr>
        <w:t>800</w:t>
      </w:r>
      <w:r>
        <w:rPr>
          <w:rFonts w:hint="default" w:ascii="Times New Roman" w:hAnsi="Times New Roman" w:eastAsia="仿宋_GB2312" w:cs="Times New Roman"/>
          <w:kern w:val="2"/>
          <w:sz w:val="30"/>
          <w:szCs w:val="22"/>
          <w:lang w:val="en-US" w:eastAsia="zh-CN" w:bidi="ar-SA"/>
        </w:rPr>
        <w:t>余人次</w:t>
      </w:r>
      <w:r>
        <w:rPr>
          <w:rFonts w:hint="eastAsia" w:ascii="Times New Roman" w:hAnsi="Times New Roman" w:eastAsia="仿宋_GB2312" w:cs="Times New Roman"/>
          <w:kern w:val="2"/>
          <w:sz w:val="30"/>
          <w:szCs w:val="22"/>
          <w:lang w:val="en-US" w:eastAsia="zh-CN" w:bidi="ar-SA"/>
        </w:rPr>
        <w:t>，</w:t>
      </w:r>
      <w:r>
        <w:rPr>
          <w:rFonts w:hint="default" w:ascii="Times New Roman" w:hAnsi="Times New Roman" w:eastAsia="仿宋_GB2312" w:cs="Times New Roman"/>
          <w:kern w:val="2"/>
          <w:sz w:val="30"/>
          <w:szCs w:val="22"/>
          <w:lang w:val="en-US" w:eastAsia="zh-CN" w:bidi="ar-SA"/>
        </w:rPr>
        <w:t>警务实战技能水平</w:t>
      </w:r>
      <w:r>
        <w:rPr>
          <w:rFonts w:hint="eastAsia" w:ascii="Times New Roman" w:hAnsi="Times New Roman" w:eastAsia="仿宋_GB2312" w:cs="Times New Roman"/>
          <w:kern w:val="2"/>
          <w:sz w:val="30"/>
          <w:szCs w:val="22"/>
          <w:lang w:val="en-US" w:eastAsia="zh-CN" w:bidi="ar-SA"/>
        </w:rPr>
        <w:t>进一步提升;</w:t>
      </w:r>
      <w:r>
        <w:rPr>
          <w:rFonts w:hint="default" w:ascii="Times New Roman" w:hAnsi="Times New Roman" w:eastAsia="仿宋_GB2312" w:cs="Times New Roman"/>
          <w:kern w:val="2"/>
          <w:sz w:val="30"/>
          <w:szCs w:val="22"/>
          <w:lang w:val="en-US" w:eastAsia="zh-CN" w:bidi="ar-SA"/>
        </w:rPr>
        <w:t>从严治警增强执行力。以市委提级巡察反馈问题整改为契机，</w:t>
      </w:r>
      <w:r>
        <w:rPr>
          <w:rFonts w:hint="eastAsia" w:ascii="Times New Roman" w:hAnsi="Times New Roman" w:eastAsia="仿宋_GB2312" w:cs="Times New Roman"/>
          <w:kern w:val="2"/>
          <w:sz w:val="30"/>
          <w:szCs w:val="22"/>
          <w:lang w:val="en-US" w:eastAsia="zh-CN" w:bidi="ar-SA"/>
        </w:rPr>
        <w:t>健全</w:t>
      </w:r>
      <w:r>
        <w:rPr>
          <w:rFonts w:hint="default" w:ascii="Times New Roman" w:hAnsi="Times New Roman" w:eastAsia="仿宋_GB2312" w:cs="Times New Roman"/>
          <w:kern w:val="2"/>
          <w:sz w:val="30"/>
          <w:szCs w:val="22"/>
          <w:lang w:val="en-US" w:eastAsia="zh-CN" w:bidi="ar-SA"/>
        </w:rPr>
        <w:t>规章制度33项，堵塞</w:t>
      </w:r>
      <w:r>
        <w:rPr>
          <w:rFonts w:hint="eastAsia" w:ascii="Times New Roman" w:hAnsi="Times New Roman" w:eastAsia="仿宋_GB2312" w:cs="Times New Roman"/>
          <w:kern w:val="2"/>
          <w:sz w:val="30"/>
          <w:szCs w:val="22"/>
          <w:lang w:val="en-US" w:eastAsia="zh-CN" w:bidi="ar-SA"/>
        </w:rPr>
        <w:t>了</w:t>
      </w:r>
      <w:r>
        <w:rPr>
          <w:rFonts w:hint="default" w:ascii="Times New Roman" w:hAnsi="Times New Roman" w:eastAsia="仿宋_GB2312" w:cs="Times New Roman"/>
          <w:kern w:val="2"/>
          <w:sz w:val="30"/>
          <w:szCs w:val="22"/>
          <w:lang w:val="en-US" w:eastAsia="zh-CN" w:bidi="ar-SA"/>
        </w:rPr>
        <w:t>制度漏洞</w:t>
      </w:r>
      <w:r>
        <w:rPr>
          <w:rFonts w:hint="eastAsia" w:ascii="Times New Roman" w:hAnsi="Times New Roman" w:eastAsia="仿宋_GB2312" w:cs="Times New Roman"/>
          <w:kern w:val="2"/>
          <w:sz w:val="30"/>
          <w:szCs w:val="22"/>
          <w:lang w:val="en-US" w:eastAsia="zh-CN" w:bidi="ar-SA"/>
        </w:rPr>
        <w:t>。</w:t>
      </w:r>
    </w:p>
    <w:p w14:paraId="5007372F">
      <w:pPr>
        <w:pStyle w:val="2"/>
        <w:rPr>
          <w:rFonts w:hint="default"/>
          <w:lang w:val="en-US" w:eastAsia="zh-CN"/>
        </w:rPr>
      </w:pPr>
    </w:p>
    <w:p w14:paraId="5B326388">
      <w:pPr>
        <w:ind w:firstLine="600" w:firstLineChars="200"/>
        <w:rPr>
          <w:rFonts w:eastAsia="仿宋_GB2312"/>
          <w:sz w:val="30"/>
        </w:rPr>
      </w:pPr>
      <w:r>
        <w:rPr>
          <w:rFonts w:hint="eastAsia" w:eastAsia="仿宋_GB2312"/>
          <w:sz w:val="30"/>
        </w:rPr>
        <w:t>（二）履职效果情况：</w:t>
      </w:r>
    </w:p>
    <w:p w14:paraId="1AF2FAFD">
      <w:pPr>
        <w:ind w:firstLine="600" w:firstLineChars="200"/>
        <w:rPr>
          <w:rFonts w:hint="eastAsia" w:ascii="Times New Roman" w:hAnsi="Times New Roman" w:eastAsia="仿宋_GB2312" w:cs="Times New Roman"/>
          <w:kern w:val="2"/>
          <w:sz w:val="30"/>
          <w:szCs w:val="22"/>
          <w:highlight w:val="none"/>
          <w:lang w:val="en-US" w:eastAsia="zh-CN" w:bidi="ar-SA"/>
        </w:rPr>
      </w:pPr>
      <w:r>
        <w:rPr>
          <w:rFonts w:hint="eastAsia" w:eastAsia="仿宋_GB2312"/>
          <w:sz w:val="30"/>
          <w:highlight w:val="none"/>
          <w:lang w:val="en-US" w:eastAsia="zh-CN"/>
        </w:rPr>
        <w:t>产出指标：</w:t>
      </w:r>
      <w:r>
        <w:rPr>
          <w:rFonts w:hint="eastAsia" w:ascii="微软雅黑" w:hAnsi="微软雅黑" w:eastAsia="微软雅黑" w:cs="微软雅黑"/>
          <w:sz w:val="30"/>
          <w:highlight w:val="none"/>
          <w:lang w:val="en-US" w:eastAsia="zh-CN"/>
        </w:rPr>
        <w:t>①</w:t>
      </w:r>
      <w:r>
        <w:rPr>
          <w:rFonts w:hint="eastAsia" w:eastAsia="仿宋_GB2312"/>
          <w:sz w:val="30"/>
          <w:highlight w:val="none"/>
          <w:lang w:val="en-US" w:eastAsia="zh-CN"/>
        </w:rPr>
        <w:t>数量指标</w:t>
      </w:r>
      <w:r>
        <w:rPr>
          <w:rFonts w:hint="eastAsia" w:eastAsia="仿宋_GB2312"/>
          <w:sz w:val="30"/>
          <w:highlight w:val="none"/>
        </w:rPr>
        <w:t>：</w:t>
      </w:r>
      <w:r>
        <w:rPr>
          <w:rFonts w:hint="eastAsia" w:eastAsia="仿宋_GB2312"/>
          <w:sz w:val="30"/>
          <w:highlight w:val="none"/>
          <w:lang w:val="en-US" w:eastAsia="zh-CN"/>
        </w:rPr>
        <w:t>执法执勤车辆购置数目标值</w:t>
      </w:r>
      <w:r>
        <w:rPr>
          <w:rFonts w:hint="default" w:ascii="Arial" w:hAnsi="Arial" w:eastAsia="仿宋_GB2312" w:cs="Arial"/>
          <w:sz w:val="30"/>
          <w:highlight w:val="none"/>
          <w:lang w:val="en-US" w:eastAsia="zh-CN"/>
        </w:rPr>
        <w:t>≤</w:t>
      </w:r>
      <w:r>
        <w:rPr>
          <w:rFonts w:hint="eastAsia" w:ascii="Times New Roman" w:hAnsi="Times New Roman" w:eastAsia="仿宋_GB2312" w:cs="Times New Roman"/>
          <w:sz w:val="30"/>
          <w:szCs w:val="22"/>
          <w:highlight w:val="none"/>
          <w:lang w:val="en-US" w:eastAsia="zh-CN"/>
        </w:rPr>
        <w:t>13，实际完成数为11辆，视频会议系统套数目标值≤16套，实际完成值为11套，目标</w:t>
      </w:r>
      <w:r>
        <w:rPr>
          <w:rFonts w:hint="eastAsia" w:eastAsia="仿宋_GB2312"/>
          <w:sz w:val="30"/>
          <w:highlight w:val="none"/>
        </w:rPr>
        <w:t>已完成。</w:t>
      </w:r>
      <w:r>
        <w:rPr>
          <w:rFonts w:hint="eastAsia" w:ascii="微软雅黑" w:hAnsi="微软雅黑" w:eastAsia="微软雅黑" w:cs="微软雅黑"/>
          <w:sz w:val="30"/>
          <w:highlight w:val="none"/>
        </w:rPr>
        <w:t>②</w:t>
      </w:r>
      <w:r>
        <w:rPr>
          <w:rFonts w:hint="eastAsia" w:ascii="Times New Roman" w:hAnsi="Times New Roman" w:eastAsia="仿宋_GB2312" w:cs="Times New Roman"/>
          <w:kern w:val="2"/>
          <w:sz w:val="30"/>
          <w:szCs w:val="22"/>
          <w:highlight w:val="none"/>
          <w:lang w:val="en-US" w:eastAsia="zh-CN" w:bidi="ar-SA"/>
        </w:rPr>
        <w:t>质量指标：装备验收合格率目标值为100%，实际值为100%，目标已完成；</w:t>
      </w:r>
      <w:r>
        <w:rPr>
          <w:rFonts w:hint="eastAsia" w:ascii="微软雅黑" w:hAnsi="微软雅黑" w:eastAsia="微软雅黑" w:cs="微软雅黑"/>
          <w:kern w:val="2"/>
          <w:sz w:val="30"/>
          <w:szCs w:val="22"/>
          <w:highlight w:val="none"/>
          <w:lang w:val="en-US" w:eastAsia="zh-CN" w:bidi="ar-SA"/>
        </w:rPr>
        <w:t>③</w:t>
      </w:r>
      <w:r>
        <w:rPr>
          <w:rFonts w:hint="eastAsia" w:ascii="Times New Roman" w:hAnsi="Times New Roman" w:eastAsia="仿宋_GB2312" w:cs="Times New Roman"/>
          <w:kern w:val="2"/>
          <w:sz w:val="30"/>
          <w:szCs w:val="22"/>
          <w:highlight w:val="none"/>
          <w:lang w:val="en-US" w:eastAsia="zh-CN" w:bidi="ar-SA"/>
        </w:rPr>
        <w:t>时效指标;装备采购及时率目标值≥95%，实际值为95%，目标已完成；</w:t>
      </w:r>
      <w:r>
        <w:rPr>
          <w:rFonts w:hint="eastAsia" w:ascii="微软雅黑" w:hAnsi="微软雅黑" w:eastAsia="微软雅黑" w:cs="微软雅黑"/>
          <w:kern w:val="2"/>
          <w:sz w:val="30"/>
          <w:szCs w:val="22"/>
          <w:highlight w:val="none"/>
          <w:lang w:val="en-US" w:eastAsia="zh-CN" w:bidi="ar-SA"/>
        </w:rPr>
        <w:t>④</w:t>
      </w:r>
      <w:r>
        <w:rPr>
          <w:rFonts w:hint="eastAsia" w:ascii="Times New Roman" w:hAnsi="Times New Roman" w:eastAsia="仿宋_GB2312" w:cs="Times New Roman"/>
          <w:kern w:val="2"/>
          <w:sz w:val="30"/>
          <w:szCs w:val="22"/>
          <w:highlight w:val="none"/>
          <w:lang w:val="en-US" w:eastAsia="zh-CN" w:bidi="ar-SA"/>
        </w:rPr>
        <w:t>成本指标：执法执勤车辆购置费单价目标值</w:t>
      </w:r>
      <w:r>
        <w:rPr>
          <w:rFonts w:hint="default" w:ascii="Arial" w:hAnsi="Arial" w:eastAsia="仿宋_GB2312" w:cs="Arial"/>
          <w:kern w:val="2"/>
          <w:sz w:val="30"/>
          <w:szCs w:val="22"/>
          <w:highlight w:val="none"/>
          <w:lang w:val="en-US" w:eastAsia="zh-CN" w:bidi="ar-SA"/>
        </w:rPr>
        <w:t>≤</w:t>
      </w:r>
      <w:r>
        <w:rPr>
          <w:rFonts w:hint="eastAsia" w:ascii="Times New Roman" w:hAnsi="Times New Roman" w:eastAsia="仿宋_GB2312" w:cs="Times New Roman"/>
          <w:kern w:val="2"/>
          <w:sz w:val="30"/>
          <w:szCs w:val="22"/>
          <w:highlight w:val="none"/>
          <w:lang w:val="en-US" w:eastAsia="zh-CN" w:bidi="ar-SA"/>
        </w:rPr>
        <w:t>170000元/辆实际值为95%，目标已完成；</w:t>
      </w:r>
      <w:r>
        <w:rPr>
          <w:rFonts w:hint="default" w:ascii="Times New Roman" w:hAnsi="Times New Roman" w:eastAsia="仿宋_GB2312" w:cs="Times New Roman"/>
          <w:kern w:val="2"/>
          <w:sz w:val="30"/>
          <w:szCs w:val="22"/>
          <w:highlight w:val="none"/>
          <w:lang w:val="en-US" w:eastAsia="zh-CN" w:bidi="ar-SA"/>
        </w:rPr>
        <w:t>视频会议系统购置费</w:t>
      </w:r>
      <w:r>
        <w:rPr>
          <w:rFonts w:hint="default" w:ascii="Arial" w:hAnsi="Arial" w:eastAsia="仿宋_GB2312" w:cs="Arial"/>
          <w:kern w:val="2"/>
          <w:sz w:val="30"/>
          <w:szCs w:val="22"/>
          <w:highlight w:val="none"/>
          <w:lang w:val="en-US" w:eastAsia="zh-CN" w:bidi="ar-SA"/>
        </w:rPr>
        <w:t>≤</w:t>
      </w:r>
      <w:r>
        <w:rPr>
          <w:rFonts w:hint="eastAsia" w:ascii="Times New Roman" w:hAnsi="Times New Roman" w:eastAsia="仿宋_GB2312" w:cs="Times New Roman"/>
          <w:kern w:val="2"/>
          <w:sz w:val="30"/>
          <w:szCs w:val="22"/>
          <w:highlight w:val="none"/>
          <w:lang w:val="en-US" w:eastAsia="zh-CN" w:bidi="ar-SA"/>
        </w:rPr>
        <w:t>106250元/套；</w:t>
      </w:r>
    </w:p>
    <w:p w14:paraId="1EAE3F8C">
      <w:pPr>
        <w:ind w:firstLine="600" w:firstLineChars="200"/>
        <w:rPr>
          <w:rFonts w:hint="eastAsia" w:ascii="Times New Roman" w:hAnsi="Times New Roman" w:eastAsia="仿宋_GB2312" w:cs="Times New Roman"/>
          <w:kern w:val="2"/>
          <w:sz w:val="30"/>
          <w:szCs w:val="22"/>
          <w:highlight w:val="none"/>
          <w:lang w:val="en-US" w:eastAsia="zh-CN" w:bidi="ar-SA"/>
        </w:rPr>
      </w:pPr>
      <w:r>
        <w:rPr>
          <w:rFonts w:hint="eastAsia" w:ascii="Times New Roman" w:hAnsi="Times New Roman" w:eastAsia="仿宋_GB2312" w:cs="Times New Roman"/>
          <w:kern w:val="2"/>
          <w:sz w:val="30"/>
          <w:szCs w:val="22"/>
          <w:highlight w:val="none"/>
          <w:lang w:val="en-US" w:eastAsia="zh-CN" w:bidi="ar-SA"/>
        </w:rPr>
        <w:t>效益指标：社会效益指标：新增装备使用率</w:t>
      </w:r>
      <w:r>
        <w:rPr>
          <w:rFonts w:hint="default" w:ascii="Arial" w:hAnsi="Arial" w:eastAsia="仿宋_GB2312" w:cs="Arial"/>
          <w:kern w:val="2"/>
          <w:sz w:val="30"/>
          <w:szCs w:val="22"/>
          <w:highlight w:val="none"/>
          <w:lang w:val="en-US" w:eastAsia="zh-CN" w:bidi="ar-SA"/>
        </w:rPr>
        <w:t>≥</w:t>
      </w:r>
      <w:r>
        <w:rPr>
          <w:rFonts w:hint="eastAsia" w:ascii="Times New Roman" w:hAnsi="Times New Roman" w:eastAsia="仿宋_GB2312" w:cs="Times New Roman"/>
          <w:kern w:val="2"/>
          <w:sz w:val="30"/>
          <w:szCs w:val="22"/>
          <w:highlight w:val="none"/>
          <w:lang w:val="en-US" w:eastAsia="zh-CN" w:bidi="ar-SA"/>
        </w:rPr>
        <w:t>95%，新装备采购完立即投入使用，目标已完成。</w:t>
      </w:r>
    </w:p>
    <w:p w14:paraId="3D1959DE">
      <w:pPr>
        <w:ind w:firstLine="600" w:firstLineChars="200"/>
        <w:rPr>
          <w:rFonts w:hint="eastAsia" w:ascii="Times New Roman" w:hAnsi="Times New Roman" w:eastAsia="仿宋_GB2312" w:cs="Times New Roman"/>
          <w:kern w:val="2"/>
          <w:sz w:val="30"/>
          <w:szCs w:val="22"/>
          <w:highlight w:val="none"/>
          <w:lang w:val="en-US" w:eastAsia="zh-CN" w:bidi="ar-SA"/>
        </w:rPr>
      </w:pPr>
      <w:r>
        <w:rPr>
          <w:rFonts w:hint="eastAsia" w:ascii="Times New Roman" w:hAnsi="Times New Roman" w:eastAsia="仿宋_GB2312" w:cs="Times New Roman"/>
          <w:kern w:val="2"/>
          <w:sz w:val="30"/>
          <w:szCs w:val="22"/>
          <w:highlight w:val="none"/>
          <w:lang w:val="en-US" w:eastAsia="zh-CN" w:bidi="ar-SA"/>
        </w:rPr>
        <w:t>满意度指标：公众安全感指数目标值为</w:t>
      </w:r>
      <w:r>
        <w:rPr>
          <w:rFonts w:hint="default" w:ascii="Arial" w:hAnsi="Arial" w:eastAsia="仿宋_GB2312" w:cs="Arial"/>
          <w:kern w:val="2"/>
          <w:sz w:val="30"/>
          <w:szCs w:val="22"/>
          <w:highlight w:val="none"/>
          <w:lang w:val="en-US" w:eastAsia="zh-CN" w:bidi="ar-SA"/>
        </w:rPr>
        <w:t>≥</w:t>
      </w:r>
      <w:r>
        <w:rPr>
          <w:rFonts w:hint="eastAsia" w:ascii="Times New Roman" w:hAnsi="Times New Roman" w:eastAsia="仿宋_GB2312" w:cs="Times New Roman"/>
          <w:kern w:val="2"/>
          <w:sz w:val="30"/>
          <w:szCs w:val="22"/>
          <w:highlight w:val="none"/>
          <w:lang w:val="en-US" w:eastAsia="zh-CN" w:bidi="ar-SA"/>
        </w:rPr>
        <w:t>95%,实际值为95%，目标已完成。</w:t>
      </w:r>
    </w:p>
    <w:p w14:paraId="41244E00">
      <w:pPr>
        <w:autoSpaceDE w:val="0"/>
        <w:autoSpaceDN w:val="0"/>
        <w:adjustRightInd w:val="0"/>
        <w:spacing w:line="560" w:lineRule="exact"/>
        <w:ind w:firstLine="640" w:firstLineChars="200"/>
        <w:jc w:val="left"/>
        <w:rPr>
          <w:rFonts w:hint="eastAsia"/>
          <w:lang w:val="en-US" w:eastAsia="zh-CN"/>
        </w:rPr>
      </w:pPr>
      <w:r>
        <w:rPr>
          <w:rFonts w:hint="eastAsia" w:ascii="黑体" w:hAnsi="Times New Roman" w:eastAsia="黑体" w:cs="黑体"/>
          <w:kern w:val="0"/>
          <w:sz w:val="32"/>
          <w:szCs w:val="32"/>
        </w:rPr>
        <w:t>三、部门整体支出绩效中存在问题及改进措施</w:t>
      </w:r>
    </w:p>
    <w:p w14:paraId="09CA87BC">
      <w:pPr>
        <w:ind w:firstLine="600" w:firstLineChars="200"/>
        <w:rPr>
          <w:rFonts w:eastAsia="仿宋_GB2312"/>
          <w:sz w:val="30"/>
        </w:rPr>
      </w:pPr>
      <w:r>
        <w:rPr>
          <w:rFonts w:hint="eastAsia" w:eastAsia="仿宋_GB2312"/>
          <w:sz w:val="30"/>
        </w:rPr>
        <w:t>（一）主要问题及原因分析</w:t>
      </w:r>
    </w:p>
    <w:p w14:paraId="55119C8E">
      <w:pPr>
        <w:ind w:firstLine="600" w:firstLineChars="200"/>
        <w:rPr>
          <w:rFonts w:eastAsia="仿宋_GB2312"/>
          <w:sz w:val="30"/>
        </w:rPr>
      </w:pPr>
      <w:r>
        <w:rPr>
          <w:rFonts w:hint="eastAsia" w:eastAsia="仿宋_GB2312"/>
          <w:sz w:val="30"/>
        </w:rPr>
        <w:t>在20</w:t>
      </w:r>
      <w:r>
        <w:rPr>
          <w:rFonts w:hint="eastAsia" w:eastAsia="仿宋_GB2312"/>
          <w:sz w:val="30"/>
          <w:lang w:val="en-US" w:eastAsia="zh-CN"/>
        </w:rPr>
        <w:t>24</w:t>
      </w:r>
      <w:r>
        <w:rPr>
          <w:rFonts w:hint="eastAsia" w:eastAsia="仿宋_GB2312"/>
          <w:sz w:val="30"/>
        </w:rPr>
        <w:t>年度的预算执行过程中，严格按照年初预算的资金使用方向支出，主要存在的问题：一是预算管理不够精细。在以后的工作中，将进一步细化资金收支预算，坚持厉行节约，保障财政资金安全、高效，让财政资金效益最大化。二是内部控制管理有待进一步加强。随着社会的发展，公安工作出现了许多新的复杂局面，工作任务越来越繁重，各项工作经费支出在不断增长，公安队伍业务能力水平还需不断加强。</w:t>
      </w:r>
    </w:p>
    <w:p w14:paraId="58D006AF">
      <w:pPr>
        <w:ind w:firstLine="600" w:firstLineChars="200"/>
        <w:rPr>
          <w:rFonts w:eastAsia="仿宋_GB2312"/>
          <w:sz w:val="30"/>
        </w:rPr>
      </w:pPr>
      <w:r>
        <w:rPr>
          <w:rFonts w:hint="eastAsia" w:eastAsia="仿宋_GB2312"/>
          <w:sz w:val="30"/>
        </w:rPr>
        <w:t>（二）改进的方向和具体措施</w:t>
      </w:r>
    </w:p>
    <w:p w14:paraId="566A672E">
      <w:pPr>
        <w:ind w:firstLine="600" w:firstLineChars="200"/>
        <w:rPr>
          <w:rFonts w:hint="eastAsia" w:eastAsia="仿宋_GB2312"/>
          <w:sz w:val="30"/>
        </w:rPr>
      </w:pPr>
      <w:r>
        <w:rPr>
          <w:rFonts w:hint="eastAsia" w:eastAsia="仿宋_GB2312"/>
          <w:sz w:val="30"/>
        </w:rPr>
        <w:t>今后我局将进一步强化落实预算绩效运行动态监控、继续建立和完善相关管理制度，最大限度地利用好公用经费，确保财政资金的最大化效益。具体为：一是加强项目资金管理力度，提高资金使用效率。二是继续完善我局绩效管理相关制度；三是继续灌输绩效管理理念宣传，为全面推进绩效管理工作创造良好的工作氛围；四是加强培训，使项目管理人员掌握绩效评价相关知识，以绩效目标管理为手段切实提高资金的使用效益。</w:t>
      </w:r>
    </w:p>
    <w:p w14:paraId="43DEA243">
      <w:pPr>
        <w:spacing w:line="560" w:lineRule="exact"/>
        <w:ind w:firstLine="640" w:firstLineChars="200"/>
        <w:rPr>
          <w:rFonts w:ascii="黑体" w:hAnsi="Times New Roman" w:eastAsia="黑体" w:cs="黑体"/>
          <w:kern w:val="0"/>
          <w:szCs w:val="32"/>
        </w:rPr>
      </w:pPr>
      <w:r>
        <w:rPr>
          <w:rFonts w:hint="eastAsia" w:ascii="黑体" w:hAnsi="Times New Roman" w:eastAsia="黑体" w:cs="黑体"/>
          <w:kern w:val="0"/>
          <w:sz w:val="32"/>
          <w:szCs w:val="32"/>
        </w:rPr>
        <w:t>四、绩效自评结果拟应用和公开情况</w:t>
      </w:r>
    </w:p>
    <w:p w14:paraId="587C1E75">
      <w:pPr>
        <w:ind w:firstLine="600" w:firstLineChars="200"/>
        <w:rPr>
          <w:rFonts w:hint="eastAsia" w:eastAsia="仿宋_GB2312"/>
          <w:sz w:val="30"/>
          <w:szCs w:val="22"/>
        </w:rPr>
      </w:pPr>
      <w:r>
        <w:rPr>
          <w:rFonts w:hint="eastAsia" w:eastAsia="仿宋_GB2312"/>
          <w:sz w:val="30"/>
        </w:rPr>
        <w:t>根据预算绩效管理要求，我局对20</w:t>
      </w:r>
      <w:r>
        <w:rPr>
          <w:rFonts w:hint="eastAsia" w:eastAsia="仿宋_GB2312"/>
          <w:sz w:val="30"/>
          <w:lang w:val="en-US" w:eastAsia="zh-CN"/>
        </w:rPr>
        <w:t>24</w:t>
      </w:r>
      <w:r>
        <w:rPr>
          <w:rFonts w:hint="eastAsia" w:eastAsia="仿宋_GB2312"/>
          <w:sz w:val="30"/>
        </w:rPr>
        <w:t>年度一般公共预算项目支出全面开展绩效自评，其中，一级项目</w:t>
      </w:r>
      <w:r>
        <w:rPr>
          <w:rFonts w:hint="eastAsia" w:eastAsia="仿宋_GB2312"/>
          <w:sz w:val="30"/>
          <w:lang w:val="en-US" w:eastAsia="zh-CN"/>
        </w:rPr>
        <w:t>9</w:t>
      </w:r>
      <w:r>
        <w:rPr>
          <w:rFonts w:hint="eastAsia" w:eastAsia="仿宋_GB2312"/>
          <w:sz w:val="30"/>
        </w:rPr>
        <w:t>个，共涉及资金</w:t>
      </w:r>
      <w:r>
        <w:rPr>
          <w:rFonts w:hint="eastAsia" w:eastAsia="仿宋_GB2312"/>
          <w:sz w:val="30"/>
          <w:szCs w:val="22"/>
          <w:highlight w:val="none"/>
          <w:lang w:val="en-US" w:eastAsia="zh-CN"/>
        </w:rPr>
        <w:t>3204.12万</w:t>
      </w:r>
      <w:r>
        <w:rPr>
          <w:rFonts w:hint="eastAsia" w:eastAsia="仿宋_GB2312"/>
          <w:sz w:val="30"/>
          <w:highlight w:val="none"/>
        </w:rPr>
        <w:t>元，占一般公共预算项目支出总额的</w:t>
      </w:r>
      <w:r>
        <w:rPr>
          <w:rFonts w:hint="eastAsia" w:eastAsia="仿宋_GB2312"/>
          <w:sz w:val="30"/>
          <w:highlight w:val="none"/>
          <w:lang w:val="en-US" w:eastAsia="zh-CN"/>
        </w:rPr>
        <w:t>101.36</w:t>
      </w:r>
      <w:r>
        <w:rPr>
          <w:rFonts w:hint="eastAsia" w:eastAsia="仿宋_GB2312"/>
          <w:sz w:val="30"/>
          <w:highlight w:val="none"/>
        </w:rPr>
        <w:t>%。分别</w:t>
      </w:r>
      <w:r>
        <w:rPr>
          <w:rFonts w:hint="eastAsia" w:eastAsia="仿宋_GB2312"/>
          <w:sz w:val="30"/>
        </w:rPr>
        <w:t>对“</w:t>
      </w:r>
      <w:r>
        <w:rPr>
          <w:rFonts w:hint="eastAsia" w:ascii="Times New Roman" w:hAnsi="Times New Roman" w:eastAsia="仿宋_GB2312" w:cs="Times New Roman"/>
          <w:sz w:val="30"/>
          <w:szCs w:val="22"/>
          <w:lang w:val="en-US" w:eastAsia="zh-CN"/>
        </w:rPr>
        <w:t>安义县公安局派出所工作经费 ”、“安义县公安局办公办案补充经费  ”、“安义县公安局2024年政法转移支付中央补助资金”等3个</w:t>
      </w:r>
      <w:r>
        <w:rPr>
          <w:rFonts w:hint="eastAsia" w:eastAsia="仿宋_GB2312"/>
          <w:sz w:val="30"/>
        </w:rPr>
        <w:t>项目进行了重点绩效评价，涉及一般公共预算支出</w:t>
      </w:r>
      <w:r>
        <w:rPr>
          <w:rFonts w:hint="eastAsia" w:eastAsia="仿宋_GB2312"/>
          <w:sz w:val="30"/>
          <w:lang w:val="en-US" w:eastAsia="zh-CN"/>
        </w:rPr>
        <w:t>2061.75</w:t>
      </w:r>
      <w:r>
        <w:rPr>
          <w:rFonts w:hint="eastAsia" w:eastAsia="仿宋_GB2312"/>
          <w:sz w:val="30"/>
        </w:rPr>
        <w:t>万元。从评价情况来看，“</w:t>
      </w:r>
      <w:r>
        <w:rPr>
          <w:rFonts w:hint="eastAsia" w:ascii="Times New Roman" w:hAnsi="Times New Roman" w:eastAsia="仿宋_GB2312" w:cs="Times New Roman"/>
          <w:sz w:val="30"/>
          <w:szCs w:val="22"/>
          <w:lang w:val="en-US" w:eastAsia="zh-CN"/>
        </w:rPr>
        <w:t>安义县公安局派出所工作经费 ”</w:t>
      </w:r>
      <w:r>
        <w:rPr>
          <w:rFonts w:hint="eastAsia" w:eastAsia="仿宋_GB2312"/>
          <w:sz w:val="30"/>
          <w:highlight w:val="none"/>
        </w:rPr>
        <w:t>项目绩效评价得分</w:t>
      </w:r>
      <w:r>
        <w:rPr>
          <w:rFonts w:hint="eastAsia" w:eastAsia="仿宋_GB2312"/>
          <w:sz w:val="30"/>
          <w:highlight w:val="none"/>
          <w:lang w:val="en-US" w:eastAsia="zh-CN"/>
        </w:rPr>
        <w:t>97分、</w:t>
      </w:r>
      <w:r>
        <w:rPr>
          <w:rFonts w:hint="eastAsia" w:ascii="Times New Roman" w:hAnsi="Times New Roman" w:eastAsia="仿宋_GB2312" w:cs="Times New Roman"/>
          <w:sz w:val="30"/>
          <w:szCs w:val="22"/>
          <w:lang w:val="en-US" w:eastAsia="zh-CN"/>
        </w:rPr>
        <w:t>“安义县公安局办公办案补充经费  ”</w:t>
      </w:r>
      <w:r>
        <w:rPr>
          <w:rFonts w:hint="eastAsia" w:eastAsia="仿宋_GB2312"/>
          <w:sz w:val="30"/>
          <w:highlight w:val="none"/>
        </w:rPr>
        <w:t>项目绩效评价得分</w:t>
      </w:r>
      <w:r>
        <w:rPr>
          <w:rFonts w:hint="eastAsia" w:eastAsia="仿宋_GB2312"/>
          <w:sz w:val="30"/>
          <w:highlight w:val="none"/>
          <w:lang w:val="en-US" w:eastAsia="zh-CN"/>
        </w:rPr>
        <w:t>90分、</w:t>
      </w:r>
      <w:r>
        <w:rPr>
          <w:rFonts w:hint="eastAsia" w:ascii="Times New Roman" w:hAnsi="Times New Roman" w:eastAsia="仿宋_GB2312" w:cs="Times New Roman"/>
          <w:sz w:val="30"/>
          <w:szCs w:val="22"/>
          <w:lang w:val="en-US" w:eastAsia="zh-CN"/>
        </w:rPr>
        <w:t>“安义县公安局2024年政法转移支付中央补助资金”</w:t>
      </w:r>
      <w:r>
        <w:rPr>
          <w:rFonts w:hint="eastAsia" w:eastAsia="仿宋_GB2312"/>
          <w:sz w:val="30"/>
          <w:highlight w:val="none"/>
        </w:rPr>
        <w:t>项目绩效评价得分</w:t>
      </w:r>
      <w:r>
        <w:rPr>
          <w:rFonts w:hint="eastAsia" w:eastAsia="仿宋_GB2312"/>
          <w:sz w:val="30"/>
          <w:highlight w:val="none"/>
          <w:lang w:val="en-US" w:eastAsia="zh-CN"/>
        </w:rPr>
        <w:t>95分、</w:t>
      </w:r>
      <w:r>
        <w:rPr>
          <w:rFonts w:hint="eastAsia" w:eastAsia="仿宋_GB2312"/>
          <w:sz w:val="30"/>
        </w:rPr>
        <w:t>通过自评，</w:t>
      </w:r>
      <w:r>
        <w:rPr>
          <w:rFonts w:hint="eastAsia" w:eastAsia="仿宋_GB2312"/>
          <w:sz w:val="30"/>
          <w:highlight w:val="none"/>
        </w:rPr>
        <w:t>达到了预期的效果，产生了可持续的效果，更好</w:t>
      </w:r>
      <w:r>
        <w:rPr>
          <w:rFonts w:hint="eastAsia" w:eastAsia="仿宋_GB2312"/>
          <w:sz w:val="30"/>
          <w:highlight w:val="none"/>
          <w:lang w:eastAsia="zh-CN"/>
        </w:rPr>
        <w:t>地</w:t>
      </w:r>
      <w:r>
        <w:rPr>
          <w:rFonts w:hint="eastAsia" w:eastAsia="仿宋_GB2312"/>
          <w:sz w:val="30"/>
          <w:highlight w:val="none"/>
        </w:rPr>
        <w:t>为民排忧解难；通过绩效评价，发现</w:t>
      </w:r>
      <w:r>
        <w:rPr>
          <w:rFonts w:hint="eastAsia" w:eastAsia="仿宋_GB2312"/>
          <w:sz w:val="30"/>
          <w:highlight w:val="none"/>
          <w:lang w:val="en-US" w:eastAsia="zh-CN"/>
        </w:rPr>
        <w:t>办公办案经费资金的使</w:t>
      </w:r>
      <w:r>
        <w:rPr>
          <w:rFonts w:hint="eastAsia" w:eastAsia="仿宋_GB2312"/>
          <w:sz w:val="30"/>
          <w:szCs w:val="22"/>
          <w:lang w:val="en-US" w:eastAsia="zh-CN"/>
        </w:rPr>
        <w:t>用效果在办案破案上体现出两点：一是</w:t>
      </w:r>
      <w:r>
        <w:rPr>
          <w:rFonts w:hint="eastAsia" w:eastAsia="仿宋_GB2312"/>
          <w:sz w:val="30"/>
          <w:szCs w:val="22"/>
        </w:rPr>
        <w:t>有</w:t>
      </w:r>
      <w:r>
        <w:rPr>
          <w:rFonts w:hint="eastAsia" w:eastAsia="仿宋_GB2312"/>
          <w:sz w:val="30"/>
          <w:szCs w:val="22"/>
          <w:lang w:val="en-US" w:eastAsia="zh-CN"/>
        </w:rPr>
        <w:t>效</w:t>
      </w:r>
      <w:r>
        <w:rPr>
          <w:rFonts w:hint="eastAsia" w:eastAsia="仿宋_GB2312"/>
          <w:sz w:val="30"/>
          <w:szCs w:val="22"/>
        </w:rPr>
        <w:t>保障了民警办案支出，提高</w:t>
      </w:r>
      <w:r>
        <w:rPr>
          <w:rFonts w:hint="eastAsia" w:eastAsia="仿宋_GB2312"/>
          <w:sz w:val="30"/>
          <w:szCs w:val="22"/>
          <w:lang w:val="en-US" w:eastAsia="zh-CN"/>
        </w:rPr>
        <w:t>了民警</w:t>
      </w:r>
      <w:r>
        <w:rPr>
          <w:rFonts w:hint="eastAsia" w:eastAsia="仿宋_GB2312"/>
          <w:sz w:val="30"/>
          <w:szCs w:val="22"/>
        </w:rPr>
        <w:t>的办案效率。我局主动进攻、打防结合，维护稳定、促进和谐，应急处突能力显著提升，有力打击了违法犯罪行为，有效维护了全县政治、社会持续稳定。二是加强了业务技术装备建设，用科技强警的理念提高破案率</w:t>
      </w:r>
      <w:r>
        <w:rPr>
          <w:rFonts w:hint="eastAsia" w:eastAsia="仿宋_GB2312"/>
          <w:sz w:val="30"/>
          <w:szCs w:val="22"/>
          <w:lang w:eastAsia="zh-CN"/>
        </w:rPr>
        <w:t>、</w:t>
      </w:r>
      <w:r>
        <w:rPr>
          <w:rFonts w:hint="eastAsia" w:eastAsia="仿宋_GB2312"/>
          <w:sz w:val="30"/>
          <w:szCs w:val="22"/>
        </w:rPr>
        <w:t>提升了办案水平</w:t>
      </w:r>
      <w:r>
        <w:rPr>
          <w:rFonts w:hint="eastAsia" w:eastAsia="仿宋_GB2312"/>
          <w:sz w:val="30"/>
          <w:szCs w:val="22"/>
          <w:lang w:eastAsia="zh-CN"/>
        </w:rPr>
        <w:t>；</w:t>
      </w:r>
      <w:r>
        <w:rPr>
          <w:rFonts w:hint="eastAsia" w:eastAsia="仿宋_GB2312"/>
          <w:sz w:val="30"/>
          <w:szCs w:val="22"/>
        </w:rPr>
        <w:t>中央政法转移支付项目资金为树立安义“智慧公安”品牌提供了有力保障 ，为打击各类犯罪活动提供了必要的支撑，使我局的装备水平和队伍建设得到明显改善。</w:t>
      </w:r>
    </w:p>
    <w:p w14:paraId="25DF0787">
      <w:pPr>
        <w:ind w:firstLine="600" w:firstLineChars="200"/>
        <w:rPr>
          <w:rFonts w:hint="eastAsia" w:eastAsia="仿宋_GB2312"/>
          <w:sz w:val="30"/>
          <w:szCs w:val="22"/>
        </w:rPr>
      </w:pPr>
      <w:r>
        <w:rPr>
          <w:rFonts w:hint="eastAsia" w:eastAsia="仿宋_GB2312"/>
          <w:sz w:val="30"/>
          <w:szCs w:val="22"/>
          <w:lang w:val="en-US" w:eastAsia="zh-CN"/>
        </w:rPr>
        <w:t>除“</w:t>
      </w:r>
      <w:r>
        <w:rPr>
          <w:rFonts w:hint="eastAsia" w:ascii="Times New Roman" w:hAnsi="Times New Roman" w:eastAsia="仿宋_GB2312" w:cs="Times New Roman"/>
          <w:sz w:val="30"/>
          <w:szCs w:val="22"/>
          <w:lang w:val="en-US" w:eastAsia="zh-CN"/>
        </w:rPr>
        <w:t>2024年政法转移支付中央补助资金”</w:t>
      </w:r>
      <w:r>
        <w:rPr>
          <w:rFonts w:hint="eastAsia" w:eastAsia="仿宋_GB2312"/>
          <w:sz w:val="30"/>
          <w:szCs w:val="22"/>
          <w:lang w:val="en-US" w:eastAsia="zh-CN"/>
        </w:rPr>
        <w:t>项目绩效评价涉密外，</w:t>
      </w:r>
      <w:r>
        <w:rPr>
          <w:rFonts w:hint="eastAsia" w:eastAsia="仿宋_GB2312"/>
          <w:sz w:val="30"/>
          <w:szCs w:val="22"/>
        </w:rPr>
        <w:t>我们对</w:t>
      </w:r>
      <w:r>
        <w:rPr>
          <w:rFonts w:hint="eastAsia" w:eastAsia="仿宋_GB2312"/>
          <w:sz w:val="30"/>
          <w:szCs w:val="22"/>
          <w:lang w:val="en-US" w:eastAsia="zh-CN"/>
        </w:rPr>
        <w:t>另2个不涉密项目的绩效评价</w:t>
      </w:r>
      <w:r>
        <w:rPr>
          <w:rFonts w:hint="eastAsia" w:eastAsia="仿宋_GB2312"/>
          <w:sz w:val="30"/>
          <w:szCs w:val="22"/>
        </w:rPr>
        <w:t>进行了网上公开。</w:t>
      </w:r>
    </w:p>
    <w:p w14:paraId="54273861">
      <w:pPr>
        <w:jc w:val="both"/>
        <w:rPr>
          <w:rFonts w:eastAsia="仿宋_GB2312"/>
          <w:sz w:val="30"/>
        </w:rPr>
      </w:pPr>
    </w:p>
    <w:p w14:paraId="460961E5">
      <w:pPr>
        <w:pStyle w:val="2"/>
        <w:rPr>
          <w:rFonts w:eastAsia="仿宋_GB2312"/>
          <w:sz w:val="30"/>
        </w:rPr>
      </w:pPr>
    </w:p>
    <w:p w14:paraId="66902332"/>
    <w:p w14:paraId="54D0F0DB">
      <w:pPr>
        <w:jc w:val="right"/>
        <w:rPr>
          <w:rFonts w:eastAsia="仿宋_GB2312"/>
          <w:sz w:val="30"/>
        </w:rPr>
      </w:pPr>
      <w:r>
        <w:rPr>
          <w:rFonts w:hint="eastAsia" w:eastAsia="仿宋_GB2312"/>
          <w:sz w:val="30"/>
        </w:rPr>
        <w:t>安义县公安局</w:t>
      </w:r>
    </w:p>
    <w:p w14:paraId="60D1FECD">
      <w:pPr>
        <w:jc w:val="right"/>
      </w:pPr>
      <w:r>
        <w:rPr>
          <w:rFonts w:hint="eastAsia" w:eastAsia="仿宋_GB2312"/>
          <w:sz w:val="30"/>
        </w:rPr>
        <w:t>202</w:t>
      </w:r>
      <w:r>
        <w:rPr>
          <w:rFonts w:hint="eastAsia" w:eastAsia="仿宋_GB2312"/>
          <w:sz w:val="30"/>
          <w:lang w:val="en-US" w:eastAsia="zh-CN"/>
        </w:rPr>
        <w:t>5</w:t>
      </w:r>
      <w:r>
        <w:rPr>
          <w:rFonts w:hint="eastAsia" w:eastAsia="仿宋_GB2312"/>
          <w:sz w:val="30"/>
        </w:rPr>
        <w:t>年</w:t>
      </w:r>
      <w:r>
        <w:rPr>
          <w:rFonts w:hint="eastAsia" w:eastAsia="仿宋_GB2312"/>
          <w:sz w:val="30"/>
          <w:lang w:val="en-US" w:eastAsia="zh-CN"/>
        </w:rPr>
        <w:t>4</w:t>
      </w:r>
      <w:r>
        <w:rPr>
          <w:rFonts w:hint="eastAsia" w:eastAsia="仿宋_GB2312"/>
          <w:sz w:val="30"/>
        </w:rPr>
        <w:t>月</w:t>
      </w:r>
      <w:r>
        <w:rPr>
          <w:rFonts w:hint="eastAsia" w:eastAsia="仿宋_GB2312"/>
          <w:sz w:val="30"/>
          <w:lang w:val="en-US" w:eastAsia="zh-CN"/>
        </w:rPr>
        <w:t>15</w:t>
      </w:r>
      <w:r>
        <w:rPr>
          <w:rFonts w:hint="eastAsia" w:eastAsia="仿宋_GB2312"/>
          <w:sz w:val="30"/>
        </w:rPr>
        <w:t>日</w:t>
      </w:r>
    </w:p>
    <w:sectPr>
      <w:footerReference r:id="rId3" w:type="default"/>
      <w:pgSz w:w="11906" w:h="16838"/>
      <w:pgMar w:top="1213" w:right="1800" w:bottom="1213"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05533"/>
      <w:docPartObj>
        <w:docPartGallery w:val="autotext"/>
      </w:docPartObj>
    </w:sdtPr>
    <w:sdtContent>
      <w:p w14:paraId="76E328CF">
        <w:pPr>
          <w:pStyle w:val="4"/>
          <w:jc w:val="center"/>
        </w:pPr>
        <w:r>
          <w:fldChar w:fldCharType="begin"/>
        </w:r>
        <w:r>
          <w:instrText xml:space="preserve"> PAGE   \* MERGEFORMAT </w:instrText>
        </w:r>
        <w:r>
          <w:fldChar w:fldCharType="separate"/>
        </w:r>
        <w:r>
          <w:rPr>
            <w:lang w:val="zh-CN"/>
          </w:rPr>
          <w:t>8</w:t>
        </w:r>
        <w:r>
          <w:rPr>
            <w:lang w:val="zh-CN"/>
          </w:rPr>
          <w:fldChar w:fldCharType="end"/>
        </w:r>
      </w:p>
    </w:sdtContent>
  </w:sdt>
  <w:p w14:paraId="7E04E7D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ZDY3MTNjZTM2YmRiN2Y0YmYzOTZmMTJkMTIxNzkifQ=="/>
  </w:docVars>
  <w:rsids>
    <w:rsidRoot w:val="1EE74E7C"/>
    <w:rsid w:val="047D4565"/>
    <w:rsid w:val="0EAE67CB"/>
    <w:rsid w:val="1897721B"/>
    <w:rsid w:val="1B3B3627"/>
    <w:rsid w:val="1BC31011"/>
    <w:rsid w:val="1EE74E7C"/>
    <w:rsid w:val="20213BEF"/>
    <w:rsid w:val="281970F6"/>
    <w:rsid w:val="2A314B66"/>
    <w:rsid w:val="2AED4E35"/>
    <w:rsid w:val="2BC009A7"/>
    <w:rsid w:val="2BC53428"/>
    <w:rsid w:val="3A940671"/>
    <w:rsid w:val="3C927839"/>
    <w:rsid w:val="45181EE5"/>
    <w:rsid w:val="4EAC2CA3"/>
    <w:rsid w:val="50296BAC"/>
    <w:rsid w:val="69C44EC8"/>
    <w:rsid w:val="6CC61652"/>
    <w:rsid w:val="6EC95C51"/>
    <w:rsid w:val="708D1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next w:val="1"/>
    <w:qFormat/>
    <w:uiPriority w:val="0"/>
    <w:rPr>
      <w:rFonts w:ascii="仿宋_GB2312" w:eastAsia="仿宋_GB2312" w:cs="仿宋_GB2312"/>
      <w:sz w:val="32"/>
      <w:szCs w:val="32"/>
      <w:lang w:val="zh-CN" w:eastAsia="zh-CN" w:bidi="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customStyle="1" w:styleId="9">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5561</Words>
  <Characters>5887</Characters>
  <Lines>0</Lines>
  <Paragraphs>0</Paragraphs>
  <TotalTime>3</TotalTime>
  <ScaleCrop>false</ScaleCrop>
  <LinksUpToDate>false</LinksUpToDate>
  <CharactersWithSpaces>5897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2024-04-26T08:46:00Z</dcterms:created>
  <dc:creator>Administrator</dc:creator>
  <cp:lastModifiedBy>Administrator</cp:lastModifiedBy>
  <dcterms:modified xsi:type="dcterms:W3CDTF">2025-05-14T08:51:37Z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8E1661BC63FF4DF89C7AC33E68160804_13</vt:lpwstr>
  </property>
  <property fmtid="{D5CDD505-2E9C-101B-9397-08002B2CF9AE}" pid="4" name="KSOTemplateDocerSaveRecord">
    <vt:lpwstr>eyJoZGlkIjoiMTdiYWYwOThlN2ZkZDc4NGI3MzQ2NzdiNTI3ZGUzNWEifQ==</vt:lpwstr>
  </property>
</Properties>
</file>