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Lines="0" w:afterLines="0" w:line="560" w:lineRule="exact"/>
        <w:jc w:val="left"/>
        <w:rPr>
          <w:rFonts w:hint="eastAsia" w:ascii="黑体" w:hAnsi="Times New Roman" w:eastAsia="黑体"/>
          <w:kern w:val="0"/>
          <w:sz w:val="21"/>
        </w:rPr>
      </w:pPr>
      <w:r>
        <w:rPr>
          <w:rFonts w:hint="eastAsia" w:ascii="黑体" w:hAnsi="Times New Roman" w:eastAsia="黑体"/>
          <w:kern w:val="0"/>
          <w:sz w:val="32"/>
        </w:rPr>
        <w:t>附件2-1：</w:t>
      </w:r>
    </w:p>
    <w:p>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r>
        <w:rPr>
          <w:rFonts w:hint="eastAsia" w:ascii="方正小标宋简体" w:hAnsi="方正小标宋简体" w:eastAsia="方正小标宋简体"/>
          <w:kern w:val="0"/>
          <w:sz w:val="32"/>
        </w:rPr>
        <w:t>项目支出部门评价报告</w:t>
      </w:r>
    </w:p>
    <w:p>
      <w:pPr>
        <w:autoSpaceDE w:val="0"/>
        <w:autoSpaceDN w:val="0"/>
        <w:adjustRightInd w:val="0"/>
        <w:spacing w:beforeLines="0" w:afterLines="0" w:line="560" w:lineRule="exact"/>
        <w:jc w:val="center"/>
        <w:rPr>
          <w:rFonts w:hint="eastAsia" w:ascii="黑体" w:hAnsi="宋体" w:eastAsia="黑体"/>
          <w:kern w:val="0"/>
          <w:sz w:val="21"/>
        </w:rPr>
      </w:pPr>
      <w:r>
        <w:rPr>
          <w:rFonts w:hint="eastAsia" w:ascii="楷体_GB2312" w:hAnsi="楷体_GB2312" w:eastAsia="楷体_GB2312"/>
          <w:kern w:val="0"/>
          <w:sz w:val="32"/>
        </w:rPr>
        <w:t xml:space="preserve">（ </w:t>
      </w:r>
      <w:r>
        <w:rPr>
          <w:rFonts w:hint="eastAsia" w:ascii="楷体_GB2312" w:hAnsi="楷体_GB2312" w:eastAsia="楷体_GB2312"/>
          <w:kern w:val="0"/>
          <w:sz w:val="32"/>
          <w:lang w:val="en-US" w:eastAsia="zh-CN"/>
        </w:rPr>
        <w:t>2023</w:t>
      </w:r>
      <w:r>
        <w:rPr>
          <w:rFonts w:hint="eastAsia" w:ascii="楷体_GB2312" w:hAnsi="楷体_GB2312" w:eastAsia="楷体_GB2312"/>
          <w:kern w:val="0"/>
          <w:sz w:val="32"/>
        </w:rPr>
        <w:t xml:space="preserve"> 年度）</w:t>
      </w:r>
    </w:p>
    <w:p>
      <w:pPr>
        <w:spacing w:line="56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一、基本情况</w:t>
      </w:r>
    </w:p>
    <w:p>
      <w:pPr>
        <w:spacing w:line="560" w:lineRule="exact"/>
        <w:ind w:firstLine="475" w:firstLineChars="148"/>
        <w:outlineLvl w:val="0"/>
        <w:rPr>
          <w:rFonts w:ascii="楷体" w:hAnsi="楷体" w:eastAsia="楷体" w:cs="楷体"/>
          <w:b/>
          <w:sz w:val="32"/>
          <w:szCs w:val="32"/>
          <w:highlight w:val="none"/>
        </w:rPr>
      </w:pPr>
      <w:r>
        <w:rPr>
          <w:rFonts w:hint="eastAsia" w:ascii="楷体" w:hAnsi="楷体" w:eastAsia="楷体" w:cs="楷体"/>
          <w:b/>
          <w:sz w:val="32"/>
          <w:szCs w:val="32"/>
          <w:highlight w:val="none"/>
        </w:rPr>
        <w:t>（一）项目概况。</w:t>
      </w:r>
    </w:p>
    <w:p>
      <w:pPr>
        <w:spacing w:line="560" w:lineRule="exact"/>
        <w:ind w:firstLine="643" w:firstLineChars="200"/>
        <w:outlineLvl w:val="0"/>
        <w:rPr>
          <w:rFonts w:ascii="仿宋_GB2312" w:eastAsia="仿宋_GB2312"/>
          <w:b/>
          <w:sz w:val="32"/>
          <w:szCs w:val="32"/>
          <w:highlight w:val="none"/>
        </w:rPr>
      </w:pPr>
      <w:r>
        <w:rPr>
          <w:rFonts w:hint="eastAsia" w:ascii="仿宋_GB2312"/>
          <w:b/>
          <w:sz w:val="32"/>
          <w:szCs w:val="32"/>
          <w:highlight w:val="none"/>
        </w:rPr>
        <w:t>1.项目背景和目的。</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lang w:val="en-US" w:eastAsia="zh-CN"/>
        </w:rPr>
        <w:t>农村公路安防工程建设、全县汛期水毁公路的修复及对县内危桥进行升级改造</w:t>
      </w:r>
      <w:r>
        <w:rPr>
          <w:rFonts w:hint="eastAsia" w:ascii="仿宋_GB2312"/>
          <w:sz w:val="32"/>
          <w:szCs w:val="32"/>
          <w:highlight w:val="none"/>
        </w:rPr>
        <w:t>。</w:t>
      </w:r>
    </w:p>
    <w:p>
      <w:pPr>
        <w:spacing w:line="560" w:lineRule="exact"/>
        <w:ind w:firstLine="643" w:firstLineChars="200"/>
        <w:outlineLvl w:val="0"/>
        <w:rPr>
          <w:rFonts w:ascii="仿宋_GB2312" w:eastAsia="仿宋_GB2312"/>
          <w:b/>
          <w:sz w:val="32"/>
          <w:szCs w:val="32"/>
          <w:highlight w:val="none"/>
        </w:rPr>
      </w:pPr>
      <w:r>
        <w:rPr>
          <w:rFonts w:hint="eastAsia" w:ascii="仿宋_GB2312"/>
          <w:b/>
          <w:sz w:val="32"/>
          <w:szCs w:val="32"/>
          <w:highlight w:val="none"/>
        </w:rPr>
        <w:t>2.项目主要内容及实施情况。</w:t>
      </w:r>
    </w:p>
    <w:p>
      <w:pPr>
        <w:spacing w:line="560" w:lineRule="exact"/>
        <w:ind w:firstLine="640" w:firstLineChars="200"/>
        <w:outlineLvl w:val="0"/>
        <w:rPr>
          <w:rFonts w:hint="default" w:ascii="仿宋_GB2312" w:eastAsia="宋体"/>
          <w:highlight w:val="none"/>
          <w:lang w:val="en-US" w:eastAsia="zh-CN"/>
        </w:rPr>
      </w:pPr>
      <w:r>
        <w:rPr>
          <w:rFonts w:hint="eastAsia" w:ascii="仿宋_GB2312"/>
          <w:sz w:val="32"/>
          <w:szCs w:val="32"/>
          <w:highlight w:val="none"/>
        </w:rPr>
        <w:t>对</w:t>
      </w:r>
      <w:r>
        <w:rPr>
          <w:rFonts w:hint="eastAsia" w:ascii="仿宋_GB2312"/>
          <w:sz w:val="32"/>
          <w:szCs w:val="32"/>
          <w:highlight w:val="none"/>
          <w:lang w:val="en-US" w:eastAsia="zh-CN"/>
        </w:rPr>
        <w:t>23年的申报立项的农村公路安防工程、水毁及危桥改造组织实施开工建设。</w:t>
      </w:r>
    </w:p>
    <w:p>
      <w:pPr>
        <w:spacing w:line="560" w:lineRule="exact"/>
        <w:ind w:firstLine="643" w:firstLineChars="200"/>
        <w:outlineLvl w:val="0"/>
        <w:rPr>
          <w:rFonts w:ascii="仿宋_GB2312" w:eastAsia="仿宋_GB2312"/>
          <w:b/>
          <w:sz w:val="32"/>
          <w:szCs w:val="32"/>
          <w:highlight w:val="none"/>
        </w:rPr>
      </w:pPr>
      <w:r>
        <w:rPr>
          <w:rFonts w:hint="eastAsia" w:ascii="仿宋_GB2312"/>
          <w:b/>
          <w:sz w:val="32"/>
          <w:szCs w:val="32"/>
          <w:highlight w:val="none"/>
        </w:rPr>
        <w:t>3.项目资金投入和使用情况。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（1）项目预算安排。</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lang w:val="en-US" w:eastAsia="zh-CN"/>
        </w:rPr>
        <w:t>2023</w:t>
      </w:r>
      <w:r>
        <w:rPr>
          <w:rFonts w:hint="eastAsia" w:ascii="仿宋_GB2312"/>
          <w:sz w:val="32"/>
          <w:szCs w:val="32"/>
          <w:highlight w:val="none"/>
        </w:rPr>
        <w:t>年度</w:t>
      </w:r>
      <w:r>
        <w:rPr>
          <w:rFonts w:hint="eastAsia" w:ascii="仿宋_GB2312"/>
          <w:sz w:val="32"/>
          <w:szCs w:val="32"/>
          <w:highlight w:val="none"/>
          <w:lang w:val="en-US" w:eastAsia="zh-CN"/>
        </w:rPr>
        <w:t>下达</w:t>
      </w:r>
      <w:r>
        <w:rPr>
          <w:rFonts w:hint="eastAsia" w:ascii="仿宋_GB2312"/>
          <w:sz w:val="32"/>
          <w:szCs w:val="32"/>
          <w:highlight w:val="none"/>
        </w:rPr>
        <w:t>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专项资金财政预算为</w:t>
      </w:r>
      <w:r>
        <w:rPr>
          <w:rFonts w:hint="eastAsia" w:ascii="仿宋_GB2312"/>
          <w:sz w:val="32"/>
          <w:szCs w:val="32"/>
          <w:highlight w:val="none"/>
          <w:lang w:val="en-US" w:eastAsia="zh-CN"/>
        </w:rPr>
        <w:t>2283.5</w:t>
      </w:r>
      <w:r>
        <w:rPr>
          <w:rFonts w:hint="eastAsia" w:ascii="仿宋_GB2312"/>
          <w:sz w:val="32"/>
          <w:szCs w:val="32"/>
          <w:highlight w:val="none"/>
        </w:rPr>
        <w:t>万元。</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（2）项目资金实际到位情况。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县财政按时下拨</w:t>
      </w:r>
      <w:r>
        <w:rPr>
          <w:rFonts w:hint="eastAsia" w:ascii="仿宋_GB2312"/>
          <w:sz w:val="32"/>
          <w:szCs w:val="32"/>
          <w:highlight w:val="none"/>
          <w:lang w:val="en-US" w:eastAsia="zh-CN"/>
        </w:rPr>
        <w:t>2023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w:t>
      </w:r>
      <w:r>
        <w:rPr>
          <w:rFonts w:hint="eastAsia" w:ascii="仿宋_GB2312"/>
          <w:sz w:val="32"/>
          <w:szCs w:val="32"/>
          <w:highlight w:val="none"/>
          <w:lang w:val="en-US" w:eastAsia="zh-CN"/>
        </w:rPr>
        <w:t>2283.5</w:t>
      </w:r>
      <w:r>
        <w:rPr>
          <w:rFonts w:hint="eastAsia" w:ascii="仿宋_GB2312"/>
          <w:sz w:val="32"/>
          <w:szCs w:val="32"/>
          <w:highlight w:val="none"/>
        </w:rPr>
        <w:t>万元，项目资金到位率为</w:t>
      </w:r>
      <w:r>
        <w:rPr>
          <w:rFonts w:hint="eastAsia" w:ascii="仿宋_GB2312"/>
          <w:sz w:val="32"/>
          <w:szCs w:val="32"/>
          <w:highlight w:val="none"/>
          <w:lang w:val="en-US" w:eastAsia="zh-CN"/>
        </w:rPr>
        <w:t>100</w:t>
      </w:r>
      <w:r>
        <w:rPr>
          <w:rFonts w:hint="eastAsia" w:ascii="仿宋_GB2312"/>
          <w:sz w:val="32"/>
          <w:szCs w:val="32"/>
          <w:highlight w:val="none"/>
        </w:rPr>
        <w:t>%</w:t>
      </w:r>
      <w:r>
        <w:rPr>
          <w:rFonts w:hint="eastAsia" w:ascii="仿宋_GB2312"/>
          <w:sz w:val="32"/>
          <w:szCs w:val="32"/>
          <w:highlight w:val="none"/>
          <w:lang w:eastAsia="zh-CN"/>
        </w:rPr>
        <w:t>，</w:t>
      </w:r>
      <w:r>
        <w:rPr>
          <w:rFonts w:hint="eastAsia" w:ascii="仿宋_GB2312"/>
          <w:sz w:val="32"/>
          <w:szCs w:val="32"/>
          <w:highlight w:val="none"/>
        </w:rPr>
        <w:t>。</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（3）项目资金实际支出情况。</w:t>
      </w:r>
    </w:p>
    <w:p>
      <w:pPr>
        <w:spacing w:line="560" w:lineRule="exact"/>
        <w:ind w:firstLine="640" w:firstLineChars="200"/>
        <w:outlineLvl w:val="0"/>
        <w:rPr>
          <w:rFonts w:hint="eastAsia" w:ascii="仿宋_GB2312" w:eastAsia="宋体"/>
          <w:sz w:val="32"/>
          <w:szCs w:val="32"/>
          <w:highlight w:val="none"/>
          <w:lang w:val="en-US" w:eastAsia="zh-CN"/>
        </w:rPr>
      </w:pPr>
      <w:r>
        <w:rPr>
          <w:rFonts w:hint="eastAsia" w:ascii="仿宋_GB2312"/>
          <w:sz w:val="32"/>
          <w:szCs w:val="32"/>
          <w:highlight w:val="none"/>
        </w:rPr>
        <w:t>截至</w:t>
      </w:r>
      <w:r>
        <w:rPr>
          <w:rFonts w:hint="eastAsia" w:ascii="仿宋_GB2312"/>
          <w:sz w:val="32"/>
          <w:szCs w:val="32"/>
          <w:highlight w:val="none"/>
          <w:lang w:val="en-US" w:eastAsia="zh-CN"/>
        </w:rPr>
        <w:t>2023</w:t>
      </w:r>
      <w:r>
        <w:rPr>
          <w:rFonts w:hint="eastAsia" w:ascii="仿宋_GB2312"/>
          <w:sz w:val="32"/>
          <w:szCs w:val="32"/>
          <w:highlight w:val="none"/>
        </w:rPr>
        <w:t>年12月31日，车购税补助地方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专项资金实际支出</w:t>
      </w:r>
      <w:r>
        <w:rPr>
          <w:rFonts w:hint="eastAsia" w:ascii="仿宋_GB2312"/>
          <w:sz w:val="32"/>
          <w:szCs w:val="32"/>
          <w:highlight w:val="none"/>
          <w:lang w:val="en-US" w:eastAsia="zh-CN"/>
        </w:rPr>
        <w:t>2247.5</w:t>
      </w:r>
      <w:r>
        <w:rPr>
          <w:rFonts w:hint="eastAsia" w:ascii="仿宋_GB2312"/>
          <w:sz w:val="32"/>
          <w:szCs w:val="32"/>
          <w:highlight w:val="none"/>
        </w:rPr>
        <w:t>万元</w:t>
      </w:r>
      <w:r>
        <w:rPr>
          <w:rFonts w:hint="eastAsia" w:ascii="仿宋_GB2312"/>
          <w:sz w:val="32"/>
          <w:szCs w:val="32"/>
          <w:highlight w:val="none"/>
          <w:lang w:val="en-US" w:eastAsia="zh-CN"/>
        </w:rPr>
        <w:t>,</w:t>
      </w:r>
      <w:r>
        <w:rPr>
          <w:rFonts w:hint="eastAsia" w:ascii="仿宋_GB2312"/>
          <w:sz w:val="32"/>
          <w:szCs w:val="32"/>
          <w:highlight w:val="none"/>
        </w:rPr>
        <w:t>项目资金到</w:t>
      </w:r>
      <w:r>
        <w:rPr>
          <w:rFonts w:hint="eastAsia" w:ascii="仿宋_GB2312"/>
          <w:sz w:val="32"/>
          <w:szCs w:val="32"/>
          <w:highlight w:val="none"/>
          <w:lang w:eastAsia="zh-CN"/>
        </w:rPr>
        <w:t>执行率为</w:t>
      </w:r>
      <w:r>
        <w:rPr>
          <w:rFonts w:hint="eastAsia" w:ascii="仿宋_GB2312"/>
          <w:sz w:val="32"/>
          <w:szCs w:val="32"/>
          <w:highlight w:val="none"/>
          <w:lang w:val="en-US" w:eastAsia="zh-CN"/>
        </w:rPr>
        <w:t>98.42</w:t>
      </w:r>
      <w:r>
        <w:rPr>
          <w:rFonts w:hint="eastAsia" w:ascii="仿宋_GB2312"/>
          <w:sz w:val="32"/>
          <w:szCs w:val="32"/>
          <w:highlight w:val="none"/>
        </w:rPr>
        <w:t>%</w:t>
      </w:r>
      <w:r>
        <w:rPr>
          <w:rFonts w:hint="eastAsia" w:ascii="仿宋_GB2312"/>
          <w:sz w:val="32"/>
          <w:szCs w:val="32"/>
          <w:highlight w:val="none"/>
          <w:lang w:val="en-US" w:eastAsia="zh-CN"/>
        </w:rPr>
        <w:t>.</w:t>
      </w:r>
    </w:p>
    <w:p>
      <w:pPr>
        <w:numPr>
          <w:ilvl w:val="0"/>
          <w:numId w:val="1"/>
        </w:numPr>
        <w:spacing w:line="560" w:lineRule="exact"/>
        <w:ind w:firstLine="475" w:firstLineChars="148"/>
        <w:outlineLvl w:val="0"/>
        <w:rPr>
          <w:rFonts w:hint="eastAsia" w:ascii="楷体" w:hAnsi="楷体" w:eastAsia="楷体" w:cs="楷体"/>
          <w:b/>
          <w:sz w:val="32"/>
          <w:szCs w:val="32"/>
          <w:highlight w:val="none"/>
        </w:rPr>
      </w:pPr>
      <w:r>
        <w:rPr>
          <w:rFonts w:hint="eastAsia" w:ascii="楷体" w:hAnsi="楷体" w:eastAsia="楷体" w:cs="楷体"/>
          <w:b/>
          <w:sz w:val="32"/>
          <w:szCs w:val="32"/>
          <w:highlight w:val="none"/>
        </w:rPr>
        <w:t>项目绩效目标。</w:t>
      </w:r>
    </w:p>
    <w:p>
      <w:pPr>
        <w:spacing w:line="560" w:lineRule="exact"/>
        <w:ind w:firstLine="640" w:firstLineChars="200"/>
        <w:outlineLvl w:val="0"/>
      </w:pPr>
      <w:r>
        <w:rPr>
          <w:rFonts w:hint="eastAsia" w:ascii="仿宋_GB2312"/>
          <w:sz w:val="32"/>
          <w:szCs w:val="32"/>
          <w:highlight w:val="none"/>
        </w:rPr>
        <w:t>在县委、县政府的正确领导和强力推动下，以扩大有效投资为目标，主动作为，精准发力，抓龙头、补链条、聚集群，在全县深入实施“一核两重”产业发展战略和“强攻产业、决战工业”决策部署，以构建开放型经济新体制综合试验为契机，全力推进交通强省的总体目标。</w:t>
      </w:r>
    </w:p>
    <w:p>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二、绩效评价工作开展情况</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（一）绩效评价目的、对象和范围。</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财政支出绩效评价是从深化部门预算改革和加强预算绩效管理的实际需要出发，通过科学合理的方法，客观公正地评价财政资金使用的规范性、经济性、效率性和效益性，是强化部门预算支出责任、改善财政支出管理、优化资源配置以及提高公共服务水平的重要手段。</w:t>
      </w:r>
    </w:p>
    <w:p>
      <w:pPr>
        <w:spacing w:line="560" w:lineRule="exact"/>
        <w:ind w:firstLine="640" w:firstLineChars="200"/>
        <w:outlineLvl w:val="0"/>
        <w:rPr>
          <w:rFonts w:hint="eastAsia"/>
        </w:rPr>
      </w:pPr>
      <w:r>
        <w:rPr>
          <w:rFonts w:hint="eastAsia" w:ascii="仿宋_GB2312"/>
          <w:sz w:val="32"/>
          <w:szCs w:val="32"/>
          <w:highlight w:val="none"/>
        </w:rPr>
        <w:t>开展</w:t>
      </w:r>
      <w:r>
        <w:rPr>
          <w:rFonts w:hint="eastAsia" w:ascii="仿宋_GB2312"/>
          <w:sz w:val="32"/>
          <w:szCs w:val="32"/>
          <w:highlight w:val="none"/>
          <w:lang w:val="en-US" w:eastAsia="zh-CN"/>
        </w:rPr>
        <w:t>2023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绩效评价工作的目的，是要通过对项目各项绩效指标完成情况的全面检查和综合分析，客观公正地评价项目的实施绩效，积极推动我局财政项目支出绩效管理工作的进一步完善，积极推动我县开放型经济的稳步发展和确保项目顺利完成。</w:t>
      </w:r>
    </w:p>
    <w:p>
      <w:pPr>
        <w:numPr>
          <w:ilvl w:val="0"/>
          <w:numId w:val="1"/>
        </w:numPr>
        <w:spacing w:line="560" w:lineRule="exact"/>
        <w:ind w:left="0" w:leftChars="0" w:firstLine="473" w:firstLineChars="148"/>
        <w:outlineLvl w:val="0"/>
        <w:rPr>
          <w:rFonts w:hint="eastAsia" w:ascii="仿宋_GB2312" w:hAnsi="Times New Roman" w:eastAsia="仿宋_GB2312"/>
          <w:kern w:val="0"/>
          <w:sz w:val="32"/>
        </w:rPr>
      </w:pPr>
      <w:r>
        <w:rPr>
          <w:rFonts w:hint="eastAsia" w:ascii="仿宋_GB2312" w:hAnsi="Times New Roman" w:eastAsia="仿宋_GB2312"/>
          <w:kern w:val="0"/>
          <w:sz w:val="32"/>
        </w:rPr>
        <w:t>绩效评价原则、评价指标体系、评价方法、评价标准等。</w:t>
      </w:r>
    </w:p>
    <w:p>
      <w:pPr>
        <w:numPr>
          <w:ilvl w:val="0"/>
          <w:numId w:val="0"/>
        </w:numPr>
        <w:spacing w:line="560" w:lineRule="exact"/>
        <w:ind w:leftChars="148"/>
        <w:outlineLvl w:val="0"/>
        <w:rPr>
          <w:rFonts w:ascii="仿宋_GB2312" w:eastAsia="仿宋_GB2312"/>
          <w:b/>
          <w:sz w:val="32"/>
          <w:szCs w:val="32"/>
          <w:highlight w:val="none"/>
        </w:rPr>
      </w:pPr>
      <w:r>
        <w:rPr>
          <w:rFonts w:hint="eastAsia" w:ascii="仿宋_GB2312"/>
          <w:b/>
          <w:sz w:val="32"/>
          <w:szCs w:val="32"/>
          <w:highlight w:val="none"/>
        </w:rPr>
        <w:t>1.评价原则和评价方法。</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lang w:val="en-US" w:eastAsia="zh-CN"/>
        </w:rPr>
        <w:t>2023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专项资金绩效评价遵循科学规范、全面系统、客观公正和绩效相关的工作原则，采用目标管理评价法，对绩效评价指标体系进行综合评分，从定量和定性两方面对项目实施绩效进行评价。</w:t>
      </w:r>
    </w:p>
    <w:p>
      <w:pPr>
        <w:spacing w:line="560" w:lineRule="exact"/>
        <w:ind w:firstLine="643" w:firstLineChars="200"/>
        <w:outlineLvl w:val="0"/>
        <w:rPr>
          <w:rFonts w:ascii="仿宋_GB2312" w:eastAsia="仿宋_GB2312"/>
          <w:b/>
          <w:sz w:val="32"/>
          <w:szCs w:val="32"/>
          <w:highlight w:val="none"/>
        </w:rPr>
      </w:pPr>
      <w:r>
        <w:rPr>
          <w:rFonts w:hint="eastAsia" w:ascii="仿宋_GB2312"/>
          <w:b/>
          <w:sz w:val="32"/>
          <w:szCs w:val="32"/>
          <w:highlight w:val="none"/>
        </w:rPr>
        <w:t>2.评价指标体系。</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根据</w:t>
      </w:r>
      <w:r>
        <w:rPr>
          <w:rFonts w:hint="eastAsia" w:ascii="仿宋_GB2312"/>
          <w:sz w:val="32"/>
          <w:szCs w:val="32"/>
          <w:highlight w:val="none"/>
          <w:lang w:val="en-US" w:eastAsia="zh-CN"/>
        </w:rPr>
        <w:t>2023</w:t>
      </w:r>
      <w:r>
        <w:rPr>
          <w:rFonts w:hint="eastAsia" w:ascii="仿宋_GB2312"/>
          <w:sz w:val="32"/>
          <w:szCs w:val="32"/>
          <w:highlight w:val="none"/>
        </w:rPr>
        <w:t>年度各项工作的目标要求，参考财政部预算绩效管理共性指标体系框架，根据项目支出类型,构建202</w:t>
      </w:r>
      <w:r>
        <w:rPr>
          <w:rFonts w:hint="eastAsia" w:ascii="仿宋_GB2312"/>
          <w:sz w:val="32"/>
          <w:szCs w:val="32"/>
          <w:highlight w:val="none"/>
          <w:lang w:val="en-US" w:eastAsia="zh-CN"/>
        </w:rPr>
        <w:t>3</w:t>
      </w:r>
      <w:r>
        <w:rPr>
          <w:rFonts w:hint="eastAsia" w:ascii="仿宋_GB2312"/>
          <w:sz w:val="32"/>
          <w:szCs w:val="32"/>
          <w:highlight w:val="none"/>
        </w:rPr>
        <w:t>年度专项资金绩效评价指标体系，并设置了合理的权重和评价标准，指标体系涵盖了我局202</w:t>
      </w:r>
      <w:r>
        <w:rPr>
          <w:rFonts w:hint="eastAsia" w:ascii="仿宋_GB2312"/>
          <w:sz w:val="32"/>
          <w:szCs w:val="32"/>
          <w:highlight w:val="none"/>
          <w:lang w:val="en-US" w:eastAsia="zh-CN"/>
        </w:rPr>
        <w:t>3</w:t>
      </w:r>
      <w:r>
        <w:rPr>
          <w:rFonts w:hint="eastAsia" w:ascii="仿宋_GB2312"/>
          <w:sz w:val="32"/>
          <w:szCs w:val="32"/>
          <w:highlight w:val="none"/>
        </w:rPr>
        <w:t>年各项工作的项目管理、项目产出、产出质量和产出效果等。</w:t>
      </w:r>
    </w:p>
    <w:p>
      <w:pPr>
        <w:spacing w:line="560" w:lineRule="exact"/>
        <w:ind w:firstLine="640" w:firstLineChars="200"/>
        <w:outlineLvl w:val="0"/>
        <w:rPr>
          <w:rFonts w:ascii="仿宋_GB2312"/>
          <w:bCs/>
          <w:highlight w:val="none"/>
        </w:rPr>
      </w:pPr>
      <w:r>
        <w:rPr>
          <w:rFonts w:hint="eastAsia" w:ascii="仿宋_GB2312"/>
          <w:sz w:val="32"/>
          <w:szCs w:val="32"/>
          <w:highlight w:val="none"/>
        </w:rPr>
        <w:t>详见202</w:t>
      </w:r>
      <w:r>
        <w:rPr>
          <w:rFonts w:hint="eastAsia" w:ascii="仿宋_GB2312"/>
          <w:sz w:val="32"/>
          <w:szCs w:val="32"/>
          <w:highlight w:val="none"/>
          <w:lang w:val="en-US" w:eastAsia="zh-CN"/>
        </w:rPr>
        <w:t>3</w:t>
      </w:r>
      <w:r>
        <w:rPr>
          <w:rFonts w:hint="eastAsia" w:ascii="仿宋_GB2312"/>
          <w:sz w:val="32"/>
          <w:szCs w:val="32"/>
          <w:highlight w:val="none"/>
        </w:rPr>
        <w:t>年度各项专项资金绩效评价评分表。</w:t>
      </w:r>
    </w:p>
    <w:p>
      <w:pPr>
        <w:spacing w:line="560" w:lineRule="exact"/>
        <w:ind w:firstLine="643" w:firstLineChars="200"/>
        <w:outlineLvl w:val="0"/>
        <w:rPr>
          <w:rFonts w:ascii="仿宋_GB2312" w:eastAsia="仿宋_GB2312"/>
          <w:b/>
          <w:sz w:val="32"/>
          <w:szCs w:val="32"/>
          <w:highlight w:val="none"/>
        </w:rPr>
      </w:pPr>
      <w:r>
        <w:rPr>
          <w:rFonts w:hint="eastAsia" w:ascii="仿宋_GB2312"/>
          <w:b/>
          <w:sz w:val="32"/>
          <w:szCs w:val="32"/>
          <w:highlight w:val="none"/>
        </w:rPr>
        <w:t>3. 评价标准。</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(1)财政部《财政支出绩效评价暂行管理办法》（财预[2011]285号）；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(2)财政部《推进预算绩效管理的指导意见》（财预[2011]416号）；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 xml:space="preserve"> (3)财政部《预算绩效管理共性指标体系框架》（财预[2013]53号）；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(4)江西省人民政府《关于全面推进预算绩效管理的实施意见》（赣府发[2013]8号）；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(5)南昌市人民政府《关于印发&lt;南昌市财政支出绩效评价管理办法&gt;(试行)的通知》(洪府发[2014]8号)；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(6)《中共南昌市委、南昌市人民政府关于全面实施预算绩效管理的实施意见》（洪发[2019]13号）；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(7)《项目支出绩效评价管理办法》（财预[2020]10号）；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(8)《安义县财政局关于开展2019年度县级部门财政项目支出绩效评价工作的通知》（安财字[2020]12号）。</w:t>
      </w:r>
    </w:p>
    <w:p>
      <w:pPr>
        <w:pStyle w:val="2"/>
        <w:spacing w:line="560" w:lineRule="exact"/>
        <w:rPr>
          <w:rFonts w:ascii="仿宋_GB2312"/>
          <w:sz w:val="32"/>
          <w:szCs w:val="32"/>
          <w:highlight w:val="none"/>
        </w:rPr>
      </w:pPr>
      <w:r>
        <w:rPr>
          <w:rFonts w:hint="eastAsia" w:ascii="仿宋_GB2312"/>
          <w:sz w:val="32"/>
          <w:szCs w:val="32"/>
          <w:highlight w:val="none"/>
        </w:rPr>
        <w:t xml:space="preserve">   （9）《安义县财政局关于印发&lt;安义县财政项目支出绩效评价管理办法&gt;的通知》（安财字[2021]13号）。</w:t>
      </w:r>
    </w:p>
    <w:p>
      <w:pPr>
        <w:spacing w:line="560" w:lineRule="exact"/>
        <w:ind w:firstLine="473" w:firstLineChars="148"/>
        <w:outlineLvl w:val="0"/>
        <w:rPr>
          <w:rFonts w:hint="eastAsia" w:ascii="仿宋_GB2312" w:eastAsia="仿宋_GB2312"/>
          <w:kern w:val="0"/>
          <w:sz w:val="21"/>
        </w:rPr>
      </w:pPr>
      <w:r>
        <w:rPr>
          <w:rFonts w:hint="eastAsia" w:ascii="仿宋_GB2312"/>
          <w:sz w:val="32"/>
          <w:szCs w:val="32"/>
          <w:highlight w:val="none"/>
        </w:rPr>
        <w:t>（10）《安义县财政局关于开展202</w:t>
      </w:r>
      <w:r>
        <w:rPr>
          <w:rFonts w:hint="eastAsia" w:ascii="仿宋_GB2312"/>
          <w:sz w:val="32"/>
          <w:szCs w:val="32"/>
          <w:highlight w:val="none"/>
          <w:lang w:val="en-US" w:eastAsia="zh-CN"/>
        </w:rPr>
        <w:t>3</w:t>
      </w:r>
      <w:r>
        <w:rPr>
          <w:rFonts w:hint="eastAsia" w:ascii="仿宋_GB2312"/>
          <w:sz w:val="32"/>
          <w:szCs w:val="32"/>
          <w:highlight w:val="none"/>
        </w:rPr>
        <w:t>年度预算绩效管理有关工作的通知》（安财字[202</w:t>
      </w:r>
      <w:r>
        <w:rPr>
          <w:rFonts w:hint="eastAsia" w:ascii="仿宋_GB2312"/>
          <w:sz w:val="32"/>
          <w:szCs w:val="32"/>
          <w:highlight w:val="none"/>
          <w:lang w:val="en-US" w:eastAsia="zh-CN"/>
        </w:rPr>
        <w:t>4</w:t>
      </w:r>
      <w:r>
        <w:rPr>
          <w:rFonts w:hint="eastAsia" w:ascii="仿宋_GB2312"/>
          <w:sz w:val="32"/>
          <w:szCs w:val="32"/>
          <w:highlight w:val="none"/>
        </w:rPr>
        <w:t>]</w:t>
      </w:r>
      <w:r>
        <w:rPr>
          <w:rFonts w:hint="eastAsia" w:ascii="仿宋_GB2312"/>
          <w:sz w:val="32"/>
          <w:szCs w:val="32"/>
          <w:highlight w:val="none"/>
          <w:lang w:val="en-US" w:eastAsia="zh-CN"/>
        </w:rPr>
        <w:t>36</w:t>
      </w:r>
      <w:r>
        <w:rPr>
          <w:rFonts w:hint="eastAsia" w:ascii="仿宋_GB2312"/>
          <w:sz w:val="32"/>
          <w:szCs w:val="32"/>
          <w:highlight w:val="none"/>
        </w:rPr>
        <w:t>号）。</w:t>
      </w:r>
    </w:p>
    <w:p>
      <w:pPr>
        <w:numPr>
          <w:ilvl w:val="0"/>
          <w:numId w:val="2"/>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绩效评价工作过程。</w:t>
      </w:r>
    </w:p>
    <w:p>
      <w:pPr>
        <w:spacing w:line="560" w:lineRule="exact"/>
        <w:ind w:firstLine="640" w:firstLineChars="200"/>
        <w:outlineLvl w:val="0"/>
        <w:rPr>
          <w:rFonts w:hint="eastAsia"/>
        </w:rPr>
      </w:pPr>
      <w:r>
        <w:rPr>
          <w:rFonts w:hint="eastAsia" w:ascii="仿宋_GB2312"/>
          <w:sz w:val="32"/>
          <w:szCs w:val="32"/>
          <w:highlight w:val="none"/>
        </w:rPr>
        <w:t>根据《安义县财政局关于开展202</w:t>
      </w:r>
      <w:r>
        <w:rPr>
          <w:rFonts w:hint="eastAsia" w:ascii="仿宋_GB2312"/>
          <w:sz w:val="32"/>
          <w:szCs w:val="32"/>
          <w:highlight w:val="none"/>
          <w:lang w:val="en-US" w:eastAsia="zh-CN"/>
        </w:rPr>
        <w:t>3</w:t>
      </w:r>
      <w:r>
        <w:rPr>
          <w:rFonts w:hint="eastAsia" w:ascii="仿宋_GB2312"/>
          <w:sz w:val="32"/>
          <w:szCs w:val="32"/>
          <w:highlight w:val="none"/>
        </w:rPr>
        <w:t>年度预算绩效管理有关工作的通知》（安财字[202</w:t>
      </w:r>
      <w:r>
        <w:rPr>
          <w:rFonts w:hint="eastAsia" w:ascii="仿宋_GB2312"/>
          <w:sz w:val="32"/>
          <w:szCs w:val="32"/>
          <w:highlight w:val="none"/>
          <w:lang w:val="en-US" w:eastAsia="zh-CN"/>
        </w:rPr>
        <w:t>4</w:t>
      </w:r>
      <w:r>
        <w:rPr>
          <w:rFonts w:hint="eastAsia" w:ascii="仿宋_GB2312"/>
          <w:sz w:val="32"/>
          <w:szCs w:val="32"/>
          <w:highlight w:val="none"/>
        </w:rPr>
        <w:t>]</w:t>
      </w:r>
      <w:r>
        <w:rPr>
          <w:rFonts w:hint="eastAsia" w:ascii="仿宋_GB2312"/>
          <w:sz w:val="32"/>
          <w:szCs w:val="32"/>
          <w:highlight w:val="none"/>
          <w:lang w:val="en-US" w:eastAsia="zh-CN"/>
        </w:rPr>
        <w:t>36</w:t>
      </w:r>
      <w:r>
        <w:rPr>
          <w:rFonts w:hint="eastAsia" w:ascii="仿宋_GB2312"/>
          <w:sz w:val="32"/>
          <w:szCs w:val="32"/>
          <w:highlight w:val="none"/>
        </w:rPr>
        <w:t>号）的要求，我局认真组织开展安义县20</w:t>
      </w:r>
      <w:r>
        <w:rPr>
          <w:rFonts w:hint="eastAsia" w:ascii="仿宋_GB2312"/>
          <w:sz w:val="32"/>
          <w:szCs w:val="32"/>
          <w:highlight w:val="none"/>
          <w:lang w:val="en-US" w:eastAsia="zh-CN"/>
        </w:rPr>
        <w:t>23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绩效评价工作，成立绩效评价工作小组，制定工作方案。工作小组认真组织相关数据统计和佐证材料收集等工作，围绕绩效评价指标体系，逐项严格评分，认真完成了项目绩效评价报告的撰写，报告力求客观、公正、全面地反映</w:t>
      </w:r>
      <w:r>
        <w:rPr>
          <w:rFonts w:hint="eastAsia" w:ascii="仿宋_GB2312"/>
          <w:sz w:val="32"/>
          <w:szCs w:val="32"/>
          <w:highlight w:val="none"/>
          <w:lang w:val="en-US" w:eastAsia="zh-CN"/>
        </w:rPr>
        <w:t>2023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专项资金的实际绩效。</w:t>
      </w:r>
    </w:p>
    <w:p>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三、综合评价情况及评价结论（附项目支出部门评价表）</w:t>
      </w:r>
    </w:p>
    <w:p>
      <w:pPr>
        <w:spacing w:line="560" w:lineRule="exact"/>
        <w:ind w:firstLine="640" w:firstLineChars="200"/>
        <w:outlineLvl w:val="0"/>
        <w:rPr>
          <w:rFonts w:ascii="宋体" w:hAnsi="宋体" w:cs="宋体"/>
          <w:sz w:val="32"/>
          <w:szCs w:val="32"/>
          <w:highlight w:val="none"/>
        </w:rPr>
      </w:pPr>
      <w:r>
        <w:rPr>
          <w:rFonts w:hint="eastAsia" w:ascii="宋体" w:hAnsi="宋体" w:cs="宋体"/>
          <w:sz w:val="32"/>
          <w:szCs w:val="32"/>
          <w:highlight w:val="none"/>
        </w:rPr>
        <w:t>202</w:t>
      </w:r>
      <w:r>
        <w:rPr>
          <w:rFonts w:hint="eastAsia" w:ascii="宋体" w:hAnsi="宋体" w:cs="宋体"/>
          <w:sz w:val="32"/>
          <w:szCs w:val="32"/>
          <w:highlight w:val="none"/>
          <w:lang w:val="en-US" w:eastAsia="zh-CN"/>
        </w:rPr>
        <w:t>3</w:t>
      </w:r>
      <w:r>
        <w:rPr>
          <w:rFonts w:hint="eastAsia" w:ascii="宋体" w:hAnsi="宋体" w:cs="宋体"/>
          <w:sz w:val="32"/>
          <w:szCs w:val="32"/>
          <w:highlight w:val="none"/>
        </w:rPr>
        <w:t>年，</w:t>
      </w:r>
      <w:r>
        <w:rPr>
          <w:rFonts w:hint="eastAsia" w:ascii="宋体" w:hAnsi="宋体" w:cs="宋体"/>
          <w:color w:val="000000"/>
          <w:sz w:val="32"/>
          <w:szCs w:val="32"/>
          <w:highlight w:val="none"/>
        </w:rPr>
        <w:t>在县委、</w:t>
      </w:r>
      <w:r>
        <w:rPr>
          <w:rFonts w:hint="eastAsia" w:ascii="宋体" w:hAnsi="宋体" w:cs="宋体"/>
          <w:color w:val="000000"/>
          <w:sz w:val="32"/>
          <w:szCs w:val="32"/>
          <w:highlight w:val="none"/>
          <w:lang w:val="en-US" w:eastAsia="zh-CN"/>
        </w:rPr>
        <w:t>县</w:t>
      </w:r>
      <w:r>
        <w:rPr>
          <w:rFonts w:hint="eastAsia" w:ascii="宋体" w:hAnsi="宋体" w:cs="宋体"/>
          <w:color w:val="000000"/>
          <w:sz w:val="32"/>
          <w:szCs w:val="32"/>
          <w:highlight w:val="none"/>
        </w:rPr>
        <w:t>政府的坚强领导下，县交通运输局深入贯彻落实省、市和县委县政府决策部署，动员全局上下坚定信心、保持定力、鼓足干劲，直面疫情挑战，以“交通强省”、“产业高质量发展十大提升行动”，狠抓基础设施建设及对公益类企业的大力扶持。</w:t>
      </w:r>
      <w:r>
        <w:rPr>
          <w:rFonts w:hint="eastAsia" w:ascii="宋体" w:hAnsi="宋体" w:cs="宋体"/>
          <w:sz w:val="32"/>
          <w:szCs w:val="32"/>
          <w:highlight w:val="none"/>
        </w:rPr>
        <w:t>经综合评</w:t>
      </w:r>
      <w:bookmarkStart w:id="0" w:name="_GoBack"/>
      <w:bookmarkEnd w:id="0"/>
      <w:r>
        <w:rPr>
          <w:rFonts w:hint="eastAsia" w:ascii="宋体" w:hAnsi="宋体" w:cs="宋体"/>
          <w:sz w:val="32"/>
          <w:szCs w:val="32"/>
          <w:highlight w:val="none"/>
        </w:rPr>
        <w:t>价，202</w:t>
      </w:r>
      <w:r>
        <w:rPr>
          <w:rFonts w:hint="eastAsia" w:ascii="宋体" w:hAnsi="宋体" w:cs="宋体"/>
          <w:sz w:val="32"/>
          <w:szCs w:val="32"/>
          <w:highlight w:val="none"/>
          <w:lang w:val="en-US" w:eastAsia="zh-CN"/>
        </w:rPr>
        <w:t>3</w:t>
      </w:r>
      <w:r>
        <w:rPr>
          <w:rFonts w:hint="eastAsia" w:ascii="宋体" w:hAnsi="宋体" w:cs="宋体"/>
          <w:sz w:val="32"/>
          <w:szCs w:val="32"/>
          <w:highlight w:val="none"/>
        </w:rPr>
        <w:t>年度</w:t>
      </w:r>
      <w:r>
        <w:rPr>
          <w:rFonts w:hint="eastAsia" w:ascii="仿宋_GB2312"/>
          <w:sz w:val="32"/>
          <w:szCs w:val="32"/>
          <w:highlight w:val="none"/>
        </w:rPr>
        <w:t>安义县车购税补助地方</w:t>
      </w:r>
      <w:r>
        <w:rPr>
          <w:rFonts w:hint="eastAsia" w:ascii="仿宋_GB2312"/>
          <w:sz w:val="32"/>
          <w:szCs w:val="32"/>
          <w:highlight w:val="none"/>
          <w:lang w:val="en-US" w:eastAsia="zh-CN"/>
        </w:rPr>
        <w:t>交通建设</w:t>
      </w:r>
      <w:r>
        <w:rPr>
          <w:rFonts w:hint="eastAsia" w:ascii="宋体" w:hAnsi="宋体" w:cs="宋体"/>
          <w:sz w:val="32"/>
          <w:szCs w:val="32"/>
          <w:highlight w:val="none"/>
        </w:rPr>
        <w:t>专项资金的各项绩效指标均基本达标，经主管部门复核，202</w:t>
      </w:r>
      <w:r>
        <w:rPr>
          <w:rFonts w:hint="eastAsia" w:ascii="宋体" w:hAnsi="宋体" w:cs="宋体"/>
          <w:sz w:val="32"/>
          <w:szCs w:val="32"/>
          <w:highlight w:val="none"/>
          <w:lang w:val="en-US" w:eastAsia="zh-CN"/>
        </w:rPr>
        <w:t>3</w:t>
      </w:r>
      <w:r>
        <w:rPr>
          <w:rFonts w:hint="eastAsia" w:ascii="宋体" w:hAnsi="宋体" w:cs="宋体"/>
          <w:sz w:val="32"/>
          <w:szCs w:val="32"/>
          <w:highlight w:val="none"/>
        </w:rPr>
        <w:t>年</w:t>
      </w:r>
      <w:r>
        <w:rPr>
          <w:rFonts w:hint="eastAsia" w:ascii="仿宋_GB2312"/>
          <w:sz w:val="32"/>
          <w:szCs w:val="32"/>
          <w:highlight w:val="none"/>
        </w:rPr>
        <w:t>安义县车购税补助地方</w:t>
      </w:r>
      <w:r>
        <w:rPr>
          <w:rFonts w:hint="eastAsia" w:ascii="仿宋_GB2312"/>
          <w:sz w:val="32"/>
          <w:szCs w:val="32"/>
          <w:highlight w:val="none"/>
          <w:lang w:val="en-US" w:eastAsia="zh-CN"/>
        </w:rPr>
        <w:t>交通建设</w:t>
      </w:r>
      <w:r>
        <w:rPr>
          <w:rFonts w:hint="eastAsia" w:ascii="宋体" w:hAnsi="宋体" w:cs="宋体"/>
          <w:sz w:val="32"/>
          <w:szCs w:val="32"/>
          <w:highlight w:val="none"/>
        </w:rPr>
        <w:t>专项资金绩效评价得分为9</w:t>
      </w:r>
      <w:r>
        <w:rPr>
          <w:rFonts w:hint="eastAsia" w:ascii="宋体" w:hAnsi="宋体" w:cs="宋体"/>
          <w:sz w:val="32"/>
          <w:szCs w:val="32"/>
          <w:highlight w:val="none"/>
          <w:lang w:val="en-US" w:eastAsia="zh-CN"/>
        </w:rPr>
        <w:t>0</w:t>
      </w:r>
      <w:r>
        <w:rPr>
          <w:rFonts w:hint="eastAsia" w:ascii="宋体" w:hAnsi="宋体" w:cs="宋体"/>
          <w:sz w:val="32"/>
          <w:szCs w:val="32"/>
          <w:highlight w:val="none"/>
        </w:rPr>
        <w:t>分，等级为“优 ”。</w:t>
      </w:r>
    </w:p>
    <w:p>
      <w:pPr>
        <w:autoSpaceDE w:val="0"/>
        <w:autoSpaceDN w:val="0"/>
        <w:adjustRightInd w:val="0"/>
        <w:spacing w:beforeLines="0" w:afterLines="0" w:line="560" w:lineRule="exact"/>
        <w:ind w:firstLine="640" w:firstLineChars="200"/>
        <w:jc w:val="left"/>
        <w:rPr>
          <w:rFonts w:hint="eastAsia" w:ascii="黑体" w:hAnsi="宋体" w:eastAsia="黑体"/>
          <w:kern w:val="0"/>
          <w:sz w:val="32"/>
        </w:rPr>
      </w:pPr>
    </w:p>
    <w:p>
      <w:pPr>
        <w:autoSpaceDE w:val="0"/>
        <w:autoSpaceDN w:val="0"/>
        <w:adjustRightInd w:val="0"/>
        <w:spacing w:beforeLines="0" w:afterLines="0" w:line="560" w:lineRule="exact"/>
        <w:ind w:firstLine="640" w:firstLineChars="200"/>
        <w:jc w:val="left"/>
        <w:rPr>
          <w:rFonts w:hint="eastAsia" w:ascii="黑体" w:hAnsi="宋体" w:eastAsia="黑体"/>
          <w:kern w:val="0"/>
          <w:sz w:val="32"/>
        </w:rPr>
      </w:pPr>
    </w:p>
    <w:p>
      <w:pPr>
        <w:autoSpaceDE w:val="0"/>
        <w:autoSpaceDN w:val="0"/>
        <w:adjustRightInd w:val="0"/>
        <w:spacing w:beforeLines="0" w:afterLines="0" w:line="560" w:lineRule="exact"/>
        <w:ind w:firstLine="640" w:firstLineChars="200"/>
        <w:jc w:val="left"/>
        <w:rPr>
          <w:rFonts w:hint="eastAsia" w:ascii="黑体" w:hAnsi="宋体" w:eastAsia="黑体"/>
          <w:kern w:val="0"/>
          <w:sz w:val="32"/>
        </w:rPr>
      </w:pPr>
    </w:p>
    <w:p>
      <w:pPr>
        <w:autoSpaceDE w:val="0"/>
        <w:autoSpaceDN w:val="0"/>
        <w:adjustRightInd w:val="0"/>
        <w:spacing w:beforeLines="0" w:afterLines="0" w:line="560" w:lineRule="exact"/>
        <w:ind w:firstLine="640" w:firstLineChars="200"/>
        <w:jc w:val="left"/>
        <w:rPr>
          <w:rFonts w:hint="eastAsia" w:ascii="黑体" w:hAnsi="宋体" w:eastAsia="黑体"/>
          <w:kern w:val="0"/>
          <w:sz w:val="32"/>
        </w:rPr>
      </w:pPr>
    </w:p>
    <w:p>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四、绩效评价指标分析</w:t>
      </w:r>
    </w:p>
    <w:p>
      <w:pPr>
        <w:spacing w:line="560" w:lineRule="exact"/>
        <w:ind w:firstLine="643" w:firstLineChars="200"/>
        <w:outlineLvl w:val="0"/>
        <w:rPr>
          <w:rFonts w:ascii="仿宋_GB2312" w:hAnsi="仿宋_GB2312" w:eastAsia="仿宋_GB2312" w:cs="仿宋_GB2312"/>
          <w:b/>
          <w:color w:val="000000"/>
          <w:kern w:val="0"/>
          <w:sz w:val="30"/>
          <w:szCs w:val="30"/>
          <w:highlight w:val="none"/>
        </w:rPr>
      </w:pPr>
      <w:r>
        <w:rPr>
          <w:rFonts w:hint="eastAsia" w:ascii="楷体" w:hAnsi="楷体" w:eastAsia="楷体" w:cs="楷体"/>
          <w:b/>
          <w:sz w:val="32"/>
          <w:szCs w:val="32"/>
          <w:highlight w:val="none"/>
        </w:rPr>
        <w:t>（一）项目决策情况。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安义县202</w:t>
      </w:r>
      <w:r>
        <w:rPr>
          <w:rFonts w:hint="eastAsia" w:ascii="仿宋_GB2312"/>
          <w:sz w:val="32"/>
          <w:szCs w:val="32"/>
          <w:highlight w:val="none"/>
          <w:lang w:val="en-US" w:eastAsia="zh-CN"/>
        </w:rPr>
        <w:t>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专项资金为跨年项目，项目的设立符合我局工作职责和资金使用范围，立项及批复程序规范。</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专项资金的预算为</w:t>
      </w:r>
      <w:r>
        <w:rPr>
          <w:rFonts w:hint="eastAsia" w:ascii="仿宋_GB2312"/>
          <w:sz w:val="32"/>
          <w:szCs w:val="32"/>
          <w:highlight w:val="none"/>
          <w:lang w:val="en-US" w:eastAsia="zh-CN"/>
        </w:rPr>
        <w:t>2283.5</w:t>
      </w:r>
      <w:r>
        <w:rPr>
          <w:rFonts w:hint="eastAsia" w:ascii="仿宋_GB2312"/>
          <w:sz w:val="32"/>
          <w:szCs w:val="32"/>
          <w:highlight w:val="none"/>
        </w:rPr>
        <w:t>万元，本年度实际支出</w:t>
      </w:r>
      <w:r>
        <w:rPr>
          <w:rFonts w:hint="eastAsia" w:ascii="仿宋_GB2312"/>
          <w:sz w:val="32"/>
          <w:szCs w:val="32"/>
          <w:highlight w:val="none"/>
          <w:lang w:val="en-US" w:eastAsia="zh-CN"/>
        </w:rPr>
        <w:t>2247.5</w:t>
      </w:r>
      <w:r>
        <w:rPr>
          <w:rFonts w:hint="eastAsia" w:ascii="仿宋_GB2312"/>
          <w:sz w:val="32"/>
          <w:szCs w:val="32"/>
          <w:highlight w:val="none"/>
        </w:rPr>
        <w:t>万元，预算执行率为</w:t>
      </w:r>
      <w:r>
        <w:rPr>
          <w:rFonts w:hint="eastAsia" w:ascii="仿宋_GB2312"/>
          <w:sz w:val="32"/>
          <w:szCs w:val="32"/>
          <w:highlight w:val="none"/>
          <w:lang w:val="en-US" w:eastAsia="zh-CN"/>
        </w:rPr>
        <w:t>98.42</w:t>
      </w:r>
      <w:r>
        <w:rPr>
          <w:rFonts w:hint="eastAsia" w:ascii="仿宋_GB2312"/>
          <w:sz w:val="32"/>
          <w:szCs w:val="32"/>
          <w:highlight w:val="none"/>
        </w:rPr>
        <w:t>%。</w:t>
      </w:r>
    </w:p>
    <w:p>
      <w:pPr>
        <w:spacing w:line="560" w:lineRule="exact"/>
        <w:ind w:firstLine="643" w:firstLineChars="200"/>
        <w:outlineLvl w:val="0"/>
        <w:rPr>
          <w:rFonts w:ascii="仿宋_GB2312" w:hAnsi="仿宋_GB2312" w:eastAsia="仿宋_GB2312" w:cs="仿宋_GB2312"/>
          <w:sz w:val="30"/>
          <w:szCs w:val="30"/>
          <w:highlight w:val="none"/>
        </w:rPr>
      </w:pPr>
      <w:r>
        <w:rPr>
          <w:rFonts w:hint="eastAsia" w:ascii="楷体" w:hAnsi="楷体" w:eastAsia="楷体" w:cs="楷体"/>
          <w:b/>
          <w:sz w:val="32"/>
          <w:szCs w:val="32"/>
          <w:highlight w:val="none"/>
        </w:rPr>
        <w:t>（二）项目过程情况。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我局业务管理制度完善，已制定健全的项目质量标准，项目质量控制标准执行到位。</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我局严格按照《县交通运输局财务管理制度》和《县交通运输局专项资金管理办法》执行经费的管理和使用，项目资金使用合规，专款专用，不存在截留、挤占、挪用、虚列等违规情况。同时我局本年度按照县财政要求，对安义县</w:t>
      </w:r>
      <w:r>
        <w:rPr>
          <w:rFonts w:hint="eastAsia" w:ascii="仿宋_GB2312"/>
          <w:sz w:val="32"/>
          <w:szCs w:val="32"/>
          <w:highlight w:val="none"/>
          <w:lang w:val="en-US" w:eastAsia="zh-CN"/>
        </w:rPr>
        <w:t>2023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专项资金组织开展了项目中间绩效运行监控工作，财务监控有待性达标。</w:t>
      </w:r>
    </w:p>
    <w:p>
      <w:pPr>
        <w:widowControl/>
        <w:spacing w:line="560" w:lineRule="exact"/>
        <w:ind w:firstLine="643" w:firstLineChars="200"/>
        <w:jc w:val="left"/>
        <w:rPr>
          <w:rFonts w:ascii="仿宋_GB2312" w:hAnsi="仿宋_GB2312" w:eastAsia="仿宋_GB2312" w:cs="仿宋_GB2312"/>
          <w:sz w:val="30"/>
          <w:szCs w:val="30"/>
          <w:highlight w:val="none"/>
        </w:rPr>
      </w:pPr>
      <w:r>
        <w:rPr>
          <w:rFonts w:hint="eastAsia" w:ascii="楷体" w:hAnsi="楷体" w:eastAsia="楷体" w:cs="楷体"/>
          <w:b/>
          <w:sz w:val="32"/>
          <w:szCs w:val="32"/>
          <w:highlight w:val="none"/>
        </w:rPr>
        <w:t>（三）项目产出情况。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年，我局完成车购税补助地方</w:t>
      </w:r>
      <w:r>
        <w:rPr>
          <w:rFonts w:hint="eastAsia" w:ascii="仿宋_GB2312"/>
          <w:sz w:val="32"/>
          <w:szCs w:val="32"/>
          <w:highlight w:val="none"/>
          <w:lang w:val="en-US" w:eastAsia="zh-CN"/>
        </w:rPr>
        <w:t>交通建设</w:t>
      </w:r>
      <w:r>
        <w:rPr>
          <w:rFonts w:hint="eastAsia" w:ascii="仿宋_GB2312"/>
          <w:sz w:val="32"/>
          <w:szCs w:val="32"/>
          <w:highlight w:val="none"/>
        </w:rPr>
        <w:t>项目款拨付</w:t>
      </w:r>
      <w:r>
        <w:rPr>
          <w:rFonts w:hint="eastAsia" w:ascii="仿宋_GB2312"/>
          <w:sz w:val="32"/>
          <w:szCs w:val="32"/>
          <w:highlight w:val="none"/>
          <w:lang w:val="en-US" w:eastAsia="zh-CN"/>
        </w:rPr>
        <w:t>2283.5</w:t>
      </w:r>
      <w:r>
        <w:rPr>
          <w:rFonts w:hint="eastAsia" w:ascii="仿宋_GB2312"/>
          <w:sz w:val="32"/>
          <w:szCs w:val="32"/>
          <w:highlight w:val="none"/>
        </w:rPr>
        <w:t>万元。项目产出数量指标达标。</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年，项目达到行业推荐标准，项目产出质量指标达标。</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年，资金下达后完成拨付及时率为</w:t>
      </w:r>
      <w:r>
        <w:rPr>
          <w:rFonts w:hint="eastAsia" w:ascii="仿宋_GB2312"/>
          <w:sz w:val="32"/>
          <w:szCs w:val="32"/>
          <w:highlight w:val="none"/>
          <w:lang w:val="en-US" w:eastAsia="zh-CN"/>
        </w:rPr>
        <w:t>98.42</w:t>
      </w:r>
      <w:r>
        <w:rPr>
          <w:rFonts w:hint="eastAsia" w:ascii="仿宋_GB2312"/>
          <w:sz w:val="32"/>
          <w:szCs w:val="32"/>
          <w:highlight w:val="none"/>
        </w:rPr>
        <w:t>%。</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年度车购税补助地方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专项资金的预算为</w:t>
      </w:r>
      <w:r>
        <w:rPr>
          <w:rFonts w:hint="eastAsia" w:ascii="仿宋_GB2312"/>
          <w:sz w:val="32"/>
          <w:szCs w:val="32"/>
          <w:highlight w:val="none"/>
          <w:lang w:val="en-US" w:eastAsia="zh-CN"/>
        </w:rPr>
        <w:t>2283.5</w:t>
      </w:r>
      <w:r>
        <w:rPr>
          <w:rFonts w:hint="eastAsia" w:ascii="仿宋_GB2312"/>
          <w:sz w:val="32"/>
          <w:szCs w:val="32"/>
          <w:highlight w:val="none"/>
        </w:rPr>
        <w:t>万元，实际支出</w:t>
      </w:r>
      <w:r>
        <w:rPr>
          <w:rFonts w:hint="eastAsia" w:ascii="仿宋_GB2312"/>
          <w:sz w:val="32"/>
          <w:szCs w:val="32"/>
          <w:highlight w:val="none"/>
          <w:lang w:val="en-US" w:eastAsia="zh-CN"/>
        </w:rPr>
        <w:t>2247.5</w:t>
      </w:r>
      <w:r>
        <w:rPr>
          <w:rFonts w:hint="eastAsia" w:ascii="仿宋_GB2312"/>
          <w:sz w:val="32"/>
          <w:szCs w:val="32"/>
          <w:highlight w:val="none"/>
        </w:rPr>
        <w:t>万元，成本控制率达标。</w:t>
      </w:r>
    </w:p>
    <w:p>
      <w:pPr>
        <w:spacing w:line="560" w:lineRule="exact"/>
        <w:ind w:firstLine="643" w:firstLineChars="200"/>
        <w:outlineLvl w:val="0"/>
        <w:rPr>
          <w:rFonts w:ascii="仿宋_GB2312" w:hAnsi="仿宋_GB2312" w:eastAsia="仿宋_GB2312" w:cs="仿宋_GB2312"/>
          <w:b/>
          <w:color w:val="000000"/>
          <w:kern w:val="0"/>
          <w:sz w:val="30"/>
          <w:szCs w:val="30"/>
          <w:highlight w:val="none"/>
        </w:rPr>
      </w:pPr>
      <w:r>
        <w:rPr>
          <w:rFonts w:hint="eastAsia" w:ascii="楷体" w:hAnsi="楷体" w:eastAsia="楷体" w:cs="楷体"/>
          <w:b/>
          <w:sz w:val="32"/>
          <w:szCs w:val="32"/>
          <w:highlight w:val="none"/>
        </w:rPr>
        <w:t>（四）项目效益情况。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年，项目建成后，产生了衍生经济价值，促进了地方经济发展。经济效益指标达标。</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年，通过项目的</w:t>
      </w:r>
      <w:r>
        <w:rPr>
          <w:rFonts w:hint="eastAsia" w:ascii="仿宋_GB2312"/>
          <w:sz w:val="32"/>
          <w:szCs w:val="32"/>
          <w:highlight w:val="none"/>
          <w:lang w:val="en-US" w:eastAsia="zh-CN"/>
        </w:rPr>
        <w:t>开工建设</w:t>
      </w:r>
      <w:r>
        <w:rPr>
          <w:rFonts w:hint="eastAsia" w:ascii="仿宋_GB2312"/>
          <w:sz w:val="32"/>
          <w:szCs w:val="32"/>
          <w:highlight w:val="none"/>
        </w:rPr>
        <w:t>，建设单位及群众的满意度提升。社会效益达标。</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安义县</w:t>
      </w:r>
      <w:r>
        <w:rPr>
          <w:rFonts w:hint="eastAsia" w:ascii="仿宋_GB2312"/>
          <w:sz w:val="32"/>
          <w:szCs w:val="32"/>
          <w:highlight w:val="none"/>
          <w:lang w:val="en-US" w:eastAsia="zh-CN"/>
        </w:rPr>
        <w:t>2023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通过环评，生态效益指标达标。</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该项目可长期推动地方经济发展，提升产业水平，项目可持续影响指标基本达标。</w:t>
      </w:r>
    </w:p>
    <w:p>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五、主要经验及做法、存在的问题及原因分析</w:t>
      </w:r>
    </w:p>
    <w:p>
      <w:pPr>
        <w:spacing w:line="560" w:lineRule="exact"/>
        <w:ind w:firstLine="475" w:firstLineChars="148"/>
        <w:outlineLvl w:val="0"/>
        <w:rPr>
          <w:rFonts w:ascii="楷体" w:hAnsi="楷体" w:eastAsia="楷体" w:cs="楷体"/>
          <w:b/>
          <w:sz w:val="32"/>
          <w:szCs w:val="32"/>
          <w:highlight w:val="none"/>
        </w:rPr>
      </w:pPr>
      <w:r>
        <w:rPr>
          <w:rFonts w:hint="eastAsia" w:ascii="楷体" w:hAnsi="楷体" w:eastAsia="楷体" w:cs="楷体"/>
          <w:b/>
          <w:sz w:val="32"/>
          <w:szCs w:val="32"/>
          <w:highlight w:val="none"/>
        </w:rPr>
        <w:t>（一）主要经验及做法。</w:t>
      </w:r>
    </w:p>
    <w:p>
      <w:pPr>
        <w:pBdr>
          <w:top w:val="none" w:color="000000" w:sz="0" w:space="0"/>
          <w:left w:val="none" w:color="000000" w:sz="0" w:space="0"/>
          <w:bottom w:val="none" w:color="000000" w:sz="0" w:space="21"/>
          <w:right w:val="none" w:color="000000" w:sz="0" w:space="0"/>
        </w:pBdr>
        <w:autoSpaceDN w:val="0"/>
        <w:spacing w:line="560" w:lineRule="exact"/>
        <w:ind w:firstLine="640" w:firstLineChars="200"/>
        <w:rPr>
          <w:rFonts w:ascii="仿宋_GB2312" w:eastAsia="仿宋_GB2312"/>
          <w:spacing w:val="-4"/>
          <w:sz w:val="32"/>
          <w:szCs w:val="32"/>
          <w:highlight w:val="none"/>
        </w:rPr>
      </w:pPr>
      <w:r>
        <w:rPr>
          <w:rFonts w:hint="eastAsia" w:ascii="仿宋_GB2312"/>
          <w:sz w:val="32"/>
          <w:szCs w:val="32"/>
          <w:highlight w:val="none"/>
          <w:lang w:val="en-US" w:eastAsia="zh-CN"/>
        </w:rPr>
        <w:t>建设</w:t>
      </w:r>
      <w:r>
        <w:rPr>
          <w:rFonts w:hint="eastAsia" w:ascii="仿宋_GB2312"/>
          <w:sz w:val="32"/>
          <w:szCs w:val="32"/>
          <w:highlight w:val="none"/>
        </w:rPr>
        <w:t>项目已经通过质量验收，资金到位后立即拨付，减轻企业负担，营造良好的营商环境。</w:t>
      </w:r>
    </w:p>
    <w:p>
      <w:pPr>
        <w:numPr>
          <w:ilvl w:val="0"/>
          <w:numId w:val="3"/>
        </w:numPr>
        <w:pBdr>
          <w:top w:val="none" w:color="000000" w:sz="0" w:space="0"/>
          <w:left w:val="none" w:color="000000" w:sz="0" w:space="0"/>
          <w:bottom w:val="none" w:color="000000" w:sz="0" w:space="21"/>
          <w:right w:val="none" w:color="000000" w:sz="0" w:space="0"/>
        </w:pBdr>
        <w:autoSpaceDN w:val="0"/>
        <w:spacing w:line="560" w:lineRule="exact"/>
        <w:ind w:firstLine="643" w:firstLineChars="200"/>
        <w:rPr>
          <w:rFonts w:ascii="楷体" w:hAnsi="楷体" w:eastAsia="楷体" w:cs="楷体"/>
          <w:b/>
          <w:sz w:val="32"/>
          <w:szCs w:val="32"/>
          <w:highlight w:val="none"/>
        </w:rPr>
      </w:pPr>
      <w:r>
        <w:rPr>
          <w:rFonts w:hint="eastAsia" w:ascii="楷体" w:hAnsi="楷体" w:eastAsia="楷体" w:cs="楷体"/>
          <w:b/>
          <w:sz w:val="32"/>
          <w:szCs w:val="32"/>
          <w:highlight w:val="none"/>
        </w:rPr>
        <w:t>存在的问题及原因。</w:t>
      </w:r>
    </w:p>
    <w:p>
      <w:pPr>
        <w:pBdr>
          <w:top w:val="none" w:color="000000" w:sz="0" w:space="0"/>
          <w:left w:val="none" w:color="000000" w:sz="0" w:space="0"/>
          <w:bottom w:val="none" w:color="000000" w:sz="0" w:space="21"/>
          <w:right w:val="none" w:color="000000" w:sz="0" w:space="0"/>
        </w:pBdr>
        <w:autoSpaceDN w:val="0"/>
        <w:spacing w:line="560" w:lineRule="exact"/>
        <w:ind w:firstLine="640" w:firstLineChars="200"/>
        <w:rPr>
          <w:rFonts w:hint="eastAsia" w:ascii="仿宋_GB2312"/>
          <w:sz w:val="32"/>
          <w:szCs w:val="32"/>
          <w:highlight w:val="none"/>
        </w:rPr>
      </w:pPr>
      <w:r>
        <w:rPr>
          <w:rFonts w:hint="eastAsia" w:ascii="仿宋_GB2312"/>
          <w:sz w:val="32"/>
          <w:szCs w:val="32"/>
          <w:highlight w:val="none"/>
        </w:rPr>
        <w:t>无</w:t>
      </w:r>
    </w:p>
    <w:p>
      <w:pPr>
        <w:pBdr>
          <w:top w:val="none" w:color="000000" w:sz="0" w:space="0"/>
          <w:left w:val="none" w:color="000000" w:sz="0" w:space="0"/>
          <w:bottom w:val="none" w:color="000000" w:sz="0" w:space="21"/>
          <w:right w:val="none" w:color="000000" w:sz="0" w:space="0"/>
        </w:pBdr>
        <w:autoSpaceDN w:val="0"/>
        <w:spacing w:line="560" w:lineRule="exact"/>
        <w:ind w:firstLine="640" w:firstLineChars="200"/>
        <w:rPr>
          <w:rFonts w:hint="eastAsia" w:ascii="黑体" w:hAnsi="宋体" w:eastAsia="黑体"/>
          <w:kern w:val="0"/>
          <w:sz w:val="32"/>
        </w:rPr>
      </w:pPr>
      <w:r>
        <w:rPr>
          <w:rFonts w:hint="eastAsia" w:ascii="仿宋_GB2312" w:eastAsia="黑体"/>
          <w:sz w:val="32"/>
          <w:szCs w:val="32"/>
          <w:highlight w:val="none"/>
          <w:lang w:eastAsia="zh-CN"/>
        </w:rPr>
        <w:t>六、</w:t>
      </w:r>
      <w:r>
        <w:rPr>
          <w:rFonts w:hint="eastAsia" w:ascii="黑体" w:hAnsi="宋体" w:eastAsia="黑体"/>
          <w:kern w:val="0"/>
          <w:sz w:val="32"/>
        </w:rPr>
        <w:t>有关建议</w:t>
      </w:r>
    </w:p>
    <w:p>
      <w:pPr>
        <w:pBdr>
          <w:top w:val="none" w:color="000000" w:sz="0" w:space="0"/>
          <w:left w:val="none" w:color="000000" w:sz="0" w:space="0"/>
          <w:bottom w:val="none" w:color="000000" w:sz="0" w:space="21"/>
          <w:right w:val="none" w:color="000000" w:sz="0" w:space="0"/>
        </w:pBdr>
        <w:autoSpaceDN w:val="0"/>
        <w:spacing w:line="560" w:lineRule="exact"/>
        <w:ind w:firstLine="640" w:firstLineChars="200"/>
        <w:rPr>
          <w:rFonts w:hint="eastAsia" w:ascii="仿宋_GB2312"/>
          <w:sz w:val="32"/>
          <w:szCs w:val="32"/>
          <w:highlight w:val="none"/>
        </w:rPr>
      </w:pPr>
      <w:r>
        <w:rPr>
          <w:rFonts w:hint="eastAsia" w:ascii="仿宋_GB2312"/>
          <w:sz w:val="32"/>
          <w:szCs w:val="32"/>
          <w:highlight w:val="none"/>
        </w:rPr>
        <w:t>无</w:t>
      </w:r>
    </w:p>
    <w:p>
      <w:pPr>
        <w:numPr>
          <w:ilvl w:val="0"/>
          <w:numId w:val="0"/>
        </w:numPr>
        <w:pBdr>
          <w:top w:val="none" w:color="000000" w:sz="0" w:space="0"/>
          <w:left w:val="none" w:color="000000" w:sz="0" w:space="0"/>
          <w:bottom w:val="none" w:color="000000" w:sz="0" w:space="21"/>
          <w:right w:val="none" w:color="000000" w:sz="0" w:space="0"/>
        </w:pBdr>
        <w:autoSpaceDN w:val="0"/>
        <w:spacing w:line="560" w:lineRule="exact"/>
        <w:ind w:leftChars="200" w:firstLine="320" w:firstLineChars="100"/>
        <w:rPr>
          <w:rFonts w:hint="eastAsia" w:ascii="黑体" w:hAnsi="宋体" w:eastAsia="黑体"/>
          <w:kern w:val="0"/>
          <w:sz w:val="32"/>
        </w:rPr>
      </w:pPr>
      <w:r>
        <w:rPr>
          <w:rFonts w:hint="eastAsia" w:ascii="黑体" w:hAnsi="宋体" w:eastAsia="黑体"/>
          <w:kern w:val="0"/>
          <w:sz w:val="32"/>
          <w:lang w:eastAsia="zh-CN"/>
        </w:rPr>
        <w:t>七、</w:t>
      </w:r>
      <w:r>
        <w:rPr>
          <w:rFonts w:hint="eastAsia" w:ascii="黑体" w:hAnsi="宋体" w:eastAsia="黑体"/>
          <w:kern w:val="0"/>
          <w:sz w:val="32"/>
        </w:rPr>
        <w:t>其他需要说明的问题</w:t>
      </w:r>
    </w:p>
    <w:p>
      <w:pPr>
        <w:pStyle w:val="2"/>
        <w:numPr>
          <w:ilvl w:val="0"/>
          <w:numId w:val="0"/>
        </w:numPr>
        <w:ind w:leftChars="200"/>
        <w:rPr>
          <w:rFonts w:hint="eastAsia" w:eastAsia="宋体"/>
          <w:lang w:val="en-US" w:eastAsia="zh-CN"/>
        </w:rPr>
      </w:pPr>
      <w:r>
        <w:rPr>
          <w:rFonts w:hint="eastAsia"/>
          <w:lang w:val="en-US" w:eastAsia="zh-CN"/>
        </w:rPr>
        <w:t xml:space="preserve">   无</w:t>
      </w:r>
    </w:p>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E244A8"/>
    <w:multiLevelType w:val="singleLevel"/>
    <w:tmpl w:val="3AE244A8"/>
    <w:lvl w:ilvl="0" w:tentative="0">
      <w:start w:val="3"/>
      <w:numFmt w:val="chineseCounting"/>
      <w:suff w:val="nothing"/>
      <w:lvlText w:val="（%1）"/>
      <w:lvlJc w:val="left"/>
      <w:rPr>
        <w:rFonts w:hint="eastAsia"/>
      </w:rPr>
    </w:lvl>
  </w:abstractNum>
  <w:abstractNum w:abstractNumId="1">
    <w:nsid w:val="655F297E"/>
    <w:multiLevelType w:val="singleLevel"/>
    <w:tmpl w:val="655F297E"/>
    <w:lvl w:ilvl="0" w:tentative="0">
      <w:start w:val="2"/>
      <w:numFmt w:val="chineseCounting"/>
      <w:suff w:val="nothing"/>
      <w:lvlText w:val="（%1）"/>
      <w:lvlJc w:val="left"/>
      <w:rPr>
        <w:rFonts w:hint="eastAsia"/>
      </w:rPr>
    </w:lvl>
  </w:abstractNum>
  <w:abstractNum w:abstractNumId="2">
    <w:nsid w:val="66F26226"/>
    <w:multiLevelType w:val="singleLevel"/>
    <w:tmpl w:val="66F26226"/>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0ZGFkNjVlMjliNzI2Y2I2NDkzMWFmZTBkZWVhMDgifQ=="/>
  </w:docVars>
  <w:rsids>
    <w:rsidRoot w:val="00172A27"/>
    <w:rsid w:val="00B10F38"/>
    <w:rsid w:val="1E443686"/>
    <w:rsid w:val="25B830CE"/>
    <w:rsid w:val="65413C26"/>
    <w:rsid w:val="710F2D43"/>
    <w:rsid w:val="73F250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default" w:ascii="Calibri" w:hAnsi="Calibri" w:eastAsia="宋体" w:cstheme="minorBidi"/>
      <w:kern w:val="2"/>
      <w:sz w:val="21"/>
      <w:lang w:val="en-US" w:eastAsia="zh-CN"/>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beforeLines="0" w:after="120" w:afterLines="0"/>
    </w:pPr>
    <w:rPr>
      <w:rFonts w:hint="default"/>
      <w:sz w:val="21"/>
    </w:rPr>
  </w:style>
  <w:style w:type="paragraph" w:styleId="3">
    <w:name w:val="footer"/>
    <w:basedOn w:val="1"/>
    <w:unhideWhenUsed/>
    <w:qFormat/>
    <w:uiPriority w:val="0"/>
    <w:pPr>
      <w:tabs>
        <w:tab w:val="center" w:pos="4153"/>
        <w:tab w:val="right" w:pos="8306"/>
      </w:tabs>
      <w:snapToGrid w:val="0"/>
      <w:spacing w:beforeLines="0" w:afterLines="0"/>
      <w:jc w:val="left"/>
    </w:pPr>
    <w:rPr>
      <w:rFonts w:hint="default"/>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2431</Words>
  <Characters>2681</Characters>
  <Lines>0</Lines>
  <Paragraphs>0</Paragraphs>
  <TotalTime>2</TotalTime>
  <ScaleCrop>false</ScaleCrop>
  <LinksUpToDate>false</LinksUpToDate>
  <CharactersWithSpaces>2692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2024-04-23T05:58:00Z</dcterms:created>
  <dc:creator>ASUS</dc:creator>
  <cp:lastModifiedBy>坦克</cp:lastModifiedBy>
  <dcterms:modified xsi:type="dcterms:W3CDTF">2024-05-31T03:24:38Z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99D216C789784C1E86D0E12EA1422EB3_12</vt:lpwstr>
  </property>
</Properties>
</file>