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Lines="0" w:afterLines="0" w:line="560" w:lineRule="exact"/>
        <w:jc w:val="left"/>
        <w:rPr>
          <w:rFonts w:hint="eastAsia" w:ascii="黑体" w:hAnsi="Times New Roman" w:eastAsia="黑体"/>
          <w:kern w:val="0"/>
          <w:sz w:val="21"/>
        </w:rPr>
      </w:pPr>
      <w:r>
        <w:rPr>
          <w:rFonts w:hint="eastAsia" w:ascii="黑体" w:hAnsi="Times New Roman" w:eastAsia="黑体"/>
          <w:kern w:val="0"/>
          <w:sz w:val="32"/>
        </w:rPr>
        <w:t>附件2-1：</w:t>
      </w:r>
    </w:p>
    <w:p>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r>
        <w:rPr>
          <w:rFonts w:hint="eastAsia" w:ascii="方正小标宋简体" w:hAnsi="方正小标宋简体" w:eastAsia="方正小标宋简体"/>
          <w:kern w:val="0"/>
          <w:sz w:val="32"/>
        </w:rPr>
        <w:t>项目支出部门评价报告</w:t>
      </w:r>
    </w:p>
    <w:p>
      <w:pPr>
        <w:autoSpaceDE w:val="0"/>
        <w:autoSpaceDN w:val="0"/>
        <w:adjustRightInd w:val="0"/>
        <w:spacing w:beforeLines="0" w:afterLines="0" w:line="560" w:lineRule="exact"/>
        <w:jc w:val="center"/>
        <w:rPr>
          <w:rFonts w:hint="eastAsia" w:ascii="黑体" w:hAnsi="宋体" w:eastAsia="黑体"/>
          <w:kern w:val="0"/>
          <w:sz w:val="21"/>
        </w:rPr>
      </w:pPr>
      <w:r>
        <w:rPr>
          <w:rFonts w:hint="eastAsia" w:ascii="楷体_GB2312" w:hAnsi="楷体_GB2312" w:eastAsia="楷体_GB2312"/>
          <w:kern w:val="0"/>
          <w:sz w:val="32"/>
        </w:rPr>
        <w:t xml:space="preserve">（ </w:t>
      </w:r>
      <w:r>
        <w:rPr>
          <w:rFonts w:hint="eastAsia" w:ascii="楷体_GB2312" w:hAnsi="楷体_GB2312" w:eastAsia="楷体_GB2312"/>
          <w:kern w:val="0"/>
          <w:sz w:val="32"/>
          <w:lang w:val="en-US" w:eastAsia="zh-CN"/>
        </w:rPr>
        <w:t>2023</w:t>
      </w:r>
      <w:r>
        <w:rPr>
          <w:rFonts w:hint="eastAsia" w:ascii="楷体_GB2312" w:hAnsi="楷体_GB2312" w:eastAsia="楷体_GB2312"/>
          <w:kern w:val="0"/>
          <w:sz w:val="32"/>
        </w:rPr>
        <w:t xml:space="preserve"> 年度）</w:t>
      </w:r>
    </w:p>
    <w:p>
      <w:pPr>
        <w:spacing w:line="56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一、基本情况</w:t>
      </w:r>
    </w:p>
    <w:p>
      <w:pPr>
        <w:spacing w:line="560" w:lineRule="exact"/>
        <w:ind w:firstLine="475" w:firstLineChars="148"/>
        <w:outlineLvl w:val="0"/>
        <w:rPr>
          <w:rFonts w:ascii="楷体" w:hAnsi="楷体" w:eastAsia="楷体" w:cs="楷体"/>
          <w:b/>
          <w:sz w:val="32"/>
          <w:szCs w:val="32"/>
          <w:highlight w:val="none"/>
        </w:rPr>
      </w:pPr>
      <w:r>
        <w:rPr>
          <w:rFonts w:hint="eastAsia" w:ascii="楷体" w:hAnsi="楷体" w:eastAsia="楷体" w:cs="楷体"/>
          <w:b/>
          <w:sz w:val="32"/>
          <w:szCs w:val="32"/>
          <w:highlight w:val="none"/>
        </w:rPr>
        <w:t>（一）项目概况。</w:t>
      </w:r>
    </w:p>
    <w:p>
      <w:pPr>
        <w:spacing w:line="560" w:lineRule="exact"/>
        <w:ind w:firstLine="643" w:firstLineChars="200"/>
        <w:outlineLvl w:val="0"/>
        <w:rPr>
          <w:rFonts w:ascii="仿宋_GB2312" w:eastAsia="仿宋_GB2312"/>
          <w:b/>
          <w:sz w:val="32"/>
          <w:szCs w:val="32"/>
          <w:highlight w:val="none"/>
        </w:rPr>
      </w:pPr>
      <w:r>
        <w:rPr>
          <w:rFonts w:hint="eastAsia" w:ascii="仿宋_GB2312"/>
          <w:b/>
          <w:sz w:val="32"/>
          <w:szCs w:val="32"/>
          <w:highlight w:val="none"/>
        </w:rPr>
        <w:t>1.项目背景和目的。</w:t>
      </w:r>
    </w:p>
    <w:p>
      <w:pPr>
        <w:spacing w:line="600" w:lineRule="exact"/>
        <w:ind w:firstLine="640" w:firstLineChars="200"/>
        <w:rPr>
          <w:rFonts w:hint="eastAsia"/>
          <w:sz w:val="32"/>
          <w:szCs w:val="32"/>
        </w:rPr>
      </w:pPr>
      <w:r>
        <w:rPr>
          <w:rFonts w:hint="eastAsia"/>
          <w:sz w:val="32"/>
          <w:szCs w:val="32"/>
        </w:rPr>
        <w:t>根据《安义县S218安义互通至石鼻镇段公路改建（安义县古村大道）工程建设协议》约定：古村大道工程总投资除上级补助资金外，不足部分由安义县政府兜底解决。</w:t>
      </w:r>
    </w:p>
    <w:p>
      <w:pPr>
        <w:spacing w:line="560" w:lineRule="exact"/>
        <w:ind w:firstLine="643" w:firstLineChars="200"/>
        <w:outlineLvl w:val="0"/>
        <w:rPr>
          <w:rFonts w:ascii="仿宋_GB2312" w:eastAsia="仿宋_GB2312"/>
          <w:b/>
          <w:sz w:val="32"/>
          <w:szCs w:val="32"/>
          <w:highlight w:val="none"/>
        </w:rPr>
      </w:pPr>
      <w:r>
        <w:rPr>
          <w:rFonts w:hint="eastAsia" w:ascii="仿宋_GB2312"/>
          <w:b/>
          <w:sz w:val="32"/>
          <w:szCs w:val="32"/>
          <w:highlight w:val="none"/>
        </w:rPr>
        <w:t>2.项目主要内容及实施情况。</w:t>
      </w:r>
    </w:p>
    <w:p>
      <w:pPr>
        <w:spacing w:line="600" w:lineRule="exact"/>
        <w:ind w:firstLine="640" w:firstLineChars="200"/>
        <w:rPr>
          <w:rFonts w:hint="eastAsia"/>
          <w:sz w:val="32"/>
          <w:szCs w:val="32"/>
        </w:rPr>
      </w:pPr>
      <w:r>
        <w:rPr>
          <w:rFonts w:hint="eastAsia"/>
          <w:sz w:val="32"/>
          <w:szCs w:val="32"/>
        </w:rPr>
        <w:t>根据南昌市公路事业发展中心《关于S218安义互通至石鼻镇段公路改建（安义县古村大道）完成工程工程量的函》，项目开工至今累计完成建安工程费约13000万元。前期已支付2000万元，本期申请支付工程款10000万元。</w:t>
      </w:r>
    </w:p>
    <w:p>
      <w:pPr>
        <w:spacing w:line="560" w:lineRule="exact"/>
        <w:ind w:firstLine="643" w:firstLineChars="200"/>
        <w:outlineLvl w:val="0"/>
        <w:rPr>
          <w:rFonts w:ascii="仿宋_GB2312" w:eastAsia="仿宋_GB2312"/>
          <w:b/>
          <w:sz w:val="32"/>
          <w:szCs w:val="32"/>
          <w:highlight w:val="none"/>
        </w:rPr>
      </w:pPr>
      <w:r>
        <w:rPr>
          <w:rFonts w:hint="eastAsia" w:ascii="仿宋_GB2312"/>
          <w:b/>
          <w:sz w:val="32"/>
          <w:szCs w:val="32"/>
          <w:highlight w:val="none"/>
        </w:rPr>
        <w:t>3.项目资金投入和使用情况。</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（1）项目预算安排。</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lang w:val="en-US" w:eastAsia="zh-CN"/>
        </w:rPr>
        <w:t>2023</w:t>
      </w:r>
      <w:r>
        <w:rPr>
          <w:rFonts w:hint="eastAsia" w:ascii="仿宋_GB2312"/>
          <w:sz w:val="32"/>
          <w:szCs w:val="32"/>
          <w:highlight w:val="none"/>
        </w:rPr>
        <w:t>年度</w:t>
      </w:r>
      <w:r>
        <w:rPr>
          <w:rFonts w:hint="eastAsia" w:ascii="仿宋_GB2312"/>
          <w:sz w:val="32"/>
          <w:szCs w:val="32"/>
          <w:highlight w:val="none"/>
          <w:lang w:val="en-US" w:eastAsia="zh-CN"/>
        </w:rPr>
        <w:t>下达</w:t>
      </w:r>
      <w:r>
        <w:rPr>
          <w:rFonts w:hint="eastAsia" w:ascii="仿宋_GB2312"/>
          <w:sz w:val="32"/>
          <w:szCs w:val="32"/>
          <w:highlight w:val="none"/>
        </w:rPr>
        <w:t>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专项资金财政预算为</w:t>
      </w:r>
      <w:r>
        <w:rPr>
          <w:rFonts w:hint="eastAsia" w:ascii="仿宋_GB2312"/>
          <w:sz w:val="32"/>
          <w:szCs w:val="32"/>
          <w:highlight w:val="none"/>
          <w:lang w:val="en-US" w:eastAsia="zh-CN"/>
        </w:rPr>
        <w:t>3000</w:t>
      </w:r>
      <w:r>
        <w:rPr>
          <w:rFonts w:hint="eastAsia" w:ascii="仿宋_GB2312"/>
          <w:sz w:val="32"/>
          <w:szCs w:val="32"/>
          <w:highlight w:val="none"/>
        </w:rPr>
        <w:t>万元。</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（2）项目资金实际到位情况。</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县财政按时下拨</w:t>
      </w:r>
      <w:r>
        <w:rPr>
          <w:rFonts w:hint="eastAsia" w:ascii="仿宋_GB2312"/>
          <w:sz w:val="32"/>
          <w:szCs w:val="32"/>
          <w:highlight w:val="none"/>
          <w:lang w:val="en-US" w:eastAsia="zh-CN"/>
        </w:rPr>
        <w:t>2023</w:t>
      </w:r>
      <w:r>
        <w:rPr>
          <w:rFonts w:hint="eastAsia" w:ascii="仿宋_GB2312"/>
          <w:sz w:val="32"/>
          <w:szCs w:val="32"/>
          <w:highlight w:val="none"/>
        </w:rPr>
        <w:t>年车购税补助地方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w:t>
      </w:r>
      <w:r>
        <w:rPr>
          <w:rFonts w:hint="eastAsia" w:ascii="仿宋_GB2312"/>
          <w:sz w:val="32"/>
          <w:szCs w:val="32"/>
          <w:highlight w:val="none"/>
          <w:lang w:val="en-US" w:eastAsia="zh-CN"/>
        </w:rPr>
        <w:t>3000</w:t>
      </w:r>
      <w:r>
        <w:rPr>
          <w:rFonts w:hint="eastAsia" w:ascii="仿宋_GB2312"/>
          <w:sz w:val="32"/>
          <w:szCs w:val="32"/>
          <w:highlight w:val="none"/>
        </w:rPr>
        <w:t>万元，项目资金到位率为</w:t>
      </w:r>
      <w:r>
        <w:rPr>
          <w:rFonts w:hint="eastAsia" w:ascii="仿宋_GB2312"/>
          <w:sz w:val="32"/>
          <w:szCs w:val="32"/>
          <w:highlight w:val="none"/>
          <w:lang w:val="en-US" w:eastAsia="zh-CN"/>
        </w:rPr>
        <w:t>100</w:t>
      </w:r>
      <w:r>
        <w:rPr>
          <w:rFonts w:hint="eastAsia" w:ascii="仿宋_GB2312"/>
          <w:sz w:val="32"/>
          <w:szCs w:val="32"/>
          <w:highlight w:val="none"/>
        </w:rPr>
        <w:t>%</w:t>
      </w:r>
      <w:r>
        <w:rPr>
          <w:rFonts w:hint="eastAsia" w:ascii="仿宋_GB2312"/>
          <w:sz w:val="32"/>
          <w:szCs w:val="32"/>
          <w:highlight w:val="none"/>
          <w:lang w:eastAsia="zh-CN"/>
        </w:rPr>
        <w:t>，</w:t>
      </w:r>
      <w:r>
        <w:rPr>
          <w:rFonts w:hint="eastAsia" w:ascii="仿宋_GB2312"/>
          <w:sz w:val="32"/>
          <w:szCs w:val="32"/>
          <w:highlight w:val="none"/>
        </w:rPr>
        <w:t>。</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（3）项目资金实际支出情况。</w:t>
      </w:r>
    </w:p>
    <w:p>
      <w:pPr>
        <w:spacing w:line="560" w:lineRule="exact"/>
        <w:ind w:firstLine="640" w:firstLineChars="200"/>
        <w:outlineLvl w:val="0"/>
        <w:rPr>
          <w:rFonts w:hint="eastAsia" w:ascii="仿宋_GB2312" w:eastAsia="宋体"/>
          <w:sz w:val="32"/>
          <w:szCs w:val="32"/>
          <w:highlight w:val="none"/>
          <w:lang w:val="en-US" w:eastAsia="zh-CN"/>
        </w:rPr>
      </w:pPr>
      <w:r>
        <w:rPr>
          <w:rFonts w:hint="eastAsia" w:ascii="仿宋_GB2312"/>
          <w:sz w:val="32"/>
          <w:szCs w:val="32"/>
          <w:highlight w:val="none"/>
        </w:rPr>
        <w:t>截至</w:t>
      </w:r>
      <w:r>
        <w:rPr>
          <w:rFonts w:hint="eastAsia" w:ascii="仿宋_GB2312"/>
          <w:sz w:val="32"/>
          <w:szCs w:val="32"/>
          <w:highlight w:val="none"/>
          <w:lang w:val="en-US" w:eastAsia="zh-CN"/>
        </w:rPr>
        <w:t>2023</w:t>
      </w:r>
      <w:r>
        <w:rPr>
          <w:rFonts w:hint="eastAsia" w:ascii="仿宋_GB2312"/>
          <w:sz w:val="32"/>
          <w:szCs w:val="32"/>
          <w:highlight w:val="none"/>
        </w:rPr>
        <w:t>年12月31日，车购税补助地方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专项资金实际支出</w:t>
      </w:r>
      <w:r>
        <w:rPr>
          <w:rFonts w:hint="eastAsia" w:ascii="仿宋_GB2312"/>
          <w:sz w:val="32"/>
          <w:szCs w:val="32"/>
          <w:highlight w:val="none"/>
          <w:lang w:val="en-US" w:eastAsia="zh-CN"/>
        </w:rPr>
        <w:t>3000</w:t>
      </w:r>
      <w:r>
        <w:rPr>
          <w:rFonts w:hint="eastAsia" w:ascii="仿宋_GB2312"/>
          <w:sz w:val="32"/>
          <w:szCs w:val="32"/>
          <w:highlight w:val="none"/>
        </w:rPr>
        <w:t>万元</w:t>
      </w:r>
      <w:r>
        <w:rPr>
          <w:rFonts w:hint="eastAsia" w:ascii="仿宋_GB2312"/>
          <w:sz w:val="32"/>
          <w:szCs w:val="32"/>
          <w:highlight w:val="none"/>
          <w:lang w:val="en-US" w:eastAsia="zh-CN"/>
        </w:rPr>
        <w:t>,</w:t>
      </w:r>
      <w:r>
        <w:rPr>
          <w:rFonts w:hint="eastAsia" w:ascii="仿宋_GB2312"/>
          <w:sz w:val="32"/>
          <w:szCs w:val="32"/>
          <w:highlight w:val="none"/>
        </w:rPr>
        <w:t>项目资金到</w:t>
      </w:r>
      <w:r>
        <w:rPr>
          <w:rFonts w:hint="eastAsia" w:ascii="仿宋_GB2312"/>
          <w:sz w:val="32"/>
          <w:szCs w:val="32"/>
          <w:highlight w:val="none"/>
          <w:lang w:eastAsia="zh-CN"/>
        </w:rPr>
        <w:t>执行率为</w:t>
      </w:r>
      <w:r>
        <w:rPr>
          <w:rFonts w:hint="eastAsia" w:ascii="仿宋_GB2312"/>
          <w:sz w:val="32"/>
          <w:szCs w:val="32"/>
          <w:highlight w:val="none"/>
          <w:lang w:val="en-US" w:eastAsia="zh-CN"/>
        </w:rPr>
        <w:t>100</w:t>
      </w:r>
      <w:r>
        <w:rPr>
          <w:rFonts w:hint="eastAsia" w:ascii="仿宋_GB2312"/>
          <w:sz w:val="32"/>
          <w:szCs w:val="32"/>
          <w:highlight w:val="none"/>
        </w:rPr>
        <w:t>%</w:t>
      </w:r>
      <w:r>
        <w:rPr>
          <w:rFonts w:hint="eastAsia" w:ascii="仿宋_GB2312"/>
          <w:sz w:val="32"/>
          <w:szCs w:val="32"/>
          <w:highlight w:val="none"/>
          <w:lang w:val="en-US" w:eastAsia="zh-CN"/>
        </w:rPr>
        <w:t>.</w:t>
      </w:r>
    </w:p>
    <w:p>
      <w:pPr>
        <w:numPr>
          <w:ilvl w:val="0"/>
          <w:numId w:val="1"/>
        </w:numPr>
        <w:spacing w:line="560" w:lineRule="exact"/>
        <w:ind w:firstLine="475" w:firstLineChars="148"/>
        <w:outlineLvl w:val="0"/>
        <w:rPr>
          <w:rFonts w:hint="eastAsia" w:ascii="楷体" w:hAnsi="楷体" w:eastAsia="楷体" w:cs="楷体"/>
          <w:b/>
          <w:sz w:val="32"/>
          <w:szCs w:val="32"/>
          <w:highlight w:val="none"/>
        </w:rPr>
      </w:pPr>
      <w:r>
        <w:rPr>
          <w:rFonts w:hint="eastAsia" w:ascii="楷体" w:hAnsi="楷体" w:eastAsia="楷体" w:cs="楷体"/>
          <w:b/>
          <w:sz w:val="32"/>
          <w:szCs w:val="32"/>
          <w:highlight w:val="none"/>
        </w:rPr>
        <w:t>项目绩效目标。</w:t>
      </w:r>
    </w:p>
    <w:p>
      <w:pPr>
        <w:spacing w:line="560" w:lineRule="exact"/>
        <w:ind w:firstLine="640" w:firstLineChars="200"/>
        <w:outlineLvl w:val="0"/>
      </w:pPr>
      <w:r>
        <w:rPr>
          <w:rFonts w:hint="eastAsia" w:ascii="仿宋_GB2312"/>
          <w:sz w:val="32"/>
          <w:szCs w:val="32"/>
          <w:highlight w:val="none"/>
        </w:rPr>
        <w:t>在县委、县政府的正确领导和强力推动下，以扩大有效投资为目标，主动作为，精准发力，抓龙头、补链条、聚集群，在全县深入实施“一核两重”产业发展战略和“强攻产业、决战工业”决策部署，以构建开放型经济新体制综合试验为契机，全力推进交通强省的总体目标。</w:t>
      </w:r>
    </w:p>
    <w:p>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二、绩效评价工作开展情况</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（一）绩效评价目的、对象和范围。</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财政支出绩效评价是从深化部门预算改革和加强预算绩效管理的实际需要出发，通过科学合理的方法，客观公正地评价财政资金使用的规范性、经济性、效率性和效益性，是强化部门预算支出责任、改善财政支出管理、优化资源配置以及提高公共服务水平的重要手段。</w:t>
      </w:r>
    </w:p>
    <w:p>
      <w:pPr>
        <w:spacing w:line="560" w:lineRule="exact"/>
        <w:ind w:firstLine="640" w:firstLineChars="200"/>
        <w:outlineLvl w:val="0"/>
        <w:rPr>
          <w:rFonts w:hint="eastAsia"/>
        </w:rPr>
      </w:pPr>
      <w:r>
        <w:rPr>
          <w:rFonts w:hint="eastAsia" w:ascii="仿宋_GB2312"/>
          <w:sz w:val="32"/>
          <w:szCs w:val="32"/>
          <w:highlight w:val="none"/>
        </w:rPr>
        <w:t>开展</w:t>
      </w:r>
      <w:r>
        <w:rPr>
          <w:rFonts w:hint="eastAsia" w:ascii="仿宋_GB2312"/>
          <w:sz w:val="32"/>
          <w:szCs w:val="32"/>
          <w:highlight w:val="none"/>
          <w:lang w:val="en-US" w:eastAsia="zh-CN"/>
        </w:rPr>
        <w:t>2023</w:t>
      </w:r>
      <w:r>
        <w:rPr>
          <w:rFonts w:hint="eastAsia" w:ascii="仿宋_GB2312"/>
          <w:sz w:val="32"/>
          <w:szCs w:val="32"/>
          <w:highlight w:val="none"/>
        </w:rPr>
        <w:t>年</w:t>
      </w:r>
      <w:r>
        <w:rPr>
          <w:rFonts w:hint="eastAsia" w:ascii="仿宋_GB2312"/>
          <w:sz w:val="32"/>
          <w:szCs w:val="32"/>
          <w:highlight w:val="none"/>
          <w:lang w:val="en-US" w:eastAsia="zh-CN"/>
        </w:rPr>
        <w:t>交通建设</w:t>
      </w:r>
      <w:r>
        <w:rPr>
          <w:rFonts w:hint="eastAsia" w:ascii="仿宋_GB2312"/>
          <w:sz w:val="32"/>
          <w:szCs w:val="32"/>
          <w:highlight w:val="none"/>
        </w:rPr>
        <w:t>专项资金绩效评价工作的目的，是要通过对项目各项绩效指标完成情况的全面检查和综合分析，客观公正地评价项目的实施绩效，积极推动我局财政项目支出绩效管理工作的进一步完善，积极推动我县开放型经济的稳步发展和确保项目顺利完成。</w:t>
      </w:r>
    </w:p>
    <w:p>
      <w:pPr>
        <w:numPr>
          <w:ilvl w:val="0"/>
          <w:numId w:val="1"/>
        </w:numPr>
        <w:spacing w:line="560" w:lineRule="exact"/>
        <w:ind w:left="0" w:leftChars="0" w:firstLine="473" w:firstLineChars="148"/>
        <w:outlineLvl w:val="0"/>
        <w:rPr>
          <w:rFonts w:hint="eastAsia" w:ascii="仿宋_GB2312" w:hAnsi="Times New Roman" w:eastAsia="仿宋_GB2312"/>
          <w:kern w:val="0"/>
          <w:sz w:val="32"/>
        </w:rPr>
      </w:pPr>
      <w:r>
        <w:rPr>
          <w:rFonts w:hint="eastAsia" w:ascii="仿宋_GB2312" w:hAnsi="Times New Roman" w:eastAsia="仿宋_GB2312"/>
          <w:kern w:val="0"/>
          <w:sz w:val="32"/>
        </w:rPr>
        <w:t>绩效评价原则、评价指标体系、评价方法、评价标准等。</w:t>
      </w:r>
    </w:p>
    <w:p>
      <w:pPr>
        <w:numPr>
          <w:ilvl w:val="0"/>
          <w:numId w:val="0"/>
        </w:numPr>
        <w:spacing w:line="560" w:lineRule="exact"/>
        <w:ind w:leftChars="148"/>
        <w:outlineLvl w:val="0"/>
        <w:rPr>
          <w:rFonts w:ascii="仿宋_GB2312" w:eastAsia="仿宋_GB2312"/>
          <w:b/>
          <w:sz w:val="32"/>
          <w:szCs w:val="32"/>
          <w:highlight w:val="none"/>
        </w:rPr>
      </w:pPr>
      <w:r>
        <w:rPr>
          <w:rFonts w:hint="eastAsia" w:ascii="仿宋_GB2312"/>
          <w:b/>
          <w:sz w:val="32"/>
          <w:szCs w:val="32"/>
          <w:highlight w:val="none"/>
        </w:rPr>
        <w:t>1.评价原则和评价方法。</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lang w:val="en-US" w:eastAsia="zh-CN"/>
        </w:rPr>
        <w:t>2023</w:t>
      </w:r>
      <w:r>
        <w:rPr>
          <w:rFonts w:hint="eastAsia" w:ascii="仿宋_GB2312"/>
          <w:sz w:val="32"/>
          <w:szCs w:val="32"/>
          <w:highlight w:val="none"/>
        </w:rPr>
        <w:t>年</w:t>
      </w:r>
      <w:r>
        <w:rPr>
          <w:rFonts w:hint="eastAsia" w:ascii="仿宋_GB2312"/>
          <w:sz w:val="32"/>
          <w:szCs w:val="32"/>
          <w:highlight w:val="none"/>
          <w:lang w:val="en-US" w:eastAsia="zh-CN"/>
        </w:rPr>
        <w:t>交通建设</w:t>
      </w:r>
      <w:r>
        <w:rPr>
          <w:rFonts w:hint="eastAsia" w:ascii="仿宋_GB2312"/>
          <w:sz w:val="32"/>
          <w:szCs w:val="32"/>
          <w:highlight w:val="none"/>
        </w:rPr>
        <w:t>专项资金绩效评价遵循科学规范、全面系统、客观公正和绩效相关的工作原则，采用目标管理评价法，对绩效评价指标体系进行综合评分，从定量和定性两方面对项目实施绩效进行评价。</w:t>
      </w:r>
    </w:p>
    <w:p>
      <w:pPr>
        <w:spacing w:line="560" w:lineRule="exact"/>
        <w:ind w:firstLine="643" w:firstLineChars="200"/>
        <w:outlineLvl w:val="0"/>
        <w:rPr>
          <w:rFonts w:ascii="仿宋_GB2312" w:eastAsia="仿宋_GB2312"/>
          <w:b/>
          <w:sz w:val="32"/>
          <w:szCs w:val="32"/>
          <w:highlight w:val="none"/>
        </w:rPr>
      </w:pPr>
      <w:r>
        <w:rPr>
          <w:rFonts w:hint="eastAsia" w:ascii="仿宋_GB2312"/>
          <w:b/>
          <w:sz w:val="32"/>
          <w:szCs w:val="32"/>
          <w:highlight w:val="none"/>
        </w:rPr>
        <w:t>2.评价指标体系。</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根据</w:t>
      </w:r>
      <w:r>
        <w:rPr>
          <w:rFonts w:hint="eastAsia" w:ascii="仿宋_GB2312"/>
          <w:sz w:val="32"/>
          <w:szCs w:val="32"/>
          <w:highlight w:val="none"/>
          <w:lang w:val="en-US" w:eastAsia="zh-CN"/>
        </w:rPr>
        <w:t>2023</w:t>
      </w:r>
      <w:r>
        <w:rPr>
          <w:rFonts w:hint="eastAsia" w:ascii="仿宋_GB2312"/>
          <w:sz w:val="32"/>
          <w:szCs w:val="32"/>
          <w:highlight w:val="none"/>
        </w:rPr>
        <w:t>年度各项工作的目标要求，参考财政部预算绩效管理共性指标体系框架，根据项目支出类型,构建202</w:t>
      </w:r>
      <w:r>
        <w:rPr>
          <w:rFonts w:hint="eastAsia" w:ascii="仿宋_GB2312"/>
          <w:sz w:val="32"/>
          <w:szCs w:val="32"/>
          <w:highlight w:val="none"/>
          <w:lang w:val="en-US" w:eastAsia="zh-CN"/>
        </w:rPr>
        <w:t>3</w:t>
      </w:r>
      <w:r>
        <w:rPr>
          <w:rFonts w:hint="eastAsia" w:ascii="仿宋_GB2312"/>
          <w:sz w:val="32"/>
          <w:szCs w:val="32"/>
          <w:highlight w:val="none"/>
        </w:rPr>
        <w:t>年度专项资金绩效评价指标体系，并设置了合理的权重和评价标准，指标体系涵盖了我局202</w:t>
      </w:r>
      <w:r>
        <w:rPr>
          <w:rFonts w:hint="eastAsia" w:ascii="仿宋_GB2312"/>
          <w:sz w:val="32"/>
          <w:szCs w:val="32"/>
          <w:highlight w:val="none"/>
          <w:lang w:val="en-US" w:eastAsia="zh-CN"/>
        </w:rPr>
        <w:t>3</w:t>
      </w:r>
      <w:r>
        <w:rPr>
          <w:rFonts w:hint="eastAsia" w:ascii="仿宋_GB2312"/>
          <w:sz w:val="32"/>
          <w:szCs w:val="32"/>
          <w:highlight w:val="none"/>
        </w:rPr>
        <w:t>年各项工作的项目管理、项目产出、产出质量和产出效果等。</w:t>
      </w:r>
    </w:p>
    <w:p>
      <w:pPr>
        <w:spacing w:line="560" w:lineRule="exact"/>
        <w:ind w:firstLine="640" w:firstLineChars="200"/>
        <w:outlineLvl w:val="0"/>
        <w:rPr>
          <w:rFonts w:ascii="仿宋_GB2312"/>
          <w:bCs/>
          <w:highlight w:val="none"/>
        </w:rPr>
      </w:pPr>
      <w:r>
        <w:rPr>
          <w:rFonts w:hint="eastAsia" w:ascii="仿宋_GB2312"/>
          <w:sz w:val="32"/>
          <w:szCs w:val="32"/>
          <w:highlight w:val="none"/>
        </w:rPr>
        <w:t>详见202</w:t>
      </w:r>
      <w:r>
        <w:rPr>
          <w:rFonts w:hint="eastAsia" w:ascii="仿宋_GB2312"/>
          <w:sz w:val="32"/>
          <w:szCs w:val="32"/>
          <w:highlight w:val="none"/>
          <w:lang w:val="en-US" w:eastAsia="zh-CN"/>
        </w:rPr>
        <w:t>3</w:t>
      </w:r>
      <w:r>
        <w:rPr>
          <w:rFonts w:hint="eastAsia" w:ascii="仿宋_GB2312"/>
          <w:sz w:val="32"/>
          <w:szCs w:val="32"/>
          <w:highlight w:val="none"/>
        </w:rPr>
        <w:t>年度各项专项资金绩效评价评分表。</w:t>
      </w:r>
    </w:p>
    <w:p>
      <w:pPr>
        <w:spacing w:line="560" w:lineRule="exact"/>
        <w:ind w:firstLine="643" w:firstLineChars="200"/>
        <w:outlineLvl w:val="0"/>
        <w:rPr>
          <w:rFonts w:ascii="仿宋_GB2312" w:eastAsia="仿宋_GB2312"/>
          <w:b/>
          <w:sz w:val="32"/>
          <w:szCs w:val="32"/>
          <w:highlight w:val="none"/>
        </w:rPr>
      </w:pPr>
      <w:r>
        <w:rPr>
          <w:rFonts w:hint="eastAsia" w:ascii="仿宋_GB2312"/>
          <w:b/>
          <w:sz w:val="32"/>
          <w:szCs w:val="32"/>
          <w:highlight w:val="none"/>
        </w:rPr>
        <w:t>3. 评价标准。</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(1)财政部《财政支出绩效评价暂行管理办法》（财预[2011]285号）；</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(2)财政部《推进预算绩效管理的指导意见》（财预[2011]416号）；</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 xml:space="preserve"> (3)财政部《预算绩效管理共性指标体系框架》（财预[2013]53号）；</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(4)江西省人民政府《关于全面推进预算绩效管理的实施意见》（赣府发[2013]8号）；</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(5)南昌市人民政府《关于印发&lt;南昌市财政支出绩效评价管理办法&gt;(试行)的通知》(洪府发[2014]8号)；</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(6)《中共南昌市委、南昌市人民政府关于全面实施预算绩效管理的实施意见》（洪发[2019]13号）；</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(7)《项目支出绩效评价管理办法》（财预[2020]10号）；</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(8)《安义县财政局关于开展2019年度县级部门财政项目支出绩效评价工作的通知》（安财字[2020]12号）。</w:t>
      </w:r>
    </w:p>
    <w:p>
      <w:pPr>
        <w:pStyle w:val="2"/>
        <w:spacing w:line="560" w:lineRule="exact"/>
        <w:rPr>
          <w:rFonts w:ascii="仿宋_GB2312"/>
          <w:sz w:val="32"/>
          <w:szCs w:val="32"/>
          <w:highlight w:val="none"/>
        </w:rPr>
      </w:pPr>
      <w:r>
        <w:rPr>
          <w:rFonts w:hint="eastAsia" w:ascii="仿宋_GB2312"/>
          <w:sz w:val="32"/>
          <w:szCs w:val="32"/>
          <w:highlight w:val="none"/>
        </w:rPr>
        <w:t xml:space="preserve">   （9）《安义县财政局关于印发&lt;安义县财政项目支出绩效评价管理办法&gt;的通知》（安财字[2021]13号）。</w:t>
      </w:r>
    </w:p>
    <w:p>
      <w:pPr>
        <w:spacing w:line="560" w:lineRule="exact"/>
        <w:ind w:firstLine="473" w:firstLineChars="148"/>
        <w:outlineLvl w:val="0"/>
        <w:rPr>
          <w:rFonts w:hint="eastAsia" w:ascii="仿宋_GB2312" w:eastAsia="仿宋_GB2312"/>
          <w:kern w:val="0"/>
          <w:sz w:val="21"/>
        </w:rPr>
      </w:pPr>
      <w:r>
        <w:rPr>
          <w:rFonts w:hint="eastAsia" w:ascii="仿宋_GB2312"/>
          <w:sz w:val="32"/>
          <w:szCs w:val="32"/>
          <w:highlight w:val="none"/>
        </w:rPr>
        <w:t>（10）《安义县财政局关于开展202</w:t>
      </w:r>
      <w:r>
        <w:rPr>
          <w:rFonts w:hint="eastAsia" w:ascii="仿宋_GB2312"/>
          <w:sz w:val="32"/>
          <w:szCs w:val="32"/>
          <w:highlight w:val="none"/>
          <w:lang w:val="en-US" w:eastAsia="zh-CN"/>
        </w:rPr>
        <w:t>3</w:t>
      </w:r>
      <w:r>
        <w:rPr>
          <w:rFonts w:hint="eastAsia" w:ascii="仿宋_GB2312"/>
          <w:sz w:val="32"/>
          <w:szCs w:val="32"/>
          <w:highlight w:val="none"/>
        </w:rPr>
        <w:t>年度预算绩效管理有关工作的通知》（安财字[202</w:t>
      </w:r>
      <w:r>
        <w:rPr>
          <w:rFonts w:hint="eastAsia" w:ascii="仿宋_GB2312"/>
          <w:sz w:val="32"/>
          <w:szCs w:val="32"/>
          <w:highlight w:val="none"/>
          <w:lang w:val="en-US" w:eastAsia="zh-CN"/>
        </w:rPr>
        <w:t>4</w:t>
      </w:r>
      <w:r>
        <w:rPr>
          <w:rFonts w:hint="eastAsia" w:ascii="仿宋_GB2312"/>
          <w:sz w:val="32"/>
          <w:szCs w:val="32"/>
          <w:highlight w:val="none"/>
        </w:rPr>
        <w:t>]</w:t>
      </w:r>
      <w:r>
        <w:rPr>
          <w:rFonts w:hint="eastAsia" w:ascii="仿宋_GB2312"/>
          <w:sz w:val="32"/>
          <w:szCs w:val="32"/>
          <w:highlight w:val="none"/>
          <w:lang w:val="en-US" w:eastAsia="zh-CN"/>
        </w:rPr>
        <w:t>36</w:t>
      </w:r>
      <w:r>
        <w:rPr>
          <w:rFonts w:hint="eastAsia" w:ascii="仿宋_GB2312"/>
          <w:sz w:val="32"/>
          <w:szCs w:val="32"/>
          <w:highlight w:val="none"/>
        </w:rPr>
        <w:t>号）。</w:t>
      </w:r>
    </w:p>
    <w:p>
      <w:pPr>
        <w:numPr>
          <w:ilvl w:val="0"/>
          <w:numId w:val="2"/>
        </w:num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绩效评价工作过程。</w:t>
      </w:r>
    </w:p>
    <w:p>
      <w:pPr>
        <w:spacing w:line="560" w:lineRule="exact"/>
        <w:ind w:firstLine="640" w:firstLineChars="200"/>
        <w:outlineLvl w:val="0"/>
        <w:rPr>
          <w:rFonts w:hint="eastAsia"/>
        </w:rPr>
      </w:pPr>
      <w:r>
        <w:rPr>
          <w:rFonts w:hint="eastAsia" w:ascii="仿宋_GB2312"/>
          <w:sz w:val="32"/>
          <w:szCs w:val="32"/>
          <w:highlight w:val="none"/>
        </w:rPr>
        <w:t>根据《安义县财政局关于开展202</w:t>
      </w:r>
      <w:r>
        <w:rPr>
          <w:rFonts w:hint="eastAsia" w:ascii="仿宋_GB2312"/>
          <w:sz w:val="32"/>
          <w:szCs w:val="32"/>
          <w:highlight w:val="none"/>
          <w:lang w:val="en-US" w:eastAsia="zh-CN"/>
        </w:rPr>
        <w:t>3</w:t>
      </w:r>
      <w:r>
        <w:rPr>
          <w:rFonts w:hint="eastAsia" w:ascii="仿宋_GB2312"/>
          <w:sz w:val="32"/>
          <w:szCs w:val="32"/>
          <w:highlight w:val="none"/>
        </w:rPr>
        <w:t>年度预算绩效管理有关工作的通知》（安财字[202</w:t>
      </w:r>
      <w:r>
        <w:rPr>
          <w:rFonts w:hint="eastAsia" w:ascii="仿宋_GB2312"/>
          <w:sz w:val="32"/>
          <w:szCs w:val="32"/>
          <w:highlight w:val="none"/>
          <w:lang w:val="en-US" w:eastAsia="zh-CN"/>
        </w:rPr>
        <w:t>4</w:t>
      </w:r>
      <w:r>
        <w:rPr>
          <w:rFonts w:hint="eastAsia" w:ascii="仿宋_GB2312"/>
          <w:sz w:val="32"/>
          <w:szCs w:val="32"/>
          <w:highlight w:val="none"/>
        </w:rPr>
        <w:t>]</w:t>
      </w:r>
      <w:r>
        <w:rPr>
          <w:rFonts w:hint="eastAsia" w:ascii="仿宋_GB2312"/>
          <w:sz w:val="32"/>
          <w:szCs w:val="32"/>
          <w:highlight w:val="none"/>
          <w:lang w:val="en-US" w:eastAsia="zh-CN"/>
        </w:rPr>
        <w:t>36</w:t>
      </w:r>
      <w:r>
        <w:rPr>
          <w:rFonts w:hint="eastAsia" w:ascii="仿宋_GB2312"/>
          <w:sz w:val="32"/>
          <w:szCs w:val="32"/>
          <w:highlight w:val="none"/>
        </w:rPr>
        <w:t>号）的要求，我局认真组织开展安义县20</w:t>
      </w:r>
      <w:r>
        <w:rPr>
          <w:rFonts w:hint="eastAsia" w:ascii="仿宋_GB2312"/>
          <w:sz w:val="32"/>
          <w:szCs w:val="32"/>
          <w:highlight w:val="none"/>
          <w:lang w:val="en-US" w:eastAsia="zh-CN"/>
        </w:rPr>
        <w:t>23</w:t>
      </w:r>
      <w:r>
        <w:rPr>
          <w:rFonts w:hint="eastAsia" w:ascii="仿宋_GB2312"/>
          <w:sz w:val="32"/>
          <w:szCs w:val="32"/>
          <w:highlight w:val="none"/>
        </w:rPr>
        <w:t>年</w:t>
      </w:r>
      <w:r>
        <w:rPr>
          <w:rFonts w:hint="eastAsia" w:ascii="仿宋_GB2312"/>
          <w:sz w:val="32"/>
          <w:szCs w:val="32"/>
          <w:highlight w:val="none"/>
          <w:lang w:val="en-US" w:eastAsia="zh-CN"/>
        </w:rPr>
        <w:t>交通建设</w:t>
      </w:r>
      <w:r>
        <w:rPr>
          <w:rFonts w:hint="eastAsia" w:ascii="仿宋_GB2312"/>
          <w:sz w:val="32"/>
          <w:szCs w:val="32"/>
          <w:highlight w:val="none"/>
        </w:rPr>
        <w:t>专项资金绩效评价工作，成立绩效评价工作小组，制定工作方案。工作小组认真组织相关数据统计和佐证材料收集等工作，围绕绩效评价指标体系，逐项严格评分，认真完成了项目绩效评价报告的撰写，报告力求客观、公正、全面地反映</w:t>
      </w:r>
      <w:r>
        <w:rPr>
          <w:rFonts w:hint="eastAsia" w:ascii="仿宋_GB2312"/>
          <w:sz w:val="32"/>
          <w:szCs w:val="32"/>
          <w:highlight w:val="none"/>
          <w:lang w:val="en-US" w:eastAsia="zh-CN"/>
        </w:rPr>
        <w:t>2023</w:t>
      </w:r>
      <w:r>
        <w:rPr>
          <w:rFonts w:hint="eastAsia" w:ascii="仿宋_GB2312"/>
          <w:sz w:val="32"/>
          <w:szCs w:val="32"/>
          <w:highlight w:val="none"/>
        </w:rPr>
        <w:t>年</w:t>
      </w:r>
      <w:r>
        <w:rPr>
          <w:rFonts w:hint="eastAsia" w:ascii="仿宋_GB2312"/>
          <w:sz w:val="32"/>
          <w:szCs w:val="32"/>
          <w:highlight w:val="none"/>
          <w:lang w:val="en-US" w:eastAsia="zh-CN"/>
        </w:rPr>
        <w:t>交通建设</w:t>
      </w:r>
      <w:r>
        <w:rPr>
          <w:rFonts w:hint="eastAsia" w:ascii="仿宋_GB2312"/>
          <w:sz w:val="32"/>
          <w:szCs w:val="32"/>
          <w:highlight w:val="none"/>
        </w:rPr>
        <w:t>专项资金的实际绩效。</w:t>
      </w:r>
    </w:p>
    <w:p>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三、综合评价情况及评价结论（附项目支出部门评价表）</w:t>
      </w:r>
    </w:p>
    <w:p>
      <w:pPr>
        <w:spacing w:line="560" w:lineRule="exact"/>
        <w:ind w:firstLine="640" w:firstLineChars="200"/>
        <w:outlineLvl w:val="0"/>
        <w:rPr>
          <w:rFonts w:hint="eastAsia" w:ascii="黑体" w:hAnsi="宋体" w:eastAsia="黑体"/>
          <w:kern w:val="0"/>
          <w:sz w:val="32"/>
        </w:rPr>
      </w:pPr>
      <w:r>
        <w:rPr>
          <w:rFonts w:hint="eastAsia" w:ascii="宋体" w:hAnsi="宋体" w:cs="宋体"/>
          <w:sz w:val="32"/>
          <w:szCs w:val="32"/>
          <w:highlight w:val="none"/>
        </w:rPr>
        <w:t>202</w:t>
      </w:r>
      <w:r>
        <w:rPr>
          <w:rFonts w:hint="eastAsia" w:ascii="宋体" w:hAnsi="宋体" w:cs="宋体"/>
          <w:sz w:val="32"/>
          <w:szCs w:val="32"/>
          <w:highlight w:val="none"/>
          <w:lang w:val="en-US" w:eastAsia="zh-CN"/>
        </w:rPr>
        <w:t>3</w:t>
      </w:r>
      <w:r>
        <w:rPr>
          <w:rFonts w:hint="eastAsia" w:ascii="宋体" w:hAnsi="宋体" w:cs="宋体"/>
          <w:sz w:val="32"/>
          <w:szCs w:val="32"/>
          <w:highlight w:val="none"/>
        </w:rPr>
        <w:t>年，</w:t>
      </w:r>
      <w:r>
        <w:rPr>
          <w:rFonts w:hint="eastAsia" w:ascii="宋体" w:hAnsi="宋体" w:cs="宋体"/>
          <w:color w:val="000000"/>
          <w:sz w:val="32"/>
          <w:szCs w:val="32"/>
          <w:highlight w:val="none"/>
        </w:rPr>
        <w:t>在县委、</w:t>
      </w:r>
      <w:r>
        <w:rPr>
          <w:rFonts w:hint="eastAsia" w:ascii="宋体" w:hAnsi="宋体" w:cs="宋体"/>
          <w:color w:val="000000"/>
          <w:sz w:val="32"/>
          <w:szCs w:val="32"/>
          <w:highlight w:val="none"/>
          <w:lang w:val="en-US" w:eastAsia="zh-CN"/>
        </w:rPr>
        <w:t>县</w:t>
      </w:r>
      <w:r>
        <w:rPr>
          <w:rFonts w:hint="eastAsia" w:ascii="宋体" w:hAnsi="宋体" w:cs="宋体"/>
          <w:color w:val="000000"/>
          <w:sz w:val="32"/>
          <w:szCs w:val="32"/>
          <w:highlight w:val="none"/>
        </w:rPr>
        <w:t>政府的坚强领导下，县交通运输局深入贯彻落实省、市和县委县政府决策部署，动员全局上下坚定信心、保持定力、鼓足干劲，直面疫情挑战，以“交通强省”、</w:t>
      </w:r>
      <w:bookmarkStart w:id="0" w:name="_GoBack"/>
      <w:bookmarkEnd w:id="0"/>
      <w:r>
        <w:rPr>
          <w:rFonts w:hint="eastAsia" w:ascii="宋体" w:hAnsi="宋体" w:cs="宋体"/>
          <w:color w:val="000000"/>
          <w:sz w:val="32"/>
          <w:szCs w:val="32"/>
          <w:highlight w:val="none"/>
        </w:rPr>
        <w:t>“产业高质量发展十大提升行动”，狠抓基础设施建设及对公益类企业的大力扶持。</w:t>
      </w:r>
      <w:r>
        <w:rPr>
          <w:rFonts w:hint="eastAsia" w:ascii="宋体" w:hAnsi="宋体" w:cs="宋体"/>
          <w:sz w:val="32"/>
          <w:szCs w:val="32"/>
          <w:highlight w:val="none"/>
        </w:rPr>
        <w:t>经综合评价，202</w:t>
      </w:r>
      <w:r>
        <w:rPr>
          <w:rFonts w:hint="eastAsia" w:ascii="宋体" w:hAnsi="宋体" w:cs="宋体"/>
          <w:sz w:val="32"/>
          <w:szCs w:val="32"/>
          <w:highlight w:val="none"/>
          <w:lang w:val="en-US" w:eastAsia="zh-CN"/>
        </w:rPr>
        <w:t>3</w:t>
      </w:r>
      <w:r>
        <w:rPr>
          <w:rFonts w:hint="eastAsia" w:ascii="宋体" w:hAnsi="宋体" w:cs="宋体"/>
          <w:sz w:val="32"/>
          <w:szCs w:val="32"/>
          <w:highlight w:val="none"/>
        </w:rPr>
        <w:t>年度</w:t>
      </w:r>
      <w:r>
        <w:rPr>
          <w:rFonts w:hint="eastAsia" w:ascii="仿宋_GB2312"/>
          <w:sz w:val="32"/>
          <w:szCs w:val="32"/>
          <w:highlight w:val="none"/>
          <w:lang w:val="en-US" w:eastAsia="zh-CN"/>
        </w:rPr>
        <w:t>交通建设</w:t>
      </w:r>
      <w:r>
        <w:rPr>
          <w:rFonts w:hint="eastAsia" w:ascii="宋体" w:hAnsi="宋体" w:cs="宋体"/>
          <w:sz w:val="32"/>
          <w:szCs w:val="32"/>
          <w:highlight w:val="none"/>
        </w:rPr>
        <w:t>专项资金的各项绩效指标均基本达标，经主管部门复核，202</w:t>
      </w:r>
      <w:r>
        <w:rPr>
          <w:rFonts w:hint="eastAsia" w:ascii="宋体" w:hAnsi="宋体" w:cs="宋体"/>
          <w:sz w:val="32"/>
          <w:szCs w:val="32"/>
          <w:highlight w:val="none"/>
          <w:lang w:val="en-US" w:eastAsia="zh-CN"/>
        </w:rPr>
        <w:t>3</w:t>
      </w:r>
      <w:r>
        <w:rPr>
          <w:rFonts w:hint="eastAsia" w:ascii="宋体" w:hAnsi="宋体" w:cs="宋体"/>
          <w:sz w:val="32"/>
          <w:szCs w:val="32"/>
          <w:highlight w:val="none"/>
        </w:rPr>
        <w:t>年</w:t>
      </w:r>
      <w:r>
        <w:rPr>
          <w:rFonts w:hint="eastAsia" w:ascii="仿宋_GB2312"/>
          <w:sz w:val="32"/>
          <w:szCs w:val="32"/>
          <w:highlight w:val="none"/>
        </w:rPr>
        <w:t>安义县</w:t>
      </w:r>
      <w:r>
        <w:rPr>
          <w:rFonts w:hint="eastAsia" w:ascii="仿宋_GB2312"/>
          <w:sz w:val="32"/>
          <w:szCs w:val="32"/>
          <w:highlight w:val="none"/>
          <w:lang w:eastAsia="zh-CN"/>
        </w:rPr>
        <w:t>古村大道</w:t>
      </w:r>
      <w:r>
        <w:rPr>
          <w:rFonts w:hint="eastAsia" w:ascii="仿宋_GB2312"/>
          <w:sz w:val="32"/>
          <w:szCs w:val="32"/>
          <w:highlight w:val="none"/>
          <w:lang w:val="en-US" w:eastAsia="zh-CN"/>
        </w:rPr>
        <w:t>建设</w:t>
      </w:r>
      <w:r>
        <w:rPr>
          <w:rFonts w:hint="eastAsia" w:ascii="宋体" w:hAnsi="宋体" w:cs="宋体"/>
          <w:sz w:val="32"/>
          <w:szCs w:val="32"/>
          <w:highlight w:val="none"/>
        </w:rPr>
        <w:t>专项资金绩效评价得分为</w:t>
      </w:r>
      <w:r>
        <w:rPr>
          <w:rFonts w:hint="eastAsia" w:ascii="宋体" w:hAnsi="宋体" w:cs="宋体"/>
          <w:sz w:val="32"/>
          <w:szCs w:val="32"/>
          <w:highlight w:val="none"/>
          <w:lang w:val="en-US" w:eastAsia="zh-CN"/>
        </w:rPr>
        <w:t>95</w:t>
      </w:r>
      <w:r>
        <w:rPr>
          <w:rFonts w:hint="eastAsia" w:ascii="宋体" w:hAnsi="宋体" w:cs="宋体"/>
          <w:sz w:val="32"/>
          <w:szCs w:val="32"/>
          <w:highlight w:val="none"/>
        </w:rPr>
        <w:t>分，等级为“优 ”。</w:t>
      </w:r>
    </w:p>
    <w:p>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四、绩效评价指标分析</w:t>
      </w:r>
    </w:p>
    <w:p>
      <w:pPr>
        <w:spacing w:line="560" w:lineRule="exact"/>
        <w:ind w:firstLine="643" w:firstLineChars="200"/>
        <w:outlineLvl w:val="0"/>
        <w:rPr>
          <w:rFonts w:ascii="仿宋_GB2312" w:hAnsi="仿宋_GB2312" w:eastAsia="仿宋_GB2312" w:cs="仿宋_GB2312"/>
          <w:b/>
          <w:color w:val="000000"/>
          <w:kern w:val="0"/>
          <w:sz w:val="30"/>
          <w:szCs w:val="30"/>
          <w:highlight w:val="none"/>
        </w:rPr>
      </w:pPr>
      <w:r>
        <w:rPr>
          <w:rFonts w:hint="eastAsia" w:ascii="楷体" w:hAnsi="楷体" w:eastAsia="楷体" w:cs="楷体"/>
          <w:b/>
          <w:sz w:val="32"/>
          <w:szCs w:val="32"/>
          <w:highlight w:val="none"/>
        </w:rPr>
        <w:t>（一）项目决策情况。</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安义县202</w:t>
      </w:r>
      <w:r>
        <w:rPr>
          <w:rFonts w:hint="eastAsia" w:ascii="仿宋_GB2312"/>
          <w:sz w:val="32"/>
          <w:szCs w:val="32"/>
          <w:highlight w:val="none"/>
          <w:lang w:val="en-US" w:eastAsia="zh-CN"/>
        </w:rPr>
        <w:t>3</w:t>
      </w:r>
      <w:r>
        <w:rPr>
          <w:rFonts w:hint="eastAsia" w:ascii="仿宋_GB2312"/>
          <w:sz w:val="32"/>
          <w:szCs w:val="32"/>
          <w:highlight w:val="none"/>
        </w:rPr>
        <w:t>年</w:t>
      </w:r>
      <w:r>
        <w:rPr>
          <w:rFonts w:hint="eastAsia" w:ascii="仿宋_GB2312"/>
          <w:sz w:val="32"/>
          <w:szCs w:val="32"/>
          <w:highlight w:val="none"/>
          <w:lang w:eastAsia="zh-CN"/>
        </w:rPr>
        <w:t>古村大道</w:t>
      </w:r>
      <w:r>
        <w:rPr>
          <w:rFonts w:hint="eastAsia" w:ascii="仿宋_GB2312"/>
          <w:sz w:val="32"/>
          <w:szCs w:val="32"/>
          <w:highlight w:val="none"/>
          <w:lang w:val="en-US" w:eastAsia="zh-CN"/>
        </w:rPr>
        <w:t>建设</w:t>
      </w:r>
      <w:r>
        <w:rPr>
          <w:rFonts w:hint="eastAsia" w:ascii="仿宋_GB2312"/>
          <w:sz w:val="32"/>
          <w:szCs w:val="32"/>
          <w:highlight w:val="none"/>
        </w:rPr>
        <w:t>专项资金为跨年项目，项目的设立符合我局工作职责和资金使用范围，立项及批复程序规范。</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3</w:t>
      </w:r>
      <w:r>
        <w:rPr>
          <w:rFonts w:hint="eastAsia" w:ascii="仿宋_GB2312"/>
          <w:sz w:val="32"/>
          <w:szCs w:val="32"/>
          <w:highlight w:val="none"/>
        </w:rPr>
        <w:t>年</w:t>
      </w:r>
      <w:r>
        <w:rPr>
          <w:rFonts w:hint="eastAsia" w:ascii="仿宋_GB2312"/>
          <w:sz w:val="32"/>
          <w:szCs w:val="32"/>
          <w:highlight w:val="none"/>
          <w:lang w:val="en-US" w:eastAsia="zh-CN"/>
        </w:rPr>
        <w:t>交通建设</w:t>
      </w:r>
      <w:r>
        <w:rPr>
          <w:rFonts w:hint="eastAsia" w:ascii="仿宋_GB2312"/>
          <w:sz w:val="32"/>
          <w:szCs w:val="32"/>
          <w:highlight w:val="none"/>
        </w:rPr>
        <w:t>专项资金的预算为</w:t>
      </w:r>
      <w:r>
        <w:rPr>
          <w:rFonts w:hint="eastAsia" w:ascii="仿宋_GB2312"/>
          <w:sz w:val="32"/>
          <w:szCs w:val="32"/>
          <w:highlight w:val="none"/>
          <w:lang w:val="en-US" w:eastAsia="zh-CN"/>
        </w:rPr>
        <w:t>3000</w:t>
      </w:r>
      <w:r>
        <w:rPr>
          <w:rFonts w:hint="eastAsia" w:ascii="仿宋_GB2312"/>
          <w:sz w:val="32"/>
          <w:szCs w:val="32"/>
          <w:highlight w:val="none"/>
        </w:rPr>
        <w:t>万元，本年度实际支出</w:t>
      </w:r>
      <w:r>
        <w:rPr>
          <w:rFonts w:hint="eastAsia" w:ascii="仿宋_GB2312"/>
          <w:sz w:val="32"/>
          <w:szCs w:val="32"/>
          <w:highlight w:val="none"/>
          <w:lang w:val="en-US" w:eastAsia="zh-CN"/>
        </w:rPr>
        <w:t>3000</w:t>
      </w:r>
      <w:r>
        <w:rPr>
          <w:rFonts w:hint="eastAsia" w:ascii="仿宋_GB2312"/>
          <w:sz w:val="32"/>
          <w:szCs w:val="32"/>
          <w:highlight w:val="none"/>
        </w:rPr>
        <w:t>万元，预算执行率为</w:t>
      </w:r>
      <w:r>
        <w:rPr>
          <w:rFonts w:hint="eastAsia" w:ascii="仿宋_GB2312"/>
          <w:sz w:val="32"/>
          <w:szCs w:val="32"/>
          <w:highlight w:val="none"/>
          <w:lang w:val="en-US" w:eastAsia="zh-CN"/>
        </w:rPr>
        <w:t>100</w:t>
      </w:r>
      <w:r>
        <w:rPr>
          <w:rFonts w:hint="eastAsia" w:ascii="仿宋_GB2312"/>
          <w:sz w:val="32"/>
          <w:szCs w:val="32"/>
          <w:highlight w:val="none"/>
        </w:rPr>
        <w:t>%。</w:t>
      </w:r>
    </w:p>
    <w:p>
      <w:pPr>
        <w:spacing w:line="560" w:lineRule="exact"/>
        <w:ind w:firstLine="643" w:firstLineChars="200"/>
        <w:outlineLvl w:val="0"/>
        <w:rPr>
          <w:rFonts w:ascii="仿宋_GB2312" w:hAnsi="仿宋_GB2312" w:eastAsia="仿宋_GB2312" w:cs="仿宋_GB2312"/>
          <w:sz w:val="30"/>
          <w:szCs w:val="30"/>
          <w:highlight w:val="none"/>
        </w:rPr>
      </w:pPr>
      <w:r>
        <w:rPr>
          <w:rFonts w:hint="eastAsia" w:ascii="楷体" w:hAnsi="楷体" w:eastAsia="楷体" w:cs="楷体"/>
          <w:b/>
          <w:sz w:val="32"/>
          <w:szCs w:val="32"/>
          <w:highlight w:val="none"/>
        </w:rPr>
        <w:t>（二）项目过程情况。</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我局业务管理制度完善，已制定健全的项目质量标准，项目质量控制标准执行到位。</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我局严格按照《县交通运输局财务管理制度》和《县交通运输局专项资金管理办法》执行经费的管理和使用，项目资金使用合规，专款专用，不存在截留、挤占、挪用、虚列等违规情况。同时我局本年度按照县财政要求，对</w:t>
      </w:r>
      <w:r>
        <w:rPr>
          <w:rFonts w:hint="eastAsia" w:ascii="仿宋_GB2312"/>
          <w:sz w:val="32"/>
          <w:szCs w:val="32"/>
          <w:highlight w:val="none"/>
          <w:lang w:eastAsia="zh-CN"/>
        </w:rPr>
        <w:t>古村大道</w:t>
      </w:r>
      <w:r>
        <w:rPr>
          <w:rFonts w:hint="eastAsia" w:ascii="仿宋_GB2312"/>
          <w:sz w:val="32"/>
          <w:szCs w:val="32"/>
          <w:highlight w:val="none"/>
          <w:lang w:val="en-US" w:eastAsia="zh-CN"/>
        </w:rPr>
        <w:t>建设</w:t>
      </w:r>
      <w:r>
        <w:rPr>
          <w:rFonts w:hint="eastAsia" w:ascii="仿宋_GB2312"/>
          <w:sz w:val="32"/>
          <w:szCs w:val="32"/>
          <w:highlight w:val="none"/>
        </w:rPr>
        <w:t>专项资金组织开展了项目中间绩效运行监控工作，财务监控有待性达标。</w:t>
      </w:r>
    </w:p>
    <w:p>
      <w:pPr>
        <w:widowControl/>
        <w:spacing w:line="560" w:lineRule="exact"/>
        <w:ind w:firstLine="643" w:firstLineChars="200"/>
        <w:jc w:val="left"/>
        <w:rPr>
          <w:rFonts w:ascii="仿宋_GB2312" w:hAnsi="仿宋_GB2312" w:eastAsia="仿宋_GB2312" w:cs="仿宋_GB2312"/>
          <w:sz w:val="30"/>
          <w:szCs w:val="30"/>
          <w:highlight w:val="none"/>
        </w:rPr>
      </w:pPr>
      <w:r>
        <w:rPr>
          <w:rFonts w:hint="eastAsia" w:ascii="楷体" w:hAnsi="楷体" w:eastAsia="楷体" w:cs="楷体"/>
          <w:b/>
          <w:sz w:val="32"/>
          <w:szCs w:val="32"/>
          <w:highlight w:val="none"/>
        </w:rPr>
        <w:t>（三）项目产出情况。</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3</w:t>
      </w:r>
      <w:r>
        <w:rPr>
          <w:rFonts w:hint="eastAsia" w:ascii="仿宋_GB2312"/>
          <w:sz w:val="32"/>
          <w:szCs w:val="32"/>
          <w:highlight w:val="none"/>
        </w:rPr>
        <w:t>年，我局完成</w:t>
      </w:r>
      <w:r>
        <w:rPr>
          <w:rFonts w:hint="eastAsia" w:ascii="仿宋_GB2312"/>
          <w:sz w:val="32"/>
          <w:szCs w:val="32"/>
          <w:highlight w:val="none"/>
          <w:lang w:eastAsia="zh-CN"/>
        </w:rPr>
        <w:t>古村大道</w:t>
      </w:r>
      <w:r>
        <w:rPr>
          <w:rFonts w:hint="eastAsia" w:ascii="仿宋_GB2312"/>
          <w:sz w:val="32"/>
          <w:szCs w:val="32"/>
          <w:highlight w:val="none"/>
          <w:lang w:val="en-US" w:eastAsia="zh-CN"/>
        </w:rPr>
        <w:t>建设</w:t>
      </w:r>
      <w:r>
        <w:rPr>
          <w:rFonts w:hint="eastAsia" w:ascii="仿宋_GB2312"/>
          <w:sz w:val="32"/>
          <w:szCs w:val="32"/>
          <w:highlight w:val="none"/>
        </w:rPr>
        <w:t>项目款拨付</w:t>
      </w:r>
      <w:r>
        <w:rPr>
          <w:rFonts w:hint="eastAsia" w:ascii="仿宋_GB2312"/>
          <w:sz w:val="32"/>
          <w:szCs w:val="32"/>
          <w:highlight w:val="none"/>
          <w:lang w:val="en-US" w:eastAsia="zh-CN"/>
        </w:rPr>
        <w:t>3000</w:t>
      </w:r>
      <w:r>
        <w:rPr>
          <w:rFonts w:hint="eastAsia" w:ascii="仿宋_GB2312"/>
          <w:sz w:val="32"/>
          <w:szCs w:val="32"/>
          <w:highlight w:val="none"/>
        </w:rPr>
        <w:t>万元。项目产出数量指标达标。</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3</w:t>
      </w:r>
      <w:r>
        <w:rPr>
          <w:rFonts w:hint="eastAsia" w:ascii="仿宋_GB2312"/>
          <w:sz w:val="32"/>
          <w:szCs w:val="32"/>
          <w:highlight w:val="none"/>
        </w:rPr>
        <w:t>年，项目达到行业推荐标准，项目产出质量指标达标。</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3</w:t>
      </w:r>
      <w:r>
        <w:rPr>
          <w:rFonts w:hint="eastAsia" w:ascii="仿宋_GB2312"/>
          <w:sz w:val="32"/>
          <w:szCs w:val="32"/>
          <w:highlight w:val="none"/>
        </w:rPr>
        <w:t>年，资金下达后完成拨付及时率为</w:t>
      </w:r>
      <w:r>
        <w:rPr>
          <w:rFonts w:hint="eastAsia" w:ascii="仿宋_GB2312"/>
          <w:sz w:val="32"/>
          <w:szCs w:val="32"/>
          <w:highlight w:val="none"/>
          <w:lang w:val="en-US" w:eastAsia="zh-CN"/>
        </w:rPr>
        <w:t>100</w:t>
      </w:r>
      <w:r>
        <w:rPr>
          <w:rFonts w:hint="eastAsia" w:ascii="仿宋_GB2312"/>
          <w:sz w:val="32"/>
          <w:szCs w:val="32"/>
          <w:highlight w:val="none"/>
        </w:rPr>
        <w:t>%。</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3</w:t>
      </w:r>
      <w:r>
        <w:rPr>
          <w:rFonts w:hint="eastAsia" w:ascii="仿宋_GB2312"/>
          <w:sz w:val="32"/>
          <w:szCs w:val="32"/>
          <w:highlight w:val="none"/>
        </w:rPr>
        <w:t>年度</w:t>
      </w:r>
      <w:r>
        <w:rPr>
          <w:rFonts w:hint="eastAsia" w:ascii="仿宋_GB2312"/>
          <w:sz w:val="32"/>
          <w:szCs w:val="32"/>
          <w:highlight w:val="none"/>
          <w:lang w:eastAsia="zh-CN"/>
        </w:rPr>
        <w:t>古村大道</w:t>
      </w:r>
      <w:r>
        <w:rPr>
          <w:rFonts w:hint="eastAsia" w:ascii="仿宋_GB2312"/>
          <w:sz w:val="32"/>
          <w:szCs w:val="32"/>
          <w:highlight w:val="none"/>
          <w:lang w:val="en-US" w:eastAsia="zh-CN"/>
        </w:rPr>
        <w:t>建设</w:t>
      </w:r>
      <w:r>
        <w:rPr>
          <w:rFonts w:hint="eastAsia" w:ascii="仿宋_GB2312"/>
          <w:sz w:val="32"/>
          <w:szCs w:val="32"/>
          <w:highlight w:val="none"/>
        </w:rPr>
        <w:t>专项资金的预算为</w:t>
      </w:r>
      <w:r>
        <w:rPr>
          <w:rFonts w:hint="eastAsia" w:ascii="仿宋_GB2312"/>
          <w:sz w:val="32"/>
          <w:szCs w:val="32"/>
          <w:highlight w:val="none"/>
          <w:lang w:val="en-US" w:eastAsia="zh-CN"/>
        </w:rPr>
        <w:t>3000</w:t>
      </w:r>
      <w:r>
        <w:rPr>
          <w:rFonts w:hint="eastAsia" w:ascii="仿宋_GB2312"/>
          <w:sz w:val="32"/>
          <w:szCs w:val="32"/>
          <w:highlight w:val="none"/>
        </w:rPr>
        <w:t>万元，实际支出</w:t>
      </w:r>
      <w:r>
        <w:rPr>
          <w:rFonts w:hint="eastAsia" w:ascii="仿宋_GB2312"/>
          <w:sz w:val="32"/>
          <w:szCs w:val="32"/>
          <w:highlight w:val="none"/>
          <w:lang w:val="en-US" w:eastAsia="zh-CN"/>
        </w:rPr>
        <w:t>3000</w:t>
      </w:r>
      <w:r>
        <w:rPr>
          <w:rFonts w:hint="eastAsia" w:ascii="仿宋_GB2312"/>
          <w:sz w:val="32"/>
          <w:szCs w:val="32"/>
          <w:highlight w:val="none"/>
        </w:rPr>
        <w:t>万元，成本控制率达标。</w:t>
      </w:r>
    </w:p>
    <w:p>
      <w:pPr>
        <w:spacing w:line="560" w:lineRule="exact"/>
        <w:ind w:firstLine="643" w:firstLineChars="200"/>
        <w:outlineLvl w:val="0"/>
        <w:rPr>
          <w:rFonts w:ascii="仿宋_GB2312" w:hAnsi="仿宋_GB2312" w:eastAsia="仿宋_GB2312" w:cs="仿宋_GB2312"/>
          <w:b/>
          <w:color w:val="000000"/>
          <w:kern w:val="0"/>
          <w:sz w:val="30"/>
          <w:szCs w:val="30"/>
          <w:highlight w:val="none"/>
        </w:rPr>
      </w:pPr>
      <w:r>
        <w:rPr>
          <w:rFonts w:hint="eastAsia" w:ascii="楷体" w:hAnsi="楷体" w:eastAsia="楷体" w:cs="楷体"/>
          <w:b/>
          <w:sz w:val="32"/>
          <w:szCs w:val="32"/>
          <w:highlight w:val="none"/>
        </w:rPr>
        <w:t>（四）项目效益情况。</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3</w:t>
      </w:r>
      <w:r>
        <w:rPr>
          <w:rFonts w:hint="eastAsia" w:ascii="仿宋_GB2312"/>
          <w:sz w:val="32"/>
          <w:szCs w:val="32"/>
          <w:highlight w:val="none"/>
        </w:rPr>
        <w:t>年，项目建成后，产生了衍生经济价值，促进了地方经济发展。经济效益指标达标。</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3</w:t>
      </w:r>
      <w:r>
        <w:rPr>
          <w:rFonts w:hint="eastAsia" w:ascii="仿宋_GB2312"/>
          <w:sz w:val="32"/>
          <w:szCs w:val="32"/>
          <w:highlight w:val="none"/>
        </w:rPr>
        <w:t>年，通过项目的</w:t>
      </w:r>
      <w:r>
        <w:rPr>
          <w:rFonts w:hint="eastAsia" w:ascii="仿宋_GB2312"/>
          <w:sz w:val="32"/>
          <w:szCs w:val="32"/>
          <w:highlight w:val="none"/>
          <w:lang w:val="en-US" w:eastAsia="zh-CN"/>
        </w:rPr>
        <w:t>开工建设</w:t>
      </w:r>
      <w:r>
        <w:rPr>
          <w:rFonts w:hint="eastAsia" w:ascii="仿宋_GB2312"/>
          <w:sz w:val="32"/>
          <w:szCs w:val="32"/>
          <w:highlight w:val="none"/>
        </w:rPr>
        <w:t>，建设单位及群众的满意度提升。社会效益达标。</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安义县</w:t>
      </w:r>
      <w:r>
        <w:rPr>
          <w:rFonts w:hint="eastAsia" w:ascii="仿宋_GB2312"/>
          <w:sz w:val="32"/>
          <w:szCs w:val="32"/>
          <w:highlight w:val="none"/>
          <w:lang w:val="en-US" w:eastAsia="zh-CN"/>
        </w:rPr>
        <w:t>2023</w:t>
      </w:r>
      <w:r>
        <w:rPr>
          <w:rFonts w:hint="eastAsia" w:ascii="仿宋_GB2312"/>
          <w:sz w:val="32"/>
          <w:szCs w:val="32"/>
          <w:highlight w:val="none"/>
        </w:rPr>
        <w:t>年</w:t>
      </w:r>
      <w:r>
        <w:rPr>
          <w:rFonts w:hint="eastAsia" w:ascii="仿宋_GB2312"/>
          <w:sz w:val="32"/>
          <w:szCs w:val="32"/>
          <w:highlight w:val="none"/>
          <w:lang w:eastAsia="zh-CN"/>
        </w:rPr>
        <w:t>古村大道</w:t>
      </w:r>
      <w:r>
        <w:rPr>
          <w:rFonts w:hint="eastAsia" w:ascii="仿宋_GB2312"/>
          <w:sz w:val="32"/>
          <w:szCs w:val="32"/>
          <w:highlight w:val="none"/>
          <w:lang w:val="en-US" w:eastAsia="zh-CN"/>
        </w:rPr>
        <w:t>建设</w:t>
      </w:r>
      <w:r>
        <w:rPr>
          <w:rFonts w:hint="eastAsia" w:ascii="仿宋_GB2312"/>
          <w:sz w:val="32"/>
          <w:szCs w:val="32"/>
          <w:highlight w:val="none"/>
        </w:rPr>
        <w:t>通过环评，生态效益指标达标。</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该项目可长期推动地方经济发展，提升产业水平，项目可持续影响指标基本达标。</w:t>
      </w:r>
    </w:p>
    <w:p>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五、主要经验及做法、存在的问题及原因分析</w:t>
      </w:r>
    </w:p>
    <w:p>
      <w:pPr>
        <w:spacing w:line="560" w:lineRule="exact"/>
        <w:ind w:firstLine="475" w:firstLineChars="148"/>
        <w:outlineLvl w:val="0"/>
        <w:rPr>
          <w:rFonts w:ascii="楷体" w:hAnsi="楷体" w:eastAsia="楷体" w:cs="楷体"/>
          <w:b/>
          <w:sz w:val="32"/>
          <w:szCs w:val="32"/>
          <w:highlight w:val="none"/>
        </w:rPr>
      </w:pPr>
      <w:r>
        <w:rPr>
          <w:rFonts w:hint="eastAsia" w:ascii="楷体" w:hAnsi="楷体" w:eastAsia="楷体" w:cs="楷体"/>
          <w:b/>
          <w:sz w:val="32"/>
          <w:szCs w:val="32"/>
          <w:highlight w:val="none"/>
        </w:rPr>
        <w:t>（一）主要经验及做法。</w:t>
      </w:r>
    </w:p>
    <w:p>
      <w:pPr>
        <w:pBdr>
          <w:top w:val="none" w:color="000000" w:sz="0" w:space="0"/>
          <w:left w:val="none" w:color="000000" w:sz="0" w:space="0"/>
          <w:bottom w:val="none" w:color="000000" w:sz="0" w:space="21"/>
          <w:right w:val="none" w:color="000000" w:sz="0" w:space="0"/>
        </w:pBdr>
        <w:autoSpaceDN w:val="0"/>
        <w:spacing w:line="560" w:lineRule="exact"/>
        <w:ind w:firstLine="640" w:firstLineChars="200"/>
        <w:rPr>
          <w:rFonts w:ascii="仿宋_GB2312" w:eastAsia="仿宋_GB2312"/>
          <w:spacing w:val="-4"/>
          <w:sz w:val="32"/>
          <w:szCs w:val="32"/>
          <w:highlight w:val="none"/>
        </w:rPr>
      </w:pPr>
      <w:r>
        <w:rPr>
          <w:rFonts w:hint="eastAsia" w:ascii="仿宋_GB2312"/>
          <w:sz w:val="32"/>
          <w:szCs w:val="32"/>
          <w:highlight w:val="none"/>
          <w:lang w:val="en-US" w:eastAsia="zh-CN"/>
        </w:rPr>
        <w:t>建设</w:t>
      </w:r>
      <w:r>
        <w:rPr>
          <w:rFonts w:hint="eastAsia" w:ascii="仿宋_GB2312"/>
          <w:sz w:val="32"/>
          <w:szCs w:val="32"/>
          <w:highlight w:val="none"/>
        </w:rPr>
        <w:t>项目已经通过质量验收，资金到位后立即拨付，减轻</w:t>
      </w:r>
      <w:r>
        <w:rPr>
          <w:rFonts w:hint="eastAsia" w:ascii="仿宋_GB2312"/>
          <w:sz w:val="32"/>
          <w:szCs w:val="32"/>
          <w:highlight w:val="none"/>
          <w:lang w:eastAsia="zh-CN"/>
        </w:rPr>
        <w:t>乡镇</w:t>
      </w:r>
      <w:r>
        <w:rPr>
          <w:rFonts w:hint="eastAsia" w:ascii="仿宋_GB2312"/>
          <w:sz w:val="32"/>
          <w:szCs w:val="32"/>
          <w:highlight w:val="none"/>
        </w:rPr>
        <w:t>负担，营造良好的营商环境。</w:t>
      </w:r>
    </w:p>
    <w:p>
      <w:pPr>
        <w:numPr>
          <w:ilvl w:val="0"/>
          <w:numId w:val="3"/>
        </w:numPr>
        <w:pBdr>
          <w:top w:val="none" w:color="000000" w:sz="0" w:space="0"/>
          <w:left w:val="none" w:color="000000" w:sz="0" w:space="0"/>
          <w:bottom w:val="none" w:color="000000" w:sz="0" w:space="21"/>
          <w:right w:val="none" w:color="000000" w:sz="0" w:space="0"/>
        </w:pBdr>
        <w:autoSpaceDN w:val="0"/>
        <w:spacing w:line="560" w:lineRule="exact"/>
        <w:ind w:firstLine="643" w:firstLineChars="200"/>
        <w:rPr>
          <w:rFonts w:ascii="楷体" w:hAnsi="楷体" w:eastAsia="楷体" w:cs="楷体"/>
          <w:b/>
          <w:sz w:val="32"/>
          <w:szCs w:val="32"/>
          <w:highlight w:val="none"/>
        </w:rPr>
      </w:pPr>
      <w:r>
        <w:rPr>
          <w:rFonts w:hint="eastAsia" w:ascii="楷体" w:hAnsi="楷体" w:eastAsia="楷体" w:cs="楷体"/>
          <w:b/>
          <w:sz w:val="32"/>
          <w:szCs w:val="32"/>
          <w:highlight w:val="none"/>
        </w:rPr>
        <w:t>存在的问题及原因。</w:t>
      </w:r>
    </w:p>
    <w:p>
      <w:pPr>
        <w:pBdr>
          <w:top w:val="none" w:color="000000" w:sz="0" w:space="0"/>
          <w:left w:val="none" w:color="000000" w:sz="0" w:space="0"/>
          <w:bottom w:val="none" w:color="000000" w:sz="0" w:space="21"/>
          <w:right w:val="none" w:color="000000" w:sz="0" w:space="0"/>
        </w:pBdr>
        <w:autoSpaceDN w:val="0"/>
        <w:spacing w:line="560" w:lineRule="exact"/>
        <w:ind w:firstLine="640" w:firstLineChars="200"/>
        <w:rPr>
          <w:rFonts w:hint="eastAsia" w:ascii="仿宋_GB2312"/>
          <w:sz w:val="32"/>
          <w:szCs w:val="32"/>
          <w:highlight w:val="none"/>
        </w:rPr>
      </w:pPr>
      <w:r>
        <w:rPr>
          <w:rFonts w:hint="eastAsia" w:ascii="仿宋_GB2312"/>
          <w:sz w:val="32"/>
          <w:szCs w:val="32"/>
          <w:highlight w:val="none"/>
        </w:rPr>
        <w:t>无</w:t>
      </w:r>
    </w:p>
    <w:p>
      <w:pPr>
        <w:pBdr>
          <w:top w:val="none" w:color="000000" w:sz="0" w:space="0"/>
          <w:left w:val="none" w:color="000000" w:sz="0" w:space="0"/>
          <w:bottom w:val="none" w:color="000000" w:sz="0" w:space="21"/>
          <w:right w:val="none" w:color="000000" w:sz="0" w:space="0"/>
        </w:pBdr>
        <w:autoSpaceDN w:val="0"/>
        <w:spacing w:line="560" w:lineRule="exact"/>
        <w:ind w:firstLine="640" w:firstLineChars="200"/>
        <w:rPr>
          <w:rFonts w:hint="eastAsia" w:ascii="黑体" w:hAnsi="宋体" w:eastAsia="黑体"/>
          <w:kern w:val="0"/>
          <w:sz w:val="32"/>
        </w:rPr>
      </w:pPr>
      <w:r>
        <w:rPr>
          <w:rFonts w:hint="eastAsia" w:ascii="仿宋_GB2312" w:eastAsia="黑体"/>
          <w:sz w:val="32"/>
          <w:szCs w:val="32"/>
          <w:highlight w:val="none"/>
          <w:lang w:eastAsia="zh-CN"/>
        </w:rPr>
        <w:t>六、</w:t>
      </w:r>
      <w:r>
        <w:rPr>
          <w:rFonts w:hint="eastAsia" w:ascii="黑体" w:hAnsi="宋体" w:eastAsia="黑体"/>
          <w:kern w:val="0"/>
          <w:sz w:val="32"/>
        </w:rPr>
        <w:t>有关建议</w:t>
      </w:r>
    </w:p>
    <w:p>
      <w:pPr>
        <w:pBdr>
          <w:top w:val="none" w:color="000000" w:sz="0" w:space="0"/>
          <w:left w:val="none" w:color="000000" w:sz="0" w:space="0"/>
          <w:bottom w:val="none" w:color="000000" w:sz="0" w:space="21"/>
          <w:right w:val="none" w:color="000000" w:sz="0" w:space="0"/>
        </w:pBdr>
        <w:autoSpaceDN w:val="0"/>
        <w:spacing w:line="560" w:lineRule="exact"/>
        <w:ind w:firstLine="640" w:firstLineChars="200"/>
        <w:rPr>
          <w:rFonts w:hint="eastAsia" w:ascii="仿宋_GB2312"/>
          <w:sz w:val="32"/>
          <w:szCs w:val="32"/>
          <w:highlight w:val="none"/>
        </w:rPr>
      </w:pPr>
      <w:r>
        <w:rPr>
          <w:rFonts w:hint="eastAsia" w:ascii="仿宋_GB2312"/>
          <w:sz w:val="32"/>
          <w:szCs w:val="32"/>
          <w:highlight w:val="none"/>
        </w:rPr>
        <w:t>无</w:t>
      </w:r>
    </w:p>
    <w:p>
      <w:pPr>
        <w:numPr>
          <w:ilvl w:val="0"/>
          <w:numId w:val="0"/>
        </w:numPr>
        <w:pBdr>
          <w:top w:val="none" w:color="000000" w:sz="0" w:space="0"/>
          <w:left w:val="none" w:color="000000" w:sz="0" w:space="0"/>
          <w:bottom w:val="none" w:color="000000" w:sz="0" w:space="21"/>
          <w:right w:val="none" w:color="000000" w:sz="0" w:space="0"/>
        </w:pBdr>
        <w:autoSpaceDN w:val="0"/>
        <w:spacing w:line="560" w:lineRule="exact"/>
        <w:ind w:leftChars="200" w:firstLine="320" w:firstLineChars="100"/>
        <w:rPr>
          <w:rFonts w:hint="eastAsia" w:ascii="黑体" w:hAnsi="宋体" w:eastAsia="黑体"/>
          <w:kern w:val="0"/>
          <w:sz w:val="32"/>
        </w:rPr>
      </w:pPr>
      <w:r>
        <w:rPr>
          <w:rFonts w:hint="eastAsia" w:ascii="黑体" w:hAnsi="宋体" w:eastAsia="黑体"/>
          <w:kern w:val="0"/>
          <w:sz w:val="32"/>
          <w:lang w:eastAsia="zh-CN"/>
        </w:rPr>
        <w:t>七、</w:t>
      </w:r>
      <w:r>
        <w:rPr>
          <w:rFonts w:hint="eastAsia" w:ascii="黑体" w:hAnsi="宋体" w:eastAsia="黑体"/>
          <w:kern w:val="0"/>
          <w:sz w:val="32"/>
        </w:rPr>
        <w:t>其他需要说明的问题</w:t>
      </w:r>
    </w:p>
    <w:p>
      <w:pPr>
        <w:pStyle w:val="2"/>
        <w:numPr>
          <w:ilvl w:val="0"/>
          <w:numId w:val="0"/>
        </w:numPr>
        <w:ind w:leftChars="200"/>
        <w:rPr>
          <w:rFonts w:hint="eastAsia" w:eastAsia="宋体"/>
          <w:lang w:val="en-US" w:eastAsia="zh-CN"/>
        </w:rPr>
      </w:pPr>
      <w:r>
        <w:rPr>
          <w:rFonts w:hint="eastAsia"/>
          <w:lang w:val="en-US" w:eastAsia="zh-CN"/>
        </w:rPr>
        <w:t xml:space="preserve">   无</w:t>
      </w:r>
    </w:p>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E244A8"/>
    <w:multiLevelType w:val="singleLevel"/>
    <w:tmpl w:val="3AE244A8"/>
    <w:lvl w:ilvl="0" w:tentative="0">
      <w:start w:val="3"/>
      <w:numFmt w:val="chineseCounting"/>
      <w:suff w:val="nothing"/>
      <w:lvlText w:val="（%1）"/>
      <w:lvlJc w:val="left"/>
      <w:rPr>
        <w:rFonts w:hint="eastAsia"/>
      </w:rPr>
    </w:lvl>
  </w:abstractNum>
  <w:abstractNum w:abstractNumId="1">
    <w:nsid w:val="655F297E"/>
    <w:multiLevelType w:val="singleLevel"/>
    <w:tmpl w:val="655F297E"/>
    <w:lvl w:ilvl="0" w:tentative="0">
      <w:start w:val="2"/>
      <w:numFmt w:val="chineseCounting"/>
      <w:suff w:val="nothing"/>
      <w:lvlText w:val="（%1）"/>
      <w:lvlJc w:val="left"/>
      <w:rPr>
        <w:rFonts w:hint="eastAsia"/>
      </w:rPr>
    </w:lvl>
  </w:abstractNum>
  <w:abstractNum w:abstractNumId="2">
    <w:nsid w:val="66F26226"/>
    <w:multiLevelType w:val="singleLevel"/>
    <w:tmpl w:val="66F26226"/>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0ZGFkNjVlMjliNzI2Y2I2NDkzMWFmZTBkZWVhMDgifQ=="/>
  </w:docVars>
  <w:rsids>
    <w:rsidRoot w:val="00172A27"/>
    <w:rsid w:val="00B10F38"/>
    <w:rsid w:val="1139120B"/>
    <w:rsid w:val="14CF726B"/>
    <w:rsid w:val="159F275F"/>
    <w:rsid w:val="1E443686"/>
    <w:rsid w:val="25B830CE"/>
    <w:rsid w:val="4E1C5FBA"/>
    <w:rsid w:val="710F2D43"/>
    <w:rsid w:val="73F250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default" w:ascii="Calibri" w:hAnsi="Calibri" w:eastAsia="宋体" w:cstheme="minorBidi"/>
      <w:kern w:val="2"/>
      <w:sz w:val="21"/>
      <w:lang w:val="en-US" w:eastAsia="zh-CN"/>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beforeLines="0" w:after="120" w:afterLines="0"/>
    </w:pPr>
    <w:rPr>
      <w:rFonts w:hint="default"/>
      <w:sz w:val="21"/>
    </w:rPr>
  </w:style>
  <w:style w:type="paragraph" w:styleId="3">
    <w:name w:val="footer"/>
    <w:basedOn w:val="1"/>
    <w:unhideWhenUsed/>
    <w:qFormat/>
    <w:uiPriority w:val="0"/>
    <w:pPr>
      <w:tabs>
        <w:tab w:val="center" w:pos="4153"/>
        <w:tab w:val="right" w:pos="8306"/>
      </w:tabs>
      <w:snapToGrid w:val="0"/>
      <w:spacing w:beforeLines="0" w:afterLines="0"/>
      <w:jc w:val="left"/>
    </w:pPr>
    <w:rPr>
      <w:rFonts w:hint="default"/>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2446</Words>
  <Characters>2687</Characters>
  <Lines>0</Lines>
  <Paragraphs>0</Paragraphs>
  <TotalTime>0</TotalTime>
  <ScaleCrop>false</ScaleCrop>
  <LinksUpToDate>false</LinksUpToDate>
  <CharactersWithSpaces>2698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2024-04-23T05:58:00Z</dcterms:created>
  <dc:creator>ASUS</dc:creator>
  <cp:lastModifiedBy>坦克</cp:lastModifiedBy>
  <dcterms:modified xsi:type="dcterms:W3CDTF">2024-05-31T03:24:34Z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934C2E32925C4B278A491594FC3B7FBC_12</vt:lpwstr>
  </property>
</Properties>
</file>