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1C3FA">
      <w:pPr>
        <w:keepNext w:val="0"/>
        <w:keepLines w:val="0"/>
        <w:pageBreakBefore w:val="0"/>
        <w:widowControl/>
        <w:kinsoku w:val="0"/>
        <w:wordWrap/>
        <w:overflowPunct/>
        <w:topLinePunct w:val="0"/>
        <w:autoSpaceDE w:val="0"/>
        <w:autoSpaceDN w:val="0"/>
        <w:bidi w:val="0"/>
        <w:adjustRightInd w:val="0"/>
        <w:snapToGrid w:val="0"/>
        <w:spacing w:before="101" w:line="480" w:lineRule="exact"/>
        <w:ind w:left="0" w:firstLine="566" w:firstLineChars="200"/>
        <w:textAlignment w:val="baseline"/>
        <w:rPr>
          <w:rFonts w:hint="eastAsia" w:ascii="宋体" w:hAnsi="宋体" w:eastAsia="宋体" w:cs="宋体"/>
          <w:sz w:val="28"/>
          <w:szCs w:val="28"/>
        </w:rPr>
      </w:pPr>
      <w:r>
        <w:rPr>
          <w:rFonts w:hint="eastAsia" w:ascii="宋体" w:hAnsi="宋体" w:eastAsia="宋体" w:cs="宋体"/>
          <w:b/>
          <w:bCs/>
          <w:spacing w:val="1"/>
          <w:sz w:val="28"/>
          <w:szCs w:val="28"/>
        </w:rPr>
        <w:t>附件2-1:</w:t>
      </w:r>
    </w:p>
    <w:p w14:paraId="72D3C357">
      <w:pPr>
        <w:keepNext w:val="0"/>
        <w:keepLines w:val="0"/>
        <w:pageBreakBefore w:val="0"/>
        <w:widowControl/>
        <w:kinsoku w:val="0"/>
        <w:wordWrap/>
        <w:overflowPunct/>
        <w:topLinePunct w:val="0"/>
        <w:autoSpaceDE w:val="0"/>
        <w:autoSpaceDN w:val="0"/>
        <w:bidi w:val="0"/>
        <w:adjustRightInd w:val="0"/>
        <w:snapToGrid w:val="0"/>
        <w:spacing w:before="97" w:line="480" w:lineRule="exact"/>
        <w:ind w:left="0" w:firstLine="951" w:firstLineChars="200"/>
        <w:jc w:val="center"/>
        <w:textAlignment w:val="baseline"/>
        <w:rPr>
          <w:rFonts w:hint="eastAsia" w:ascii="宋体" w:hAnsi="宋体" w:eastAsia="宋体" w:cs="宋体"/>
          <w:sz w:val="44"/>
          <w:szCs w:val="44"/>
        </w:rPr>
      </w:pPr>
      <w:r>
        <w:rPr>
          <w:rFonts w:hint="eastAsia" w:ascii="宋体" w:hAnsi="宋体" w:eastAsia="宋体" w:cs="宋体"/>
          <w:b/>
          <w:bCs/>
          <w:spacing w:val="17"/>
          <w:sz w:val="44"/>
          <w:szCs w:val="44"/>
        </w:rPr>
        <w:t>2024年优化义务教育资源配置公交接送学生上下学项目运行费支出部门评价报告</w:t>
      </w:r>
    </w:p>
    <w:p w14:paraId="6FA0C2D6">
      <w:pPr>
        <w:keepNext w:val="0"/>
        <w:keepLines w:val="0"/>
        <w:pageBreakBefore w:val="0"/>
        <w:widowControl/>
        <w:kinsoku w:val="0"/>
        <w:wordWrap/>
        <w:overflowPunct/>
        <w:topLinePunct w:val="0"/>
        <w:autoSpaceDE w:val="0"/>
        <w:autoSpaceDN w:val="0"/>
        <w:bidi w:val="0"/>
        <w:adjustRightInd w:val="0"/>
        <w:snapToGrid w:val="0"/>
        <w:spacing w:before="177" w:line="480" w:lineRule="exact"/>
        <w:ind w:left="0" w:firstLine="756" w:firstLineChars="200"/>
        <w:jc w:val="center"/>
        <w:textAlignment w:val="baseline"/>
        <w:rPr>
          <w:rFonts w:hint="eastAsia" w:ascii="宋体" w:hAnsi="宋体" w:eastAsia="宋体" w:cs="宋体"/>
          <w:sz w:val="36"/>
          <w:szCs w:val="36"/>
        </w:rPr>
      </w:pPr>
      <w:r>
        <w:rPr>
          <w:rFonts w:hint="eastAsia" w:ascii="宋体" w:hAnsi="宋体" w:eastAsia="宋体" w:cs="宋体"/>
          <w:spacing w:val="9"/>
          <w:sz w:val="36"/>
          <w:szCs w:val="36"/>
        </w:rPr>
        <w:t>(</w:t>
      </w:r>
      <w:r>
        <w:rPr>
          <w:rFonts w:hint="eastAsia" w:ascii="宋体" w:hAnsi="宋体" w:eastAsia="宋体" w:cs="宋体"/>
          <w:spacing w:val="43"/>
          <w:sz w:val="36"/>
          <w:szCs w:val="36"/>
          <w:lang w:val="en-US" w:eastAsia="zh-CN"/>
        </w:rPr>
        <w:t>2024</w:t>
      </w:r>
      <w:r>
        <w:rPr>
          <w:rFonts w:hint="eastAsia" w:ascii="宋体" w:hAnsi="宋体" w:eastAsia="宋体" w:cs="宋体"/>
          <w:spacing w:val="9"/>
          <w:sz w:val="36"/>
          <w:szCs w:val="36"/>
        </w:rPr>
        <w:t>年度)</w:t>
      </w:r>
    </w:p>
    <w:p w14:paraId="0FF72E9F">
      <w:pPr>
        <w:keepNext w:val="0"/>
        <w:keepLines w:val="0"/>
        <w:pageBreakBefore w:val="0"/>
        <w:widowControl/>
        <w:kinsoku w:val="0"/>
        <w:wordWrap/>
        <w:overflowPunct/>
        <w:topLinePunct w:val="0"/>
        <w:autoSpaceDE w:val="0"/>
        <w:autoSpaceDN w:val="0"/>
        <w:bidi w:val="0"/>
        <w:adjustRightInd w:val="0"/>
        <w:snapToGrid w:val="0"/>
        <w:spacing w:before="242" w:line="480" w:lineRule="exact"/>
        <w:ind w:left="0" w:firstLine="554" w:firstLineChars="200"/>
        <w:textAlignment w:val="baseline"/>
        <w:outlineLvl w:val="0"/>
        <w:rPr>
          <w:rFonts w:hint="eastAsia" w:ascii="宋体" w:hAnsi="宋体" w:eastAsia="宋体" w:cs="宋体"/>
          <w:sz w:val="28"/>
          <w:szCs w:val="28"/>
        </w:rPr>
      </w:pPr>
      <w:r>
        <w:rPr>
          <w:rFonts w:hint="eastAsia" w:ascii="宋体" w:hAnsi="宋体" w:eastAsia="宋体" w:cs="宋体"/>
          <w:b/>
          <w:bCs/>
          <w:spacing w:val="-2"/>
          <w:sz w:val="28"/>
          <w:szCs w:val="28"/>
        </w:rPr>
        <w:t>一、基本情况</w:t>
      </w:r>
    </w:p>
    <w:p w14:paraId="7B3D6843">
      <w:pPr>
        <w:keepNext w:val="0"/>
        <w:keepLines w:val="0"/>
        <w:pageBreakBefore w:val="0"/>
        <w:widowControl/>
        <w:kinsoku w:val="0"/>
        <w:wordWrap/>
        <w:overflowPunct/>
        <w:topLinePunct w:val="0"/>
        <w:autoSpaceDE w:val="0"/>
        <w:autoSpaceDN w:val="0"/>
        <w:bidi w:val="0"/>
        <w:adjustRightInd w:val="0"/>
        <w:snapToGrid w:val="0"/>
        <w:spacing w:before="126" w:line="480" w:lineRule="exact"/>
        <w:ind w:left="0" w:firstLine="600" w:firstLineChars="200"/>
        <w:textAlignment w:val="baseline"/>
        <w:rPr>
          <w:rFonts w:hint="eastAsia" w:ascii="宋体" w:hAnsi="宋体" w:eastAsia="宋体" w:cs="宋体"/>
          <w:spacing w:val="10"/>
          <w:sz w:val="28"/>
          <w:szCs w:val="28"/>
        </w:rPr>
      </w:pPr>
      <w:r>
        <w:rPr>
          <w:rFonts w:hint="eastAsia" w:ascii="宋体" w:hAnsi="宋体" w:eastAsia="宋体" w:cs="宋体"/>
          <w:spacing w:val="10"/>
          <w:sz w:val="28"/>
          <w:szCs w:val="28"/>
        </w:rPr>
        <w:t>(一)项目概况。</w:t>
      </w:r>
    </w:p>
    <w:p w14:paraId="13356128">
      <w:pPr>
        <w:keepNext w:val="0"/>
        <w:keepLines w:val="0"/>
        <w:pageBreakBefore w:val="0"/>
        <w:widowControl/>
        <w:kinsoku w:val="0"/>
        <w:wordWrap/>
        <w:overflowPunct/>
        <w:topLinePunct w:val="0"/>
        <w:autoSpaceDE w:val="0"/>
        <w:autoSpaceDN w:val="0"/>
        <w:bidi w:val="0"/>
        <w:adjustRightInd w:val="0"/>
        <w:snapToGrid w:val="0"/>
        <w:spacing w:before="126" w:line="480" w:lineRule="exact"/>
        <w:ind w:left="0" w:firstLine="600" w:firstLineChars="200"/>
        <w:textAlignment w:val="baseline"/>
        <w:rPr>
          <w:rFonts w:hint="eastAsia" w:ascii="宋体" w:hAnsi="宋体" w:eastAsia="宋体" w:cs="宋体"/>
          <w:spacing w:val="10"/>
          <w:sz w:val="28"/>
          <w:szCs w:val="28"/>
        </w:rPr>
      </w:pPr>
      <w:r>
        <w:rPr>
          <w:rFonts w:hint="eastAsia" w:ascii="宋体" w:hAnsi="宋体" w:eastAsia="宋体" w:cs="宋体"/>
          <w:spacing w:val="10"/>
          <w:sz w:val="28"/>
          <w:szCs w:val="28"/>
          <w:lang w:val="en-US" w:eastAsia="zh-CN"/>
        </w:rPr>
        <w:t>1.</w:t>
      </w:r>
      <w:r>
        <w:rPr>
          <w:rFonts w:hint="eastAsia" w:ascii="宋体" w:hAnsi="宋体" w:eastAsia="宋体" w:cs="宋体"/>
          <w:spacing w:val="10"/>
          <w:sz w:val="28"/>
          <w:szCs w:val="28"/>
        </w:rPr>
        <w:t>项目背景</w:t>
      </w:r>
    </w:p>
    <w:p w14:paraId="6EB210AC">
      <w:pPr>
        <w:keepNext w:val="0"/>
        <w:keepLines w:val="0"/>
        <w:pageBreakBefore w:val="0"/>
        <w:widowControl/>
        <w:kinsoku w:val="0"/>
        <w:wordWrap/>
        <w:overflowPunct/>
        <w:topLinePunct w:val="0"/>
        <w:autoSpaceDE w:val="0"/>
        <w:autoSpaceDN w:val="0"/>
        <w:bidi w:val="0"/>
        <w:adjustRightInd w:val="0"/>
        <w:snapToGrid w:val="0"/>
        <w:spacing w:before="126" w:line="480" w:lineRule="exact"/>
        <w:ind w:left="0" w:firstLine="600" w:firstLineChars="200"/>
        <w:textAlignment w:val="baseline"/>
        <w:rPr>
          <w:rFonts w:hint="eastAsia" w:ascii="宋体" w:hAnsi="宋体" w:eastAsia="宋体" w:cs="宋体"/>
          <w:spacing w:val="10"/>
          <w:sz w:val="28"/>
          <w:szCs w:val="28"/>
          <w:lang w:val="en-US" w:eastAsia="zh-CN"/>
        </w:rPr>
      </w:pPr>
      <w:r>
        <w:rPr>
          <w:rFonts w:hint="eastAsia" w:ascii="宋体" w:hAnsi="宋体" w:eastAsia="宋体" w:cs="宋体"/>
          <w:spacing w:val="10"/>
          <w:sz w:val="28"/>
          <w:szCs w:val="28"/>
          <w:lang w:val="en-US" w:eastAsia="zh-CN"/>
        </w:rPr>
        <w:t>为贯彻落实党的二十大精神，扎实推进全省优化农村义务教育资源配置工作，安义县积极响应国家关于优化义务教育资源配置的号召，结合本地实际情况，决定通过公交车定制线路接送撤并农村小学校学生上下学。为学生提供安全、便捷、经济的上下学方式，从而减轻学生和家庭的负担，提高学生的学习效率和生活质量。</w:t>
      </w:r>
    </w:p>
    <w:p w14:paraId="5448374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26" w:line="480" w:lineRule="exact"/>
        <w:ind w:left="0" w:firstLine="600" w:firstLineChars="200"/>
        <w:textAlignment w:val="baseline"/>
        <w:rPr>
          <w:rFonts w:hint="eastAsia" w:ascii="宋体" w:hAnsi="宋体" w:eastAsia="宋体" w:cs="宋体"/>
          <w:spacing w:val="10"/>
          <w:sz w:val="28"/>
          <w:szCs w:val="28"/>
        </w:rPr>
      </w:pPr>
      <w:r>
        <w:rPr>
          <w:rFonts w:hint="eastAsia" w:ascii="宋体" w:hAnsi="宋体" w:eastAsia="宋体" w:cs="宋体"/>
          <w:spacing w:val="10"/>
          <w:sz w:val="28"/>
          <w:szCs w:val="28"/>
          <w:lang w:val="en-US" w:eastAsia="zh-CN"/>
        </w:rPr>
        <w:t>2.</w:t>
      </w:r>
      <w:r>
        <w:rPr>
          <w:rFonts w:hint="eastAsia" w:ascii="宋体" w:hAnsi="宋体" w:eastAsia="宋体" w:cs="宋体"/>
          <w:spacing w:val="10"/>
          <w:sz w:val="28"/>
          <w:szCs w:val="28"/>
        </w:rPr>
        <w:t>主要内容及实施情况</w:t>
      </w:r>
    </w:p>
    <w:p w14:paraId="7815FEBB">
      <w:pPr>
        <w:keepNext w:val="0"/>
        <w:keepLines w:val="0"/>
        <w:pageBreakBefore w:val="0"/>
        <w:widowControl/>
        <w:kinsoku w:val="0"/>
        <w:wordWrap/>
        <w:overflowPunct/>
        <w:topLinePunct w:val="0"/>
        <w:autoSpaceDE w:val="0"/>
        <w:autoSpaceDN w:val="0"/>
        <w:bidi w:val="0"/>
        <w:adjustRightInd w:val="0"/>
        <w:snapToGrid w:val="0"/>
        <w:spacing w:before="126" w:line="480" w:lineRule="exact"/>
        <w:ind w:left="0" w:firstLine="600" w:firstLineChars="200"/>
        <w:textAlignment w:val="baseline"/>
        <w:rPr>
          <w:rFonts w:hint="eastAsia" w:ascii="宋体" w:hAnsi="宋体" w:eastAsia="宋体" w:cs="宋体"/>
          <w:spacing w:val="10"/>
          <w:sz w:val="28"/>
          <w:szCs w:val="28"/>
          <w:lang w:val="en-US" w:eastAsia="zh-CN"/>
        </w:rPr>
      </w:pPr>
      <w:r>
        <w:rPr>
          <w:rFonts w:hint="eastAsia" w:ascii="宋体" w:hAnsi="宋体" w:eastAsia="宋体" w:cs="宋体"/>
          <w:spacing w:val="10"/>
          <w:sz w:val="28"/>
          <w:szCs w:val="28"/>
          <w:lang w:val="en-US" w:eastAsia="zh-CN"/>
        </w:rPr>
        <w:t>通过政府采购服务的方式，购买公交公司接送学生的服务，为农村中小学生上下学提供运输保障。主要解决车辆购置、驾驶员工资和运行成本等费用。</w:t>
      </w:r>
    </w:p>
    <w:p w14:paraId="6326A0D2">
      <w:pPr>
        <w:pStyle w:val="2"/>
        <w:rPr>
          <w:rFonts w:hint="default" w:ascii="宋体" w:hAnsi="宋体" w:eastAsia="宋体" w:cs="宋体"/>
          <w:snapToGrid w:val="0"/>
          <w:color w:val="000000"/>
          <w:spacing w:val="10"/>
          <w:kern w:val="0"/>
          <w:sz w:val="28"/>
          <w:szCs w:val="28"/>
          <w:lang w:val="en-US" w:eastAsia="zh-CN" w:bidi="ar-SA"/>
        </w:rPr>
      </w:pPr>
      <w:r>
        <w:rPr>
          <w:rFonts w:hint="eastAsia" w:ascii="宋体" w:hAnsi="宋体" w:eastAsia="宋体" w:cs="宋体"/>
          <w:spacing w:val="10"/>
          <w:sz w:val="28"/>
          <w:szCs w:val="28"/>
          <w:lang w:val="en-US" w:eastAsia="zh-CN"/>
        </w:rPr>
        <w:t>实施情况</w:t>
      </w:r>
      <w:r>
        <w:rPr>
          <w:rFonts w:hint="eastAsia" w:ascii="宋体" w:hAnsi="宋体" w:eastAsia="宋体" w:cs="宋体"/>
          <w:snapToGrid w:val="0"/>
          <w:color w:val="000000"/>
          <w:spacing w:val="10"/>
          <w:kern w:val="0"/>
          <w:sz w:val="28"/>
          <w:szCs w:val="28"/>
          <w:lang w:val="en-US" w:eastAsia="zh-CN" w:bidi="ar-SA"/>
        </w:rPr>
        <w:t>：全县共设置27条公交接送学生线路、39个乘车点位、31辆公交车、2辆预备车，共33辆（33座9辆、26座14辆、22座5辆、16座5辆）公交车的服务。严格按照要求配备33名具有从业资格且驾驶经验丰富的驾驶员，并按照路线安排提供准时、安全、优质客运专线服务。上述车辆及驾驶员在上午、下午接送学生期间不得用于其他客运路线，在运行过程中必须按照车辆核实人数乘坐，不得超员、超载。</w:t>
      </w:r>
    </w:p>
    <w:p w14:paraId="6681D5C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26" w:line="480" w:lineRule="exact"/>
        <w:ind w:left="0" w:leftChars="0" w:firstLine="600" w:firstLineChars="200"/>
        <w:textAlignment w:val="baseline"/>
        <w:rPr>
          <w:rFonts w:hint="eastAsia" w:ascii="宋体" w:hAnsi="宋体" w:eastAsia="宋体" w:cs="宋体"/>
          <w:spacing w:val="-2"/>
          <w:sz w:val="28"/>
          <w:szCs w:val="28"/>
        </w:rPr>
      </w:pPr>
      <w:r>
        <w:rPr>
          <w:rFonts w:hint="eastAsia" w:ascii="宋体" w:hAnsi="宋体" w:eastAsia="宋体" w:cs="宋体"/>
          <w:spacing w:val="10"/>
          <w:sz w:val="28"/>
          <w:szCs w:val="28"/>
          <w:lang w:val="en-US" w:eastAsia="zh-CN"/>
        </w:rPr>
        <w:t>3.</w:t>
      </w:r>
      <w:r>
        <w:rPr>
          <w:rFonts w:hint="eastAsia" w:ascii="宋体" w:hAnsi="宋体" w:eastAsia="宋体" w:cs="宋体"/>
          <w:spacing w:val="10"/>
          <w:sz w:val="28"/>
          <w:szCs w:val="28"/>
        </w:rPr>
        <w:t>资</w:t>
      </w:r>
      <w:r>
        <w:rPr>
          <w:rFonts w:hint="eastAsia" w:ascii="宋体" w:hAnsi="宋体" w:eastAsia="宋体" w:cs="宋体"/>
          <w:spacing w:val="-2"/>
          <w:sz w:val="28"/>
          <w:szCs w:val="28"/>
        </w:rPr>
        <w:t>金投入和使用情况</w:t>
      </w:r>
    </w:p>
    <w:p w14:paraId="67B84C63">
      <w:pPr>
        <w:keepNext w:val="0"/>
        <w:keepLines w:val="0"/>
        <w:pageBreakBefore w:val="0"/>
        <w:widowControl/>
        <w:kinsoku w:val="0"/>
        <w:wordWrap/>
        <w:overflowPunct/>
        <w:topLinePunct w:val="0"/>
        <w:autoSpaceDE w:val="0"/>
        <w:autoSpaceDN w:val="0"/>
        <w:bidi w:val="0"/>
        <w:adjustRightInd w:val="0"/>
        <w:snapToGrid w:val="0"/>
        <w:spacing w:before="126" w:line="480" w:lineRule="exact"/>
        <w:ind w:left="0" w:firstLine="552" w:firstLineChars="200"/>
        <w:textAlignment w:val="baseline"/>
        <w:rPr>
          <w:rFonts w:hint="default" w:ascii="宋体" w:hAnsi="宋体" w:eastAsia="宋体" w:cs="宋体"/>
          <w:spacing w:val="10"/>
          <w:sz w:val="28"/>
          <w:szCs w:val="28"/>
          <w:lang w:val="en-US" w:eastAsia="zh-CN"/>
        </w:rPr>
      </w:pPr>
      <w:r>
        <w:rPr>
          <w:rFonts w:hint="eastAsia" w:ascii="宋体" w:hAnsi="宋体" w:eastAsia="宋体" w:cs="宋体"/>
          <w:spacing w:val="-2"/>
          <w:sz w:val="28"/>
          <w:szCs w:val="28"/>
          <w:lang w:eastAsia="zh-CN"/>
        </w:rPr>
        <w:t>资金到位情况：</w:t>
      </w:r>
      <w:r>
        <w:rPr>
          <w:rFonts w:hint="eastAsia" w:ascii="宋体" w:hAnsi="宋体" w:eastAsia="宋体" w:cs="宋体"/>
          <w:spacing w:val="10"/>
          <w:sz w:val="28"/>
          <w:szCs w:val="28"/>
          <w:lang w:val="en-US" w:eastAsia="zh-CN"/>
        </w:rPr>
        <w:t>根据《安义县人民政府办公室关于同意支付优化义务教育资源配置公交车接送学生上下学运行费用的批复》（安府办字〔2023〕212号）文件，同意由县财政支付优化义务教育资源配置公交接送学生上下学运行费，第一年（2023年）支付356.69万元，此后每年支付331.73万元，2024年资金到位331.73万元，资金到位率为100%。</w:t>
      </w:r>
    </w:p>
    <w:p w14:paraId="2E35EE51">
      <w:pPr>
        <w:keepNext w:val="0"/>
        <w:keepLines w:val="0"/>
        <w:pageBreakBefore w:val="0"/>
        <w:widowControl/>
        <w:kinsoku w:val="0"/>
        <w:wordWrap/>
        <w:overflowPunct/>
        <w:topLinePunct w:val="0"/>
        <w:autoSpaceDE w:val="0"/>
        <w:autoSpaceDN w:val="0"/>
        <w:bidi w:val="0"/>
        <w:adjustRightInd w:val="0"/>
        <w:snapToGrid w:val="0"/>
        <w:spacing w:before="126" w:line="480" w:lineRule="exact"/>
        <w:ind w:left="0" w:firstLine="600" w:firstLineChars="200"/>
        <w:textAlignment w:val="baseline"/>
        <w:rPr>
          <w:rFonts w:hint="eastAsia" w:ascii="宋体" w:hAnsi="宋体" w:eastAsia="宋体" w:cs="宋体"/>
          <w:spacing w:val="10"/>
          <w:sz w:val="28"/>
          <w:szCs w:val="28"/>
          <w:lang w:val="en-US" w:eastAsia="zh-CN"/>
        </w:rPr>
      </w:pPr>
      <w:r>
        <w:rPr>
          <w:rFonts w:hint="eastAsia" w:ascii="宋体" w:hAnsi="宋体" w:eastAsia="宋体" w:cs="宋体"/>
          <w:spacing w:val="10"/>
          <w:sz w:val="28"/>
          <w:szCs w:val="28"/>
          <w:lang w:val="en-US" w:eastAsia="zh-CN"/>
        </w:rPr>
        <w:t>资金执行情况：2024年项目预算资金到账331.73万元，按照实际运行月的每个月支付，年底最后结清。2024年度该项目资金执行数为331.73万元，预算执行率为100%。</w:t>
      </w:r>
    </w:p>
    <w:p w14:paraId="28D97C5F">
      <w:pPr>
        <w:keepNext w:val="0"/>
        <w:keepLines w:val="0"/>
        <w:pageBreakBefore w:val="0"/>
        <w:widowControl/>
        <w:numPr>
          <w:ilvl w:val="0"/>
          <w:numId w:val="1"/>
        </w:numPr>
        <w:kinsoku w:val="0"/>
        <w:wordWrap/>
        <w:overflowPunct/>
        <w:topLinePunct w:val="0"/>
        <w:autoSpaceDE w:val="0"/>
        <w:autoSpaceDN w:val="0"/>
        <w:bidi w:val="0"/>
        <w:adjustRightInd w:val="0"/>
        <w:snapToGrid w:val="0"/>
        <w:spacing w:before="203" w:line="480" w:lineRule="exact"/>
        <w:ind w:left="0" w:firstLine="608" w:firstLineChars="200"/>
        <w:textAlignment w:val="baseline"/>
        <w:rPr>
          <w:rFonts w:hint="eastAsia" w:ascii="宋体" w:hAnsi="宋体" w:eastAsia="宋体" w:cs="宋体"/>
          <w:spacing w:val="12"/>
          <w:sz w:val="28"/>
          <w:szCs w:val="28"/>
        </w:rPr>
      </w:pPr>
      <w:r>
        <w:rPr>
          <w:rFonts w:hint="eastAsia" w:ascii="宋体" w:hAnsi="宋体" w:eastAsia="宋体" w:cs="宋体"/>
          <w:spacing w:val="12"/>
          <w:sz w:val="28"/>
          <w:szCs w:val="28"/>
        </w:rPr>
        <w:t>项目绩效目标。</w:t>
      </w:r>
    </w:p>
    <w:p w14:paraId="72BF7F7D">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3" w:line="480" w:lineRule="exact"/>
        <w:ind w:left="0" w:firstLine="608" w:firstLineChars="200"/>
        <w:textAlignment w:val="baseline"/>
        <w:rPr>
          <w:rFonts w:hint="eastAsia" w:ascii="宋体" w:hAnsi="宋体" w:eastAsia="宋体" w:cs="宋体"/>
          <w:spacing w:val="12"/>
          <w:sz w:val="28"/>
          <w:szCs w:val="28"/>
        </w:rPr>
      </w:pPr>
      <w:r>
        <w:rPr>
          <w:rFonts w:hint="eastAsia" w:ascii="宋体" w:hAnsi="宋体" w:eastAsia="宋体" w:cs="宋体"/>
          <w:spacing w:val="12"/>
          <w:sz w:val="28"/>
          <w:szCs w:val="28"/>
          <w:lang w:val="en-US" w:eastAsia="zh-CN"/>
        </w:rPr>
        <w:t>1.</w:t>
      </w:r>
      <w:r>
        <w:rPr>
          <w:rFonts w:hint="eastAsia" w:ascii="宋体" w:hAnsi="宋体" w:eastAsia="宋体" w:cs="宋体"/>
          <w:spacing w:val="12"/>
          <w:sz w:val="28"/>
          <w:szCs w:val="28"/>
        </w:rPr>
        <w:t>总体目标</w:t>
      </w:r>
    </w:p>
    <w:p w14:paraId="745879ED">
      <w:pPr>
        <w:pStyle w:val="3"/>
        <w:pageBreakBefore w:val="0"/>
        <w:widowControl w:val="0"/>
        <w:kinsoku/>
        <w:wordWrap/>
        <w:overflowPunct/>
        <w:topLinePunct w:val="0"/>
        <w:autoSpaceDE/>
        <w:autoSpaceDN/>
        <w:bidi w:val="0"/>
        <w:adjustRightInd/>
        <w:snapToGrid/>
        <w:spacing w:beforeAutospacing="0" w:afterAutospacing="0" w:line="600" w:lineRule="exact"/>
        <w:ind w:firstLine="600" w:firstLineChars="200"/>
        <w:textAlignment w:val="auto"/>
        <w:rPr>
          <w:rFonts w:hint="eastAsia" w:ascii="宋体" w:hAnsi="宋体" w:eastAsia="宋体" w:cs="宋体"/>
          <w:snapToGrid w:val="0"/>
          <w:color w:val="000000"/>
          <w:spacing w:val="10"/>
          <w:kern w:val="0"/>
          <w:sz w:val="28"/>
          <w:szCs w:val="28"/>
          <w:lang w:val="en-US" w:eastAsia="zh-CN" w:bidi="ar-SA"/>
        </w:rPr>
      </w:pPr>
      <w:r>
        <w:rPr>
          <w:rFonts w:hint="eastAsia" w:ascii="宋体" w:hAnsi="宋体" w:eastAsia="宋体" w:cs="宋体"/>
          <w:snapToGrid w:val="0"/>
          <w:color w:val="000000"/>
          <w:spacing w:val="10"/>
          <w:kern w:val="0"/>
          <w:sz w:val="28"/>
          <w:szCs w:val="28"/>
          <w:lang w:val="en-US" w:eastAsia="zh-CN" w:bidi="ar-SA"/>
        </w:rPr>
        <w:t>通过项目实施，有效保障上学路程较远孩子的上下学，依法保障交通安全，提升学生幸福感，并减轻家长负担，推动安义县教育事业发展。</w:t>
      </w:r>
    </w:p>
    <w:p w14:paraId="52A223D8">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203" w:line="480" w:lineRule="exact"/>
        <w:ind w:left="0" w:firstLine="608" w:firstLineChars="200"/>
        <w:textAlignment w:val="baseline"/>
        <w:rPr>
          <w:rFonts w:hint="eastAsia" w:ascii="宋体" w:hAnsi="宋体" w:eastAsia="宋体" w:cs="宋体"/>
          <w:spacing w:val="12"/>
          <w:sz w:val="28"/>
          <w:szCs w:val="28"/>
        </w:rPr>
      </w:pPr>
      <w:r>
        <w:rPr>
          <w:rFonts w:hint="eastAsia" w:ascii="宋体" w:hAnsi="宋体" w:eastAsia="宋体" w:cs="宋体"/>
          <w:spacing w:val="12"/>
          <w:sz w:val="28"/>
          <w:szCs w:val="28"/>
          <w:lang w:val="en-US" w:eastAsia="zh-CN"/>
        </w:rPr>
        <w:t>2.</w:t>
      </w:r>
      <w:r>
        <w:rPr>
          <w:rFonts w:hint="eastAsia" w:ascii="宋体" w:hAnsi="宋体" w:eastAsia="宋体" w:cs="宋体"/>
          <w:spacing w:val="12"/>
          <w:sz w:val="28"/>
          <w:szCs w:val="28"/>
        </w:rPr>
        <w:t>阶段性目标</w:t>
      </w:r>
    </w:p>
    <w:p w14:paraId="76DE5013">
      <w:pPr>
        <w:pStyle w:val="2"/>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00" w:firstLineChars="200"/>
        <w:textAlignment w:val="auto"/>
        <w:rPr>
          <w:rFonts w:hint="default" w:ascii="宋体" w:hAnsi="宋体" w:eastAsia="宋体" w:cs="宋体"/>
          <w:snapToGrid w:val="0"/>
          <w:color w:val="000000"/>
          <w:spacing w:val="10"/>
          <w:kern w:val="0"/>
          <w:sz w:val="28"/>
          <w:szCs w:val="28"/>
          <w:lang w:val="en-US" w:eastAsia="zh-CN" w:bidi="ar-SA"/>
        </w:rPr>
      </w:pPr>
      <w:r>
        <w:rPr>
          <w:rFonts w:hint="eastAsia" w:ascii="宋体" w:hAnsi="宋体" w:eastAsia="宋体" w:cs="宋体"/>
          <w:snapToGrid w:val="0"/>
          <w:color w:val="000000"/>
          <w:spacing w:val="10"/>
          <w:kern w:val="0"/>
          <w:sz w:val="28"/>
          <w:szCs w:val="28"/>
          <w:lang w:val="en-US" w:eastAsia="zh-CN" w:bidi="ar-SA"/>
        </w:rPr>
        <w:t>提供覆盖全县（龙津镇除外）27条客运线路、39个乘车点位、31辆公交车、2辆预备车，共33辆公交车的服务，保障450余名上学路程较远孩子的上下学，依法保障交通安全，提升学生幸福感，并减轻家长负担。</w:t>
      </w:r>
    </w:p>
    <w:p w14:paraId="16760EC3">
      <w:pPr>
        <w:keepNext w:val="0"/>
        <w:keepLines w:val="0"/>
        <w:pageBreakBefore w:val="0"/>
        <w:widowControl/>
        <w:kinsoku w:val="0"/>
        <w:wordWrap/>
        <w:overflowPunct/>
        <w:topLinePunct w:val="0"/>
        <w:autoSpaceDE w:val="0"/>
        <w:autoSpaceDN w:val="0"/>
        <w:bidi w:val="0"/>
        <w:adjustRightInd w:val="0"/>
        <w:snapToGrid w:val="0"/>
        <w:spacing w:before="179" w:line="480" w:lineRule="exact"/>
        <w:ind w:left="0" w:firstLine="558" w:firstLineChars="200"/>
        <w:textAlignment w:val="baseline"/>
        <w:outlineLvl w:val="0"/>
        <w:rPr>
          <w:rFonts w:hint="eastAsia" w:ascii="宋体" w:hAnsi="宋体" w:eastAsia="宋体" w:cs="宋体"/>
          <w:sz w:val="28"/>
          <w:szCs w:val="28"/>
        </w:rPr>
      </w:pPr>
      <w:r>
        <w:rPr>
          <w:rFonts w:hint="eastAsia" w:ascii="宋体" w:hAnsi="宋体" w:eastAsia="宋体" w:cs="宋体"/>
          <w:b/>
          <w:bCs/>
          <w:spacing w:val="-1"/>
          <w:sz w:val="28"/>
          <w:szCs w:val="28"/>
        </w:rPr>
        <w:t>二、绩效评价工作开展情况</w:t>
      </w:r>
    </w:p>
    <w:p w14:paraId="4394210F">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80" w:lineRule="exact"/>
        <w:ind w:left="0" w:leftChars="0" w:firstLine="560" w:firstLineChars="200"/>
        <w:jc w:val="left"/>
        <w:textAlignment w:val="baseline"/>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绩效评价目的、对象和范围</w:t>
      </w:r>
    </w:p>
    <w:p w14:paraId="6C092EC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560" w:firstLineChars="200"/>
        <w:jc w:val="left"/>
        <w:textAlignment w:val="baseline"/>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1.绩效评价的目的</w:t>
      </w:r>
    </w:p>
    <w:p w14:paraId="1D3872E0">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600" w:firstLineChars="200"/>
        <w:jc w:val="left"/>
        <w:textAlignment w:val="baseline"/>
        <w:rPr>
          <w:rFonts w:hint="default" w:ascii="宋体" w:hAnsi="宋体" w:eastAsia="宋体" w:cs="宋体"/>
          <w:snapToGrid w:val="0"/>
          <w:color w:val="000000"/>
          <w:spacing w:val="10"/>
          <w:kern w:val="0"/>
          <w:sz w:val="28"/>
          <w:szCs w:val="28"/>
          <w:lang w:val="en-US" w:eastAsia="zh-CN" w:bidi="ar-SA"/>
        </w:rPr>
      </w:pPr>
      <w:r>
        <w:rPr>
          <w:rFonts w:hint="default" w:ascii="宋体" w:hAnsi="宋体" w:eastAsia="宋体" w:cs="宋体"/>
          <w:snapToGrid w:val="0"/>
          <w:color w:val="000000"/>
          <w:spacing w:val="10"/>
          <w:kern w:val="0"/>
          <w:sz w:val="28"/>
          <w:szCs w:val="28"/>
          <w:lang w:val="en-US" w:eastAsia="zh-CN" w:bidi="ar-SA"/>
        </w:rPr>
        <w:t>根据编制年度预算时提交的财政支出项目绩效目标申报表及项目设定的预期目标，选择合适的评价指标和标准，运用科学的评价方法，对资金使用全过程及其支出的经济性、效率性和效益性进行客观公正的综合评价，以衡量财政资金的使用绩效，分析支出项目是否达到预期目标。同时，及时总结经验，分析存在问题，进一步改进和加强资金管理，提高财政资金的使用效益。根据财政绩效评价的要求和项目实际情况，本次绩效评价的目的主要有：</w:t>
      </w:r>
    </w:p>
    <w:p w14:paraId="40C0212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600" w:firstLineChars="200"/>
        <w:jc w:val="left"/>
        <w:textAlignment w:val="baseline"/>
        <w:rPr>
          <w:rFonts w:hint="default" w:ascii="宋体" w:hAnsi="宋体" w:eastAsia="宋体" w:cs="宋体"/>
          <w:snapToGrid w:val="0"/>
          <w:color w:val="000000"/>
          <w:spacing w:val="10"/>
          <w:kern w:val="0"/>
          <w:sz w:val="28"/>
          <w:szCs w:val="28"/>
          <w:lang w:val="en-US" w:eastAsia="zh-CN" w:bidi="ar-SA"/>
        </w:rPr>
      </w:pPr>
      <w:r>
        <w:rPr>
          <w:rFonts w:hint="eastAsia" w:ascii="宋体" w:hAnsi="宋体" w:eastAsia="宋体" w:cs="宋体"/>
          <w:snapToGrid w:val="0"/>
          <w:color w:val="000000"/>
          <w:spacing w:val="10"/>
          <w:kern w:val="0"/>
          <w:sz w:val="28"/>
          <w:szCs w:val="28"/>
          <w:lang w:val="en-US" w:eastAsia="zh-CN" w:bidi="ar-SA"/>
        </w:rPr>
        <w:t>①</w:t>
      </w:r>
      <w:r>
        <w:rPr>
          <w:rFonts w:hint="default" w:ascii="宋体" w:hAnsi="宋体" w:eastAsia="宋体" w:cs="宋体"/>
          <w:snapToGrid w:val="0"/>
          <w:color w:val="000000"/>
          <w:spacing w:val="10"/>
          <w:kern w:val="0"/>
          <w:sz w:val="28"/>
          <w:szCs w:val="28"/>
          <w:lang w:val="en-US" w:eastAsia="zh-CN" w:bidi="ar-SA"/>
        </w:rPr>
        <w:t>掌握</w:t>
      </w:r>
      <w:r>
        <w:rPr>
          <w:rFonts w:hint="eastAsia" w:ascii="宋体" w:hAnsi="宋体" w:eastAsia="宋体" w:cs="宋体"/>
          <w:snapToGrid w:val="0"/>
          <w:color w:val="000000"/>
          <w:spacing w:val="10"/>
          <w:kern w:val="0"/>
          <w:sz w:val="28"/>
          <w:szCs w:val="28"/>
          <w:lang w:val="en-US" w:eastAsia="zh-CN" w:bidi="ar-SA"/>
        </w:rPr>
        <w:t>该项目</w:t>
      </w:r>
      <w:r>
        <w:rPr>
          <w:rFonts w:hint="default" w:ascii="宋体" w:hAnsi="宋体" w:eastAsia="宋体" w:cs="宋体"/>
          <w:snapToGrid w:val="0"/>
          <w:color w:val="000000"/>
          <w:spacing w:val="10"/>
          <w:kern w:val="0"/>
          <w:sz w:val="28"/>
          <w:szCs w:val="28"/>
          <w:lang w:val="en-US" w:eastAsia="zh-CN" w:bidi="ar-SA"/>
        </w:rPr>
        <w:t>的资金申请拨付以及使用情况；</w:t>
      </w:r>
    </w:p>
    <w:p w14:paraId="0DBF392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600" w:firstLineChars="200"/>
        <w:jc w:val="left"/>
        <w:textAlignment w:val="baseline"/>
        <w:rPr>
          <w:rFonts w:hint="default" w:ascii="宋体" w:hAnsi="宋体" w:eastAsia="宋体" w:cs="宋体"/>
          <w:snapToGrid w:val="0"/>
          <w:color w:val="000000"/>
          <w:spacing w:val="10"/>
          <w:kern w:val="0"/>
          <w:sz w:val="28"/>
          <w:szCs w:val="28"/>
          <w:lang w:val="en-US" w:eastAsia="zh-CN" w:bidi="ar-SA"/>
        </w:rPr>
      </w:pPr>
      <w:r>
        <w:rPr>
          <w:rFonts w:hint="eastAsia" w:ascii="宋体" w:hAnsi="宋体" w:eastAsia="宋体" w:cs="宋体"/>
          <w:snapToGrid w:val="0"/>
          <w:color w:val="000000"/>
          <w:spacing w:val="10"/>
          <w:kern w:val="0"/>
          <w:sz w:val="28"/>
          <w:szCs w:val="28"/>
          <w:lang w:val="en-US" w:eastAsia="zh-CN" w:bidi="ar-SA"/>
        </w:rPr>
        <w:t>②</w:t>
      </w:r>
      <w:r>
        <w:rPr>
          <w:rFonts w:hint="default" w:ascii="宋体" w:hAnsi="宋体" w:eastAsia="宋体" w:cs="宋体"/>
          <w:snapToGrid w:val="0"/>
          <w:color w:val="000000"/>
          <w:spacing w:val="10"/>
          <w:kern w:val="0"/>
          <w:sz w:val="28"/>
          <w:szCs w:val="28"/>
          <w:lang w:val="en-US" w:eastAsia="zh-CN" w:bidi="ar-SA"/>
        </w:rPr>
        <w:t>了解</w:t>
      </w:r>
      <w:r>
        <w:rPr>
          <w:rFonts w:hint="eastAsia" w:ascii="宋体" w:hAnsi="宋体" w:eastAsia="宋体" w:cs="宋体"/>
          <w:snapToGrid w:val="0"/>
          <w:color w:val="000000"/>
          <w:spacing w:val="10"/>
          <w:kern w:val="0"/>
          <w:sz w:val="28"/>
          <w:szCs w:val="28"/>
          <w:lang w:val="en-US" w:eastAsia="zh-CN" w:bidi="ar-SA"/>
        </w:rPr>
        <w:t>该项目</w:t>
      </w:r>
      <w:r>
        <w:rPr>
          <w:rFonts w:hint="default" w:ascii="宋体" w:hAnsi="宋体" w:eastAsia="宋体" w:cs="宋体"/>
          <w:snapToGrid w:val="0"/>
          <w:color w:val="000000"/>
          <w:spacing w:val="10"/>
          <w:kern w:val="0"/>
          <w:sz w:val="28"/>
          <w:szCs w:val="28"/>
          <w:lang w:val="en-US" w:eastAsia="zh-CN" w:bidi="ar-SA"/>
        </w:rPr>
        <w:t>的产出与效益；</w:t>
      </w:r>
    </w:p>
    <w:p w14:paraId="132BB1D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600" w:firstLineChars="200"/>
        <w:jc w:val="left"/>
        <w:textAlignment w:val="baseline"/>
        <w:rPr>
          <w:rFonts w:hint="eastAsia" w:ascii="宋体" w:hAnsi="宋体" w:eastAsia="宋体" w:cs="宋体"/>
          <w:snapToGrid w:val="0"/>
          <w:color w:val="000000"/>
          <w:spacing w:val="10"/>
          <w:kern w:val="0"/>
          <w:sz w:val="28"/>
          <w:szCs w:val="28"/>
          <w:lang w:val="en-US" w:eastAsia="zh-CN" w:bidi="ar-SA"/>
        </w:rPr>
      </w:pPr>
      <w:r>
        <w:rPr>
          <w:rFonts w:hint="eastAsia" w:ascii="宋体" w:hAnsi="宋体" w:eastAsia="宋体" w:cs="宋体"/>
          <w:snapToGrid w:val="0"/>
          <w:color w:val="000000"/>
          <w:spacing w:val="10"/>
          <w:kern w:val="0"/>
          <w:sz w:val="28"/>
          <w:szCs w:val="28"/>
          <w:lang w:val="en-US" w:eastAsia="zh-CN" w:bidi="ar-SA"/>
        </w:rPr>
        <w:t>③</w:t>
      </w:r>
      <w:r>
        <w:rPr>
          <w:rFonts w:hint="default" w:ascii="宋体" w:hAnsi="宋体" w:eastAsia="宋体" w:cs="宋体"/>
          <w:snapToGrid w:val="0"/>
          <w:color w:val="000000"/>
          <w:spacing w:val="10"/>
          <w:kern w:val="0"/>
          <w:sz w:val="28"/>
          <w:szCs w:val="28"/>
          <w:lang w:val="en-US" w:eastAsia="zh-CN" w:bidi="ar-SA"/>
        </w:rPr>
        <w:t>发现</w:t>
      </w:r>
      <w:r>
        <w:rPr>
          <w:rFonts w:hint="eastAsia" w:ascii="宋体" w:hAnsi="宋体" w:eastAsia="宋体" w:cs="宋体"/>
          <w:snapToGrid w:val="0"/>
          <w:color w:val="000000"/>
          <w:spacing w:val="10"/>
          <w:kern w:val="0"/>
          <w:sz w:val="28"/>
          <w:szCs w:val="28"/>
          <w:lang w:val="en-US" w:eastAsia="zh-CN" w:bidi="ar-SA"/>
        </w:rPr>
        <w:t>该</w:t>
      </w:r>
      <w:r>
        <w:rPr>
          <w:rFonts w:hint="default" w:ascii="宋体" w:hAnsi="宋体" w:eastAsia="宋体" w:cs="宋体"/>
          <w:snapToGrid w:val="0"/>
          <w:color w:val="000000"/>
          <w:spacing w:val="10"/>
          <w:kern w:val="0"/>
          <w:sz w:val="28"/>
          <w:szCs w:val="28"/>
          <w:lang w:val="en-US" w:eastAsia="zh-CN" w:bidi="ar-SA"/>
        </w:rPr>
        <w:t>项目经费使用及项目实施中存在的不足和问题，并提出有针对性、可操作的解决对策。</w:t>
      </w:r>
    </w:p>
    <w:p w14:paraId="5107E1C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leftChars="0" w:firstLine="560" w:firstLineChars="200"/>
        <w:jc w:val="left"/>
        <w:textAlignment w:val="baseline"/>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2.绩效评价的对象和范围</w:t>
      </w:r>
    </w:p>
    <w:p w14:paraId="5C46247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600" w:firstLineChars="200"/>
        <w:jc w:val="left"/>
        <w:textAlignment w:val="baseline"/>
        <w:rPr>
          <w:rFonts w:hint="eastAsia" w:ascii="宋体" w:hAnsi="宋体" w:eastAsia="宋体" w:cs="宋体"/>
          <w:snapToGrid w:val="0"/>
          <w:color w:val="000000"/>
          <w:spacing w:val="10"/>
          <w:kern w:val="0"/>
          <w:sz w:val="28"/>
          <w:szCs w:val="28"/>
          <w:lang w:val="en-US" w:eastAsia="zh-CN" w:bidi="ar-SA"/>
        </w:rPr>
      </w:pPr>
      <w:r>
        <w:rPr>
          <w:rFonts w:hint="eastAsia" w:ascii="宋体" w:hAnsi="宋体" w:eastAsia="宋体" w:cs="宋体"/>
          <w:snapToGrid w:val="0"/>
          <w:color w:val="000000"/>
          <w:spacing w:val="10"/>
          <w:kern w:val="0"/>
          <w:sz w:val="28"/>
          <w:szCs w:val="28"/>
          <w:lang w:val="en-US" w:eastAsia="zh-CN" w:bidi="ar-SA"/>
        </w:rPr>
        <w:t>该项目主管单位为县教育局，具体实施单位为各学校和顺来客运公司，本次绩效评价对象为优化义务教育资源配置公交接送学生上下学运行费项目资金，项目概算总预算为331.73万元，涉及全县9个乡镇31所小学</w:t>
      </w:r>
      <w:r>
        <w:rPr>
          <w:rFonts w:hint="default" w:ascii="宋体" w:hAnsi="宋体" w:eastAsia="宋体" w:cs="宋体"/>
          <w:snapToGrid w:val="0"/>
          <w:color w:val="000000"/>
          <w:spacing w:val="10"/>
          <w:kern w:val="0"/>
          <w:sz w:val="28"/>
          <w:szCs w:val="28"/>
          <w:lang w:val="en-US" w:eastAsia="zh-CN" w:bidi="ar-SA"/>
        </w:rPr>
        <w:t>。本次绩效评价主要对项目具体实施情况、项目过程管理、群众满意度等进行综合评价；评价项目时段为202</w:t>
      </w:r>
      <w:r>
        <w:rPr>
          <w:rFonts w:hint="eastAsia" w:ascii="宋体" w:hAnsi="宋体" w:eastAsia="宋体" w:cs="宋体"/>
          <w:snapToGrid w:val="0"/>
          <w:color w:val="000000"/>
          <w:spacing w:val="10"/>
          <w:kern w:val="0"/>
          <w:sz w:val="28"/>
          <w:szCs w:val="28"/>
          <w:lang w:val="en-US" w:eastAsia="zh-CN" w:bidi="ar-SA"/>
        </w:rPr>
        <w:t>4</w:t>
      </w:r>
      <w:r>
        <w:rPr>
          <w:rFonts w:hint="default" w:ascii="宋体" w:hAnsi="宋体" w:eastAsia="宋体" w:cs="宋体"/>
          <w:snapToGrid w:val="0"/>
          <w:color w:val="000000"/>
          <w:spacing w:val="10"/>
          <w:kern w:val="0"/>
          <w:sz w:val="28"/>
          <w:szCs w:val="28"/>
          <w:lang w:val="en-US" w:eastAsia="zh-CN" w:bidi="ar-SA"/>
        </w:rPr>
        <w:t>年</w:t>
      </w:r>
      <w:r>
        <w:rPr>
          <w:rFonts w:hint="eastAsia" w:ascii="宋体" w:hAnsi="宋体" w:eastAsia="宋体" w:cs="宋体"/>
          <w:snapToGrid w:val="0"/>
          <w:color w:val="000000"/>
          <w:spacing w:val="10"/>
          <w:kern w:val="0"/>
          <w:sz w:val="28"/>
          <w:szCs w:val="28"/>
          <w:lang w:val="en-US" w:eastAsia="zh-CN" w:bidi="ar-SA"/>
        </w:rPr>
        <w:t>1</w:t>
      </w:r>
      <w:r>
        <w:rPr>
          <w:rFonts w:hint="default" w:ascii="宋体" w:hAnsi="宋体" w:eastAsia="宋体" w:cs="宋体"/>
          <w:snapToGrid w:val="0"/>
          <w:color w:val="000000"/>
          <w:spacing w:val="10"/>
          <w:kern w:val="0"/>
          <w:sz w:val="28"/>
          <w:szCs w:val="28"/>
          <w:lang w:val="en-US" w:eastAsia="zh-CN" w:bidi="ar-SA"/>
        </w:rPr>
        <w:t>月1日至202</w:t>
      </w:r>
      <w:r>
        <w:rPr>
          <w:rFonts w:hint="eastAsia" w:ascii="宋体" w:hAnsi="宋体" w:eastAsia="宋体" w:cs="宋体"/>
          <w:snapToGrid w:val="0"/>
          <w:color w:val="000000"/>
          <w:spacing w:val="10"/>
          <w:kern w:val="0"/>
          <w:sz w:val="28"/>
          <w:szCs w:val="28"/>
          <w:lang w:val="en-US" w:eastAsia="zh-CN" w:bidi="ar-SA"/>
        </w:rPr>
        <w:t>4</w:t>
      </w:r>
      <w:r>
        <w:rPr>
          <w:rFonts w:hint="default" w:ascii="宋体" w:hAnsi="宋体" w:eastAsia="宋体" w:cs="宋体"/>
          <w:snapToGrid w:val="0"/>
          <w:color w:val="000000"/>
          <w:spacing w:val="10"/>
          <w:kern w:val="0"/>
          <w:sz w:val="28"/>
          <w:szCs w:val="28"/>
          <w:lang w:val="en-US" w:eastAsia="zh-CN" w:bidi="ar-SA"/>
        </w:rPr>
        <w:t>年</w:t>
      </w:r>
      <w:r>
        <w:rPr>
          <w:rFonts w:hint="eastAsia" w:ascii="宋体" w:hAnsi="宋体" w:eastAsia="宋体" w:cs="宋体"/>
          <w:snapToGrid w:val="0"/>
          <w:color w:val="000000"/>
          <w:spacing w:val="10"/>
          <w:kern w:val="0"/>
          <w:sz w:val="28"/>
          <w:szCs w:val="28"/>
          <w:lang w:val="en-US" w:eastAsia="zh-CN" w:bidi="ar-SA"/>
        </w:rPr>
        <w:t>12</w:t>
      </w:r>
      <w:r>
        <w:rPr>
          <w:rFonts w:hint="default" w:ascii="宋体" w:hAnsi="宋体" w:eastAsia="宋体" w:cs="宋体"/>
          <w:snapToGrid w:val="0"/>
          <w:color w:val="000000"/>
          <w:spacing w:val="10"/>
          <w:kern w:val="0"/>
          <w:sz w:val="28"/>
          <w:szCs w:val="28"/>
          <w:lang w:val="en-US" w:eastAsia="zh-CN" w:bidi="ar-SA"/>
        </w:rPr>
        <w:t>月3</w:t>
      </w:r>
      <w:r>
        <w:rPr>
          <w:rFonts w:hint="eastAsia" w:ascii="宋体" w:hAnsi="宋体" w:eastAsia="宋体" w:cs="宋体"/>
          <w:snapToGrid w:val="0"/>
          <w:color w:val="000000"/>
          <w:spacing w:val="10"/>
          <w:kern w:val="0"/>
          <w:sz w:val="28"/>
          <w:szCs w:val="28"/>
          <w:lang w:val="en-US" w:eastAsia="zh-CN" w:bidi="ar-SA"/>
        </w:rPr>
        <w:t>1</w:t>
      </w:r>
      <w:r>
        <w:rPr>
          <w:rFonts w:hint="default" w:ascii="宋体" w:hAnsi="宋体" w:eastAsia="宋体" w:cs="宋体"/>
          <w:snapToGrid w:val="0"/>
          <w:color w:val="000000"/>
          <w:spacing w:val="10"/>
          <w:kern w:val="0"/>
          <w:sz w:val="28"/>
          <w:szCs w:val="28"/>
          <w:lang w:val="en-US" w:eastAsia="zh-CN" w:bidi="ar-SA"/>
        </w:rPr>
        <w:t>日</w:t>
      </w:r>
      <w:r>
        <w:rPr>
          <w:rFonts w:hint="eastAsia" w:ascii="宋体" w:hAnsi="宋体" w:eastAsia="宋体" w:cs="宋体"/>
          <w:snapToGrid w:val="0"/>
          <w:color w:val="000000"/>
          <w:spacing w:val="10"/>
          <w:kern w:val="0"/>
          <w:sz w:val="28"/>
          <w:szCs w:val="28"/>
          <w:lang w:val="en-US" w:eastAsia="zh-CN" w:bidi="ar-SA"/>
        </w:rPr>
        <w:t>（根据项目实际实施期间进行顺延）</w:t>
      </w:r>
      <w:r>
        <w:rPr>
          <w:rFonts w:hint="default" w:ascii="宋体" w:hAnsi="宋体" w:eastAsia="宋体" w:cs="宋体"/>
          <w:snapToGrid w:val="0"/>
          <w:color w:val="000000"/>
          <w:spacing w:val="10"/>
          <w:kern w:val="0"/>
          <w:sz w:val="28"/>
          <w:szCs w:val="28"/>
          <w:lang w:val="en-US" w:eastAsia="zh-CN" w:bidi="ar-SA"/>
        </w:rPr>
        <w:t>。</w:t>
      </w:r>
    </w:p>
    <w:p w14:paraId="27591304">
      <w:pPr>
        <w:pStyle w:val="2"/>
        <w:keepNext w:val="0"/>
        <w:keepLines w:val="0"/>
        <w:pageBreakBefore w:val="0"/>
        <w:widowControl/>
        <w:numPr>
          <w:ilvl w:val="0"/>
          <w:numId w:val="3"/>
        </w:numPr>
        <w:kinsoku w:val="0"/>
        <w:wordWrap/>
        <w:overflowPunct/>
        <w:topLinePunct w:val="0"/>
        <w:autoSpaceDE w:val="0"/>
        <w:autoSpaceDN w:val="0"/>
        <w:bidi w:val="0"/>
        <w:adjustRightInd w:val="0"/>
        <w:snapToGrid w:val="0"/>
        <w:spacing w:before="146" w:line="480" w:lineRule="exact"/>
        <w:ind w:left="0" w:firstLine="580" w:firstLineChars="200"/>
        <w:textAlignment w:val="baseline"/>
        <w:rPr>
          <w:rFonts w:hint="eastAsia" w:ascii="宋体" w:hAnsi="宋体" w:eastAsia="宋体" w:cs="宋体"/>
          <w:spacing w:val="5"/>
          <w:position w:val="17"/>
          <w:sz w:val="28"/>
          <w:szCs w:val="28"/>
          <w:lang w:eastAsia="zh-CN"/>
        </w:rPr>
      </w:pPr>
      <w:r>
        <w:rPr>
          <w:rFonts w:hint="eastAsia" w:ascii="宋体" w:hAnsi="宋体" w:eastAsia="宋体" w:cs="宋体"/>
          <w:spacing w:val="5"/>
          <w:position w:val="17"/>
          <w:sz w:val="28"/>
          <w:szCs w:val="28"/>
        </w:rPr>
        <w:t>绩效评价原则、评价指标体系、评价方法、评价标</w:t>
      </w:r>
      <w:r>
        <w:rPr>
          <w:rFonts w:hint="eastAsia" w:ascii="宋体" w:hAnsi="宋体" w:eastAsia="宋体" w:cs="宋体"/>
          <w:spacing w:val="5"/>
          <w:position w:val="17"/>
          <w:sz w:val="28"/>
          <w:szCs w:val="28"/>
          <w:lang w:eastAsia="zh-CN"/>
        </w:rPr>
        <w:t>准等。</w:t>
      </w:r>
    </w:p>
    <w:p w14:paraId="15056205">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146" w:line="480" w:lineRule="exact"/>
        <w:ind w:left="0" w:leftChars="0" w:firstLine="580" w:firstLineChars="200"/>
        <w:textAlignment w:val="baseline"/>
        <w:rPr>
          <w:rFonts w:hint="eastAsia" w:ascii="宋体" w:hAnsi="宋体" w:eastAsia="宋体" w:cs="宋体"/>
          <w:spacing w:val="5"/>
          <w:position w:val="17"/>
          <w:sz w:val="28"/>
          <w:szCs w:val="28"/>
          <w:lang w:val="en-US" w:eastAsia="zh-CN"/>
        </w:rPr>
      </w:pPr>
      <w:r>
        <w:rPr>
          <w:rFonts w:hint="eastAsia" w:ascii="宋体" w:hAnsi="宋体" w:eastAsia="宋体" w:cs="宋体"/>
          <w:spacing w:val="5"/>
          <w:position w:val="17"/>
          <w:sz w:val="28"/>
          <w:szCs w:val="28"/>
          <w:lang w:val="en-US" w:eastAsia="zh-CN"/>
        </w:rPr>
        <w:t>1.绩效评价的原则</w:t>
      </w:r>
    </w:p>
    <w:p w14:paraId="6AD80F6A">
      <w:pPr>
        <w:pStyle w:val="2"/>
        <w:keepNext w:val="0"/>
        <w:keepLines w:val="0"/>
        <w:pageBreakBefore w:val="0"/>
        <w:widowControl/>
        <w:numPr>
          <w:ilvl w:val="0"/>
          <w:numId w:val="4"/>
        </w:numPr>
        <w:kinsoku w:val="0"/>
        <w:wordWrap/>
        <w:overflowPunct/>
        <w:topLinePunct w:val="0"/>
        <w:autoSpaceDE w:val="0"/>
        <w:autoSpaceDN w:val="0"/>
        <w:bidi w:val="0"/>
        <w:adjustRightInd w:val="0"/>
        <w:snapToGrid w:val="0"/>
        <w:spacing w:before="146" w:line="480" w:lineRule="exact"/>
        <w:ind w:left="0" w:leftChars="0" w:firstLine="580" w:firstLineChars="200"/>
        <w:textAlignment w:val="baseline"/>
        <w:rPr>
          <w:rFonts w:hint="eastAsia" w:ascii="宋体" w:hAnsi="宋体" w:eastAsia="宋体" w:cs="宋体"/>
          <w:spacing w:val="5"/>
          <w:position w:val="17"/>
          <w:sz w:val="28"/>
          <w:szCs w:val="28"/>
          <w:lang w:val="en-US" w:eastAsia="zh-CN"/>
        </w:rPr>
      </w:pPr>
      <w:r>
        <w:rPr>
          <w:rFonts w:hint="eastAsia" w:ascii="宋体" w:hAnsi="宋体" w:eastAsia="宋体" w:cs="宋体"/>
          <w:spacing w:val="5"/>
          <w:position w:val="17"/>
          <w:sz w:val="28"/>
          <w:szCs w:val="28"/>
          <w:lang w:val="en-US" w:eastAsia="zh-CN"/>
        </w:rPr>
        <w:t>科学规范。（2）公正公平。（3）分级分类。（4）绩效相关。</w:t>
      </w:r>
    </w:p>
    <w:p w14:paraId="16145094">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146" w:line="480" w:lineRule="exact"/>
        <w:ind w:firstLine="580" w:firstLineChars="200"/>
        <w:textAlignment w:val="baseline"/>
        <w:rPr>
          <w:rFonts w:hint="eastAsia" w:ascii="宋体" w:hAnsi="宋体" w:eastAsia="宋体" w:cs="宋体"/>
          <w:spacing w:val="5"/>
          <w:position w:val="17"/>
          <w:sz w:val="28"/>
          <w:szCs w:val="28"/>
          <w:lang w:val="en-US" w:eastAsia="zh-CN"/>
        </w:rPr>
      </w:pPr>
      <w:r>
        <w:rPr>
          <w:rFonts w:hint="eastAsia" w:ascii="宋体" w:hAnsi="宋体" w:eastAsia="宋体" w:cs="宋体"/>
          <w:spacing w:val="5"/>
          <w:position w:val="17"/>
          <w:sz w:val="28"/>
          <w:szCs w:val="28"/>
          <w:lang w:val="en-US" w:eastAsia="zh-CN"/>
        </w:rPr>
        <w:t>2.绩效指标体系</w:t>
      </w:r>
    </w:p>
    <w:p w14:paraId="3C6E4BC8">
      <w:pPr>
        <w:pStyle w:val="2"/>
        <w:keepNext w:val="0"/>
        <w:keepLines w:val="0"/>
        <w:pageBreakBefore w:val="0"/>
        <w:widowControl/>
        <w:numPr>
          <w:ilvl w:val="0"/>
          <w:numId w:val="0"/>
        </w:numPr>
        <w:kinsoku w:val="0"/>
        <w:wordWrap/>
        <w:overflowPunct/>
        <w:topLinePunct w:val="0"/>
        <w:autoSpaceDE w:val="0"/>
        <w:autoSpaceDN w:val="0"/>
        <w:bidi w:val="0"/>
        <w:adjustRightInd w:val="0"/>
        <w:snapToGrid w:val="0"/>
        <w:spacing w:before="146" w:line="480" w:lineRule="exact"/>
        <w:ind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评价指标体系分三个级别，即一级指标、二级指标、三级指标。其中一级指标包括四个部分，分别是成本、产出、效益、满意度指标。二级指标包括十个部分，成本指标包括经济、社会、生态环境成本指标；产出指标包括数量、质量、时效指标；效益指标包括经济、社会、生态效益指标；满意度指标包括服务满意度指标。三级指标根据二级指标结合项目本身设置。</w:t>
      </w:r>
    </w:p>
    <w:p w14:paraId="7A24B2E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leftChars="0" w:firstLine="560" w:firstLineChars="200"/>
        <w:jc w:val="left"/>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3.评价方法</w:t>
      </w:r>
    </w:p>
    <w:p w14:paraId="47E5BC3E">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560" w:firstLineChars="200"/>
        <w:jc w:val="left"/>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绩效评价方法的选用应当坚持简便有效的原则。结合项目的实际情况，绩效评价方法主要采用成本效益分析法、比较法、因素分析法、公众评判法等。</w:t>
      </w:r>
    </w:p>
    <w:p w14:paraId="76D740A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leftChars="0" w:firstLine="560" w:firstLineChars="200"/>
        <w:jc w:val="left"/>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4.评价标准</w:t>
      </w:r>
    </w:p>
    <w:p w14:paraId="6863C33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560" w:firstLineChars="200"/>
        <w:jc w:val="left"/>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绩效评价标准是指衡量财政支出绩效目标完成程度的尺度。</w:t>
      </w:r>
    </w:p>
    <w:p w14:paraId="65466FCD">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560" w:firstLineChars="200"/>
        <w:jc w:val="left"/>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（1）计划标准。（2）行业标准。（3）历史标准。（4）经验标准。</w:t>
      </w:r>
    </w:p>
    <w:p w14:paraId="482DB758">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leftChars="0" w:firstLine="560" w:firstLineChars="200"/>
        <w:jc w:val="left"/>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（三）绩效评价工作过程</w:t>
      </w:r>
    </w:p>
    <w:p w14:paraId="57A025E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560" w:firstLineChars="200"/>
        <w:jc w:val="left"/>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1.前期准备我局及时召开了专门会议，认真传达了文件精神，周密部署了部门评价工作。成立了部门绩效评价工作领导小组，负责绩效评价组织管理工作，明确了各个责任人职责要求，实行分级分类管理。</w:t>
      </w:r>
    </w:p>
    <w:p w14:paraId="7F087DDC">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560" w:firstLineChars="200"/>
        <w:jc w:val="left"/>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2.组织实施通过对项目调查了解，结合项目实施实际，按照评价指标对项目实施进行现场评价。</w:t>
      </w:r>
    </w:p>
    <w:p w14:paraId="5BD50BE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560" w:firstLineChars="200"/>
        <w:jc w:val="left"/>
        <w:textAlignment w:val="baseline"/>
        <w:rPr>
          <w:rFonts w:hint="eastAsia" w:ascii="宋体" w:hAnsi="宋体" w:eastAsia="宋体" w:cs="宋体"/>
          <w:sz w:val="28"/>
          <w:szCs w:val="28"/>
        </w:rPr>
      </w:pPr>
      <w:r>
        <w:rPr>
          <w:rFonts w:hint="eastAsia" w:ascii="宋体" w:hAnsi="宋体" w:eastAsia="宋体" w:cs="宋体"/>
          <w:sz w:val="28"/>
          <w:szCs w:val="28"/>
          <w:lang w:val="en-US" w:eastAsia="zh-CN"/>
        </w:rPr>
        <w:t>3.分析评价通过对活动调查了解，结合项目实施实际，按照评价指标对项目实施进行现场评价。对项目做出独立、客观、公正、实事求是的绩效评价，出具评价报告。</w:t>
      </w:r>
    </w:p>
    <w:p w14:paraId="27B99390">
      <w:pPr>
        <w:keepNext w:val="0"/>
        <w:keepLines w:val="0"/>
        <w:pageBreakBefore w:val="0"/>
        <w:widowControl/>
        <w:kinsoku w:val="0"/>
        <w:wordWrap/>
        <w:overflowPunct/>
        <w:topLinePunct w:val="0"/>
        <w:autoSpaceDE w:val="0"/>
        <w:autoSpaceDN w:val="0"/>
        <w:bidi w:val="0"/>
        <w:adjustRightInd w:val="0"/>
        <w:snapToGrid w:val="0"/>
        <w:spacing w:before="205" w:line="480" w:lineRule="exact"/>
        <w:ind w:left="0" w:firstLine="574" w:firstLineChars="200"/>
        <w:textAlignment w:val="baseline"/>
        <w:rPr>
          <w:rFonts w:hint="eastAsia" w:ascii="宋体" w:hAnsi="宋体" w:eastAsia="宋体" w:cs="宋体"/>
          <w:b/>
          <w:bCs/>
          <w:spacing w:val="3"/>
          <w:sz w:val="28"/>
          <w:szCs w:val="28"/>
        </w:rPr>
      </w:pPr>
      <w:r>
        <w:rPr>
          <w:rFonts w:hint="eastAsia" w:ascii="宋体" w:hAnsi="宋体" w:eastAsia="宋体" w:cs="宋体"/>
          <w:b/>
          <w:bCs/>
          <w:spacing w:val="3"/>
          <w:sz w:val="28"/>
          <w:szCs w:val="28"/>
        </w:rPr>
        <w:t>三、综合评价情况及评价结论</w:t>
      </w:r>
    </w:p>
    <w:p w14:paraId="759ADDA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exact"/>
        <w:ind w:left="0" w:firstLine="560" w:firstLineChars="200"/>
        <w:jc w:val="left"/>
        <w:textAlignment w:val="baseline"/>
        <w:rPr>
          <w:rFonts w:hint="eastAsia" w:ascii="宋体" w:hAnsi="宋体" w:eastAsia="宋体" w:cs="宋体"/>
          <w:spacing w:val="3"/>
          <w:sz w:val="28"/>
          <w:szCs w:val="28"/>
        </w:rPr>
      </w:pPr>
      <w:r>
        <w:rPr>
          <w:rFonts w:hint="eastAsia" w:ascii="宋体" w:hAnsi="宋体" w:eastAsia="宋体" w:cs="宋体"/>
          <w:sz w:val="28"/>
          <w:szCs w:val="28"/>
          <w:lang w:val="en-US" w:eastAsia="zh-CN"/>
        </w:rPr>
        <w:t>部门对该项目绩效进行了客观公正的评价，最终评价结果为100分，依据财政绩效评价等级划分，本项目绩效评价等级“优”。</w:t>
      </w:r>
    </w:p>
    <w:p w14:paraId="6B18AC43">
      <w:pPr>
        <w:keepNext w:val="0"/>
        <w:keepLines w:val="0"/>
        <w:pageBreakBefore w:val="0"/>
        <w:widowControl/>
        <w:kinsoku w:val="0"/>
        <w:wordWrap/>
        <w:overflowPunct/>
        <w:topLinePunct w:val="0"/>
        <w:autoSpaceDE w:val="0"/>
        <w:autoSpaceDN w:val="0"/>
        <w:bidi w:val="0"/>
        <w:adjustRightInd w:val="0"/>
        <w:snapToGrid w:val="0"/>
        <w:spacing w:before="186" w:line="480" w:lineRule="exact"/>
        <w:ind w:left="0" w:firstLine="570" w:firstLineChars="200"/>
        <w:textAlignment w:val="baseline"/>
        <w:rPr>
          <w:rFonts w:hint="eastAsia" w:ascii="宋体" w:hAnsi="宋体" w:eastAsia="宋体" w:cs="宋体"/>
          <w:b/>
          <w:bCs/>
          <w:sz w:val="28"/>
          <w:szCs w:val="28"/>
        </w:rPr>
      </w:pPr>
      <w:r>
        <w:rPr>
          <w:rFonts w:hint="eastAsia" w:ascii="宋体" w:hAnsi="宋体" w:eastAsia="宋体" w:cs="宋体"/>
          <w:b/>
          <w:bCs/>
          <w:spacing w:val="2"/>
          <w:sz w:val="28"/>
          <w:szCs w:val="28"/>
        </w:rPr>
        <w:t>四、绩效评价指标分析</w:t>
      </w:r>
    </w:p>
    <w:p w14:paraId="7C5ADB9C">
      <w:pPr>
        <w:keepNext w:val="0"/>
        <w:keepLines w:val="0"/>
        <w:pageBreakBefore w:val="0"/>
        <w:widowControl/>
        <w:kinsoku w:val="0"/>
        <w:wordWrap/>
        <w:overflowPunct/>
        <w:topLinePunct w:val="0"/>
        <w:autoSpaceDE w:val="0"/>
        <w:autoSpaceDN w:val="0"/>
        <w:bidi w:val="0"/>
        <w:adjustRightInd w:val="0"/>
        <w:snapToGrid w:val="0"/>
        <w:spacing w:before="190" w:line="480" w:lineRule="exact"/>
        <w:ind w:left="0" w:firstLine="612" w:firstLineChars="200"/>
        <w:textAlignment w:val="baseline"/>
        <w:rPr>
          <w:rFonts w:hint="eastAsia" w:ascii="宋体" w:hAnsi="宋体" w:eastAsia="宋体" w:cs="宋体"/>
          <w:sz w:val="28"/>
          <w:szCs w:val="28"/>
        </w:rPr>
      </w:pPr>
      <w:r>
        <w:rPr>
          <w:rFonts w:hint="eastAsia" w:ascii="宋体" w:hAnsi="宋体" w:eastAsia="宋体" w:cs="宋体"/>
          <w:spacing w:val="13"/>
          <w:sz w:val="28"/>
          <w:szCs w:val="28"/>
        </w:rPr>
        <w:t>(一)项目决策情况。</w:t>
      </w:r>
      <w:r>
        <w:rPr>
          <w:rFonts w:hint="default" w:ascii="宋体" w:hAnsi="宋体" w:eastAsia="宋体" w:cs="宋体"/>
          <w:sz w:val="28"/>
          <w:szCs w:val="28"/>
          <w:lang w:val="en-US" w:eastAsia="zh-CN"/>
        </w:rPr>
        <w:t>项目依据《安义县人民政府办公室关于同意支付优化义务教育资源配置公交车接送学生上下学运行费用的批复》（安府办字〔2023〕212号）文件</w:t>
      </w:r>
      <w:r>
        <w:rPr>
          <w:rFonts w:hint="eastAsia" w:ascii="宋体" w:hAnsi="宋体" w:eastAsia="宋体" w:cs="宋体"/>
          <w:sz w:val="28"/>
          <w:szCs w:val="28"/>
          <w:lang w:val="en-US" w:eastAsia="zh-CN"/>
        </w:rPr>
        <w:t>，由县财政支付优化义务教育资源配置公交接送学生上下学运行费，第一年（2023年）支付356.69万元，此后每年支付331.73万元，</w:t>
      </w:r>
      <w:r>
        <w:rPr>
          <w:rFonts w:hint="default" w:ascii="宋体" w:hAnsi="宋体" w:eastAsia="宋体" w:cs="宋体"/>
          <w:sz w:val="28"/>
          <w:szCs w:val="28"/>
          <w:lang w:val="en-US" w:eastAsia="zh-CN"/>
        </w:rPr>
        <w:t>资金按需分配，预算资金分配与使用匹配。</w:t>
      </w:r>
    </w:p>
    <w:p w14:paraId="0415721F">
      <w:pPr>
        <w:keepNext w:val="0"/>
        <w:keepLines w:val="0"/>
        <w:pageBreakBefore w:val="0"/>
        <w:widowControl/>
        <w:kinsoku w:val="0"/>
        <w:wordWrap/>
        <w:overflowPunct/>
        <w:topLinePunct w:val="0"/>
        <w:autoSpaceDE w:val="0"/>
        <w:autoSpaceDN w:val="0"/>
        <w:bidi w:val="0"/>
        <w:adjustRightInd w:val="0"/>
        <w:snapToGrid w:val="0"/>
        <w:spacing w:before="197" w:line="480" w:lineRule="exact"/>
        <w:ind w:left="0" w:firstLine="612" w:firstLineChars="200"/>
        <w:textAlignment w:val="baseline"/>
        <w:rPr>
          <w:rFonts w:hint="eastAsia" w:ascii="宋体" w:hAnsi="宋体" w:eastAsia="宋体" w:cs="宋体"/>
          <w:sz w:val="28"/>
          <w:szCs w:val="28"/>
          <w:lang w:val="en-US" w:eastAsia="zh-CN"/>
        </w:rPr>
      </w:pPr>
      <w:r>
        <w:rPr>
          <w:rFonts w:hint="eastAsia" w:ascii="宋体" w:hAnsi="宋体" w:eastAsia="宋体" w:cs="宋体"/>
          <w:spacing w:val="13"/>
          <w:sz w:val="28"/>
          <w:szCs w:val="28"/>
        </w:rPr>
        <w:t>(二)项目过程情况。</w:t>
      </w:r>
      <w:r>
        <w:rPr>
          <w:rFonts w:hint="eastAsia" w:ascii="宋体" w:hAnsi="宋体" w:eastAsia="宋体" w:cs="宋体"/>
          <w:sz w:val="28"/>
          <w:szCs w:val="28"/>
          <w:lang w:val="en-US" w:eastAsia="zh-CN"/>
        </w:rPr>
        <w:t>2024年度申报项目预算为331.73万元，2023年项目预算资金到账331.73万元，资金到位率100%。项目资金均用于支付安义县顺来客运有限公司服务款，资金执行率100%。县教体局加强监管，要求各学校和顺来客运公司做好日常学生乘车的管理工作。</w:t>
      </w:r>
    </w:p>
    <w:p w14:paraId="0540D567">
      <w:pPr>
        <w:keepNext w:val="0"/>
        <w:keepLines w:val="0"/>
        <w:pageBreakBefore w:val="0"/>
        <w:widowControl/>
        <w:kinsoku w:val="0"/>
        <w:wordWrap/>
        <w:overflowPunct/>
        <w:topLinePunct w:val="0"/>
        <w:autoSpaceDE w:val="0"/>
        <w:autoSpaceDN w:val="0"/>
        <w:bidi w:val="0"/>
        <w:adjustRightInd w:val="0"/>
        <w:snapToGrid w:val="0"/>
        <w:spacing w:before="177" w:line="480" w:lineRule="exact"/>
        <w:ind w:left="0" w:firstLine="612" w:firstLineChars="200"/>
        <w:textAlignment w:val="baseline"/>
        <w:rPr>
          <w:rFonts w:hint="eastAsia" w:ascii="宋体" w:hAnsi="宋体" w:eastAsia="宋体" w:cs="宋体"/>
          <w:sz w:val="28"/>
          <w:szCs w:val="28"/>
          <w:lang w:val="en-US" w:eastAsia="zh-CN"/>
        </w:rPr>
      </w:pPr>
      <w:r>
        <w:rPr>
          <w:rFonts w:hint="eastAsia" w:ascii="宋体" w:hAnsi="宋体" w:eastAsia="宋体" w:cs="宋体"/>
          <w:spacing w:val="13"/>
          <w:sz w:val="28"/>
          <w:szCs w:val="28"/>
        </w:rPr>
        <w:t>(三)项目产出情况。</w:t>
      </w:r>
      <w:r>
        <w:rPr>
          <w:rFonts w:hint="eastAsia" w:ascii="宋体" w:hAnsi="宋体" w:eastAsia="宋体" w:cs="宋体"/>
          <w:sz w:val="28"/>
          <w:szCs w:val="28"/>
          <w:lang w:val="en-US" w:eastAsia="zh-CN"/>
        </w:rPr>
        <w:t>2024年度安义县顺来客运公司按照合同要求，安排33名司机提供27条客运线路、39个乘车点位、31辆公交车、2辆预备车，共33辆公交车的服务。服务时间为全年（寒暑假、法定节假日除外）约200天。严格按照运营线路进行，公交车运行无偏差情况发生；做好司机驾驶资格复查和无犯罪和疾病情况审查，为学生提供优质的驾驶服务。定期对使用的车辆进行维修保养，并做好年检工作，确保车辆安全。</w:t>
      </w:r>
    </w:p>
    <w:p w14:paraId="2698190A">
      <w:pPr>
        <w:pageBreakBefore w:val="0"/>
        <w:widowControl w:val="0"/>
        <w:kinsoku/>
        <w:wordWrap/>
        <w:overflowPunct/>
        <w:topLinePunct w:val="0"/>
        <w:autoSpaceDE/>
        <w:autoSpaceDN/>
        <w:bidi w:val="0"/>
        <w:adjustRightInd/>
        <w:snapToGrid/>
        <w:spacing w:line="600" w:lineRule="exact"/>
        <w:ind w:firstLine="612" w:firstLineChars="200"/>
        <w:textAlignment w:val="auto"/>
        <w:rPr>
          <w:rFonts w:hint="eastAsia" w:ascii="宋体" w:hAnsi="宋体" w:eastAsia="宋体" w:cs="宋体"/>
          <w:sz w:val="28"/>
          <w:szCs w:val="28"/>
          <w:lang w:val="en-US" w:eastAsia="zh-CN"/>
        </w:rPr>
      </w:pPr>
      <w:r>
        <w:rPr>
          <w:rFonts w:hint="eastAsia" w:ascii="宋体" w:hAnsi="宋体" w:eastAsia="宋体" w:cs="宋体"/>
          <w:spacing w:val="13"/>
          <w:sz w:val="28"/>
          <w:szCs w:val="28"/>
        </w:rPr>
        <w:t>(四)项目效益情况。</w:t>
      </w:r>
      <w:r>
        <w:rPr>
          <w:rFonts w:hint="eastAsia" w:ascii="宋体" w:hAnsi="宋体" w:eastAsia="宋体" w:cs="宋体"/>
          <w:sz w:val="28"/>
          <w:szCs w:val="28"/>
          <w:lang w:val="en-US" w:eastAsia="zh-CN"/>
        </w:rPr>
        <w:t>公交定制线路</w:t>
      </w:r>
      <w:r>
        <w:rPr>
          <w:rFonts w:hint="default" w:ascii="宋体" w:hAnsi="宋体" w:eastAsia="宋体" w:cs="宋体"/>
          <w:sz w:val="28"/>
          <w:szCs w:val="28"/>
          <w:lang w:val="en-US" w:eastAsia="zh-CN"/>
        </w:rPr>
        <w:t>覆盖9个乡镇全县31所小学，4</w:t>
      </w:r>
      <w:r>
        <w:rPr>
          <w:rFonts w:hint="eastAsia" w:ascii="宋体" w:hAnsi="宋体" w:eastAsia="宋体" w:cs="宋体"/>
          <w:sz w:val="28"/>
          <w:szCs w:val="28"/>
          <w:lang w:val="en-US" w:eastAsia="zh-CN"/>
        </w:rPr>
        <w:t>50余</w:t>
      </w:r>
      <w:r>
        <w:rPr>
          <w:rFonts w:hint="default" w:ascii="宋体" w:hAnsi="宋体" w:eastAsia="宋体" w:cs="宋体"/>
          <w:sz w:val="28"/>
          <w:szCs w:val="28"/>
          <w:lang w:val="en-US" w:eastAsia="zh-CN"/>
        </w:rPr>
        <w:t>名学生，</w:t>
      </w:r>
      <w:r>
        <w:rPr>
          <w:rFonts w:hint="eastAsia" w:ascii="宋体" w:hAnsi="宋体" w:eastAsia="宋体" w:cs="宋体"/>
          <w:sz w:val="28"/>
          <w:szCs w:val="28"/>
          <w:lang w:val="en-US" w:eastAsia="zh-CN"/>
        </w:rPr>
        <w:t>通过项目实施</w:t>
      </w:r>
      <w:r>
        <w:rPr>
          <w:rFonts w:hint="default" w:ascii="宋体" w:hAnsi="宋体" w:eastAsia="宋体" w:cs="宋体"/>
          <w:sz w:val="28"/>
          <w:szCs w:val="28"/>
          <w:lang w:val="en-US" w:eastAsia="zh-CN"/>
        </w:rPr>
        <w:t>有效保障学生上下学</w:t>
      </w:r>
      <w:r>
        <w:rPr>
          <w:rFonts w:hint="eastAsia" w:ascii="宋体" w:hAnsi="宋体" w:eastAsia="宋体" w:cs="宋体"/>
          <w:sz w:val="28"/>
          <w:szCs w:val="28"/>
          <w:lang w:val="en-US" w:eastAsia="zh-CN"/>
        </w:rPr>
        <w:t>。每天安排教师照管人员27人、“护学员”31人作为陪同，有效保障学生安全。相关部门、乡镇相互配合，完善学生乘车点位、道路沿线和交通危险地段的警示标牌、标线、信号灯、防护栏等安防设施，有效保障安全。</w:t>
      </w:r>
    </w:p>
    <w:p w14:paraId="1049727D">
      <w:pPr>
        <w:keepNext w:val="0"/>
        <w:keepLines w:val="0"/>
        <w:pageBreakBefore w:val="0"/>
        <w:widowControl/>
        <w:kinsoku w:val="0"/>
        <w:wordWrap/>
        <w:overflowPunct/>
        <w:topLinePunct w:val="0"/>
        <w:autoSpaceDE w:val="0"/>
        <w:autoSpaceDN w:val="0"/>
        <w:bidi w:val="0"/>
        <w:adjustRightInd w:val="0"/>
        <w:snapToGrid w:val="0"/>
        <w:spacing w:before="162" w:line="480" w:lineRule="exact"/>
        <w:ind w:left="0" w:firstLine="566" w:firstLineChars="200"/>
        <w:textAlignment w:val="baseline"/>
        <w:outlineLvl w:val="0"/>
        <w:rPr>
          <w:rFonts w:hint="eastAsia" w:ascii="宋体" w:hAnsi="宋体" w:eastAsia="宋体" w:cs="宋体"/>
          <w:sz w:val="28"/>
          <w:szCs w:val="28"/>
        </w:rPr>
      </w:pPr>
      <w:r>
        <w:rPr>
          <w:rFonts w:hint="eastAsia" w:ascii="宋体" w:hAnsi="宋体" w:eastAsia="宋体" w:cs="宋体"/>
          <w:b/>
          <w:bCs/>
          <w:spacing w:val="1"/>
          <w:sz w:val="28"/>
          <w:szCs w:val="28"/>
        </w:rPr>
        <w:t>五、主要经验及做法、存在的问题及原因分析</w:t>
      </w:r>
    </w:p>
    <w:p w14:paraId="4972B3AD">
      <w:pPr>
        <w:keepNext w:val="0"/>
        <w:keepLines w:val="0"/>
        <w:pageBreakBefore w:val="0"/>
        <w:widowControl/>
        <w:kinsoku w:val="0"/>
        <w:wordWrap/>
        <w:overflowPunct/>
        <w:topLinePunct w:val="0"/>
        <w:autoSpaceDE w:val="0"/>
        <w:autoSpaceDN w:val="0"/>
        <w:bidi w:val="0"/>
        <w:adjustRightInd w:val="0"/>
        <w:snapToGrid w:val="0"/>
        <w:spacing w:before="177" w:line="480" w:lineRule="exact"/>
        <w:ind w:left="0"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县教育局牢固树立“人民至上、生命至上”的理念，采取就近入学、保障在寄宿制学校入学和提供公共交通服务等相结合的措施，依法保障学生上下学交通安全。严格落实学生乘坐公交车定路线、定车辆、定时间（原则上单程不超过半小时）、定乘员、定收费标准即“五定”要求。大力加强公交车辆、驾驶员及运行的全程监管，严格落实“属地管理”和“谁主管、谁负责”责任，建立健全政府主导、部门联动、综合治理、联防联控长效机制，全力确保师生安全和校园平安稳定。</w:t>
      </w:r>
    </w:p>
    <w:p w14:paraId="2E267B5A">
      <w:pPr>
        <w:keepNext w:val="0"/>
        <w:keepLines w:val="0"/>
        <w:pageBreakBefore w:val="0"/>
        <w:widowControl/>
        <w:kinsoku w:val="0"/>
        <w:wordWrap/>
        <w:overflowPunct/>
        <w:topLinePunct w:val="0"/>
        <w:autoSpaceDE w:val="0"/>
        <w:autoSpaceDN w:val="0"/>
        <w:bidi w:val="0"/>
        <w:adjustRightInd w:val="0"/>
        <w:snapToGrid w:val="0"/>
        <w:spacing w:before="198" w:line="480" w:lineRule="exact"/>
        <w:ind w:left="0" w:firstLine="538" w:firstLineChars="200"/>
        <w:textAlignment w:val="baseline"/>
        <w:outlineLvl w:val="0"/>
        <w:rPr>
          <w:rFonts w:hint="eastAsia" w:ascii="宋体" w:hAnsi="宋体" w:eastAsia="宋体" w:cs="宋体"/>
          <w:sz w:val="28"/>
          <w:szCs w:val="28"/>
        </w:rPr>
      </w:pPr>
      <w:r>
        <w:rPr>
          <w:rFonts w:hint="eastAsia" w:ascii="宋体" w:hAnsi="宋体" w:eastAsia="宋体" w:cs="宋体"/>
          <w:b/>
          <w:bCs/>
          <w:spacing w:val="-6"/>
          <w:sz w:val="28"/>
          <w:szCs w:val="28"/>
        </w:rPr>
        <w:t>六、有关建议</w:t>
      </w:r>
    </w:p>
    <w:p w14:paraId="16580E8C">
      <w:pPr>
        <w:keepNext w:val="0"/>
        <w:keepLines w:val="0"/>
        <w:pageBreakBefore w:val="0"/>
        <w:widowControl/>
        <w:kinsoku w:val="0"/>
        <w:wordWrap/>
        <w:overflowPunct/>
        <w:topLinePunct w:val="0"/>
        <w:autoSpaceDE w:val="0"/>
        <w:autoSpaceDN w:val="0"/>
        <w:bidi w:val="0"/>
        <w:adjustRightInd w:val="0"/>
        <w:snapToGrid w:val="0"/>
        <w:spacing w:before="177" w:line="480" w:lineRule="exact"/>
        <w:ind w:left="0" w:firstLine="560" w:firstLineChars="200"/>
        <w:textAlignment w:val="baseline"/>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县教育局应加强预算绩效管理相关内容的学习，切实提升部门绩效管理工作水平。加强业财融合，绩效指标要与目标任务数，确保绩效目标的完整性、合理性、科学性，促使绩效目标对项目的指导作用得到有效发挥。</w:t>
      </w:r>
    </w:p>
    <w:p w14:paraId="322B953D">
      <w:pPr>
        <w:keepNext w:val="0"/>
        <w:keepLines w:val="0"/>
        <w:pageBreakBefore w:val="0"/>
        <w:widowControl/>
        <w:kinsoku w:val="0"/>
        <w:wordWrap/>
        <w:overflowPunct/>
        <w:topLinePunct w:val="0"/>
        <w:autoSpaceDE w:val="0"/>
        <w:autoSpaceDN w:val="0"/>
        <w:bidi w:val="0"/>
        <w:adjustRightInd w:val="0"/>
        <w:snapToGrid w:val="0"/>
        <w:spacing w:before="186" w:line="480" w:lineRule="exact"/>
        <w:ind w:left="0" w:firstLine="558" w:firstLineChars="200"/>
        <w:textAlignment w:val="baseline"/>
        <w:outlineLvl w:val="0"/>
        <w:rPr>
          <w:rFonts w:hint="eastAsia" w:ascii="宋体" w:hAnsi="宋体" w:eastAsia="宋体" w:cs="宋体"/>
          <w:sz w:val="28"/>
          <w:szCs w:val="28"/>
        </w:rPr>
      </w:pPr>
      <w:r>
        <w:rPr>
          <w:rFonts w:hint="eastAsia" w:ascii="宋体" w:hAnsi="宋体" w:eastAsia="宋体" w:cs="宋体"/>
          <w:b/>
          <w:bCs/>
          <w:spacing w:val="-1"/>
          <w:sz w:val="28"/>
          <w:szCs w:val="28"/>
        </w:rPr>
        <w:t>七、其他需要说明的问题</w:t>
      </w:r>
    </w:p>
    <w:p w14:paraId="01D61E6C">
      <w:pPr>
        <w:keepNext w:val="0"/>
        <w:keepLines w:val="0"/>
        <w:pageBreakBefore w:val="0"/>
        <w:widowControl/>
        <w:kinsoku w:val="0"/>
        <w:wordWrap/>
        <w:overflowPunct/>
        <w:topLinePunct w:val="0"/>
        <w:autoSpaceDE w:val="0"/>
        <w:autoSpaceDN w:val="0"/>
        <w:bidi w:val="0"/>
        <w:adjustRightInd w:val="0"/>
        <w:snapToGrid w:val="0"/>
        <w:spacing w:before="186" w:line="480" w:lineRule="exact"/>
        <w:ind w:left="0" w:firstLine="560" w:firstLineChars="200"/>
        <w:textAlignment w:val="baseline"/>
        <w:outlineLvl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无</w:t>
      </w:r>
    </w:p>
    <w:p w14:paraId="5682FC6B">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49" w:line="480" w:lineRule="exact"/>
        <w:ind w:firstLine="562" w:firstLineChars="200"/>
        <w:textAlignment w:val="baseline"/>
        <w:outlineLvl w:val="0"/>
        <w:rPr>
          <w:rFonts w:hint="eastAsia" w:ascii="宋体" w:hAnsi="宋体" w:eastAsia="宋体" w:cs="宋体"/>
          <w:b/>
          <w:bCs/>
          <w:sz w:val="28"/>
          <w:szCs w:val="28"/>
        </w:rPr>
      </w:pPr>
      <w:r>
        <w:rPr>
          <w:rFonts w:hint="eastAsia" w:ascii="宋体" w:hAnsi="宋体" w:eastAsia="宋体" w:cs="宋体"/>
          <w:b/>
          <w:bCs/>
          <w:sz w:val="28"/>
          <w:szCs w:val="28"/>
          <w:lang w:eastAsia="zh-CN"/>
        </w:rPr>
        <w:t>八、</w:t>
      </w:r>
      <w:r>
        <w:rPr>
          <w:rFonts w:hint="eastAsia" w:ascii="宋体" w:hAnsi="宋体" w:eastAsia="宋体" w:cs="宋体"/>
          <w:b/>
          <w:bCs/>
          <w:sz w:val="28"/>
          <w:szCs w:val="28"/>
        </w:rPr>
        <w:t>项目支出绩效评价指标评分表</w:t>
      </w:r>
    </w:p>
    <w:p w14:paraId="45EF9603">
      <w:pPr>
        <w:spacing w:before="120" w:line="218" w:lineRule="auto"/>
        <w:ind w:left="3260"/>
        <w:contextualSpacing/>
        <w:rPr>
          <w:rFonts w:ascii="宋体" w:hAnsi="宋体" w:eastAsia="宋体" w:cs="宋体"/>
          <w:sz w:val="36"/>
          <w:szCs w:val="36"/>
          <w:lang w:eastAsia="zh-CN"/>
        </w:rPr>
      </w:pPr>
      <w:r>
        <w:rPr>
          <w:rFonts w:ascii="宋体" w:hAnsi="宋体" w:eastAsia="宋体" w:cs="宋体"/>
          <w:b/>
          <w:bCs/>
          <w:spacing w:val="2"/>
          <w:sz w:val="36"/>
          <w:szCs w:val="36"/>
          <w:lang w:eastAsia="zh-CN"/>
        </w:rPr>
        <w:t>项目支出</w:t>
      </w:r>
      <w:r>
        <w:rPr>
          <w:rFonts w:hint="eastAsia" w:ascii="宋体" w:hAnsi="宋体" w:eastAsia="宋体" w:cs="宋体"/>
          <w:b/>
          <w:bCs/>
          <w:spacing w:val="2"/>
          <w:sz w:val="36"/>
          <w:szCs w:val="36"/>
          <w:lang w:eastAsia="zh-CN"/>
        </w:rPr>
        <w:t>绩效</w:t>
      </w:r>
      <w:r>
        <w:rPr>
          <w:rFonts w:hint="eastAsia" w:ascii="宋体" w:hAnsi="宋体" w:eastAsia="宋体" w:cs="宋体"/>
          <w:b/>
          <w:bCs/>
          <w:spacing w:val="2"/>
          <w:sz w:val="36"/>
          <w:szCs w:val="36"/>
          <w:lang w:val="en-US" w:eastAsia="zh-CN"/>
        </w:rPr>
        <w:t>部门评价</w:t>
      </w:r>
      <w:r>
        <w:rPr>
          <w:rFonts w:ascii="宋体" w:hAnsi="宋体" w:eastAsia="宋体" w:cs="宋体"/>
          <w:b/>
          <w:bCs/>
          <w:spacing w:val="2"/>
          <w:sz w:val="36"/>
          <w:szCs w:val="36"/>
          <w:lang w:eastAsia="zh-CN"/>
        </w:rPr>
        <w:t>表</w:t>
      </w:r>
    </w:p>
    <w:p w14:paraId="56AE7772">
      <w:pPr>
        <w:spacing w:before="55" w:line="193" w:lineRule="auto"/>
        <w:ind w:left="4465"/>
        <w:contextualSpacing/>
        <w:rPr>
          <w:rFonts w:ascii="宋体" w:hAnsi="宋体" w:eastAsia="宋体" w:cs="宋体"/>
          <w:sz w:val="18"/>
          <w:szCs w:val="18"/>
        </w:rPr>
      </w:pPr>
      <w:r>
        <w:rPr>
          <w:rFonts w:ascii="宋体" w:hAnsi="宋体" w:eastAsia="宋体" w:cs="宋体"/>
          <w:spacing w:val="-7"/>
          <w:sz w:val="18"/>
          <w:szCs w:val="18"/>
        </w:rPr>
        <w:t>(</w:t>
      </w:r>
      <w:r>
        <w:rPr>
          <w:rFonts w:hint="eastAsia" w:ascii="宋体" w:hAnsi="宋体" w:eastAsia="宋体" w:cs="宋体"/>
          <w:spacing w:val="16"/>
          <w:sz w:val="18"/>
          <w:szCs w:val="18"/>
          <w:lang w:eastAsia="zh-CN"/>
        </w:rPr>
        <w:t>202</w:t>
      </w:r>
      <w:r>
        <w:rPr>
          <w:rFonts w:hint="eastAsia" w:ascii="宋体" w:hAnsi="宋体" w:eastAsia="宋体" w:cs="宋体"/>
          <w:spacing w:val="16"/>
          <w:sz w:val="18"/>
          <w:szCs w:val="18"/>
          <w:lang w:val="en-US" w:eastAsia="zh-CN"/>
        </w:rPr>
        <w:t>4</w:t>
      </w:r>
      <w:r>
        <w:rPr>
          <w:rFonts w:ascii="宋体" w:hAnsi="宋体" w:eastAsia="宋体" w:cs="宋体"/>
          <w:spacing w:val="-7"/>
          <w:sz w:val="18"/>
          <w:szCs w:val="18"/>
        </w:rPr>
        <w:t>年度)</w:t>
      </w:r>
    </w:p>
    <w:tbl>
      <w:tblPr>
        <w:tblStyle w:val="7"/>
        <w:tblW w:w="97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4"/>
        <w:gridCol w:w="12"/>
        <w:gridCol w:w="388"/>
        <w:gridCol w:w="639"/>
        <w:gridCol w:w="1488"/>
        <w:gridCol w:w="1059"/>
        <w:gridCol w:w="410"/>
        <w:gridCol w:w="841"/>
        <w:gridCol w:w="5"/>
        <w:gridCol w:w="1195"/>
        <w:gridCol w:w="1026"/>
        <w:gridCol w:w="869"/>
        <w:gridCol w:w="1094"/>
      </w:tblGrid>
      <w:tr w14:paraId="348CE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5" w:hRule="atLeast"/>
        </w:trPr>
        <w:tc>
          <w:tcPr>
            <w:tcW w:w="3221" w:type="dxa"/>
            <w:gridSpan w:val="5"/>
          </w:tcPr>
          <w:p w14:paraId="56FD5067">
            <w:pPr>
              <w:spacing w:before="42" w:line="218" w:lineRule="auto"/>
              <w:ind w:left="1244"/>
              <w:contextualSpacing/>
              <w:rPr>
                <w:rFonts w:ascii="宋体" w:hAnsi="宋体" w:eastAsia="宋体" w:cs="宋体"/>
                <w:sz w:val="18"/>
                <w:szCs w:val="18"/>
              </w:rPr>
            </w:pPr>
            <w:r>
              <w:rPr>
                <w:rFonts w:ascii="宋体" w:hAnsi="宋体" w:eastAsia="宋体" w:cs="宋体"/>
                <w:spacing w:val="-2"/>
                <w:sz w:val="18"/>
                <w:szCs w:val="18"/>
              </w:rPr>
              <w:t>项目名称</w:t>
            </w:r>
          </w:p>
        </w:tc>
        <w:tc>
          <w:tcPr>
            <w:tcW w:w="6499" w:type="dxa"/>
            <w:gridSpan w:val="8"/>
          </w:tcPr>
          <w:p w14:paraId="222E4EEA">
            <w:pPr>
              <w:pStyle w:val="8"/>
              <w:contextualSpacing/>
              <w:rPr>
                <w:rFonts w:hint="eastAsia" w:eastAsiaTheme="minorEastAsia"/>
                <w:lang w:eastAsia="zh-CN"/>
              </w:rPr>
            </w:pPr>
            <w:r>
              <w:rPr>
                <w:rFonts w:hint="eastAsia"/>
                <w:lang w:eastAsia="zh-CN"/>
              </w:rPr>
              <w:t>优化义务教育资源配置公交接送学生上下学运行费</w:t>
            </w:r>
          </w:p>
        </w:tc>
      </w:tr>
      <w:tr w14:paraId="56640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3221" w:type="dxa"/>
            <w:gridSpan w:val="5"/>
          </w:tcPr>
          <w:p w14:paraId="6D813D3B">
            <w:pPr>
              <w:spacing w:before="37" w:line="218" w:lineRule="auto"/>
              <w:ind w:left="1244"/>
              <w:contextualSpacing/>
              <w:rPr>
                <w:rFonts w:ascii="宋体" w:hAnsi="宋体" w:eastAsia="宋体" w:cs="宋体"/>
                <w:sz w:val="18"/>
                <w:szCs w:val="18"/>
              </w:rPr>
            </w:pPr>
            <w:r>
              <w:rPr>
                <w:rFonts w:ascii="宋体" w:hAnsi="宋体" w:eastAsia="宋体" w:cs="宋体"/>
                <w:spacing w:val="5"/>
                <w:sz w:val="18"/>
                <w:szCs w:val="18"/>
              </w:rPr>
              <w:t>主管部门</w:t>
            </w:r>
          </w:p>
        </w:tc>
        <w:tc>
          <w:tcPr>
            <w:tcW w:w="2310" w:type="dxa"/>
            <w:gridSpan w:val="3"/>
          </w:tcPr>
          <w:p w14:paraId="4280DB53">
            <w:pPr>
              <w:pStyle w:val="8"/>
              <w:contextualSpacing/>
            </w:pPr>
          </w:p>
        </w:tc>
        <w:tc>
          <w:tcPr>
            <w:tcW w:w="1200" w:type="dxa"/>
            <w:gridSpan w:val="2"/>
          </w:tcPr>
          <w:p w14:paraId="299A307F">
            <w:pPr>
              <w:spacing w:before="38" w:line="217" w:lineRule="auto"/>
              <w:ind w:left="275"/>
              <w:contextualSpacing/>
              <w:rPr>
                <w:rFonts w:ascii="宋体" w:hAnsi="宋体" w:eastAsia="宋体" w:cs="宋体"/>
                <w:sz w:val="18"/>
                <w:szCs w:val="18"/>
              </w:rPr>
            </w:pPr>
            <w:r>
              <w:rPr>
                <w:rFonts w:ascii="宋体" w:hAnsi="宋体" w:eastAsia="宋体" w:cs="宋体"/>
                <w:spacing w:val="-3"/>
                <w:sz w:val="18"/>
                <w:szCs w:val="18"/>
              </w:rPr>
              <w:t>实施单位</w:t>
            </w:r>
          </w:p>
        </w:tc>
        <w:tc>
          <w:tcPr>
            <w:tcW w:w="2989" w:type="dxa"/>
            <w:gridSpan w:val="3"/>
          </w:tcPr>
          <w:p w14:paraId="579D7AED">
            <w:pPr>
              <w:pStyle w:val="8"/>
              <w:contextualSpacing/>
            </w:pPr>
          </w:p>
        </w:tc>
      </w:tr>
      <w:tr w14:paraId="4372F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094" w:type="dxa"/>
            <w:gridSpan w:val="3"/>
          </w:tcPr>
          <w:p w14:paraId="0BB30F6F">
            <w:pPr>
              <w:pStyle w:val="8"/>
              <w:contextualSpacing/>
            </w:pPr>
          </w:p>
        </w:tc>
        <w:tc>
          <w:tcPr>
            <w:tcW w:w="2127" w:type="dxa"/>
            <w:gridSpan w:val="2"/>
          </w:tcPr>
          <w:p w14:paraId="2D3D2C7C">
            <w:pPr>
              <w:pStyle w:val="8"/>
              <w:contextualSpacing/>
            </w:pPr>
          </w:p>
        </w:tc>
        <w:tc>
          <w:tcPr>
            <w:tcW w:w="1059" w:type="dxa"/>
          </w:tcPr>
          <w:p w14:paraId="492318B7">
            <w:pPr>
              <w:spacing w:before="47" w:line="219" w:lineRule="auto"/>
              <w:ind w:left="73"/>
              <w:contextualSpacing/>
              <w:rPr>
                <w:rFonts w:ascii="宋体" w:hAnsi="宋体" w:eastAsia="宋体" w:cs="宋体"/>
                <w:sz w:val="18"/>
                <w:szCs w:val="18"/>
              </w:rPr>
            </w:pPr>
            <w:r>
              <w:rPr>
                <w:rFonts w:ascii="宋体" w:hAnsi="宋体" w:eastAsia="宋体" w:cs="宋体"/>
                <w:spacing w:val="-2"/>
                <w:sz w:val="18"/>
                <w:szCs w:val="18"/>
              </w:rPr>
              <w:t>年初预算数</w:t>
            </w:r>
          </w:p>
        </w:tc>
        <w:tc>
          <w:tcPr>
            <w:tcW w:w="1251" w:type="dxa"/>
            <w:gridSpan w:val="2"/>
          </w:tcPr>
          <w:p w14:paraId="351FA198">
            <w:pPr>
              <w:spacing w:before="47" w:line="219" w:lineRule="auto"/>
              <w:ind w:left="194"/>
              <w:contextualSpacing/>
              <w:rPr>
                <w:rFonts w:ascii="宋体" w:hAnsi="宋体" w:eastAsia="宋体" w:cs="宋体"/>
                <w:sz w:val="18"/>
                <w:szCs w:val="18"/>
              </w:rPr>
            </w:pPr>
            <w:r>
              <w:rPr>
                <w:rFonts w:ascii="宋体" w:hAnsi="宋体" w:eastAsia="宋体" w:cs="宋体"/>
                <w:spacing w:val="-2"/>
                <w:sz w:val="18"/>
                <w:szCs w:val="18"/>
              </w:rPr>
              <w:t>全年预算数A</w:t>
            </w:r>
          </w:p>
        </w:tc>
        <w:tc>
          <w:tcPr>
            <w:tcW w:w="1200" w:type="dxa"/>
            <w:gridSpan w:val="2"/>
          </w:tcPr>
          <w:p w14:paraId="44BA7246">
            <w:pPr>
              <w:spacing w:before="47" w:line="219" w:lineRule="auto"/>
              <w:ind w:left="136"/>
              <w:contextualSpacing/>
              <w:rPr>
                <w:rFonts w:ascii="宋体" w:hAnsi="宋体" w:eastAsia="宋体" w:cs="宋体"/>
                <w:sz w:val="18"/>
                <w:szCs w:val="18"/>
              </w:rPr>
            </w:pPr>
            <w:r>
              <w:rPr>
                <w:rFonts w:ascii="宋体" w:hAnsi="宋体" w:eastAsia="宋体" w:cs="宋体"/>
                <w:spacing w:val="-2"/>
                <w:sz w:val="18"/>
                <w:szCs w:val="18"/>
              </w:rPr>
              <w:t>全年执行数B</w:t>
            </w:r>
          </w:p>
        </w:tc>
        <w:tc>
          <w:tcPr>
            <w:tcW w:w="1026" w:type="dxa"/>
          </w:tcPr>
          <w:p w14:paraId="71BB1EE6">
            <w:pPr>
              <w:spacing w:before="47" w:line="219" w:lineRule="auto"/>
              <w:ind w:left="216"/>
              <w:contextualSpacing/>
              <w:rPr>
                <w:rFonts w:ascii="宋体" w:hAnsi="宋体" w:eastAsia="宋体" w:cs="宋体"/>
                <w:sz w:val="18"/>
                <w:szCs w:val="18"/>
              </w:rPr>
            </w:pPr>
            <w:r>
              <w:rPr>
                <w:rFonts w:ascii="宋体" w:hAnsi="宋体" w:eastAsia="宋体" w:cs="宋体"/>
                <w:spacing w:val="-3"/>
                <w:sz w:val="18"/>
                <w:szCs w:val="18"/>
              </w:rPr>
              <w:t>分值</w:t>
            </w:r>
          </w:p>
        </w:tc>
        <w:tc>
          <w:tcPr>
            <w:tcW w:w="869" w:type="dxa"/>
          </w:tcPr>
          <w:p w14:paraId="6C95609D">
            <w:pPr>
              <w:spacing w:before="47" w:line="219" w:lineRule="auto"/>
              <w:ind w:left="158"/>
              <w:contextualSpacing/>
              <w:rPr>
                <w:rFonts w:ascii="宋体" w:hAnsi="宋体" w:eastAsia="宋体" w:cs="宋体"/>
                <w:sz w:val="18"/>
                <w:szCs w:val="18"/>
              </w:rPr>
            </w:pPr>
            <w:r>
              <w:rPr>
                <w:rFonts w:ascii="宋体" w:hAnsi="宋体" w:eastAsia="宋体" w:cs="宋体"/>
                <w:spacing w:val="-2"/>
                <w:sz w:val="18"/>
                <w:szCs w:val="18"/>
              </w:rPr>
              <w:t>执行率</w:t>
            </w:r>
          </w:p>
        </w:tc>
        <w:tc>
          <w:tcPr>
            <w:tcW w:w="1094" w:type="dxa"/>
          </w:tcPr>
          <w:p w14:paraId="34D0B099">
            <w:pPr>
              <w:spacing w:before="47" w:line="219" w:lineRule="auto"/>
              <w:ind w:left="358"/>
              <w:contextualSpacing/>
              <w:rPr>
                <w:rFonts w:ascii="宋体" w:hAnsi="宋体" w:eastAsia="宋体" w:cs="宋体"/>
                <w:sz w:val="18"/>
                <w:szCs w:val="18"/>
              </w:rPr>
            </w:pPr>
            <w:r>
              <w:rPr>
                <w:rFonts w:ascii="宋体" w:hAnsi="宋体" w:eastAsia="宋体" w:cs="宋体"/>
                <w:spacing w:val="-2"/>
                <w:sz w:val="18"/>
                <w:szCs w:val="18"/>
              </w:rPr>
              <w:t>得分</w:t>
            </w:r>
          </w:p>
        </w:tc>
      </w:tr>
      <w:tr w14:paraId="4C385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 w:hRule="atLeast"/>
        </w:trPr>
        <w:tc>
          <w:tcPr>
            <w:tcW w:w="1094" w:type="dxa"/>
            <w:gridSpan w:val="3"/>
            <w:vMerge w:val="restart"/>
            <w:tcBorders>
              <w:bottom w:val="nil"/>
            </w:tcBorders>
          </w:tcPr>
          <w:p w14:paraId="7999E6B2">
            <w:pPr>
              <w:pStyle w:val="8"/>
              <w:contextualSpacing/>
            </w:pPr>
          </w:p>
          <w:p w14:paraId="39AD1AAB">
            <w:pPr>
              <w:pStyle w:val="8"/>
              <w:contextualSpacing/>
            </w:pPr>
          </w:p>
          <w:p w14:paraId="3B2C47BD">
            <w:pPr>
              <w:spacing w:before="58" w:line="220" w:lineRule="auto"/>
              <w:ind w:left="175"/>
              <w:contextualSpacing/>
              <w:rPr>
                <w:rFonts w:ascii="宋体" w:hAnsi="宋体" w:eastAsia="宋体" w:cs="宋体"/>
                <w:sz w:val="18"/>
                <w:szCs w:val="18"/>
              </w:rPr>
            </w:pPr>
            <w:r>
              <w:rPr>
                <w:rFonts w:ascii="宋体" w:hAnsi="宋体" w:eastAsia="宋体" w:cs="宋体"/>
                <w:spacing w:val="-2"/>
                <w:sz w:val="18"/>
                <w:szCs w:val="18"/>
              </w:rPr>
              <w:t>项目资金</w:t>
            </w:r>
          </w:p>
          <w:p w14:paraId="3DB434EC">
            <w:pPr>
              <w:spacing w:before="15" w:line="220" w:lineRule="auto"/>
              <w:ind w:left="265"/>
              <w:contextualSpacing/>
              <w:rPr>
                <w:rFonts w:ascii="宋体" w:hAnsi="宋体" w:eastAsia="宋体" w:cs="宋体"/>
                <w:sz w:val="18"/>
                <w:szCs w:val="18"/>
              </w:rPr>
            </w:pPr>
            <w:r>
              <w:rPr>
                <w:rFonts w:ascii="宋体" w:hAnsi="宋体" w:eastAsia="宋体" w:cs="宋体"/>
                <w:spacing w:val="9"/>
                <w:sz w:val="18"/>
                <w:szCs w:val="18"/>
              </w:rPr>
              <w:t>(万元)</w:t>
            </w:r>
          </w:p>
        </w:tc>
        <w:tc>
          <w:tcPr>
            <w:tcW w:w="2127" w:type="dxa"/>
            <w:gridSpan w:val="2"/>
          </w:tcPr>
          <w:p w14:paraId="64DA807D">
            <w:pPr>
              <w:spacing w:before="67" w:line="219" w:lineRule="auto"/>
              <w:ind w:left="511"/>
              <w:contextualSpacing/>
              <w:rPr>
                <w:rFonts w:ascii="宋体" w:hAnsi="宋体" w:eastAsia="宋体" w:cs="宋体"/>
                <w:sz w:val="18"/>
                <w:szCs w:val="18"/>
              </w:rPr>
            </w:pPr>
            <w:r>
              <w:rPr>
                <w:rFonts w:ascii="宋体" w:hAnsi="宋体" w:eastAsia="宋体" w:cs="宋体"/>
                <w:spacing w:val="-2"/>
                <w:sz w:val="18"/>
                <w:szCs w:val="18"/>
              </w:rPr>
              <w:t>年度资金总额</w:t>
            </w:r>
          </w:p>
        </w:tc>
        <w:tc>
          <w:tcPr>
            <w:tcW w:w="1059" w:type="dxa"/>
          </w:tcPr>
          <w:p w14:paraId="00A93BBD">
            <w:pPr>
              <w:pStyle w:val="8"/>
              <w:contextualSpacing/>
              <w:rPr>
                <w:rFonts w:hint="default" w:eastAsiaTheme="minorEastAsia"/>
                <w:lang w:val="en-US" w:eastAsia="zh-CN"/>
              </w:rPr>
            </w:pPr>
            <w:r>
              <w:rPr>
                <w:rFonts w:hint="eastAsia"/>
                <w:lang w:val="en-US" w:eastAsia="zh-CN"/>
              </w:rPr>
              <w:t>331.73</w:t>
            </w:r>
          </w:p>
        </w:tc>
        <w:tc>
          <w:tcPr>
            <w:tcW w:w="1251" w:type="dxa"/>
            <w:gridSpan w:val="2"/>
          </w:tcPr>
          <w:p w14:paraId="0E9F8ABB">
            <w:pPr>
              <w:pStyle w:val="8"/>
              <w:contextualSpacing/>
              <w:rPr>
                <w:rFonts w:hint="eastAsia"/>
              </w:rPr>
            </w:pPr>
            <w:r>
              <w:rPr>
                <w:rFonts w:hint="eastAsia"/>
                <w:lang w:val="en-US" w:eastAsia="zh-CN"/>
              </w:rPr>
              <w:t>331.73</w:t>
            </w:r>
          </w:p>
        </w:tc>
        <w:tc>
          <w:tcPr>
            <w:tcW w:w="1200" w:type="dxa"/>
            <w:gridSpan w:val="2"/>
          </w:tcPr>
          <w:p w14:paraId="1A7190B4">
            <w:pPr>
              <w:pStyle w:val="8"/>
              <w:contextualSpacing/>
              <w:rPr>
                <w:rFonts w:hint="eastAsia"/>
              </w:rPr>
            </w:pPr>
            <w:r>
              <w:rPr>
                <w:rFonts w:hint="eastAsia"/>
                <w:lang w:val="en-US" w:eastAsia="zh-CN"/>
              </w:rPr>
              <w:t>331.73</w:t>
            </w:r>
          </w:p>
        </w:tc>
        <w:tc>
          <w:tcPr>
            <w:tcW w:w="1026" w:type="dxa"/>
          </w:tcPr>
          <w:p w14:paraId="6A46D980">
            <w:pPr>
              <w:spacing w:before="112" w:line="184" w:lineRule="auto"/>
              <w:ind w:left="307"/>
              <w:contextualSpacing/>
              <w:rPr>
                <w:rFonts w:ascii="宋体" w:hAnsi="宋体" w:eastAsia="宋体" w:cs="宋体"/>
                <w:sz w:val="18"/>
                <w:szCs w:val="18"/>
              </w:rPr>
            </w:pPr>
            <w:r>
              <w:rPr>
                <w:rFonts w:ascii="宋体" w:hAnsi="宋体" w:eastAsia="宋体" w:cs="宋体"/>
                <w:spacing w:val="-6"/>
                <w:sz w:val="18"/>
                <w:szCs w:val="18"/>
              </w:rPr>
              <w:t>10</w:t>
            </w:r>
          </w:p>
        </w:tc>
        <w:tc>
          <w:tcPr>
            <w:tcW w:w="869" w:type="dxa"/>
          </w:tcPr>
          <w:p w14:paraId="57F86868">
            <w:pPr>
              <w:pStyle w:val="8"/>
              <w:contextualSpacing/>
              <w:rPr>
                <w:rFonts w:hint="eastAsia"/>
              </w:rPr>
            </w:pPr>
            <w:r>
              <w:rPr>
                <w:rFonts w:hint="eastAsia"/>
              </w:rPr>
              <w:t>100%</w:t>
            </w:r>
          </w:p>
        </w:tc>
        <w:tc>
          <w:tcPr>
            <w:tcW w:w="1094" w:type="dxa"/>
          </w:tcPr>
          <w:p w14:paraId="67BE334E">
            <w:pPr>
              <w:pStyle w:val="8"/>
              <w:contextualSpacing/>
              <w:rPr>
                <w:rFonts w:hint="eastAsia"/>
              </w:rPr>
            </w:pPr>
            <w:r>
              <w:rPr>
                <w:rFonts w:hint="eastAsia"/>
              </w:rPr>
              <w:t>10</w:t>
            </w:r>
          </w:p>
        </w:tc>
      </w:tr>
      <w:tr w14:paraId="0A6C2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094" w:type="dxa"/>
            <w:gridSpan w:val="3"/>
            <w:vMerge w:val="continue"/>
            <w:tcBorders>
              <w:top w:val="nil"/>
              <w:bottom w:val="nil"/>
            </w:tcBorders>
          </w:tcPr>
          <w:p w14:paraId="67F28D5E">
            <w:pPr>
              <w:pStyle w:val="8"/>
              <w:contextualSpacing/>
            </w:pPr>
          </w:p>
        </w:tc>
        <w:tc>
          <w:tcPr>
            <w:tcW w:w="2127" w:type="dxa"/>
            <w:gridSpan w:val="2"/>
          </w:tcPr>
          <w:p w14:paraId="5620108A">
            <w:pPr>
              <w:spacing w:before="108" w:line="219" w:lineRule="auto"/>
              <w:ind w:left="241"/>
              <w:contextualSpacing/>
              <w:rPr>
                <w:rFonts w:ascii="宋体" w:hAnsi="宋体" w:eastAsia="宋体" w:cs="宋体"/>
                <w:sz w:val="18"/>
                <w:szCs w:val="18"/>
              </w:rPr>
            </w:pPr>
            <w:r>
              <w:rPr>
                <w:rFonts w:ascii="宋体" w:hAnsi="宋体" w:eastAsia="宋体" w:cs="宋体"/>
                <w:spacing w:val="-1"/>
                <w:sz w:val="18"/>
                <w:szCs w:val="18"/>
              </w:rPr>
              <w:t>其中：当年财政拨款</w:t>
            </w:r>
          </w:p>
        </w:tc>
        <w:tc>
          <w:tcPr>
            <w:tcW w:w="1059" w:type="dxa"/>
          </w:tcPr>
          <w:p w14:paraId="7D52B724">
            <w:pPr>
              <w:pStyle w:val="8"/>
              <w:contextualSpacing/>
              <w:rPr>
                <w:rFonts w:hint="default" w:eastAsiaTheme="minorEastAsia"/>
                <w:lang w:val="en-US" w:eastAsia="zh-CN"/>
              </w:rPr>
            </w:pPr>
            <w:r>
              <w:rPr>
                <w:rFonts w:hint="eastAsia"/>
                <w:lang w:val="en-US" w:eastAsia="zh-CN"/>
              </w:rPr>
              <w:t>331.73</w:t>
            </w:r>
          </w:p>
        </w:tc>
        <w:tc>
          <w:tcPr>
            <w:tcW w:w="1251" w:type="dxa"/>
            <w:gridSpan w:val="2"/>
          </w:tcPr>
          <w:p w14:paraId="740459BC">
            <w:pPr>
              <w:pStyle w:val="8"/>
              <w:contextualSpacing/>
              <w:rPr>
                <w:rFonts w:hint="eastAsia"/>
              </w:rPr>
            </w:pPr>
            <w:r>
              <w:rPr>
                <w:rFonts w:hint="eastAsia"/>
                <w:lang w:val="en-US" w:eastAsia="zh-CN"/>
              </w:rPr>
              <w:t>331.73</w:t>
            </w:r>
          </w:p>
        </w:tc>
        <w:tc>
          <w:tcPr>
            <w:tcW w:w="1200" w:type="dxa"/>
            <w:gridSpan w:val="2"/>
          </w:tcPr>
          <w:p w14:paraId="3965D11B">
            <w:pPr>
              <w:pStyle w:val="8"/>
              <w:contextualSpacing/>
              <w:rPr>
                <w:rFonts w:hint="eastAsia"/>
              </w:rPr>
            </w:pPr>
            <w:r>
              <w:rPr>
                <w:rFonts w:hint="eastAsia"/>
                <w:lang w:val="en-US" w:eastAsia="zh-CN"/>
              </w:rPr>
              <w:t>331.73</w:t>
            </w:r>
          </w:p>
        </w:tc>
        <w:tc>
          <w:tcPr>
            <w:tcW w:w="1026" w:type="dxa"/>
          </w:tcPr>
          <w:p w14:paraId="3E61BD6A">
            <w:pPr>
              <w:pStyle w:val="8"/>
              <w:contextualSpacing/>
            </w:pPr>
          </w:p>
        </w:tc>
        <w:tc>
          <w:tcPr>
            <w:tcW w:w="869" w:type="dxa"/>
          </w:tcPr>
          <w:p w14:paraId="07D0080C">
            <w:pPr>
              <w:pStyle w:val="8"/>
              <w:contextualSpacing/>
              <w:rPr>
                <w:rFonts w:hint="eastAsia"/>
              </w:rPr>
            </w:pPr>
            <w:r>
              <w:rPr>
                <w:rFonts w:hint="eastAsia"/>
              </w:rPr>
              <w:t>100%</w:t>
            </w:r>
          </w:p>
        </w:tc>
        <w:tc>
          <w:tcPr>
            <w:tcW w:w="1094" w:type="dxa"/>
          </w:tcPr>
          <w:p w14:paraId="0396FA03">
            <w:pPr>
              <w:pStyle w:val="8"/>
              <w:contextualSpacing/>
            </w:pPr>
          </w:p>
        </w:tc>
      </w:tr>
      <w:tr w14:paraId="0BC39C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9" w:hRule="atLeast"/>
        </w:trPr>
        <w:tc>
          <w:tcPr>
            <w:tcW w:w="1094" w:type="dxa"/>
            <w:gridSpan w:val="3"/>
            <w:vMerge w:val="continue"/>
            <w:tcBorders>
              <w:top w:val="nil"/>
              <w:bottom w:val="nil"/>
            </w:tcBorders>
          </w:tcPr>
          <w:p w14:paraId="19D4083F">
            <w:pPr>
              <w:pStyle w:val="8"/>
              <w:contextualSpacing/>
            </w:pPr>
          </w:p>
        </w:tc>
        <w:tc>
          <w:tcPr>
            <w:tcW w:w="2127" w:type="dxa"/>
            <w:gridSpan w:val="2"/>
          </w:tcPr>
          <w:p w14:paraId="404C1A9C">
            <w:pPr>
              <w:spacing w:before="119" w:line="219" w:lineRule="auto"/>
              <w:ind w:left="760"/>
              <w:contextualSpacing/>
              <w:rPr>
                <w:rFonts w:ascii="宋体" w:hAnsi="宋体" w:eastAsia="宋体" w:cs="宋体"/>
                <w:sz w:val="18"/>
                <w:szCs w:val="18"/>
              </w:rPr>
            </w:pPr>
            <w:r>
              <w:rPr>
                <w:rFonts w:ascii="宋体" w:hAnsi="宋体" w:eastAsia="宋体" w:cs="宋体"/>
                <w:spacing w:val="-2"/>
                <w:sz w:val="18"/>
                <w:szCs w:val="18"/>
              </w:rPr>
              <w:t>上年结转资金</w:t>
            </w:r>
          </w:p>
        </w:tc>
        <w:tc>
          <w:tcPr>
            <w:tcW w:w="1059" w:type="dxa"/>
          </w:tcPr>
          <w:p w14:paraId="5337E399">
            <w:pPr>
              <w:pStyle w:val="8"/>
              <w:contextualSpacing/>
            </w:pPr>
          </w:p>
        </w:tc>
        <w:tc>
          <w:tcPr>
            <w:tcW w:w="1251" w:type="dxa"/>
            <w:gridSpan w:val="2"/>
          </w:tcPr>
          <w:p w14:paraId="7423C550">
            <w:pPr>
              <w:pStyle w:val="8"/>
              <w:contextualSpacing/>
            </w:pPr>
          </w:p>
        </w:tc>
        <w:tc>
          <w:tcPr>
            <w:tcW w:w="1200" w:type="dxa"/>
            <w:gridSpan w:val="2"/>
          </w:tcPr>
          <w:p w14:paraId="16EB1711">
            <w:pPr>
              <w:pStyle w:val="8"/>
              <w:contextualSpacing/>
            </w:pPr>
          </w:p>
        </w:tc>
        <w:tc>
          <w:tcPr>
            <w:tcW w:w="1026" w:type="dxa"/>
          </w:tcPr>
          <w:p w14:paraId="3F9154E9">
            <w:pPr>
              <w:pStyle w:val="8"/>
              <w:contextualSpacing/>
            </w:pPr>
          </w:p>
        </w:tc>
        <w:tc>
          <w:tcPr>
            <w:tcW w:w="869" w:type="dxa"/>
          </w:tcPr>
          <w:p w14:paraId="2B8159B4">
            <w:pPr>
              <w:pStyle w:val="8"/>
              <w:contextualSpacing/>
            </w:pPr>
          </w:p>
        </w:tc>
        <w:tc>
          <w:tcPr>
            <w:tcW w:w="1094" w:type="dxa"/>
          </w:tcPr>
          <w:p w14:paraId="4809A14D">
            <w:pPr>
              <w:pStyle w:val="8"/>
              <w:contextualSpacing/>
            </w:pPr>
          </w:p>
        </w:tc>
      </w:tr>
      <w:tr w14:paraId="025C5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1094" w:type="dxa"/>
            <w:gridSpan w:val="3"/>
            <w:vMerge w:val="continue"/>
            <w:tcBorders>
              <w:top w:val="nil"/>
            </w:tcBorders>
          </w:tcPr>
          <w:p w14:paraId="51FEFB12">
            <w:pPr>
              <w:pStyle w:val="8"/>
              <w:contextualSpacing/>
            </w:pPr>
          </w:p>
        </w:tc>
        <w:tc>
          <w:tcPr>
            <w:tcW w:w="2127" w:type="dxa"/>
            <w:gridSpan w:val="2"/>
          </w:tcPr>
          <w:p w14:paraId="1DD2FBCF">
            <w:pPr>
              <w:spacing w:before="111" w:line="220" w:lineRule="auto"/>
              <w:ind w:left="690"/>
              <w:contextualSpacing/>
              <w:rPr>
                <w:rFonts w:ascii="宋体" w:hAnsi="宋体" w:eastAsia="宋体" w:cs="宋体"/>
                <w:sz w:val="18"/>
                <w:szCs w:val="18"/>
              </w:rPr>
            </w:pPr>
            <w:r>
              <w:rPr>
                <w:rFonts w:ascii="宋体" w:hAnsi="宋体" w:eastAsia="宋体" w:cs="宋体"/>
                <w:spacing w:val="-2"/>
                <w:sz w:val="18"/>
                <w:szCs w:val="18"/>
              </w:rPr>
              <w:t>其他资金</w:t>
            </w:r>
          </w:p>
        </w:tc>
        <w:tc>
          <w:tcPr>
            <w:tcW w:w="1059" w:type="dxa"/>
          </w:tcPr>
          <w:p w14:paraId="3FAFE94A">
            <w:pPr>
              <w:pStyle w:val="8"/>
              <w:contextualSpacing/>
            </w:pPr>
          </w:p>
        </w:tc>
        <w:tc>
          <w:tcPr>
            <w:tcW w:w="1251" w:type="dxa"/>
            <w:gridSpan w:val="2"/>
            <w:tcBorders>
              <w:right w:val="single" w:color="auto" w:sz="4" w:space="0"/>
            </w:tcBorders>
          </w:tcPr>
          <w:p w14:paraId="5E98B32D">
            <w:pPr>
              <w:pStyle w:val="8"/>
              <w:contextualSpacing/>
            </w:pPr>
          </w:p>
        </w:tc>
        <w:tc>
          <w:tcPr>
            <w:tcW w:w="1200" w:type="dxa"/>
            <w:gridSpan w:val="2"/>
            <w:tcBorders>
              <w:left w:val="single" w:color="auto" w:sz="4" w:space="0"/>
            </w:tcBorders>
          </w:tcPr>
          <w:p w14:paraId="1BA9053E">
            <w:pPr>
              <w:pStyle w:val="8"/>
              <w:contextualSpacing/>
            </w:pPr>
          </w:p>
        </w:tc>
        <w:tc>
          <w:tcPr>
            <w:tcW w:w="1026" w:type="dxa"/>
          </w:tcPr>
          <w:p w14:paraId="690D40C7">
            <w:pPr>
              <w:pStyle w:val="8"/>
              <w:contextualSpacing/>
            </w:pPr>
          </w:p>
        </w:tc>
        <w:tc>
          <w:tcPr>
            <w:tcW w:w="869" w:type="dxa"/>
          </w:tcPr>
          <w:p w14:paraId="265171D1">
            <w:pPr>
              <w:pStyle w:val="8"/>
              <w:contextualSpacing/>
            </w:pPr>
          </w:p>
        </w:tc>
        <w:tc>
          <w:tcPr>
            <w:tcW w:w="1094" w:type="dxa"/>
          </w:tcPr>
          <w:p w14:paraId="7405BF6A">
            <w:pPr>
              <w:pStyle w:val="8"/>
              <w:contextualSpacing/>
            </w:pPr>
          </w:p>
        </w:tc>
      </w:tr>
      <w:tr w14:paraId="5753E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706" w:type="dxa"/>
            <w:gridSpan w:val="2"/>
            <w:vMerge w:val="restart"/>
            <w:tcBorders>
              <w:bottom w:val="nil"/>
              <w:right w:val="single" w:color="auto" w:sz="4" w:space="0"/>
            </w:tcBorders>
            <w:vAlign w:val="top"/>
          </w:tcPr>
          <w:p w14:paraId="5CA79600">
            <w:pPr>
              <w:spacing w:before="58" w:line="219" w:lineRule="auto"/>
              <w:ind w:left="1065"/>
              <w:contextualSpacing/>
              <w:jc w:val="center"/>
              <w:rPr>
                <w:rFonts w:hint="eastAsia" w:eastAsia="宋体"/>
                <w:lang w:eastAsia="zh-CN"/>
              </w:rPr>
            </w:pPr>
            <w:r>
              <w:rPr>
                <w:rFonts w:hint="eastAsia" w:eastAsia="宋体"/>
                <w:lang w:eastAsia="zh-CN"/>
              </w:rPr>
              <w:t>年</w:t>
            </w:r>
          </w:p>
          <w:p w14:paraId="79C828C8">
            <w:pPr>
              <w:bidi w:val="0"/>
              <w:jc w:val="center"/>
              <w:rPr>
                <w:rFonts w:hint="eastAsia" w:ascii="Arial" w:hAnsi="Arial" w:eastAsia="Arial" w:cs="Arial"/>
                <w:snapToGrid w:val="0"/>
                <w:color w:val="000000"/>
                <w:kern w:val="0"/>
                <w:sz w:val="21"/>
                <w:szCs w:val="21"/>
                <w:lang w:val="en-US" w:eastAsia="zh-CN" w:bidi="ar-SA"/>
              </w:rPr>
            </w:pPr>
            <w:r>
              <w:rPr>
                <w:rFonts w:hint="eastAsia" w:ascii="Arial" w:hAnsi="Arial" w:cs="Arial" w:eastAsiaTheme="minorEastAsia"/>
                <w:snapToGrid w:val="0"/>
                <w:color w:val="000000"/>
                <w:kern w:val="0"/>
                <w:sz w:val="18"/>
                <w:szCs w:val="18"/>
                <w:lang w:val="en-US" w:eastAsia="zh-CN" w:bidi="ar-SA"/>
              </w:rPr>
              <w:t>年度总体目标</w:t>
            </w:r>
          </w:p>
        </w:tc>
        <w:tc>
          <w:tcPr>
            <w:tcW w:w="4830" w:type="dxa"/>
            <w:gridSpan w:val="7"/>
            <w:tcBorders>
              <w:left w:val="single" w:color="auto" w:sz="4" w:space="0"/>
              <w:bottom w:val="single" w:color="auto" w:sz="4" w:space="0"/>
              <w:right w:val="single" w:color="auto" w:sz="4" w:space="0"/>
            </w:tcBorders>
          </w:tcPr>
          <w:p w14:paraId="3CD961EF">
            <w:pPr>
              <w:spacing w:before="152" w:line="220" w:lineRule="auto"/>
              <w:contextualSpacing/>
              <w:jc w:val="center"/>
              <w:rPr>
                <w:rFonts w:ascii="宋体" w:hAnsi="宋体" w:eastAsia="宋体" w:cs="宋体"/>
                <w:sz w:val="18"/>
                <w:szCs w:val="18"/>
              </w:rPr>
            </w:pPr>
            <w:r>
              <w:rPr>
                <w:rFonts w:ascii="宋体" w:hAnsi="宋体" w:eastAsia="宋体" w:cs="宋体"/>
                <w:spacing w:val="-2"/>
                <w:sz w:val="18"/>
                <w:szCs w:val="18"/>
              </w:rPr>
              <w:t>预期目标</w:t>
            </w:r>
          </w:p>
        </w:tc>
        <w:tc>
          <w:tcPr>
            <w:tcW w:w="4184" w:type="dxa"/>
            <w:gridSpan w:val="4"/>
            <w:tcBorders>
              <w:left w:val="single" w:color="auto" w:sz="4" w:space="0"/>
              <w:bottom w:val="single" w:color="auto" w:sz="4" w:space="0"/>
            </w:tcBorders>
          </w:tcPr>
          <w:p w14:paraId="7919B04B">
            <w:pPr>
              <w:spacing w:before="151" w:line="219" w:lineRule="auto"/>
              <w:ind w:left="856"/>
              <w:contextualSpacing/>
              <w:rPr>
                <w:rFonts w:ascii="宋体" w:hAnsi="宋体" w:eastAsia="宋体" w:cs="宋体"/>
                <w:sz w:val="18"/>
                <w:szCs w:val="18"/>
              </w:rPr>
            </w:pPr>
            <w:r>
              <w:rPr>
                <w:rFonts w:ascii="宋体" w:hAnsi="宋体" w:eastAsia="宋体" w:cs="宋体"/>
                <w:spacing w:val="-2"/>
                <w:sz w:val="18"/>
                <w:szCs w:val="18"/>
              </w:rPr>
              <w:t>完成实际情况</w:t>
            </w:r>
          </w:p>
        </w:tc>
      </w:tr>
      <w:tr w14:paraId="00CFF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06" w:type="dxa"/>
            <w:gridSpan w:val="2"/>
            <w:vMerge w:val="continue"/>
            <w:tcBorders>
              <w:top w:val="nil"/>
              <w:right w:val="single" w:color="auto" w:sz="4" w:space="0"/>
            </w:tcBorders>
          </w:tcPr>
          <w:p w14:paraId="52CAF230">
            <w:pPr>
              <w:pStyle w:val="8"/>
              <w:contextualSpacing/>
            </w:pPr>
          </w:p>
        </w:tc>
        <w:tc>
          <w:tcPr>
            <w:tcW w:w="4830" w:type="dxa"/>
            <w:gridSpan w:val="7"/>
            <w:tcBorders>
              <w:top w:val="single" w:color="auto" w:sz="4" w:space="0"/>
              <w:left w:val="single" w:color="auto" w:sz="4" w:space="0"/>
              <w:right w:val="single" w:color="auto" w:sz="4" w:space="0"/>
            </w:tcBorders>
          </w:tcPr>
          <w:p w14:paraId="1A7AEFD7">
            <w:pPr>
              <w:pStyle w:val="8"/>
              <w:contextualSpacing/>
              <w:jc w:val="center"/>
              <w:rPr>
                <w:rFonts w:hint="eastAsia" w:eastAsiaTheme="minorEastAsia"/>
                <w:lang w:eastAsia="zh-CN"/>
              </w:rPr>
            </w:pPr>
            <w:r>
              <w:rPr>
                <w:rFonts w:hint="eastAsia"/>
                <w:lang w:eastAsia="zh-CN"/>
              </w:rPr>
              <w:t>保障公交接送学生运行平安稳定</w:t>
            </w:r>
          </w:p>
        </w:tc>
        <w:tc>
          <w:tcPr>
            <w:tcW w:w="4184" w:type="dxa"/>
            <w:gridSpan w:val="4"/>
            <w:tcBorders>
              <w:top w:val="single" w:color="auto" w:sz="4" w:space="0"/>
              <w:left w:val="single" w:color="auto" w:sz="4" w:space="0"/>
            </w:tcBorders>
          </w:tcPr>
          <w:p w14:paraId="76B8D96D">
            <w:pPr>
              <w:pStyle w:val="8"/>
              <w:contextualSpacing/>
              <w:rPr>
                <w:rFonts w:hint="default" w:eastAsiaTheme="minorEastAsia"/>
                <w:lang w:val="en-US" w:eastAsia="zh-CN"/>
              </w:rPr>
            </w:pPr>
            <w:r>
              <w:rPr>
                <w:rFonts w:hint="eastAsia"/>
                <w:lang w:eastAsia="zh-CN"/>
              </w:rPr>
              <w:t>全县共开通</w:t>
            </w:r>
            <w:r>
              <w:rPr>
                <w:rFonts w:hint="eastAsia"/>
                <w:lang w:val="en-US" w:eastAsia="zh-CN"/>
              </w:rPr>
              <w:t>27条客运线路、31辆公交车接送456名撤并校学生，全年运行日期约200天，运行平安稳定。</w:t>
            </w:r>
          </w:p>
        </w:tc>
      </w:tr>
      <w:tr w14:paraId="77E9D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9" w:hRule="atLeast"/>
        </w:trPr>
        <w:tc>
          <w:tcPr>
            <w:tcW w:w="694" w:type="dxa"/>
          </w:tcPr>
          <w:p w14:paraId="69B7CA9A">
            <w:pPr>
              <w:pStyle w:val="8"/>
              <w:contextualSpacing/>
            </w:pPr>
          </w:p>
        </w:tc>
        <w:tc>
          <w:tcPr>
            <w:tcW w:w="1039" w:type="dxa"/>
            <w:gridSpan w:val="3"/>
          </w:tcPr>
          <w:p w14:paraId="388882AC">
            <w:pPr>
              <w:pStyle w:val="8"/>
              <w:contextualSpacing/>
            </w:pPr>
          </w:p>
          <w:p w14:paraId="1B2569C9">
            <w:pPr>
              <w:spacing w:before="58" w:line="220" w:lineRule="auto"/>
              <w:ind w:left="151"/>
              <w:contextualSpacing/>
              <w:rPr>
                <w:rFonts w:ascii="宋体" w:hAnsi="宋体" w:eastAsia="宋体" w:cs="宋体"/>
                <w:sz w:val="18"/>
                <w:szCs w:val="18"/>
              </w:rPr>
            </w:pPr>
            <w:r>
              <w:rPr>
                <w:rFonts w:ascii="宋体" w:hAnsi="宋体" w:eastAsia="宋体" w:cs="宋体"/>
                <w:spacing w:val="-3"/>
                <w:sz w:val="18"/>
                <w:szCs w:val="18"/>
              </w:rPr>
              <w:t>一级指标</w:t>
            </w:r>
          </w:p>
        </w:tc>
        <w:tc>
          <w:tcPr>
            <w:tcW w:w="1488" w:type="dxa"/>
          </w:tcPr>
          <w:p w14:paraId="73433345">
            <w:pPr>
              <w:pStyle w:val="8"/>
              <w:contextualSpacing/>
            </w:pPr>
          </w:p>
          <w:p w14:paraId="4237D863">
            <w:pPr>
              <w:spacing w:before="58" w:line="220" w:lineRule="auto"/>
              <w:ind w:left="582"/>
              <w:contextualSpacing/>
              <w:rPr>
                <w:rFonts w:ascii="宋体" w:hAnsi="宋体" w:eastAsia="宋体" w:cs="宋体"/>
                <w:sz w:val="18"/>
                <w:szCs w:val="18"/>
              </w:rPr>
            </w:pPr>
            <w:r>
              <w:rPr>
                <w:rFonts w:ascii="宋体" w:hAnsi="宋体" w:eastAsia="宋体" w:cs="宋体"/>
                <w:spacing w:val="-2"/>
                <w:sz w:val="18"/>
                <w:szCs w:val="18"/>
              </w:rPr>
              <w:t>二级指标</w:t>
            </w:r>
          </w:p>
        </w:tc>
        <w:tc>
          <w:tcPr>
            <w:tcW w:w="1469" w:type="dxa"/>
            <w:gridSpan w:val="2"/>
          </w:tcPr>
          <w:p w14:paraId="62C4DF79">
            <w:pPr>
              <w:pStyle w:val="8"/>
              <w:contextualSpacing/>
            </w:pPr>
          </w:p>
          <w:p w14:paraId="45C0CFFA">
            <w:pPr>
              <w:spacing w:before="58" w:line="220" w:lineRule="auto"/>
              <w:ind w:left="174"/>
              <w:contextualSpacing/>
              <w:rPr>
                <w:rFonts w:ascii="宋体" w:hAnsi="宋体" w:eastAsia="宋体" w:cs="宋体"/>
                <w:sz w:val="18"/>
                <w:szCs w:val="18"/>
              </w:rPr>
            </w:pPr>
            <w:r>
              <w:rPr>
                <w:rFonts w:ascii="宋体" w:hAnsi="宋体" w:eastAsia="宋体" w:cs="宋体"/>
                <w:spacing w:val="-2"/>
                <w:sz w:val="18"/>
                <w:szCs w:val="18"/>
              </w:rPr>
              <w:t>三级指标</w:t>
            </w:r>
          </w:p>
        </w:tc>
        <w:tc>
          <w:tcPr>
            <w:tcW w:w="841" w:type="dxa"/>
          </w:tcPr>
          <w:p w14:paraId="3EAD2E42">
            <w:pPr>
              <w:pStyle w:val="8"/>
              <w:contextualSpacing/>
            </w:pPr>
          </w:p>
          <w:p w14:paraId="1DA7895E">
            <w:pPr>
              <w:spacing w:before="59" w:line="219" w:lineRule="auto"/>
              <w:ind w:left="35"/>
              <w:contextualSpacing/>
              <w:rPr>
                <w:rFonts w:ascii="宋体" w:hAnsi="宋体" w:eastAsia="宋体" w:cs="宋体"/>
                <w:sz w:val="18"/>
                <w:szCs w:val="18"/>
              </w:rPr>
            </w:pPr>
            <w:r>
              <w:rPr>
                <w:rFonts w:ascii="宋体" w:hAnsi="宋体" w:eastAsia="宋体" w:cs="宋体"/>
                <w:spacing w:val="-2"/>
                <w:sz w:val="18"/>
                <w:szCs w:val="18"/>
              </w:rPr>
              <w:t>年度指标值</w:t>
            </w:r>
          </w:p>
        </w:tc>
        <w:tc>
          <w:tcPr>
            <w:tcW w:w="1200" w:type="dxa"/>
            <w:gridSpan w:val="2"/>
          </w:tcPr>
          <w:p w14:paraId="190237F1">
            <w:pPr>
              <w:pStyle w:val="8"/>
              <w:contextualSpacing/>
            </w:pPr>
          </w:p>
          <w:p w14:paraId="5F12323E">
            <w:pPr>
              <w:spacing w:before="58" w:line="240" w:lineRule="exact"/>
              <w:ind w:left="275"/>
              <w:contextualSpacing/>
              <w:rPr>
                <w:rFonts w:ascii="宋体" w:hAnsi="宋体" w:eastAsia="宋体" w:cs="宋体"/>
                <w:sz w:val="18"/>
                <w:szCs w:val="18"/>
              </w:rPr>
            </w:pPr>
            <w:r>
              <w:rPr>
                <w:rFonts w:ascii="宋体" w:hAnsi="宋体" w:eastAsia="宋体" w:cs="宋体"/>
                <w:spacing w:val="-3"/>
                <w:position w:val="4"/>
                <w:sz w:val="18"/>
                <w:szCs w:val="18"/>
              </w:rPr>
              <w:t>实际完成</w:t>
            </w:r>
          </w:p>
          <w:p w14:paraId="3C7470DF">
            <w:pPr>
              <w:spacing w:line="219" w:lineRule="auto"/>
              <w:ind w:left="546"/>
              <w:contextualSpacing/>
              <w:rPr>
                <w:rFonts w:ascii="宋体" w:hAnsi="宋体" w:eastAsia="宋体" w:cs="宋体"/>
                <w:sz w:val="18"/>
                <w:szCs w:val="18"/>
              </w:rPr>
            </w:pPr>
            <w:r>
              <w:rPr>
                <w:rFonts w:ascii="宋体" w:hAnsi="宋体" w:eastAsia="宋体" w:cs="宋体"/>
                <w:sz w:val="18"/>
                <w:szCs w:val="18"/>
              </w:rPr>
              <w:t>值</w:t>
            </w:r>
          </w:p>
        </w:tc>
        <w:tc>
          <w:tcPr>
            <w:tcW w:w="1026" w:type="dxa"/>
          </w:tcPr>
          <w:p w14:paraId="127AEBE9">
            <w:pPr>
              <w:pStyle w:val="8"/>
              <w:contextualSpacing/>
            </w:pPr>
          </w:p>
          <w:p w14:paraId="16A875F2">
            <w:pPr>
              <w:spacing w:before="59" w:line="219" w:lineRule="auto"/>
              <w:ind w:left="216"/>
              <w:contextualSpacing/>
              <w:rPr>
                <w:rFonts w:ascii="宋体" w:hAnsi="宋体" w:eastAsia="宋体" w:cs="宋体"/>
                <w:sz w:val="18"/>
                <w:szCs w:val="18"/>
              </w:rPr>
            </w:pPr>
            <w:r>
              <w:rPr>
                <w:rFonts w:ascii="宋体" w:hAnsi="宋体" w:eastAsia="宋体" w:cs="宋体"/>
                <w:spacing w:val="-3"/>
                <w:sz w:val="18"/>
                <w:szCs w:val="18"/>
              </w:rPr>
              <w:t>分值</w:t>
            </w:r>
          </w:p>
        </w:tc>
        <w:tc>
          <w:tcPr>
            <w:tcW w:w="869" w:type="dxa"/>
          </w:tcPr>
          <w:p w14:paraId="6016216B">
            <w:pPr>
              <w:pStyle w:val="8"/>
              <w:contextualSpacing/>
            </w:pPr>
          </w:p>
          <w:p w14:paraId="51FB07D8">
            <w:pPr>
              <w:spacing w:before="59" w:line="219" w:lineRule="auto"/>
              <w:ind w:left="248"/>
              <w:contextualSpacing/>
              <w:rPr>
                <w:rFonts w:ascii="宋体" w:hAnsi="宋体" w:eastAsia="宋体" w:cs="宋体"/>
                <w:sz w:val="18"/>
                <w:szCs w:val="18"/>
              </w:rPr>
            </w:pPr>
            <w:r>
              <w:rPr>
                <w:rFonts w:ascii="宋体" w:hAnsi="宋体" w:eastAsia="宋体" w:cs="宋体"/>
                <w:spacing w:val="-2"/>
                <w:sz w:val="18"/>
                <w:szCs w:val="18"/>
              </w:rPr>
              <w:t>得分</w:t>
            </w:r>
          </w:p>
        </w:tc>
        <w:tc>
          <w:tcPr>
            <w:tcW w:w="1094" w:type="dxa"/>
          </w:tcPr>
          <w:p w14:paraId="044352C6">
            <w:pPr>
              <w:spacing w:before="203" w:line="219" w:lineRule="auto"/>
              <w:ind w:left="88"/>
              <w:contextualSpacing/>
              <w:rPr>
                <w:rFonts w:ascii="宋体" w:hAnsi="宋体" w:eastAsia="宋体" w:cs="宋体"/>
                <w:sz w:val="18"/>
                <w:szCs w:val="18"/>
                <w:lang w:eastAsia="zh-CN"/>
              </w:rPr>
            </w:pPr>
            <w:r>
              <w:rPr>
                <w:rFonts w:ascii="宋体" w:hAnsi="宋体" w:eastAsia="宋体" w:cs="宋体"/>
                <w:spacing w:val="-2"/>
                <w:sz w:val="18"/>
                <w:szCs w:val="18"/>
                <w:lang w:eastAsia="zh-CN"/>
              </w:rPr>
              <w:t>偏差原因分</w:t>
            </w:r>
          </w:p>
          <w:p w14:paraId="22CD89FE">
            <w:pPr>
              <w:spacing w:before="26" w:line="219" w:lineRule="auto"/>
              <w:ind w:left="88"/>
              <w:contextualSpacing/>
              <w:rPr>
                <w:rFonts w:ascii="宋体" w:hAnsi="宋体" w:eastAsia="宋体" w:cs="宋体"/>
                <w:sz w:val="18"/>
                <w:szCs w:val="18"/>
                <w:lang w:eastAsia="zh-CN"/>
              </w:rPr>
            </w:pPr>
            <w:r>
              <w:rPr>
                <w:rFonts w:ascii="宋体" w:hAnsi="宋体" w:eastAsia="宋体" w:cs="宋体"/>
                <w:spacing w:val="-2"/>
                <w:sz w:val="18"/>
                <w:szCs w:val="18"/>
                <w:lang w:eastAsia="zh-CN"/>
              </w:rPr>
              <w:t>析及改进措</w:t>
            </w:r>
          </w:p>
          <w:p w14:paraId="69D93B34">
            <w:pPr>
              <w:spacing w:before="19" w:line="222" w:lineRule="auto"/>
              <w:ind w:left="449"/>
              <w:contextualSpacing/>
              <w:rPr>
                <w:rFonts w:ascii="宋体" w:hAnsi="宋体" w:eastAsia="宋体" w:cs="宋体"/>
                <w:sz w:val="18"/>
                <w:szCs w:val="18"/>
                <w:lang w:eastAsia="zh-CN"/>
              </w:rPr>
            </w:pPr>
            <w:r>
              <w:rPr>
                <w:rFonts w:ascii="宋体" w:hAnsi="宋体" w:eastAsia="宋体" w:cs="宋体"/>
                <w:sz w:val="18"/>
                <w:szCs w:val="18"/>
                <w:lang w:eastAsia="zh-CN"/>
              </w:rPr>
              <w:t>施</w:t>
            </w:r>
          </w:p>
        </w:tc>
      </w:tr>
      <w:tr w14:paraId="2C7115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694" w:type="dxa"/>
            <w:vMerge w:val="restart"/>
            <w:tcBorders>
              <w:bottom w:val="nil"/>
            </w:tcBorders>
            <w:textDirection w:val="tbRlV"/>
          </w:tcPr>
          <w:p w14:paraId="7A56E25B">
            <w:pPr>
              <w:pStyle w:val="8"/>
              <w:contextualSpacing/>
            </w:pPr>
          </w:p>
          <w:p w14:paraId="7EA95C71">
            <w:pPr>
              <w:spacing w:before="60" w:line="217" w:lineRule="auto"/>
              <w:ind w:left="2078"/>
              <w:contextualSpacing/>
              <w:rPr>
                <w:rFonts w:ascii="宋体" w:hAnsi="宋体" w:eastAsia="宋体" w:cs="宋体"/>
                <w:sz w:val="18"/>
                <w:szCs w:val="18"/>
              </w:rPr>
            </w:pPr>
            <w:r>
              <w:rPr>
                <w:rFonts w:ascii="宋体" w:hAnsi="宋体" w:eastAsia="宋体" w:cs="宋体"/>
                <w:sz w:val="18"/>
                <w:szCs w:val="18"/>
              </w:rPr>
              <w:t>绩效目标</w:t>
            </w:r>
          </w:p>
        </w:tc>
        <w:tc>
          <w:tcPr>
            <w:tcW w:w="1039" w:type="dxa"/>
            <w:gridSpan w:val="3"/>
            <w:vMerge w:val="restart"/>
            <w:tcBorders>
              <w:bottom w:val="nil"/>
            </w:tcBorders>
          </w:tcPr>
          <w:p w14:paraId="6F129495">
            <w:pPr>
              <w:pStyle w:val="8"/>
              <w:contextualSpacing/>
            </w:pPr>
          </w:p>
          <w:p w14:paraId="6F19F433">
            <w:pPr>
              <w:pStyle w:val="8"/>
              <w:contextualSpacing/>
            </w:pPr>
          </w:p>
          <w:p w14:paraId="44E0CF98">
            <w:pPr>
              <w:spacing w:before="58" w:line="219" w:lineRule="auto"/>
              <w:ind w:left="151"/>
              <w:contextualSpacing/>
              <w:rPr>
                <w:rFonts w:ascii="宋体" w:hAnsi="宋体" w:eastAsia="宋体" w:cs="宋体"/>
                <w:sz w:val="18"/>
                <w:szCs w:val="18"/>
                <w:lang w:eastAsia="zh-CN"/>
              </w:rPr>
            </w:pPr>
            <w:r>
              <w:rPr>
                <w:rFonts w:ascii="宋体" w:hAnsi="宋体" w:eastAsia="宋体" w:cs="宋体"/>
                <w:spacing w:val="-2"/>
                <w:sz w:val="18"/>
                <w:szCs w:val="18"/>
                <w:lang w:eastAsia="zh-CN"/>
              </w:rPr>
              <w:t>成本指标</w:t>
            </w:r>
          </w:p>
          <w:p w14:paraId="7D693A99">
            <w:pPr>
              <w:pStyle w:val="8"/>
              <w:contextualSpacing/>
            </w:pPr>
          </w:p>
          <w:p w14:paraId="296E079D">
            <w:pPr>
              <w:pStyle w:val="8"/>
              <w:contextualSpacing/>
            </w:pPr>
          </w:p>
          <w:p w14:paraId="1D89B67E">
            <w:pPr>
              <w:pStyle w:val="8"/>
              <w:contextualSpacing/>
            </w:pPr>
          </w:p>
          <w:p w14:paraId="5CBC43CE">
            <w:pPr>
              <w:pStyle w:val="8"/>
              <w:contextualSpacing/>
            </w:pPr>
          </w:p>
          <w:p w14:paraId="59628D88">
            <w:pPr>
              <w:pStyle w:val="8"/>
              <w:contextualSpacing/>
            </w:pPr>
          </w:p>
          <w:p w14:paraId="31DDE7D6">
            <w:pPr>
              <w:spacing w:before="58" w:line="219" w:lineRule="auto"/>
              <w:ind w:left="151"/>
              <w:contextualSpacing/>
              <w:rPr>
                <w:rFonts w:ascii="宋体" w:hAnsi="宋体" w:eastAsia="宋体" w:cs="宋体"/>
                <w:spacing w:val="-2"/>
                <w:sz w:val="18"/>
                <w:szCs w:val="18"/>
                <w:lang w:eastAsia="zh-CN"/>
              </w:rPr>
            </w:pPr>
          </w:p>
          <w:p w14:paraId="66515BC6">
            <w:pPr>
              <w:spacing w:before="58" w:line="219" w:lineRule="auto"/>
              <w:ind w:left="151"/>
              <w:contextualSpacing/>
              <w:rPr>
                <w:rFonts w:ascii="宋体" w:hAnsi="宋体" w:eastAsia="宋体" w:cs="宋体"/>
                <w:spacing w:val="-2"/>
                <w:sz w:val="18"/>
                <w:szCs w:val="18"/>
                <w:lang w:eastAsia="zh-CN"/>
              </w:rPr>
            </w:pPr>
          </w:p>
          <w:p w14:paraId="332F140A">
            <w:pPr>
              <w:spacing w:before="58" w:line="219" w:lineRule="auto"/>
              <w:ind w:left="151"/>
              <w:contextualSpacing/>
              <w:rPr>
                <w:rFonts w:ascii="宋体" w:hAnsi="宋体" w:eastAsia="宋体" w:cs="宋体"/>
                <w:spacing w:val="-2"/>
                <w:sz w:val="18"/>
                <w:szCs w:val="18"/>
                <w:lang w:eastAsia="zh-CN"/>
              </w:rPr>
            </w:pPr>
          </w:p>
          <w:p w14:paraId="4636CD17">
            <w:pPr>
              <w:spacing w:before="58" w:line="219" w:lineRule="auto"/>
              <w:ind w:left="151"/>
              <w:contextualSpacing/>
              <w:rPr>
                <w:rFonts w:ascii="宋体" w:hAnsi="宋体" w:eastAsia="宋体" w:cs="宋体"/>
                <w:spacing w:val="-2"/>
                <w:sz w:val="18"/>
                <w:szCs w:val="18"/>
                <w:lang w:eastAsia="zh-CN"/>
              </w:rPr>
            </w:pPr>
          </w:p>
          <w:p w14:paraId="0606CC78">
            <w:pPr>
              <w:spacing w:before="58" w:line="219" w:lineRule="auto"/>
              <w:ind w:left="151"/>
              <w:contextualSpacing/>
              <w:rPr>
                <w:rFonts w:ascii="宋体" w:hAnsi="宋体" w:eastAsia="宋体" w:cs="宋体"/>
                <w:spacing w:val="-2"/>
                <w:sz w:val="18"/>
                <w:szCs w:val="18"/>
                <w:lang w:eastAsia="zh-CN"/>
              </w:rPr>
            </w:pPr>
          </w:p>
          <w:p w14:paraId="79806301">
            <w:pPr>
              <w:spacing w:before="58" w:line="219" w:lineRule="auto"/>
              <w:ind w:left="151"/>
              <w:contextualSpacing/>
              <w:rPr>
                <w:rFonts w:ascii="宋体" w:hAnsi="宋体" w:eastAsia="宋体" w:cs="宋体"/>
                <w:spacing w:val="-2"/>
                <w:sz w:val="18"/>
                <w:szCs w:val="18"/>
                <w:lang w:eastAsia="zh-CN"/>
              </w:rPr>
            </w:pPr>
          </w:p>
          <w:p w14:paraId="326DD5F6">
            <w:pPr>
              <w:spacing w:before="58" w:line="219" w:lineRule="auto"/>
              <w:ind w:left="151"/>
              <w:contextualSpacing/>
              <w:rPr>
                <w:rFonts w:ascii="宋体" w:hAnsi="宋体" w:eastAsia="宋体" w:cs="宋体"/>
                <w:sz w:val="18"/>
                <w:szCs w:val="18"/>
                <w:lang w:eastAsia="zh-CN"/>
              </w:rPr>
            </w:pPr>
            <w:r>
              <w:rPr>
                <w:rFonts w:ascii="宋体" w:hAnsi="宋体" w:eastAsia="宋体" w:cs="宋体"/>
                <w:spacing w:val="-2"/>
                <w:sz w:val="18"/>
                <w:szCs w:val="18"/>
                <w:lang w:eastAsia="zh-CN"/>
              </w:rPr>
              <w:t>产出指标</w:t>
            </w:r>
          </w:p>
          <w:p w14:paraId="64474AAB">
            <w:pPr>
              <w:pStyle w:val="8"/>
              <w:contextualSpacing/>
            </w:pPr>
          </w:p>
          <w:p w14:paraId="3FCFA5E3">
            <w:pPr>
              <w:pStyle w:val="8"/>
              <w:contextualSpacing/>
            </w:pPr>
          </w:p>
          <w:p w14:paraId="433BC477">
            <w:pPr>
              <w:pStyle w:val="8"/>
              <w:contextualSpacing/>
            </w:pPr>
          </w:p>
          <w:p w14:paraId="5C563EDA">
            <w:pPr>
              <w:spacing w:before="58" w:line="220" w:lineRule="auto"/>
              <w:contextualSpacing/>
              <w:rPr>
                <w:rFonts w:ascii="宋体" w:hAnsi="宋体" w:eastAsia="宋体" w:cs="宋体"/>
                <w:spacing w:val="-3"/>
                <w:sz w:val="18"/>
                <w:szCs w:val="18"/>
                <w:lang w:eastAsia="zh-CN"/>
              </w:rPr>
            </w:pPr>
          </w:p>
          <w:p w14:paraId="47A49EBA">
            <w:pPr>
              <w:spacing w:before="58" w:line="220" w:lineRule="auto"/>
              <w:contextualSpacing/>
              <w:rPr>
                <w:rFonts w:ascii="宋体" w:hAnsi="宋体" w:eastAsia="宋体" w:cs="宋体"/>
                <w:spacing w:val="-3"/>
                <w:sz w:val="18"/>
                <w:szCs w:val="18"/>
                <w:lang w:eastAsia="zh-CN"/>
              </w:rPr>
            </w:pPr>
          </w:p>
          <w:p w14:paraId="5C45F1A1">
            <w:pPr>
              <w:spacing w:before="58" w:line="220" w:lineRule="auto"/>
              <w:ind w:left="151"/>
              <w:contextualSpacing/>
              <w:rPr>
                <w:rFonts w:ascii="宋体" w:hAnsi="宋体" w:eastAsia="宋体" w:cs="宋体"/>
                <w:spacing w:val="-3"/>
                <w:sz w:val="18"/>
                <w:szCs w:val="18"/>
                <w:lang w:eastAsia="zh-CN"/>
              </w:rPr>
            </w:pPr>
          </w:p>
          <w:p w14:paraId="61769FA3">
            <w:pPr>
              <w:spacing w:before="58" w:line="220" w:lineRule="auto"/>
              <w:ind w:left="151"/>
              <w:contextualSpacing/>
              <w:rPr>
                <w:rFonts w:ascii="宋体" w:hAnsi="宋体" w:eastAsia="宋体" w:cs="宋体"/>
                <w:spacing w:val="-3"/>
                <w:sz w:val="18"/>
                <w:szCs w:val="18"/>
                <w:lang w:eastAsia="zh-CN"/>
              </w:rPr>
            </w:pPr>
          </w:p>
          <w:p w14:paraId="48EEE67B">
            <w:pPr>
              <w:spacing w:before="58" w:line="220" w:lineRule="auto"/>
              <w:ind w:left="151"/>
              <w:contextualSpacing/>
              <w:rPr>
                <w:rFonts w:ascii="宋体" w:hAnsi="宋体" w:eastAsia="宋体" w:cs="宋体"/>
                <w:sz w:val="18"/>
                <w:szCs w:val="18"/>
                <w:lang w:eastAsia="zh-CN"/>
              </w:rPr>
            </w:pPr>
            <w:r>
              <w:rPr>
                <w:rFonts w:ascii="宋体" w:hAnsi="宋体" w:eastAsia="宋体" w:cs="宋体"/>
                <w:spacing w:val="-3"/>
                <w:sz w:val="18"/>
                <w:szCs w:val="18"/>
                <w:lang w:eastAsia="zh-CN"/>
              </w:rPr>
              <w:t>效益指标</w:t>
            </w:r>
          </w:p>
          <w:p w14:paraId="167AA55F">
            <w:pPr>
              <w:pStyle w:val="8"/>
              <w:contextualSpacing/>
            </w:pPr>
          </w:p>
          <w:p w14:paraId="6266F47C">
            <w:pPr>
              <w:pStyle w:val="8"/>
              <w:contextualSpacing/>
            </w:pPr>
          </w:p>
          <w:p w14:paraId="57C64BF3">
            <w:pPr>
              <w:spacing w:before="59" w:line="219" w:lineRule="auto"/>
              <w:ind w:left="61"/>
              <w:contextualSpacing/>
              <w:rPr>
                <w:rFonts w:ascii="宋体" w:hAnsi="宋体" w:eastAsia="宋体" w:cs="宋体"/>
                <w:spacing w:val="-2"/>
                <w:sz w:val="18"/>
                <w:szCs w:val="18"/>
              </w:rPr>
            </w:pPr>
          </w:p>
          <w:p w14:paraId="03FE5632">
            <w:pPr>
              <w:spacing w:before="59" w:line="219" w:lineRule="auto"/>
              <w:ind w:left="61"/>
              <w:contextualSpacing/>
              <w:rPr>
                <w:rFonts w:ascii="宋体" w:hAnsi="宋体" w:eastAsia="宋体" w:cs="宋体"/>
                <w:spacing w:val="-2"/>
                <w:sz w:val="18"/>
                <w:szCs w:val="18"/>
              </w:rPr>
            </w:pPr>
          </w:p>
          <w:p w14:paraId="228B4F78">
            <w:pPr>
              <w:spacing w:before="59" w:line="219" w:lineRule="auto"/>
              <w:ind w:left="61"/>
              <w:contextualSpacing/>
              <w:rPr>
                <w:rFonts w:ascii="宋体" w:hAnsi="宋体" w:eastAsia="宋体" w:cs="宋体"/>
                <w:spacing w:val="-2"/>
                <w:sz w:val="18"/>
                <w:szCs w:val="18"/>
              </w:rPr>
            </w:pPr>
          </w:p>
          <w:p w14:paraId="3744D1AD">
            <w:pPr>
              <w:spacing w:before="59" w:line="219" w:lineRule="auto"/>
              <w:ind w:left="61"/>
              <w:contextualSpacing/>
              <w:rPr>
                <w:rFonts w:ascii="宋体" w:hAnsi="宋体" w:eastAsia="宋体" w:cs="宋体"/>
                <w:sz w:val="18"/>
                <w:szCs w:val="18"/>
              </w:rPr>
            </w:pPr>
            <w:r>
              <w:rPr>
                <w:rFonts w:ascii="宋体" w:hAnsi="宋体" w:eastAsia="宋体" w:cs="宋体"/>
                <w:spacing w:val="-2"/>
                <w:sz w:val="18"/>
                <w:szCs w:val="18"/>
              </w:rPr>
              <w:t>满意度指标</w:t>
            </w:r>
          </w:p>
        </w:tc>
        <w:tc>
          <w:tcPr>
            <w:tcW w:w="1488" w:type="dxa"/>
            <w:tcBorders>
              <w:bottom w:val="nil"/>
            </w:tcBorders>
          </w:tcPr>
          <w:p w14:paraId="6EB65679">
            <w:pPr>
              <w:spacing w:before="193" w:line="219" w:lineRule="auto"/>
              <w:ind w:left="401"/>
              <w:contextualSpacing/>
              <w:rPr>
                <w:rFonts w:ascii="宋体" w:hAnsi="宋体" w:eastAsia="宋体" w:cs="宋体"/>
                <w:sz w:val="18"/>
                <w:szCs w:val="18"/>
              </w:rPr>
            </w:pPr>
            <w:r>
              <w:rPr>
                <w:rFonts w:ascii="宋体" w:hAnsi="宋体" w:eastAsia="宋体" w:cs="宋体"/>
                <w:spacing w:val="-2"/>
                <w:sz w:val="18"/>
                <w:szCs w:val="18"/>
              </w:rPr>
              <w:t>经济成本指标</w:t>
            </w:r>
          </w:p>
        </w:tc>
        <w:tc>
          <w:tcPr>
            <w:tcW w:w="1469" w:type="dxa"/>
            <w:gridSpan w:val="2"/>
          </w:tcPr>
          <w:p w14:paraId="7C512C54">
            <w:pPr>
              <w:spacing w:before="55" w:line="209" w:lineRule="auto"/>
              <w:ind w:left="174"/>
              <w:contextualSpacing/>
              <w:rPr>
                <w:rFonts w:hint="eastAsia" w:ascii="宋体" w:hAnsi="宋体" w:eastAsia="宋体" w:cs="宋体"/>
                <w:sz w:val="18"/>
                <w:szCs w:val="18"/>
                <w:lang w:eastAsia="zh-CN"/>
              </w:rPr>
            </w:pPr>
            <w:r>
              <w:rPr>
                <w:rFonts w:hint="eastAsia" w:ascii="宋体" w:hAnsi="宋体" w:eastAsia="宋体" w:cs="宋体"/>
                <w:spacing w:val="9"/>
                <w:sz w:val="18"/>
                <w:szCs w:val="18"/>
                <w:lang w:eastAsia="zh-CN"/>
              </w:rPr>
              <w:t>解决车辆购置、驾驶员工资和运行成本等</w:t>
            </w:r>
          </w:p>
        </w:tc>
        <w:tc>
          <w:tcPr>
            <w:tcW w:w="841" w:type="dxa"/>
          </w:tcPr>
          <w:p w14:paraId="0FF9AAB3">
            <w:pPr>
              <w:pStyle w:val="8"/>
              <w:contextualSpacing/>
              <w:rPr>
                <w:rFonts w:hint="default" w:eastAsiaTheme="minorEastAsia"/>
                <w:lang w:val="en-US" w:eastAsia="zh-CN"/>
              </w:rPr>
            </w:pPr>
            <w:r>
              <w:rPr>
                <w:rFonts w:hint="eastAsia"/>
                <w:lang w:val="en-US" w:eastAsia="zh-CN"/>
              </w:rPr>
              <w:t>100%</w:t>
            </w:r>
          </w:p>
        </w:tc>
        <w:tc>
          <w:tcPr>
            <w:tcW w:w="1200" w:type="dxa"/>
            <w:gridSpan w:val="2"/>
          </w:tcPr>
          <w:p w14:paraId="74F26AAD">
            <w:pPr>
              <w:pStyle w:val="8"/>
              <w:contextualSpacing/>
              <w:rPr>
                <w:rFonts w:hint="default"/>
                <w:lang w:val="en-US"/>
              </w:rPr>
            </w:pPr>
            <w:r>
              <w:rPr>
                <w:rFonts w:hint="eastAsia"/>
                <w:lang w:val="en-US" w:eastAsia="zh-CN"/>
              </w:rPr>
              <w:t>100%</w:t>
            </w:r>
          </w:p>
        </w:tc>
        <w:tc>
          <w:tcPr>
            <w:tcW w:w="1026" w:type="dxa"/>
          </w:tcPr>
          <w:p w14:paraId="5CF418CC">
            <w:pPr>
              <w:pStyle w:val="8"/>
              <w:contextualSpacing/>
              <w:rPr>
                <w:rFonts w:hint="default" w:eastAsiaTheme="minorEastAsia"/>
                <w:lang w:val="en-US" w:eastAsia="zh-CN"/>
              </w:rPr>
            </w:pPr>
            <w:r>
              <w:rPr>
                <w:rFonts w:hint="eastAsia"/>
                <w:lang w:val="en-US" w:eastAsia="zh-CN"/>
              </w:rPr>
              <w:t>20</w:t>
            </w:r>
          </w:p>
        </w:tc>
        <w:tc>
          <w:tcPr>
            <w:tcW w:w="869" w:type="dxa"/>
          </w:tcPr>
          <w:p w14:paraId="09FE2F5D">
            <w:pPr>
              <w:pStyle w:val="8"/>
              <w:contextualSpacing/>
              <w:rPr>
                <w:rFonts w:hint="default" w:eastAsiaTheme="minorEastAsia"/>
                <w:lang w:val="en-US" w:eastAsia="zh-CN"/>
              </w:rPr>
            </w:pPr>
            <w:r>
              <w:rPr>
                <w:rFonts w:hint="eastAsia"/>
                <w:lang w:val="en-US" w:eastAsia="zh-CN"/>
              </w:rPr>
              <w:t>20</w:t>
            </w:r>
          </w:p>
        </w:tc>
        <w:tc>
          <w:tcPr>
            <w:tcW w:w="1094" w:type="dxa"/>
          </w:tcPr>
          <w:p w14:paraId="43133B63">
            <w:pPr>
              <w:pStyle w:val="8"/>
              <w:contextualSpacing/>
            </w:pPr>
          </w:p>
        </w:tc>
      </w:tr>
      <w:tr w14:paraId="10ECC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textDirection w:val="tbRlV"/>
          </w:tcPr>
          <w:p w14:paraId="58A85406">
            <w:pPr>
              <w:pStyle w:val="8"/>
              <w:contextualSpacing/>
            </w:pPr>
          </w:p>
        </w:tc>
        <w:tc>
          <w:tcPr>
            <w:tcW w:w="1039" w:type="dxa"/>
            <w:gridSpan w:val="3"/>
            <w:vMerge w:val="continue"/>
            <w:tcBorders>
              <w:top w:val="nil"/>
              <w:bottom w:val="nil"/>
            </w:tcBorders>
          </w:tcPr>
          <w:p w14:paraId="70C13223">
            <w:pPr>
              <w:pStyle w:val="8"/>
              <w:contextualSpacing/>
            </w:pPr>
          </w:p>
        </w:tc>
        <w:tc>
          <w:tcPr>
            <w:tcW w:w="1488" w:type="dxa"/>
            <w:tcBorders>
              <w:bottom w:val="nil"/>
            </w:tcBorders>
          </w:tcPr>
          <w:p w14:paraId="6E85DD0E">
            <w:pPr>
              <w:spacing w:before="184" w:line="219" w:lineRule="auto"/>
              <w:ind w:left="401"/>
              <w:contextualSpacing/>
              <w:rPr>
                <w:rFonts w:ascii="宋体" w:hAnsi="宋体" w:eastAsia="宋体" w:cs="宋体"/>
                <w:sz w:val="18"/>
                <w:szCs w:val="18"/>
              </w:rPr>
            </w:pPr>
            <w:r>
              <w:rPr>
                <w:rFonts w:ascii="宋体" w:hAnsi="宋体" w:eastAsia="宋体" w:cs="宋体"/>
                <w:spacing w:val="-2"/>
                <w:sz w:val="18"/>
                <w:szCs w:val="18"/>
              </w:rPr>
              <w:t>社会成本指标</w:t>
            </w:r>
          </w:p>
        </w:tc>
        <w:tc>
          <w:tcPr>
            <w:tcW w:w="1469" w:type="dxa"/>
            <w:gridSpan w:val="2"/>
          </w:tcPr>
          <w:p w14:paraId="58B62D31">
            <w:pPr>
              <w:spacing w:before="56" w:line="209" w:lineRule="auto"/>
              <w:contextualSpacing/>
              <w:rPr>
                <w:rFonts w:ascii="宋体" w:hAnsi="宋体" w:eastAsia="宋体" w:cs="宋体"/>
                <w:sz w:val="18"/>
                <w:szCs w:val="18"/>
              </w:rPr>
            </w:pPr>
          </w:p>
        </w:tc>
        <w:tc>
          <w:tcPr>
            <w:tcW w:w="841" w:type="dxa"/>
          </w:tcPr>
          <w:p w14:paraId="79130025">
            <w:pPr>
              <w:pStyle w:val="8"/>
              <w:contextualSpacing/>
            </w:pPr>
          </w:p>
        </w:tc>
        <w:tc>
          <w:tcPr>
            <w:tcW w:w="1200" w:type="dxa"/>
            <w:gridSpan w:val="2"/>
          </w:tcPr>
          <w:p w14:paraId="41543D98">
            <w:pPr>
              <w:pStyle w:val="8"/>
              <w:contextualSpacing/>
            </w:pPr>
          </w:p>
        </w:tc>
        <w:tc>
          <w:tcPr>
            <w:tcW w:w="1026" w:type="dxa"/>
          </w:tcPr>
          <w:p w14:paraId="31CE87FB">
            <w:pPr>
              <w:pStyle w:val="8"/>
              <w:contextualSpacing/>
            </w:pPr>
          </w:p>
        </w:tc>
        <w:tc>
          <w:tcPr>
            <w:tcW w:w="869" w:type="dxa"/>
          </w:tcPr>
          <w:p w14:paraId="4D6667C3">
            <w:pPr>
              <w:pStyle w:val="8"/>
              <w:contextualSpacing/>
            </w:pPr>
          </w:p>
        </w:tc>
        <w:tc>
          <w:tcPr>
            <w:tcW w:w="1094" w:type="dxa"/>
          </w:tcPr>
          <w:p w14:paraId="26057F33">
            <w:pPr>
              <w:pStyle w:val="8"/>
              <w:contextualSpacing/>
            </w:pPr>
          </w:p>
        </w:tc>
      </w:tr>
      <w:tr w14:paraId="72C84A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textDirection w:val="tbRlV"/>
          </w:tcPr>
          <w:p w14:paraId="299B588A">
            <w:pPr>
              <w:pStyle w:val="8"/>
              <w:contextualSpacing/>
            </w:pPr>
          </w:p>
        </w:tc>
        <w:tc>
          <w:tcPr>
            <w:tcW w:w="1039" w:type="dxa"/>
            <w:gridSpan w:val="3"/>
            <w:vMerge w:val="continue"/>
            <w:tcBorders>
              <w:top w:val="nil"/>
              <w:bottom w:val="nil"/>
            </w:tcBorders>
          </w:tcPr>
          <w:p w14:paraId="7BDFD747">
            <w:pPr>
              <w:pStyle w:val="8"/>
              <w:contextualSpacing/>
            </w:pPr>
          </w:p>
        </w:tc>
        <w:tc>
          <w:tcPr>
            <w:tcW w:w="1488" w:type="dxa"/>
            <w:tcBorders>
              <w:bottom w:val="nil"/>
            </w:tcBorders>
          </w:tcPr>
          <w:p w14:paraId="51A0A303">
            <w:pPr>
              <w:spacing w:before="194" w:line="219" w:lineRule="auto"/>
              <w:contextualSpacing/>
              <w:rPr>
                <w:rFonts w:ascii="宋体" w:hAnsi="宋体" w:eastAsia="宋体" w:cs="宋体"/>
                <w:sz w:val="18"/>
                <w:szCs w:val="18"/>
              </w:rPr>
            </w:pPr>
            <w:r>
              <w:rPr>
                <w:rFonts w:ascii="宋体" w:hAnsi="宋体" w:eastAsia="宋体" w:cs="宋体"/>
                <w:spacing w:val="-1"/>
                <w:sz w:val="18"/>
                <w:szCs w:val="18"/>
              </w:rPr>
              <w:t>生态环境成本指标</w:t>
            </w:r>
          </w:p>
        </w:tc>
        <w:tc>
          <w:tcPr>
            <w:tcW w:w="1469" w:type="dxa"/>
            <w:gridSpan w:val="2"/>
          </w:tcPr>
          <w:p w14:paraId="45088CAE">
            <w:pPr>
              <w:spacing w:before="56" w:line="209" w:lineRule="auto"/>
              <w:contextualSpacing/>
              <w:rPr>
                <w:rFonts w:ascii="宋体" w:hAnsi="宋体" w:eastAsia="宋体" w:cs="宋体"/>
                <w:sz w:val="18"/>
                <w:szCs w:val="18"/>
              </w:rPr>
            </w:pPr>
          </w:p>
        </w:tc>
        <w:tc>
          <w:tcPr>
            <w:tcW w:w="841" w:type="dxa"/>
          </w:tcPr>
          <w:p w14:paraId="09ACA7A8">
            <w:pPr>
              <w:pStyle w:val="8"/>
              <w:contextualSpacing/>
            </w:pPr>
          </w:p>
        </w:tc>
        <w:tc>
          <w:tcPr>
            <w:tcW w:w="1200" w:type="dxa"/>
            <w:gridSpan w:val="2"/>
          </w:tcPr>
          <w:p w14:paraId="5899DFF9">
            <w:pPr>
              <w:pStyle w:val="8"/>
              <w:contextualSpacing/>
            </w:pPr>
          </w:p>
        </w:tc>
        <w:tc>
          <w:tcPr>
            <w:tcW w:w="1026" w:type="dxa"/>
          </w:tcPr>
          <w:p w14:paraId="6405586B">
            <w:pPr>
              <w:pStyle w:val="8"/>
              <w:contextualSpacing/>
            </w:pPr>
          </w:p>
        </w:tc>
        <w:tc>
          <w:tcPr>
            <w:tcW w:w="869" w:type="dxa"/>
          </w:tcPr>
          <w:p w14:paraId="48E5F387">
            <w:pPr>
              <w:pStyle w:val="8"/>
              <w:contextualSpacing/>
            </w:pPr>
          </w:p>
        </w:tc>
        <w:tc>
          <w:tcPr>
            <w:tcW w:w="1094" w:type="dxa"/>
          </w:tcPr>
          <w:p w14:paraId="06C28065">
            <w:pPr>
              <w:pStyle w:val="8"/>
              <w:contextualSpacing/>
            </w:pPr>
          </w:p>
        </w:tc>
      </w:tr>
      <w:tr w14:paraId="2D2A75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textDirection w:val="tbRlV"/>
          </w:tcPr>
          <w:p w14:paraId="13A252E2">
            <w:pPr>
              <w:pStyle w:val="8"/>
              <w:contextualSpacing/>
            </w:pPr>
          </w:p>
        </w:tc>
        <w:tc>
          <w:tcPr>
            <w:tcW w:w="1039" w:type="dxa"/>
            <w:gridSpan w:val="3"/>
            <w:vMerge w:val="continue"/>
            <w:tcBorders>
              <w:top w:val="nil"/>
              <w:bottom w:val="nil"/>
            </w:tcBorders>
          </w:tcPr>
          <w:p w14:paraId="49463900">
            <w:pPr>
              <w:pStyle w:val="8"/>
              <w:contextualSpacing/>
            </w:pPr>
          </w:p>
        </w:tc>
        <w:tc>
          <w:tcPr>
            <w:tcW w:w="1488" w:type="dxa"/>
            <w:vMerge w:val="restart"/>
            <w:tcBorders>
              <w:bottom w:val="nil"/>
            </w:tcBorders>
          </w:tcPr>
          <w:p w14:paraId="5F1D1916">
            <w:pPr>
              <w:spacing w:before="186" w:line="219" w:lineRule="auto"/>
              <w:ind w:left="582"/>
              <w:contextualSpacing/>
              <w:rPr>
                <w:rFonts w:ascii="宋体" w:hAnsi="宋体" w:eastAsia="宋体" w:cs="宋体"/>
                <w:sz w:val="18"/>
                <w:szCs w:val="18"/>
              </w:rPr>
            </w:pPr>
            <w:r>
              <w:rPr>
                <w:rFonts w:ascii="宋体" w:hAnsi="宋体" w:eastAsia="宋体" w:cs="宋体"/>
                <w:spacing w:val="-2"/>
                <w:sz w:val="18"/>
                <w:szCs w:val="18"/>
              </w:rPr>
              <w:t>数量指标</w:t>
            </w:r>
          </w:p>
        </w:tc>
        <w:tc>
          <w:tcPr>
            <w:tcW w:w="1469" w:type="dxa"/>
            <w:gridSpan w:val="2"/>
          </w:tcPr>
          <w:p w14:paraId="3BE4E9CD">
            <w:pPr>
              <w:spacing w:before="57" w:line="208" w:lineRule="auto"/>
              <w:ind w:left="174"/>
              <w:contextualSpacing/>
              <w:rPr>
                <w:rFonts w:hint="eastAsia" w:ascii="宋体" w:hAnsi="宋体" w:eastAsia="宋体" w:cs="宋体"/>
                <w:sz w:val="18"/>
                <w:szCs w:val="18"/>
                <w:lang w:eastAsia="zh-CN"/>
              </w:rPr>
            </w:pPr>
            <w:r>
              <w:rPr>
                <w:rFonts w:hint="eastAsia" w:ascii="宋体" w:hAnsi="宋体" w:eastAsia="宋体" w:cs="宋体"/>
                <w:spacing w:val="9"/>
                <w:sz w:val="18"/>
                <w:szCs w:val="18"/>
                <w:lang w:eastAsia="zh-CN"/>
              </w:rPr>
              <w:t>受益学校数</w:t>
            </w:r>
          </w:p>
        </w:tc>
        <w:tc>
          <w:tcPr>
            <w:tcW w:w="841" w:type="dxa"/>
          </w:tcPr>
          <w:p w14:paraId="46734DBD">
            <w:pPr>
              <w:pStyle w:val="8"/>
              <w:contextualSpacing/>
              <w:rPr>
                <w:rFonts w:hint="default" w:eastAsiaTheme="minorEastAsia"/>
                <w:lang w:val="en-US" w:eastAsia="zh-CN"/>
              </w:rPr>
            </w:pPr>
            <w:r>
              <w:rPr>
                <w:rFonts w:hint="eastAsia"/>
                <w:lang w:val="en-US" w:eastAsia="zh-CN"/>
              </w:rPr>
              <w:t>31所</w:t>
            </w:r>
          </w:p>
        </w:tc>
        <w:tc>
          <w:tcPr>
            <w:tcW w:w="1200" w:type="dxa"/>
            <w:gridSpan w:val="2"/>
            <w:vAlign w:val="top"/>
          </w:tcPr>
          <w:p w14:paraId="2F87A246">
            <w:pPr>
              <w:pStyle w:val="8"/>
              <w:contextualSpacing/>
              <w:rPr>
                <w:rFonts w:hint="default" w:eastAsiaTheme="minorEastAsia"/>
                <w:lang w:val="en-US" w:eastAsia="zh-CN"/>
              </w:rPr>
            </w:pPr>
            <w:r>
              <w:rPr>
                <w:rFonts w:hint="eastAsia"/>
                <w:lang w:val="en-US" w:eastAsia="zh-CN"/>
              </w:rPr>
              <w:t>31所</w:t>
            </w:r>
          </w:p>
        </w:tc>
        <w:tc>
          <w:tcPr>
            <w:tcW w:w="1026" w:type="dxa"/>
          </w:tcPr>
          <w:p w14:paraId="465C8361">
            <w:pPr>
              <w:pStyle w:val="8"/>
              <w:contextualSpacing/>
              <w:rPr>
                <w:rFonts w:hint="default" w:eastAsiaTheme="minorEastAsia"/>
                <w:lang w:val="en-US" w:eastAsia="zh-CN"/>
              </w:rPr>
            </w:pPr>
            <w:r>
              <w:rPr>
                <w:rFonts w:hint="eastAsia"/>
                <w:lang w:val="en-US" w:eastAsia="zh-CN"/>
              </w:rPr>
              <w:t>10</w:t>
            </w:r>
          </w:p>
        </w:tc>
        <w:tc>
          <w:tcPr>
            <w:tcW w:w="869" w:type="dxa"/>
          </w:tcPr>
          <w:p w14:paraId="73BFF67A">
            <w:pPr>
              <w:pStyle w:val="8"/>
              <w:contextualSpacing/>
            </w:pPr>
            <w:r>
              <w:rPr>
                <w:rFonts w:hint="eastAsia"/>
              </w:rPr>
              <w:t>20</w:t>
            </w:r>
          </w:p>
        </w:tc>
        <w:tc>
          <w:tcPr>
            <w:tcW w:w="1094" w:type="dxa"/>
          </w:tcPr>
          <w:p w14:paraId="5C166680">
            <w:pPr>
              <w:pStyle w:val="8"/>
              <w:contextualSpacing/>
            </w:pPr>
          </w:p>
        </w:tc>
      </w:tr>
      <w:tr w14:paraId="230AE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694" w:type="dxa"/>
            <w:vMerge w:val="continue"/>
            <w:tcBorders>
              <w:top w:val="nil"/>
              <w:bottom w:val="nil"/>
            </w:tcBorders>
            <w:textDirection w:val="tbRlV"/>
          </w:tcPr>
          <w:p w14:paraId="15D09E8B">
            <w:pPr>
              <w:pStyle w:val="8"/>
              <w:contextualSpacing/>
            </w:pPr>
          </w:p>
        </w:tc>
        <w:tc>
          <w:tcPr>
            <w:tcW w:w="1039" w:type="dxa"/>
            <w:gridSpan w:val="3"/>
            <w:vMerge w:val="continue"/>
            <w:tcBorders>
              <w:top w:val="nil"/>
              <w:bottom w:val="nil"/>
            </w:tcBorders>
          </w:tcPr>
          <w:p w14:paraId="774D37C2">
            <w:pPr>
              <w:pStyle w:val="8"/>
              <w:contextualSpacing/>
            </w:pPr>
          </w:p>
        </w:tc>
        <w:tc>
          <w:tcPr>
            <w:tcW w:w="1488" w:type="dxa"/>
            <w:vMerge w:val="continue"/>
            <w:tcBorders>
              <w:top w:val="nil"/>
            </w:tcBorders>
          </w:tcPr>
          <w:p w14:paraId="4ECE3768">
            <w:pPr>
              <w:pStyle w:val="8"/>
              <w:contextualSpacing/>
            </w:pPr>
          </w:p>
        </w:tc>
        <w:tc>
          <w:tcPr>
            <w:tcW w:w="1469" w:type="dxa"/>
            <w:gridSpan w:val="2"/>
          </w:tcPr>
          <w:p w14:paraId="06563132">
            <w:pPr>
              <w:pStyle w:val="8"/>
              <w:contextualSpacing/>
              <w:rPr>
                <w:rFonts w:hint="default" w:eastAsiaTheme="minorEastAsia"/>
                <w:lang w:val="en-US" w:eastAsia="zh-CN"/>
              </w:rPr>
            </w:pPr>
            <w:r>
              <w:rPr>
                <w:rFonts w:hint="eastAsia"/>
                <w:lang w:eastAsia="zh-CN"/>
              </w:rPr>
              <w:t>开通公交接送学生线路</w:t>
            </w:r>
          </w:p>
        </w:tc>
        <w:tc>
          <w:tcPr>
            <w:tcW w:w="841" w:type="dxa"/>
          </w:tcPr>
          <w:p w14:paraId="6B3D3A8C">
            <w:pPr>
              <w:pStyle w:val="8"/>
              <w:contextualSpacing/>
              <w:rPr>
                <w:rFonts w:hint="default" w:eastAsiaTheme="minorEastAsia"/>
                <w:lang w:val="en-US" w:eastAsia="zh-CN"/>
              </w:rPr>
            </w:pPr>
            <w:r>
              <w:rPr>
                <w:rFonts w:hint="eastAsia"/>
                <w:lang w:val="en-US" w:eastAsia="zh-CN"/>
              </w:rPr>
              <w:t>27条</w:t>
            </w:r>
          </w:p>
        </w:tc>
        <w:tc>
          <w:tcPr>
            <w:tcW w:w="1200" w:type="dxa"/>
            <w:gridSpan w:val="2"/>
            <w:vAlign w:val="top"/>
          </w:tcPr>
          <w:p w14:paraId="0F3AE695">
            <w:pPr>
              <w:pStyle w:val="8"/>
              <w:contextualSpacing/>
              <w:rPr>
                <w:rFonts w:hint="default" w:eastAsiaTheme="minorEastAsia"/>
                <w:lang w:val="en-US" w:eastAsia="zh-CN"/>
              </w:rPr>
            </w:pPr>
            <w:r>
              <w:rPr>
                <w:rFonts w:hint="eastAsia"/>
                <w:lang w:val="en-US" w:eastAsia="zh-CN"/>
              </w:rPr>
              <w:t>27条</w:t>
            </w:r>
            <w:bookmarkStart w:id="0" w:name="_GoBack"/>
            <w:bookmarkEnd w:id="0"/>
          </w:p>
        </w:tc>
        <w:tc>
          <w:tcPr>
            <w:tcW w:w="1026" w:type="dxa"/>
          </w:tcPr>
          <w:p w14:paraId="430BF783">
            <w:pPr>
              <w:pStyle w:val="8"/>
              <w:contextualSpacing/>
              <w:rPr>
                <w:rFonts w:hint="default" w:eastAsiaTheme="minorEastAsia"/>
                <w:lang w:val="en-US" w:eastAsia="zh-CN"/>
              </w:rPr>
            </w:pPr>
            <w:r>
              <w:rPr>
                <w:rFonts w:hint="eastAsia"/>
                <w:lang w:val="en-US" w:eastAsia="zh-CN"/>
              </w:rPr>
              <w:t>10</w:t>
            </w:r>
          </w:p>
        </w:tc>
        <w:tc>
          <w:tcPr>
            <w:tcW w:w="869" w:type="dxa"/>
          </w:tcPr>
          <w:p w14:paraId="69B0F23F">
            <w:pPr>
              <w:pStyle w:val="8"/>
              <w:contextualSpacing/>
              <w:rPr>
                <w:rFonts w:hint="default" w:eastAsiaTheme="minorEastAsia"/>
                <w:lang w:val="en-US" w:eastAsia="zh-CN"/>
              </w:rPr>
            </w:pPr>
            <w:r>
              <w:rPr>
                <w:rFonts w:hint="eastAsia"/>
                <w:lang w:val="en-US" w:eastAsia="zh-CN"/>
              </w:rPr>
              <w:t>10</w:t>
            </w:r>
          </w:p>
        </w:tc>
        <w:tc>
          <w:tcPr>
            <w:tcW w:w="1094" w:type="dxa"/>
          </w:tcPr>
          <w:p w14:paraId="412200CD">
            <w:pPr>
              <w:pStyle w:val="8"/>
              <w:contextualSpacing/>
            </w:pPr>
          </w:p>
        </w:tc>
      </w:tr>
      <w:tr w14:paraId="7D4FD5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694" w:type="dxa"/>
            <w:vMerge w:val="continue"/>
            <w:tcBorders>
              <w:top w:val="nil"/>
              <w:bottom w:val="nil"/>
            </w:tcBorders>
            <w:textDirection w:val="tbRlV"/>
          </w:tcPr>
          <w:p w14:paraId="258D6177">
            <w:pPr>
              <w:pStyle w:val="8"/>
              <w:contextualSpacing/>
            </w:pPr>
          </w:p>
        </w:tc>
        <w:tc>
          <w:tcPr>
            <w:tcW w:w="1039" w:type="dxa"/>
            <w:gridSpan w:val="3"/>
            <w:vMerge w:val="continue"/>
            <w:tcBorders>
              <w:top w:val="nil"/>
              <w:bottom w:val="nil"/>
            </w:tcBorders>
          </w:tcPr>
          <w:p w14:paraId="2EDFB2A3">
            <w:pPr>
              <w:pStyle w:val="8"/>
              <w:contextualSpacing/>
            </w:pPr>
          </w:p>
        </w:tc>
        <w:tc>
          <w:tcPr>
            <w:tcW w:w="1488" w:type="dxa"/>
            <w:tcBorders>
              <w:bottom w:val="nil"/>
            </w:tcBorders>
          </w:tcPr>
          <w:p w14:paraId="20B38178">
            <w:pPr>
              <w:spacing w:before="176" w:line="220" w:lineRule="auto"/>
              <w:ind w:left="582"/>
              <w:contextualSpacing/>
              <w:rPr>
                <w:rFonts w:ascii="宋体" w:hAnsi="宋体" w:eastAsia="宋体" w:cs="宋体"/>
                <w:sz w:val="18"/>
                <w:szCs w:val="18"/>
              </w:rPr>
            </w:pPr>
            <w:r>
              <w:rPr>
                <w:rFonts w:ascii="宋体" w:hAnsi="宋体" w:eastAsia="宋体" w:cs="宋体"/>
                <w:spacing w:val="-2"/>
                <w:sz w:val="18"/>
                <w:szCs w:val="18"/>
              </w:rPr>
              <w:t>质量指标</w:t>
            </w:r>
          </w:p>
        </w:tc>
        <w:tc>
          <w:tcPr>
            <w:tcW w:w="1469" w:type="dxa"/>
            <w:gridSpan w:val="2"/>
          </w:tcPr>
          <w:p w14:paraId="0CF5D1A3">
            <w:pPr>
              <w:spacing w:before="57" w:line="208" w:lineRule="auto"/>
              <w:ind w:left="174"/>
              <w:contextualSpacing/>
              <w:rPr>
                <w:rFonts w:hint="eastAsia" w:ascii="宋体" w:hAnsi="宋体" w:eastAsia="宋体" w:cs="宋体"/>
                <w:sz w:val="18"/>
                <w:szCs w:val="18"/>
                <w:lang w:eastAsia="zh-CN"/>
              </w:rPr>
            </w:pPr>
            <w:r>
              <w:rPr>
                <w:rFonts w:hint="eastAsia" w:ascii="宋体" w:hAnsi="宋体" w:eastAsia="宋体" w:cs="宋体"/>
                <w:spacing w:val="9"/>
                <w:sz w:val="18"/>
                <w:szCs w:val="18"/>
                <w:lang w:eastAsia="zh-CN"/>
              </w:rPr>
              <w:t>保障公交接送正常运转</w:t>
            </w:r>
          </w:p>
        </w:tc>
        <w:tc>
          <w:tcPr>
            <w:tcW w:w="841" w:type="dxa"/>
          </w:tcPr>
          <w:p w14:paraId="675BC2C6">
            <w:pPr>
              <w:pStyle w:val="8"/>
              <w:contextualSpacing/>
              <w:rPr>
                <w:rFonts w:hint="default" w:eastAsiaTheme="minorEastAsia"/>
                <w:lang w:val="en-US" w:eastAsia="zh-CN"/>
              </w:rPr>
            </w:pPr>
            <w:r>
              <w:rPr>
                <w:rFonts w:hint="eastAsia"/>
                <w:lang w:val="en-US" w:eastAsia="zh-CN"/>
              </w:rPr>
              <w:t>100%</w:t>
            </w:r>
          </w:p>
        </w:tc>
        <w:tc>
          <w:tcPr>
            <w:tcW w:w="1200" w:type="dxa"/>
            <w:gridSpan w:val="2"/>
          </w:tcPr>
          <w:p w14:paraId="42CD429A">
            <w:pPr>
              <w:pStyle w:val="8"/>
              <w:contextualSpacing/>
              <w:rPr>
                <w:rFonts w:hint="default" w:eastAsiaTheme="minorEastAsia"/>
                <w:lang w:val="en-US" w:eastAsia="zh-CN"/>
              </w:rPr>
            </w:pPr>
            <w:r>
              <w:rPr>
                <w:rFonts w:hint="eastAsia"/>
              </w:rPr>
              <w:t>10</w:t>
            </w:r>
            <w:r>
              <w:rPr>
                <w:rFonts w:hint="eastAsia"/>
                <w:lang w:val="en-US" w:eastAsia="zh-CN"/>
              </w:rPr>
              <w:t>0%</w:t>
            </w:r>
          </w:p>
        </w:tc>
        <w:tc>
          <w:tcPr>
            <w:tcW w:w="1026" w:type="dxa"/>
          </w:tcPr>
          <w:p w14:paraId="4FA6F502">
            <w:pPr>
              <w:pStyle w:val="8"/>
              <w:contextualSpacing/>
            </w:pPr>
            <w:r>
              <w:rPr>
                <w:rFonts w:hint="eastAsia"/>
              </w:rPr>
              <w:t>10</w:t>
            </w:r>
          </w:p>
        </w:tc>
        <w:tc>
          <w:tcPr>
            <w:tcW w:w="869" w:type="dxa"/>
          </w:tcPr>
          <w:p w14:paraId="10C8544E">
            <w:pPr>
              <w:pStyle w:val="8"/>
              <w:contextualSpacing/>
            </w:pPr>
            <w:r>
              <w:rPr>
                <w:rFonts w:hint="eastAsia"/>
              </w:rPr>
              <w:t>10</w:t>
            </w:r>
          </w:p>
        </w:tc>
        <w:tc>
          <w:tcPr>
            <w:tcW w:w="1094" w:type="dxa"/>
          </w:tcPr>
          <w:p w14:paraId="0EB31407">
            <w:pPr>
              <w:pStyle w:val="8"/>
              <w:contextualSpacing/>
            </w:pPr>
          </w:p>
        </w:tc>
      </w:tr>
      <w:tr w14:paraId="227ED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694" w:type="dxa"/>
            <w:vMerge w:val="continue"/>
            <w:tcBorders>
              <w:top w:val="nil"/>
              <w:bottom w:val="nil"/>
            </w:tcBorders>
            <w:textDirection w:val="tbRlV"/>
          </w:tcPr>
          <w:p w14:paraId="4B45E27E">
            <w:pPr>
              <w:pStyle w:val="8"/>
              <w:contextualSpacing/>
            </w:pPr>
          </w:p>
        </w:tc>
        <w:tc>
          <w:tcPr>
            <w:tcW w:w="1039" w:type="dxa"/>
            <w:gridSpan w:val="3"/>
            <w:vMerge w:val="continue"/>
            <w:tcBorders>
              <w:top w:val="nil"/>
              <w:bottom w:val="nil"/>
            </w:tcBorders>
          </w:tcPr>
          <w:p w14:paraId="4A286D81">
            <w:pPr>
              <w:pStyle w:val="8"/>
              <w:contextualSpacing/>
            </w:pPr>
          </w:p>
        </w:tc>
        <w:tc>
          <w:tcPr>
            <w:tcW w:w="1488" w:type="dxa"/>
            <w:tcBorders>
              <w:bottom w:val="nil"/>
            </w:tcBorders>
          </w:tcPr>
          <w:p w14:paraId="7294CDCD">
            <w:pPr>
              <w:spacing w:before="146" w:line="220" w:lineRule="auto"/>
              <w:ind w:left="582"/>
              <w:contextualSpacing/>
              <w:rPr>
                <w:rFonts w:ascii="宋体" w:hAnsi="宋体" w:eastAsia="宋体" w:cs="宋体"/>
                <w:sz w:val="18"/>
                <w:szCs w:val="18"/>
              </w:rPr>
            </w:pPr>
            <w:r>
              <w:rPr>
                <w:rFonts w:ascii="宋体" w:hAnsi="宋体" w:eastAsia="宋体" w:cs="宋体"/>
                <w:spacing w:val="1"/>
                <w:sz w:val="18"/>
                <w:szCs w:val="18"/>
              </w:rPr>
              <w:t>时效指标</w:t>
            </w:r>
          </w:p>
        </w:tc>
        <w:tc>
          <w:tcPr>
            <w:tcW w:w="1469" w:type="dxa"/>
            <w:gridSpan w:val="2"/>
          </w:tcPr>
          <w:p w14:paraId="11E53B66">
            <w:pPr>
              <w:spacing w:before="36" w:line="188" w:lineRule="auto"/>
              <w:ind w:left="174"/>
              <w:contextualSpacing/>
              <w:rPr>
                <w:rFonts w:hint="eastAsia" w:ascii="宋体" w:hAnsi="宋体" w:eastAsia="宋体" w:cs="宋体"/>
                <w:sz w:val="18"/>
                <w:szCs w:val="18"/>
                <w:lang w:eastAsia="zh-CN"/>
              </w:rPr>
            </w:pPr>
            <w:r>
              <w:rPr>
                <w:rFonts w:hint="eastAsia" w:ascii="宋体" w:hAnsi="宋体" w:eastAsia="宋体" w:cs="宋体"/>
                <w:spacing w:val="9"/>
                <w:sz w:val="18"/>
                <w:szCs w:val="18"/>
                <w:lang w:eastAsia="zh-CN"/>
              </w:rPr>
              <w:t>资金使用及时性</w:t>
            </w:r>
          </w:p>
        </w:tc>
        <w:tc>
          <w:tcPr>
            <w:tcW w:w="841" w:type="dxa"/>
          </w:tcPr>
          <w:p w14:paraId="5FE82905">
            <w:pPr>
              <w:pStyle w:val="8"/>
              <w:contextualSpacing/>
              <w:rPr>
                <w:rFonts w:hint="default" w:eastAsiaTheme="minorEastAsia"/>
                <w:lang w:val="en-US" w:eastAsia="zh-CN"/>
              </w:rPr>
            </w:pPr>
            <w:r>
              <w:rPr>
                <w:rFonts w:hint="eastAsia"/>
                <w:lang w:val="en-US" w:eastAsia="zh-CN"/>
              </w:rPr>
              <w:t>100%</w:t>
            </w:r>
          </w:p>
        </w:tc>
        <w:tc>
          <w:tcPr>
            <w:tcW w:w="1200" w:type="dxa"/>
            <w:gridSpan w:val="2"/>
          </w:tcPr>
          <w:p w14:paraId="6FA10171">
            <w:pPr>
              <w:pStyle w:val="8"/>
              <w:contextualSpacing/>
            </w:pPr>
            <w:r>
              <w:rPr>
                <w:rFonts w:hint="eastAsia"/>
                <w:lang w:val="en-US" w:eastAsia="zh-CN"/>
              </w:rPr>
              <w:t>100%</w:t>
            </w:r>
          </w:p>
        </w:tc>
        <w:tc>
          <w:tcPr>
            <w:tcW w:w="1026" w:type="dxa"/>
          </w:tcPr>
          <w:p w14:paraId="591B45FA">
            <w:pPr>
              <w:pStyle w:val="8"/>
              <w:contextualSpacing/>
              <w:rPr>
                <w:rFonts w:hint="default" w:eastAsiaTheme="minorEastAsia"/>
                <w:lang w:val="en-US" w:eastAsia="zh-CN"/>
              </w:rPr>
            </w:pPr>
            <w:r>
              <w:rPr>
                <w:rFonts w:hint="eastAsia"/>
                <w:lang w:val="en-US" w:eastAsia="zh-CN"/>
              </w:rPr>
              <w:t>10</w:t>
            </w:r>
          </w:p>
        </w:tc>
        <w:tc>
          <w:tcPr>
            <w:tcW w:w="869" w:type="dxa"/>
          </w:tcPr>
          <w:p w14:paraId="58CC0255">
            <w:pPr>
              <w:pStyle w:val="8"/>
              <w:contextualSpacing/>
            </w:pPr>
            <w:r>
              <w:rPr>
                <w:rFonts w:hint="eastAsia"/>
              </w:rPr>
              <w:t>10</w:t>
            </w:r>
          </w:p>
        </w:tc>
        <w:tc>
          <w:tcPr>
            <w:tcW w:w="1094" w:type="dxa"/>
          </w:tcPr>
          <w:p w14:paraId="03742887">
            <w:pPr>
              <w:pStyle w:val="8"/>
              <w:contextualSpacing/>
            </w:pPr>
          </w:p>
        </w:tc>
      </w:tr>
      <w:tr w14:paraId="02C60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9" w:hRule="atLeast"/>
        </w:trPr>
        <w:tc>
          <w:tcPr>
            <w:tcW w:w="694" w:type="dxa"/>
            <w:vMerge w:val="continue"/>
            <w:tcBorders>
              <w:top w:val="nil"/>
              <w:bottom w:val="nil"/>
            </w:tcBorders>
            <w:textDirection w:val="tbRlV"/>
          </w:tcPr>
          <w:p w14:paraId="0AEFF493">
            <w:pPr>
              <w:pStyle w:val="8"/>
              <w:contextualSpacing/>
            </w:pPr>
          </w:p>
        </w:tc>
        <w:tc>
          <w:tcPr>
            <w:tcW w:w="1039" w:type="dxa"/>
            <w:gridSpan w:val="3"/>
            <w:vMerge w:val="continue"/>
            <w:tcBorders>
              <w:top w:val="nil"/>
              <w:bottom w:val="nil"/>
            </w:tcBorders>
          </w:tcPr>
          <w:p w14:paraId="349F194D">
            <w:pPr>
              <w:pStyle w:val="8"/>
              <w:contextualSpacing/>
            </w:pPr>
          </w:p>
        </w:tc>
        <w:tc>
          <w:tcPr>
            <w:tcW w:w="1488" w:type="dxa"/>
            <w:tcBorders>
              <w:bottom w:val="nil"/>
            </w:tcBorders>
          </w:tcPr>
          <w:p w14:paraId="7084A7AA">
            <w:pPr>
              <w:spacing w:before="146" w:line="220" w:lineRule="auto"/>
              <w:ind w:left="401"/>
              <w:contextualSpacing/>
              <w:rPr>
                <w:rFonts w:ascii="宋体" w:hAnsi="宋体" w:eastAsia="宋体" w:cs="宋体"/>
                <w:sz w:val="18"/>
                <w:szCs w:val="18"/>
              </w:rPr>
            </w:pPr>
            <w:r>
              <w:rPr>
                <w:rFonts w:ascii="宋体" w:hAnsi="宋体" w:eastAsia="宋体" w:cs="宋体"/>
                <w:spacing w:val="-2"/>
                <w:sz w:val="18"/>
                <w:szCs w:val="18"/>
              </w:rPr>
              <w:t>经济效益指标</w:t>
            </w:r>
          </w:p>
        </w:tc>
        <w:tc>
          <w:tcPr>
            <w:tcW w:w="1469" w:type="dxa"/>
            <w:gridSpan w:val="2"/>
          </w:tcPr>
          <w:p w14:paraId="5DE42879">
            <w:pPr>
              <w:spacing w:before="26" w:line="187" w:lineRule="auto"/>
              <w:contextualSpacing/>
              <w:rPr>
                <w:rFonts w:ascii="宋体" w:hAnsi="宋体" w:eastAsia="宋体" w:cs="宋体"/>
                <w:sz w:val="18"/>
                <w:szCs w:val="18"/>
              </w:rPr>
            </w:pPr>
          </w:p>
        </w:tc>
        <w:tc>
          <w:tcPr>
            <w:tcW w:w="841" w:type="dxa"/>
          </w:tcPr>
          <w:p w14:paraId="37533D15">
            <w:pPr>
              <w:pStyle w:val="8"/>
              <w:contextualSpacing/>
            </w:pPr>
          </w:p>
        </w:tc>
        <w:tc>
          <w:tcPr>
            <w:tcW w:w="1200" w:type="dxa"/>
            <w:gridSpan w:val="2"/>
          </w:tcPr>
          <w:p w14:paraId="603F8AC0">
            <w:pPr>
              <w:pStyle w:val="8"/>
              <w:contextualSpacing/>
            </w:pPr>
          </w:p>
        </w:tc>
        <w:tc>
          <w:tcPr>
            <w:tcW w:w="1026" w:type="dxa"/>
          </w:tcPr>
          <w:p w14:paraId="7960F509">
            <w:pPr>
              <w:pStyle w:val="8"/>
              <w:contextualSpacing/>
            </w:pPr>
          </w:p>
        </w:tc>
        <w:tc>
          <w:tcPr>
            <w:tcW w:w="869" w:type="dxa"/>
          </w:tcPr>
          <w:p w14:paraId="3891CCBB">
            <w:pPr>
              <w:pStyle w:val="8"/>
              <w:contextualSpacing/>
            </w:pPr>
          </w:p>
        </w:tc>
        <w:tc>
          <w:tcPr>
            <w:tcW w:w="1094" w:type="dxa"/>
          </w:tcPr>
          <w:p w14:paraId="41E00530">
            <w:pPr>
              <w:pStyle w:val="8"/>
              <w:contextualSpacing/>
            </w:pPr>
          </w:p>
        </w:tc>
      </w:tr>
      <w:tr w14:paraId="57FD8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0" w:hRule="atLeast"/>
        </w:trPr>
        <w:tc>
          <w:tcPr>
            <w:tcW w:w="694" w:type="dxa"/>
            <w:vMerge w:val="continue"/>
            <w:tcBorders>
              <w:top w:val="nil"/>
              <w:bottom w:val="nil"/>
            </w:tcBorders>
            <w:textDirection w:val="tbRlV"/>
          </w:tcPr>
          <w:p w14:paraId="1C353C97">
            <w:pPr>
              <w:pStyle w:val="8"/>
              <w:contextualSpacing/>
            </w:pPr>
          </w:p>
        </w:tc>
        <w:tc>
          <w:tcPr>
            <w:tcW w:w="1039" w:type="dxa"/>
            <w:gridSpan w:val="3"/>
            <w:vMerge w:val="continue"/>
            <w:tcBorders>
              <w:top w:val="nil"/>
              <w:bottom w:val="nil"/>
            </w:tcBorders>
          </w:tcPr>
          <w:p w14:paraId="207FEA9C">
            <w:pPr>
              <w:pStyle w:val="8"/>
              <w:contextualSpacing/>
            </w:pPr>
          </w:p>
        </w:tc>
        <w:tc>
          <w:tcPr>
            <w:tcW w:w="1488" w:type="dxa"/>
            <w:vMerge w:val="restart"/>
            <w:tcBorders>
              <w:bottom w:val="nil"/>
            </w:tcBorders>
          </w:tcPr>
          <w:p w14:paraId="2353D06C">
            <w:pPr>
              <w:spacing w:before="146" w:line="219" w:lineRule="auto"/>
              <w:ind w:left="401"/>
              <w:contextualSpacing/>
              <w:rPr>
                <w:rFonts w:ascii="宋体" w:hAnsi="宋体" w:eastAsia="宋体" w:cs="宋体"/>
                <w:sz w:val="18"/>
                <w:szCs w:val="18"/>
              </w:rPr>
            </w:pPr>
            <w:r>
              <w:rPr>
                <w:rFonts w:ascii="宋体" w:hAnsi="宋体" w:eastAsia="宋体" w:cs="宋体"/>
                <w:spacing w:val="-2"/>
                <w:sz w:val="18"/>
                <w:szCs w:val="18"/>
              </w:rPr>
              <w:t>社会效益指标</w:t>
            </w:r>
          </w:p>
        </w:tc>
        <w:tc>
          <w:tcPr>
            <w:tcW w:w="1469" w:type="dxa"/>
            <w:gridSpan w:val="2"/>
          </w:tcPr>
          <w:p w14:paraId="37A18818">
            <w:pPr>
              <w:spacing w:before="28" w:line="176" w:lineRule="auto"/>
              <w:ind w:left="174"/>
              <w:contextualSpacing/>
              <w:rPr>
                <w:rFonts w:ascii="宋体" w:hAnsi="宋体" w:eastAsia="宋体" w:cs="宋体"/>
                <w:sz w:val="18"/>
                <w:szCs w:val="18"/>
              </w:rPr>
            </w:pPr>
            <w:r>
              <w:rPr>
                <w:rFonts w:hint="eastAsia" w:ascii="宋体" w:hAnsi="宋体" w:eastAsia="宋体" w:cs="宋体"/>
                <w:spacing w:val="9"/>
                <w:sz w:val="18"/>
                <w:szCs w:val="18"/>
                <w:lang w:eastAsia="zh-CN"/>
              </w:rPr>
              <w:t>解决了学生上下学交通问题，为推进优化义务教育资源配置工作奠定坚实基础</w:t>
            </w:r>
          </w:p>
        </w:tc>
        <w:tc>
          <w:tcPr>
            <w:tcW w:w="841" w:type="dxa"/>
          </w:tcPr>
          <w:p w14:paraId="51938AFB">
            <w:pPr>
              <w:pStyle w:val="8"/>
              <w:contextualSpacing/>
            </w:pPr>
            <w:r>
              <w:rPr>
                <w:rFonts w:hint="eastAsia"/>
              </w:rPr>
              <w:t>逐步改善</w:t>
            </w:r>
          </w:p>
        </w:tc>
        <w:tc>
          <w:tcPr>
            <w:tcW w:w="1200" w:type="dxa"/>
            <w:gridSpan w:val="2"/>
          </w:tcPr>
          <w:p w14:paraId="50247F4F">
            <w:pPr>
              <w:pStyle w:val="8"/>
              <w:contextualSpacing/>
              <w:rPr>
                <w:rFonts w:hint="eastAsia" w:eastAsiaTheme="minorEastAsia"/>
                <w:lang w:eastAsia="zh-CN"/>
              </w:rPr>
            </w:pPr>
            <w:r>
              <w:rPr>
                <w:rFonts w:hint="eastAsia"/>
                <w:lang w:eastAsia="zh-CN"/>
              </w:rPr>
              <w:t>基本达成目标</w:t>
            </w:r>
          </w:p>
        </w:tc>
        <w:tc>
          <w:tcPr>
            <w:tcW w:w="1026" w:type="dxa"/>
          </w:tcPr>
          <w:p w14:paraId="7A5F88CD">
            <w:pPr>
              <w:pStyle w:val="8"/>
              <w:contextualSpacing/>
              <w:rPr>
                <w:rFonts w:hint="default" w:eastAsiaTheme="minorEastAsia"/>
                <w:lang w:val="en-US" w:eastAsia="zh-CN"/>
              </w:rPr>
            </w:pPr>
            <w:r>
              <w:rPr>
                <w:rFonts w:hint="eastAsia"/>
                <w:lang w:val="en-US" w:eastAsia="zh-CN"/>
              </w:rPr>
              <w:t>10</w:t>
            </w:r>
          </w:p>
        </w:tc>
        <w:tc>
          <w:tcPr>
            <w:tcW w:w="869" w:type="dxa"/>
          </w:tcPr>
          <w:p w14:paraId="1810C9F4">
            <w:pPr>
              <w:pStyle w:val="8"/>
              <w:contextualSpacing/>
              <w:rPr>
                <w:rFonts w:hint="default" w:eastAsiaTheme="minorEastAsia"/>
                <w:lang w:val="en-US" w:eastAsia="zh-CN"/>
              </w:rPr>
            </w:pPr>
            <w:r>
              <w:rPr>
                <w:rFonts w:hint="eastAsia"/>
                <w:lang w:val="en-US" w:eastAsia="zh-CN"/>
              </w:rPr>
              <w:t>10</w:t>
            </w:r>
          </w:p>
        </w:tc>
        <w:tc>
          <w:tcPr>
            <w:tcW w:w="1094" w:type="dxa"/>
          </w:tcPr>
          <w:p w14:paraId="678D1C2A">
            <w:pPr>
              <w:pStyle w:val="8"/>
              <w:contextualSpacing/>
            </w:pPr>
          </w:p>
        </w:tc>
      </w:tr>
      <w:tr w14:paraId="10D293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694" w:type="dxa"/>
            <w:vMerge w:val="continue"/>
            <w:tcBorders>
              <w:top w:val="nil"/>
              <w:bottom w:val="nil"/>
            </w:tcBorders>
            <w:textDirection w:val="tbRlV"/>
          </w:tcPr>
          <w:p w14:paraId="47AD74E5">
            <w:pPr>
              <w:pStyle w:val="8"/>
              <w:contextualSpacing/>
            </w:pPr>
          </w:p>
        </w:tc>
        <w:tc>
          <w:tcPr>
            <w:tcW w:w="1039" w:type="dxa"/>
            <w:gridSpan w:val="3"/>
            <w:vMerge w:val="continue"/>
            <w:tcBorders>
              <w:top w:val="nil"/>
              <w:bottom w:val="nil"/>
            </w:tcBorders>
          </w:tcPr>
          <w:p w14:paraId="51879847">
            <w:pPr>
              <w:pStyle w:val="8"/>
              <w:contextualSpacing/>
            </w:pPr>
          </w:p>
        </w:tc>
        <w:tc>
          <w:tcPr>
            <w:tcW w:w="1488" w:type="dxa"/>
            <w:vMerge w:val="continue"/>
            <w:tcBorders>
              <w:top w:val="nil"/>
            </w:tcBorders>
          </w:tcPr>
          <w:p w14:paraId="25E9362E">
            <w:pPr>
              <w:pStyle w:val="8"/>
              <w:contextualSpacing/>
            </w:pPr>
          </w:p>
        </w:tc>
        <w:tc>
          <w:tcPr>
            <w:tcW w:w="1469" w:type="dxa"/>
            <w:gridSpan w:val="2"/>
          </w:tcPr>
          <w:p w14:paraId="270ADEEC">
            <w:pPr>
              <w:pStyle w:val="8"/>
              <w:contextualSpacing/>
              <w:rPr>
                <w:rFonts w:hint="eastAsia" w:eastAsiaTheme="minorEastAsia"/>
                <w:lang w:eastAsia="zh-CN"/>
              </w:rPr>
            </w:pPr>
            <w:r>
              <w:rPr>
                <w:rFonts w:hint="eastAsia"/>
                <w:lang w:eastAsia="zh-CN"/>
              </w:rPr>
              <w:t>进一步推进优化义务教育资源配置工作，解决学生上下学交通问题</w:t>
            </w:r>
          </w:p>
        </w:tc>
        <w:tc>
          <w:tcPr>
            <w:tcW w:w="841" w:type="dxa"/>
          </w:tcPr>
          <w:p w14:paraId="1488DA8F">
            <w:pPr>
              <w:pStyle w:val="8"/>
              <w:contextualSpacing/>
              <w:rPr>
                <w:rFonts w:hint="eastAsia" w:eastAsiaTheme="minorEastAsia"/>
                <w:lang w:eastAsia="zh-CN"/>
              </w:rPr>
            </w:pPr>
            <w:r>
              <w:rPr>
                <w:rFonts w:hint="eastAsia"/>
                <w:lang w:eastAsia="zh-CN"/>
              </w:rPr>
              <w:t>逐步优化</w:t>
            </w:r>
          </w:p>
        </w:tc>
        <w:tc>
          <w:tcPr>
            <w:tcW w:w="1200" w:type="dxa"/>
            <w:gridSpan w:val="2"/>
          </w:tcPr>
          <w:p w14:paraId="32FC20DE">
            <w:pPr>
              <w:pStyle w:val="8"/>
              <w:contextualSpacing/>
              <w:rPr>
                <w:rFonts w:hint="eastAsia" w:eastAsiaTheme="minorEastAsia"/>
                <w:lang w:eastAsia="zh-CN"/>
              </w:rPr>
            </w:pPr>
            <w:r>
              <w:rPr>
                <w:rFonts w:hint="eastAsia"/>
                <w:lang w:eastAsia="zh-CN"/>
              </w:rPr>
              <w:t>基本达成目标</w:t>
            </w:r>
          </w:p>
        </w:tc>
        <w:tc>
          <w:tcPr>
            <w:tcW w:w="1026" w:type="dxa"/>
          </w:tcPr>
          <w:p w14:paraId="7DE2A5A6">
            <w:pPr>
              <w:pStyle w:val="8"/>
              <w:contextualSpacing/>
              <w:rPr>
                <w:rFonts w:hint="default" w:eastAsiaTheme="minorEastAsia"/>
                <w:lang w:val="en-US" w:eastAsia="zh-CN"/>
              </w:rPr>
            </w:pPr>
            <w:r>
              <w:rPr>
                <w:rFonts w:hint="eastAsia"/>
                <w:lang w:val="en-US" w:eastAsia="zh-CN"/>
              </w:rPr>
              <w:t>10</w:t>
            </w:r>
          </w:p>
        </w:tc>
        <w:tc>
          <w:tcPr>
            <w:tcW w:w="869" w:type="dxa"/>
          </w:tcPr>
          <w:p w14:paraId="6EC0DFBE">
            <w:pPr>
              <w:pStyle w:val="8"/>
              <w:contextualSpacing/>
              <w:rPr>
                <w:rFonts w:hint="default" w:eastAsiaTheme="minorEastAsia"/>
                <w:lang w:val="en-US" w:eastAsia="zh-CN"/>
              </w:rPr>
            </w:pPr>
            <w:r>
              <w:rPr>
                <w:rFonts w:hint="eastAsia"/>
                <w:lang w:val="en-US" w:eastAsia="zh-CN"/>
              </w:rPr>
              <w:t>10</w:t>
            </w:r>
          </w:p>
        </w:tc>
        <w:tc>
          <w:tcPr>
            <w:tcW w:w="1094" w:type="dxa"/>
          </w:tcPr>
          <w:p w14:paraId="776E8630">
            <w:pPr>
              <w:pStyle w:val="8"/>
              <w:contextualSpacing/>
            </w:pPr>
          </w:p>
        </w:tc>
      </w:tr>
      <w:tr w14:paraId="68329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0" w:hRule="atLeast"/>
        </w:trPr>
        <w:tc>
          <w:tcPr>
            <w:tcW w:w="694" w:type="dxa"/>
            <w:vMerge w:val="continue"/>
            <w:tcBorders>
              <w:top w:val="nil"/>
              <w:bottom w:val="nil"/>
            </w:tcBorders>
            <w:textDirection w:val="tbRlV"/>
          </w:tcPr>
          <w:p w14:paraId="7BEC9D72">
            <w:pPr>
              <w:pStyle w:val="8"/>
              <w:contextualSpacing/>
            </w:pPr>
          </w:p>
        </w:tc>
        <w:tc>
          <w:tcPr>
            <w:tcW w:w="1039" w:type="dxa"/>
            <w:gridSpan w:val="3"/>
            <w:vMerge w:val="continue"/>
            <w:tcBorders>
              <w:top w:val="nil"/>
              <w:bottom w:val="nil"/>
            </w:tcBorders>
          </w:tcPr>
          <w:p w14:paraId="4A175DCF">
            <w:pPr>
              <w:pStyle w:val="8"/>
              <w:contextualSpacing/>
            </w:pPr>
          </w:p>
        </w:tc>
        <w:tc>
          <w:tcPr>
            <w:tcW w:w="1488" w:type="dxa"/>
            <w:tcBorders>
              <w:bottom w:val="nil"/>
            </w:tcBorders>
          </w:tcPr>
          <w:p w14:paraId="67368E8A">
            <w:pPr>
              <w:spacing w:before="148" w:line="220" w:lineRule="auto"/>
              <w:ind w:left="401"/>
              <w:contextualSpacing/>
              <w:rPr>
                <w:rFonts w:ascii="宋体" w:hAnsi="宋体" w:eastAsia="宋体" w:cs="宋体"/>
                <w:sz w:val="18"/>
                <w:szCs w:val="18"/>
              </w:rPr>
            </w:pPr>
            <w:r>
              <w:rPr>
                <w:rFonts w:ascii="宋体" w:hAnsi="宋体" w:eastAsia="宋体" w:cs="宋体"/>
                <w:spacing w:val="-2"/>
                <w:sz w:val="18"/>
                <w:szCs w:val="18"/>
              </w:rPr>
              <w:t>生态效益指标</w:t>
            </w:r>
          </w:p>
        </w:tc>
        <w:tc>
          <w:tcPr>
            <w:tcW w:w="1469" w:type="dxa"/>
            <w:gridSpan w:val="2"/>
          </w:tcPr>
          <w:p w14:paraId="048529B3">
            <w:pPr>
              <w:spacing w:before="27" w:line="187" w:lineRule="auto"/>
              <w:contextualSpacing/>
              <w:rPr>
                <w:rFonts w:ascii="宋体" w:hAnsi="宋体" w:eastAsia="宋体" w:cs="宋体"/>
                <w:sz w:val="18"/>
                <w:szCs w:val="18"/>
              </w:rPr>
            </w:pPr>
          </w:p>
        </w:tc>
        <w:tc>
          <w:tcPr>
            <w:tcW w:w="841" w:type="dxa"/>
          </w:tcPr>
          <w:p w14:paraId="4A32DC68">
            <w:pPr>
              <w:pStyle w:val="8"/>
              <w:contextualSpacing/>
            </w:pPr>
          </w:p>
        </w:tc>
        <w:tc>
          <w:tcPr>
            <w:tcW w:w="1200" w:type="dxa"/>
            <w:gridSpan w:val="2"/>
          </w:tcPr>
          <w:p w14:paraId="479E0A02">
            <w:pPr>
              <w:pStyle w:val="8"/>
              <w:contextualSpacing/>
            </w:pPr>
          </w:p>
        </w:tc>
        <w:tc>
          <w:tcPr>
            <w:tcW w:w="1026" w:type="dxa"/>
          </w:tcPr>
          <w:p w14:paraId="623D7C77">
            <w:pPr>
              <w:pStyle w:val="8"/>
              <w:contextualSpacing/>
            </w:pPr>
          </w:p>
        </w:tc>
        <w:tc>
          <w:tcPr>
            <w:tcW w:w="869" w:type="dxa"/>
          </w:tcPr>
          <w:p w14:paraId="43B7920D">
            <w:pPr>
              <w:pStyle w:val="8"/>
              <w:contextualSpacing/>
            </w:pPr>
          </w:p>
        </w:tc>
        <w:tc>
          <w:tcPr>
            <w:tcW w:w="1094" w:type="dxa"/>
          </w:tcPr>
          <w:p w14:paraId="21844599">
            <w:pPr>
              <w:pStyle w:val="8"/>
              <w:contextualSpacing/>
            </w:pPr>
          </w:p>
        </w:tc>
      </w:tr>
      <w:tr w14:paraId="64E958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694" w:type="dxa"/>
            <w:vMerge w:val="continue"/>
            <w:tcBorders>
              <w:top w:val="nil"/>
              <w:bottom w:val="nil"/>
            </w:tcBorders>
            <w:textDirection w:val="tbRlV"/>
          </w:tcPr>
          <w:p w14:paraId="2764CFEA">
            <w:pPr>
              <w:pStyle w:val="8"/>
              <w:contextualSpacing/>
            </w:pPr>
          </w:p>
        </w:tc>
        <w:tc>
          <w:tcPr>
            <w:tcW w:w="1039" w:type="dxa"/>
            <w:gridSpan w:val="3"/>
            <w:vMerge w:val="continue"/>
            <w:tcBorders>
              <w:top w:val="nil"/>
              <w:bottom w:val="nil"/>
            </w:tcBorders>
          </w:tcPr>
          <w:p w14:paraId="00FD8F00">
            <w:pPr>
              <w:pStyle w:val="8"/>
              <w:contextualSpacing/>
            </w:pPr>
          </w:p>
        </w:tc>
        <w:tc>
          <w:tcPr>
            <w:tcW w:w="1488" w:type="dxa"/>
            <w:tcBorders>
              <w:bottom w:val="nil"/>
            </w:tcBorders>
          </w:tcPr>
          <w:p w14:paraId="00BC7724">
            <w:pPr>
              <w:spacing w:before="177" w:line="219" w:lineRule="auto"/>
              <w:ind w:left="131"/>
              <w:contextualSpacing/>
              <w:rPr>
                <w:rFonts w:ascii="宋体" w:hAnsi="宋体" w:eastAsia="宋体" w:cs="宋体"/>
                <w:sz w:val="18"/>
                <w:szCs w:val="18"/>
              </w:rPr>
            </w:pPr>
            <w:r>
              <w:rPr>
                <w:rFonts w:ascii="宋体" w:hAnsi="宋体" w:eastAsia="宋体" w:cs="宋体"/>
                <w:spacing w:val="-1"/>
                <w:sz w:val="18"/>
                <w:szCs w:val="18"/>
              </w:rPr>
              <w:t>服务对象满意度指标</w:t>
            </w:r>
          </w:p>
        </w:tc>
        <w:tc>
          <w:tcPr>
            <w:tcW w:w="1469" w:type="dxa"/>
            <w:gridSpan w:val="2"/>
          </w:tcPr>
          <w:p w14:paraId="5F6A0421">
            <w:pPr>
              <w:spacing w:before="37" w:line="187" w:lineRule="auto"/>
              <w:contextualSpacing/>
              <w:rPr>
                <w:rFonts w:ascii="宋体" w:hAnsi="宋体" w:eastAsia="宋体" w:cs="宋体"/>
                <w:sz w:val="18"/>
                <w:szCs w:val="18"/>
              </w:rPr>
            </w:pPr>
            <w:r>
              <w:rPr>
                <w:rFonts w:hint="eastAsia" w:ascii="宋体" w:hAnsi="宋体" w:eastAsia="宋体" w:cs="宋体"/>
                <w:spacing w:val="9"/>
                <w:sz w:val="18"/>
                <w:szCs w:val="18"/>
              </w:rPr>
              <w:t>家长</w:t>
            </w:r>
            <w:r>
              <w:rPr>
                <w:rFonts w:hint="eastAsia" w:ascii="宋体" w:hAnsi="宋体" w:eastAsia="宋体" w:cs="宋体"/>
                <w:spacing w:val="9"/>
                <w:sz w:val="18"/>
                <w:szCs w:val="18"/>
                <w:lang w:eastAsia="zh-CN"/>
              </w:rPr>
              <w:t>和学生</w:t>
            </w:r>
            <w:r>
              <w:rPr>
                <w:rFonts w:hint="eastAsia" w:ascii="宋体" w:hAnsi="宋体" w:eastAsia="宋体" w:cs="宋体"/>
                <w:spacing w:val="9"/>
                <w:sz w:val="18"/>
                <w:szCs w:val="18"/>
              </w:rPr>
              <w:t>满意度</w:t>
            </w:r>
          </w:p>
        </w:tc>
        <w:tc>
          <w:tcPr>
            <w:tcW w:w="841" w:type="dxa"/>
          </w:tcPr>
          <w:p w14:paraId="314C29AF">
            <w:pPr>
              <w:pStyle w:val="8"/>
              <w:contextualSpacing/>
              <w:rPr>
                <w:rFonts w:hint="default" w:eastAsiaTheme="minorEastAsia"/>
                <w:lang w:val="en-US" w:eastAsia="zh-CN"/>
              </w:rPr>
            </w:pPr>
            <w:r>
              <w:rPr>
                <w:rFonts w:hint="default" w:ascii="Arial" w:hAnsi="Arial" w:cs="Arial"/>
              </w:rPr>
              <w:t>≥</w:t>
            </w:r>
            <w:r>
              <w:rPr>
                <w:rFonts w:hint="eastAsia"/>
                <w:lang w:val="en-US" w:eastAsia="zh-CN"/>
              </w:rPr>
              <w:t>90%</w:t>
            </w:r>
          </w:p>
        </w:tc>
        <w:tc>
          <w:tcPr>
            <w:tcW w:w="1200" w:type="dxa"/>
            <w:gridSpan w:val="2"/>
          </w:tcPr>
          <w:p w14:paraId="5171CB3C">
            <w:pPr>
              <w:pStyle w:val="8"/>
              <w:contextualSpacing/>
              <w:rPr>
                <w:rFonts w:hint="default" w:eastAsiaTheme="minorEastAsia"/>
                <w:lang w:val="en-US" w:eastAsia="zh-CN"/>
              </w:rPr>
            </w:pPr>
            <w:r>
              <w:rPr>
                <w:rFonts w:hint="eastAsia"/>
                <w:lang w:val="en-US" w:eastAsia="zh-CN"/>
              </w:rPr>
              <w:t>98%</w:t>
            </w:r>
          </w:p>
        </w:tc>
        <w:tc>
          <w:tcPr>
            <w:tcW w:w="1026" w:type="dxa"/>
          </w:tcPr>
          <w:p w14:paraId="7C7EAC9D">
            <w:pPr>
              <w:pStyle w:val="8"/>
              <w:contextualSpacing/>
            </w:pPr>
            <w:r>
              <w:rPr>
                <w:rFonts w:hint="eastAsia"/>
              </w:rPr>
              <w:t>10</w:t>
            </w:r>
          </w:p>
        </w:tc>
        <w:tc>
          <w:tcPr>
            <w:tcW w:w="869" w:type="dxa"/>
          </w:tcPr>
          <w:p w14:paraId="288F5166">
            <w:pPr>
              <w:pStyle w:val="8"/>
              <w:contextualSpacing/>
            </w:pPr>
            <w:r>
              <w:rPr>
                <w:rFonts w:hint="eastAsia"/>
              </w:rPr>
              <w:t>10</w:t>
            </w:r>
          </w:p>
        </w:tc>
        <w:tc>
          <w:tcPr>
            <w:tcW w:w="1094" w:type="dxa"/>
          </w:tcPr>
          <w:p w14:paraId="56B14B56">
            <w:pPr>
              <w:pStyle w:val="8"/>
              <w:contextualSpacing/>
            </w:pPr>
          </w:p>
        </w:tc>
      </w:tr>
      <w:tr w14:paraId="6A09E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trPr>
        <w:tc>
          <w:tcPr>
            <w:tcW w:w="6731" w:type="dxa"/>
            <w:gridSpan w:val="10"/>
          </w:tcPr>
          <w:p w14:paraId="72CA5F76">
            <w:pPr>
              <w:spacing w:before="77" w:line="220" w:lineRule="auto"/>
              <w:ind w:left="3304"/>
              <w:contextualSpacing/>
              <w:rPr>
                <w:rFonts w:ascii="宋体" w:hAnsi="宋体" w:eastAsia="宋体" w:cs="宋体"/>
                <w:sz w:val="18"/>
                <w:szCs w:val="18"/>
              </w:rPr>
            </w:pPr>
            <w:r>
              <w:rPr>
                <w:rFonts w:ascii="宋体" w:hAnsi="宋体" w:eastAsia="宋体" w:cs="宋体"/>
                <w:spacing w:val="-3"/>
                <w:sz w:val="18"/>
                <w:szCs w:val="18"/>
              </w:rPr>
              <w:t>总分</w:t>
            </w:r>
          </w:p>
        </w:tc>
        <w:tc>
          <w:tcPr>
            <w:tcW w:w="1026" w:type="dxa"/>
          </w:tcPr>
          <w:p w14:paraId="6B7D1E63">
            <w:pPr>
              <w:spacing w:before="122" w:line="184" w:lineRule="auto"/>
              <w:ind w:left="256"/>
              <w:contextualSpacing/>
              <w:rPr>
                <w:rFonts w:ascii="宋体" w:hAnsi="宋体" w:eastAsia="宋体" w:cs="宋体"/>
                <w:sz w:val="18"/>
                <w:szCs w:val="18"/>
              </w:rPr>
            </w:pPr>
            <w:r>
              <w:rPr>
                <w:rFonts w:ascii="宋体" w:hAnsi="宋体" w:eastAsia="宋体" w:cs="宋体"/>
                <w:spacing w:val="-5"/>
                <w:sz w:val="18"/>
                <w:szCs w:val="18"/>
              </w:rPr>
              <w:t>100</w:t>
            </w:r>
          </w:p>
        </w:tc>
        <w:tc>
          <w:tcPr>
            <w:tcW w:w="869" w:type="dxa"/>
          </w:tcPr>
          <w:p w14:paraId="4FE0E0D3">
            <w:pPr>
              <w:pStyle w:val="8"/>
              <w:contextualSpacing/>
            </w:pPr>
            <w:r>
              <w:rPr>
                <w:rFonts w:hint="eastAsia"/>
              </w:rPr>
              <w:t>100</w:t>
            </w:r>
          </w:p>
        </w:tc>
        <w:tc>
          <w:tcPr>
            <w:tcW w:w="1094" w:type="dxa"/>
          </w:tcPr>
          <w:p w14:paraId="058BC127">
            <w:pPr>
              <w:pStyle w:val="8"/>
              <w:contextualSpacing/>
            </w:pPr>
          </w:p>
        </w:tc>
      </w:tr>
    </w:tbl>
    <w:p w14:paraId="492BB9BF">
      <w:pPr>
        <w:keepNext w:val="0"/>
        <w:keepLines w:val="0"/>
        <w:pageBreakBefore w:val="0"/>
        <w:widowControl/>
        <w:numPr>
          <w:ilvl w:val="0"/>
          <w:numId w:val="0"/>
        </w:numPr>
        <w:kinsoku w:val="0"/>
        <w:wordWrap/>
        <w:overflowPunct/>
        <w:topLinePunct w:val="0"/>
        <w:autoSpaceDE w:val="0"/>
        <w:autoSpaceDN w:val="0"/>
        <w:bidi w:val="0"/>
        <w:adjustRightInd w:val="0"/>
        <w:snapToGrid w:val="0"/>
        <w:spacing w:before="149" w:line="480" w:lineRule="exact"/>
        <w:textAlignment w:val="baseline"/>
        <w:outlineLvl w:val="0"/>
        <w:rPr>
          <w:rFonts w:hint="eastAsia" w:ascii="宋体" w:hAnsi="宋体" w:eastAsia="宋体" w:cs="宋体"/>
          <w:b/>
          <w:bCs/>
          <w:sz w:val="28"/>
          <w:szCs w:val="28"/>
        </w:rPr>
      </w:pPr>
    </w:p>
    <w:sectPr>
      <w:pgSz w:w="11560" w:h="16490"/>
      <w:pgMar w:top="1134" w:right="1134" w:bottom="1134" w:left="113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4483DC"/>
    <w:multiLevelType w:val="singleLevel"/>
    <w:tmpl w:val="AD4483DC"/>
    <w:lvl w:ilvl="0" w:tentative="0">
      <w:start w:val="2"/>
      <w:numFmt w:val="chineseCounting"/>
      <w:lvlText w:val="(%1)"/>
      <w:lvlJc w:val="left"/>
      <w:pPr>
        <w:tabs>
          <w:tab w:val="left" w:pos="312"/>
        </w:tabs>
      </w:pPr>
      <w:rPr>
        <w:rFonts w:hint="eastAsia"/>
      </w:rPr>
    </w:lvl>
  </w:abstractNum>
  <w:abstractNum w:abstractNumId="1">
    <w:nsid w:val="E3DD662B"/>
    <w:multiLevelType w:val="singleLevel"/>
    <w:tmpl w:val="E3DD662B"/>
    <w:lvl w:ilvl="0" w:tentative="0">
      <w:start w:val="2"/>
      <w:numFmt w:val="chineseCounting"/>
      <w:lvlText w:val="(%1)"/>
      <w:lvlJc w:val="left"/>
      <w:pPr>
        <w:tabs>
          <w:tab w:val="left" w:pos="312"/>
        </w:tabs>
      </w:pPr>
      <w:rPr>
        <w:rFonts w:hint="eastAsia"/>
      </w:rPr>
    </w:lvl>
  </w:abstractNum>
  <w:abstractNum w:abstractNumId="2">
    <w:nsid w:val="2EC0CFAC"/>
    <w:multiLevelType w:val="singleLevel"/>
    <w:tmpl w:val="2EC0CFAC"/>
    <w:lvl w:ilvl="0" w:tentative="0">
      <w:start w:val="1"/>
      <w:numFmt w:val="decimal"/>
      <w:suff w:val="nothing"/>
      <w:lvlText w:val="（%1）"/>
      <w:lvlJc w:val="left"/>
    </w:lvl>
  </w:abstractNum>
  <w:abstractNum w:abstractNumId="3">
    <w:nsid w:val="54884C1C"/>
    <w:multiLevelType w:val="singleLevel"/>
    <w:tmpl w:val="54884C1C"/>
    <w:lvl w:ilvl="0" w:tentative="0">
      <w:start w:val="1"/>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62C6F51"/>
    <w:rsid w:val="0A7D6B9B"/>
    <w:rsid w:val="0F44530B"/>
    <w:rsid w:val="1C7F1075"/>
    <w:rsid w:val="34602D38"/>
    <w:rsid w:val="3BCB0097"/>
    <w:rsid w:val="409D32EF"/>
    <w:rsid w:val="42D9311C"/>
    <w:rsid w:val="49DA3B9B"/>
    <w:rsid w:val="4D6376BE"/>
    <w:rsid w:val="53A45945"/>
    <w:rsid w:val="596F65D3"/>
    <w:rsid w:val="685C4760"/>
    <w:rsid w:val="70E37B76"/>
    <w:rsid w:val="73583BF9"/>
    <w:rsid w:val="78016528"/>
    <w:rsid w:val="78567A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Normal (Web)"/>
    <w:basedOn w:val="1"/>
    <w:qFormat/>
    <w:uiPriority w:val="99"/>
    <w:pPr>
      <w:spacing w:beforeAutospacing="1" w:afterAutospacing="1"/>
      <w:jc w:val="left"/>
    </w:pPr>
    <w:rPr>
      <w:kern w:val="0"/>
      <w:sz w:val="24"/>
      <w:szCs w:val="24"/>
    </w:rPr>
  </w:style>
  <w:style w:type="paragraph" w:customStyle="1" w:styleId="6">
    <w:name w:val="引用1"/>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autoRedefine/>
    <w:semiHidden/>
    <w:qFormat/>
    <w:uiPriority w:val="0"/>
    <w:rPr>
      <w:rFonts w:eastAsiaTheme="minorEastAsia"/>
      <w:sz w:val="18"/>
      <w:szCs w:val="18"/>
      <w:lang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3416</Words>
  <Characters>3674</Characters>
  <TotalTime>65</TotalTime>
  <ScaleCrop>false</ScaleCrop>
  <LinksUpToDate>false</LinksUpToDate>
  <CharactersWithSpaces>3696</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2025-02-19T10:41:00Z</dcterms:created>
  <dc:creator>Kingsoft-PDF</dc:creator>
  <cp:lastModifiedBy>.  。 0</cp:lastModifiedBy>
  <dcterms:modified xsi:type="dcterms:W3CDTF">2025-03-31T03:41:11Z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2025-02-19T10:41:18Z</vt:filetime>
  </property>
  <property fmtid="{D5CDD505-2E9C-101B-9397-08002B2CF9AE}" pid="4" name="UsrData">
    <vt:lpwstr>67b544cc182be6001ff89ec1wl</vt:lpwstr>
  </property>
  <property fmtid="{D5CDD505-2E9C-101B-9397-08002B2CF9AE}" pid="5" name="KSOTemplateDocerSaveRecord">
    <vt:lpwstr>eyJoZGlkIjoiOTc4NzNiMTc1ZTA4MTU0OTcyMGMyNzA1M2Q4YmVlMzQiLCJ1c2VySWQiOiIyNDgwNTgwOTQifQ==</vt:lpwstr>
  </property>
  <property fmtid="{D5CDD505-2E9C-101B-9397-08002B2CF9AE}" pid="6" name="KSOProductBuildVer">
    <vt:lpwstr>2052-12.1.0.20305</vt:lpwstr>
  </property>
  <property fmtid="{D5CDD505-2E9C-101B-9397-08002B2CF9AE}" pid="7" name="ICV">
    <vt:lpwstr>3A5191FD415140789FEE14723E9354E3_13</vt:lpwstr>
  </property>
</Properties>
</file>