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before="0" w:after="60" w:line="600" w:lineRule="exact"/>
        <w:jc w:val="center"/>
        <w:textAlignment w:val="auto"/>
        <w:outlineLvl w:val="9"/>
        <w:rPr>
          <w:rFonts w:hint="eastAsia" w:ascii="方正小标宋简体" w:hAnsi="方正小标宋简体" w:eastAsia="方正小标宋简体" w:cs="方正小标宋简体"/>
          <w:b w:val="0"/>
          <w:bCs w:val="0"/>
          <w:sz w:val="44"/>
          <w:szCs w:val="44"/>
        </w:rPr>
      </w:pPr>
      <w:bookmarkStart w:id="0" w:name="_Toc11373"/>
      <w:r>
        <w:rPr>
          <w:rFonts w:hint="eastAsia" w:ascii="方正小标宋简体" w:hAnsi="方正小标宋简体" w:eastAsia="方正小标宋简体" w:cs="方正小标宋简体"/>
          <w:b w:val="0"/>
          <w:bCs w:val="0"/>
          <w:sz w:val="44"/>
          <w:szCs w:val="44"/>
          <w:lang w:val="en-US" w:eastAsia="zh-CN"/>
        </w:rPr>
        <w:t>安义县民政局</w:t>
      </w:r>
      <w:bookmarkEnd w:id="0"/>
      <w:bookmarkStart w:id="1" w:name="_Toc3985"/>
      <w:r>
        <w:rPr>
          <w:rFonts w:hint="eastAsia" w:ascii="方正小标宋简体" w:hAnsi="方正小标宋简体" w:eastAsia="方正小标宋简体" w:cs="方正小标宋简体"/>
          <w:b w:val="0"/>
          <w:bCs w:val="0"/>
          <w:sz w:val="44"/>
          <w:szCs w:val="44"/>
        </w:rPr>
        <w:t>整体支出绩效自评报告</w:t>
      </w:r>
      <w:bookmarkEnd w:id="1"/>
    </w:p>
    <w:p>
      <w:pPr>
        <w:pStyle w:val="4"/>
        <w:spacing w:before="178"/>
        <w:ind w:right="1935"/>
        <w:jc w:val="center"/>
        <w:rPr>
          <w:rFonts w:hint="eastAsia" w:ascii="楷体" w:eastAsia="楷体"/>
          <w:b/>
          <w:bCs/>
        </w:rPr>
      </w:pPr>
      <w:r>
        <w:rPr>
          <w:rFonts w:hint="eastAsia" w:ascii="楷体" w:eastAsia="楷体"/>
          <w:b/>
          <w:bCs/>
          <w:lang w:val="en-US" w:eastAsia="zh-CN"/>
        </w:rPr>
        <w:t xml:space="preserve">          </w:t>
      </w:r>
      <w:bookmarkStart w:id="8" w:name="_GoBack"/>
      <w:bookmarkEnd w:id="8"/>
    </w:p>
    <w:p>
      <w:pPr>
        <w:keepNext w:val="0"/>
        <w:keepLines w:val="0"/>
        <w:widowControl/>
        <w:suppressLineNumbers w:val="0"/>
        <w:ind w:firstLine="640" w:firstLineChars="200"/>
        <w:jc w:val="left"/>
        <w:rPr>
          <w:rFonts w:hint="eastAsia" w:ascii="仿宋_GB2312" w:hAnsi="仿宋" w:eastAsia="仿宋_GB2312" w:cs="仿宋"/>
          <w:sz w:val="32"/>
          <w:szCs w:val="32"/>
          <w:highlight w:val="none"/>
          <w:lang w:val="en-US" w:eastAsia="zh-CN" w:bidi="zh-CN"/>
        </w:rPr>
      </w:pPr>
      <w:r>
        <w:rPr>
          <w:rFonts w:hint="eastAsia" w:ascii="仿宋_GB2312" w:hAnsi="仿宋" w:eastAsia="仿宋_GB2312" w:cs="仿宋"/>
          <w:sz w:val="32"/>
          <w:szCs w:val="32"/>
          <w:highlight w:val="none"/>
          <w:lang w:val="en-US" w:eastAsia="zh-CN" w:bidi="zh-CN"/>
        </w:rPr>
        <w:t>为贯彻落实《中共中央 国务院关于全面实施预算绩效管理的实施意见》（中发〔2018〕34号）和《中共江西省委 江西省人民政府关于全面实施预算绩效管理的实施意见》（赣发〔2019〕8号）、江西省财政厅关于印发《江西省省级项目</w:t>
      </w:r>
      <w:r>
        <w:rPr>
          <w:rFonts w:hint="default" w:ascii="仿宋_GB2312" w:hAnsi="仿宋" w:eastAsia="仿宋_GB2312" w:cs="仿宋"/>
          <w:sz w:val="32"/>
          <w:szCs w:val="32"/>
          <w:highlight w:val="none"/>
          <w:lang w:val="en-US" w:eastAsia="zh-CN" w:bidi="zh-CN"/>
        </w:rPr>
        <w:t>支出和部门整体支出绩效评价管理暂行办法》的通知</w:t>
      </w:r>
      <w:r>
        <w:rPr>
          <w:rFonts w:hint="eastAsia" w:ascii="仿宋_GB2312" w:hAnsi="仿宋" w:eastAsia="仿宋_GB2312" w:cs="仿宋"/>
          <w:sz w:val="32"/>
          <w:szCs w:val="32"/>
          <w:highlight w:val="none"/>
          <w:lang w:val="en-US" w:eastAsia="zh-CN" w:bidi="zh-CN"/>
        </w:rPr>
        <w:t>（</w:t>
      </w:r>
      <w:r>
        <w:rPr>
          <w:rFonts w:ascii="仿宋_GB2312" w:hAnsi="仿宋_GB2312" w:eastAsia="仿宋_GB2312" w:cs="仿宋_GB2312"/>
          <w:color w:val="000000"/>
          <w:kern w:val="0"/>
          <w:sz w:val="31"/>
          <w:szCs w:val="31"/>
          <w:lang w:val="en-US" w:eastAsia="zh-CN" w:bidi="ar"/>
        </w:rPr>
        <w:t>赣财绩〔2022〕9 号</w:t>
      </w:r>
      <w:r>
        <w:rPr>
          <w:rFonts w:hint="eastAsia" w:ascii="仿宋_GB2312" w:hAnsi="仿宋_GB2312" w:eastAsia="仿宋_GB2312" w:cs="仿宋_GB2312"/>
          <w:color w:val="000000"/>
          <w:kern w:val="0"/>
          <w:sz w:val="31"/>
          <w:szCs w:val="31"/>
          <w:lang w:val="en-US" w:eastAsia="zh-CN" w:bidi="ar"/>
        </w:rPr>
        <w:t>）</w:t>
      </w:r>
      <w:r>
        <w:rPr>
          <w:rFonts w:hint="eastAsia" w:ascii="仿宋_GB2312" w:hAnsi="仿宋" w:eastAsia="仿宋_GB2312" w:cs="仿宋"/>
          <w:sz w:val="32"/>
          <w:szCs w:val="32"/>
          <w:highlight w:val="none"/>
          <w:lang w:val="en-US" w:eastAsia="zh-CN" w:bidi="zh-CN"/>
        </w:rPr>
        <w:t>，规范预算绩效管理，提高财政资金使用效益和运行效率，促进财政支出绩效评价与部门预算的有机结合，建立健全预算绩效评价体系和科学合理的财政资金绩效管理机制，进一步提高绩效评价站位和效能，我局按照《南昌市财政局关于开展2023年度单位自评及部门评价工作的通知》（洪财绩〔2024〕7号）相关工作要求，开展单位部门整体支出绩效自评工作，经过资金使用情况核查、项目数据采集、社会调查等必要的评价程序，运用绩效原理和统计方法，在梳理、分析评价数据资料的基础上，进行了部门整体支出绩效自评。具体情况汇报如下：</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640" w:firstLineChars="200"/>
        <w:textAlignment w:val="auto"/>
        <w:outlineLvl w:val="0"/>
        <w:rPr>
          <w:rFonts w:hint="eastAsia" w:ascii="黑体" w:eastAsia="黑体"/>
        </w:rPr>
      </w:pPr>
      <w:bookmarkStart w:id="2" w:name="_Toc9869"/>
      <w:r>
        <w:rPr>
          <w:rFonts w:hint="eastAsia" w:ascii="黑体" w:eastAsia="黑体"/>
        </w:rPr>
        <w:t>一、部门概况</w:t>
      </w:r>
      <w:bookmarkEnd w:id="2"/>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643" w:firstLineChars="200"/>
        <w:textAlignment w:val="auto"/>
        <w:outlineLvl w:val="1"/>
        <w:rPr>
          <w:rFonts w:hint="eastAsia" w:ascii="楷体_GB2312" w:hAnsi="楷体_GB2312" w:eastAsia="楷体_GB2312" w:cs="楷体_GB2312"/>
          <w:b/>
          <w:bCs/>
          <w:color w:val="000000"/>
          <w:sz w:val="32"/>
          <w:szCs w:val="32"/>
        </w:rPr>
      </w:pPr>
      <w:bookmarkStart w:id="3" w:name="_Toc28507"/>
      <w:r>
        <w:rPr>
          <w:rFonts w:hint="eastAsia" w:ascii="楷体_GB2312" w:hAnsi="楷体_GB2312" w:eastAsia="楷体_GB2312" w:cs="楷体_GB2312"/>
          <w:b/>
          <w:bCs/>
          <w:color w:val="000000"/>
          <w:sz w:val="32"/>
          <w:szCs w:val="32"/>
        </w:rPr>
        <w:t>（一）部门（单位）主要职责职能，组织架构、人员及资产等基本情况</w:t>
      </w:r>
      <w:bookmarkEnd w:id="3"/>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643" w:firstLineChars="200"/>
        <w:textAlignment w:val="auto"/>
        <w:outlineLvl w:val="9"/>
        <w:rPr>
          <w:rFonts w:hint="eastAsia" w:ascii="仿宋_GB2312" w:hAnsi="仿宋_GB2312" w:eastAsia="仿宋_GB2312" w:cs="仿宋_GB2312"/>
          <w:b/>
          <w:bCs/>
          <w:sz w:val="32"/>
          <w:szCs w:val="32"/>
          <w:lang w:val="en-US" w:eastAsia="zh-CN" w:bidi="zh-CN"/>
        </w:rPr>
      </w:pPr>
      <w:r>
        <w:rPr>
          <w:rFonts w:hint="eastAsia" w:ascii="仿宋_GB2312" w:hAnsi="仿宋_GB2312" w:eastAsia="仿宋_GB2312" w:cs="仿宋_GB2312"/>
          <w:b/>
          <w:bCs/>
          <w:sz w:val="32"/>
          <w:szCs w:val="32"/>
          <w:lang w:val="en-US" w:eastAsia="zh-CN" w:bidi="zh-CN"/>
        </w:rPr>
        <w:t>1.部门（单位）主要职责职能</w:t>
      </w:r>
    </w:p>
    <w:p>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安义县民政局是安义县政府组成部门，正科级单位，主要工作职责是： </w:t>
      </w:r>
    </w:p>
    <w:p>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一）根据国民经济和社会发展规划制定全县民政事业发展规划和年度工作计划；拟定有关规定并组织实施。（二）负责市民政局委托管理的全市性社团及其分支机构的监督管理；查处社团的违法行为和未经登记而以社团名义开展活动的非法组织；指导相关业务（行业）主管部门开展社团登记管理工作,指导乡（镇）开展社区社会组织备案登记工作。（三）负责县本级民办非企业单位的登记管理和年度检查工作；负责市民政局委托管理的全市性民办非企业单位的监督管理；查处民办非企业单位的违法行为和未经登记而以民办非企业名义开展活动的非法组织；指导相关业务（行业）主管部门开展民办非企业单位的登记管理工作。（四）牵头拟订全县社会救助规划、政策和标准，统筹社会救助体系建设，组织实施全县居民最低生活保障、特困人员救助供养、临时救助。牵头负责农村脱贫攻坚兜底保障和城镇贫困群众脱贫解困工作。（五）研究提出加强和改进基层政权建设和村民自治建设的意见和建议。（六）负责牵头协调、指导推进全县社区建设工作。（七）负责全县婚姻登记管理工作；负责全县婚介机构的审核报批、检查监督工作；宣传婚姻法规，倡导婚姻习俗改革。（八）拟订全县殡葬管理政策并组织实施，推进殡葬改革。（九）负责全县收养登记管理工作；指导县福利院儿童送养工作。（十）负责全县城市生活无着的流浪乞讨人员救助管理工作。健全农村留守儿童关爱服务体系和困境儿童保障制度。（十一）负责全县社会福利工作。拟订全县残疾人权益保护政策，统筹推进残疾人福利制度建设。（十二）负责全县行政区划工作；组织协调全县乡镇、村边界的勘定和管理工作。（十三）负责全县地名工作。（十四）主管全县福利彩票发行工作，负责全县福利彩票公益金的管理、使用和监督工作。（十五）指导制定全县慈善救助事业发展规划和年度工作计划并组织实施；指导乡（镇）开展慈善救助工作,监督慈善基金的管理和使用。（十六）依法开展申请家庭经济状况核对工作；负责城乡居民家庭经济状况核对政务平台和管理系统的建设、日常管理及维护；负责汇总和分析全县核对工作进展情况、核对业务数据资料。（十七）负责全县养老机构的管理和监督。（十八）负责全县因公致残公务员、人民警察残疾等级评定和调整的审核报批工作。（十九）牵头研究制定和组织实施社会工作人才队伍建设规划和政策措施，统筹推进全县社会工作人才队伍建设。（二十）负责民政系统安全生产监督管理工作。指导养老服务、特困供养、儿童福利、未成年人保护、救助管理、殡葬服务等民政服务机构的安全生产监督管理工作。（二十一）完成县委县政府交办的其他任务。（二十二）与县卫生健康委员会的有关职责分工。县民政局负责统筹推进、督促指导、监督管理养老服务工作，拟订养老服务体系建设规划、标准并组织实施，承担老年人福利和特殊困难老年人救助工作。县卫生健康委员会负责拟订应对人口老龄化、医养结合政策措施，综合协调、督促指导、组织推进县老龄事业发展，承担老年疾病防治、老年人医疗照护、老年人心理健康与关怀服务等老年健康工作。 </w:t>
      </w:r>
    </w:p>
    <w:p>
      <w:pPr>
        <w:keepNext w:val="0"/>
        <w:keepLines w:val="0"/>
        <w:widowControl/>
        <w:suppressLineNumbers w:val="0"/>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kern w:val="0"/>
          <w:sz w:val="32"/>
          <w:szCs w:val="32"/>
          <w:lang w:val="en-US" w:eastAsia="zh-CN" w:bidi="ar"/>
        </w:rPr>
        <w:t xml:space="preserve">2.机构设置及人员情况 </w:t>
      </w: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安义县民政局共有预算单位4个，包括局本级和3个所属二级预算单位。编制人数54人：其中：行政编制7人、工勤2人、全部补助事业编制45人；实有人数69人，其中：在职人数40人，包括行政人员9人、全部补助事业人员31人；离休人员0人；退休人员29人</w:t>
      </w:r>
    </w:p>
    <w:p>
      <w:pPr>
        <w:pageBreakBefore w:val="0"/>
        <w:kinsoku/>
        <w:wordWrap/>
        <w:overflowPunct/>
        <w:topLinePunct w:val="0"/>
        <w:autoSpaceDE w:val="0"/>
        <w:autoSpaceDN w:val="0"/>
        <w:bidi w:val="0"/>
        <w:adjustRightInd/>
        <w:snapToGrid/>
        <w:ind w:firstLine="643" w:firstLineChars="200"/>
        <w:outlineLvl w:val="9"/>
        <w:rPr>
          <w:rFonts w:hint="eastAsia" w:ascii="仿宋_GB2312" w:hAnsi="仿宋_GB2312" w:eastAsia="仿宋_GB2312" w:cs="仿宋_GB2312"/>
          <w:b/>
          <w:bCs/>
          <w:sz w:val="32"/>
          <w:szCs w:val="32"/>
          <w:highlight w:val="none"/>
          <w:lang w:val="en-US" w:eastAsia="zh-CN" w:bidi="zh-CN"/>
        </w:rPr>
      </w:pPr>
      <w:r>
        <w:rPr>
          <w:rFonts w:hint="eastAsia" w:ascii="仿宋_GB2312" w:hAnsi="仿宋_GB2312" w:eastAsia="仿宋_GB2312" w:cs="仿宋_GB2312"/>
          <w:b/>
          <w:bCs/>
          <w:sz w:val="32"/>
          <w:szCs w:val="32"/>
          <w:highlight w:val="none"/>
          <w:lang w:val="en-US" w:eastAsia="zh-CN" w:bidi="zh-CN"/>
        </w:rPr>
        <w:t>4.部门（单位）资产情况</w:t>
      </w:r>
    </w:p>
    <w:p>
      <w:pPr>
        <w:pStyle w:val="4"/>
        <w:pageBreakBefore w:val="0"/>
        <w:kinsoku/>
        <w:wordWrap/>
        <w:overflowPunct/>
        <w:topLinePunct w:val="0"/>
        <w:autoSpaceDE w:val="0"/>
        <w:autoSpaceDN w:val="0"/>
        <w:bidi w:val="0"/>
        <w:adjustRightInd/>
        <w:snapToGrid/>
        <w:ind w:firstLine="640" w:firstLineChars="200"/>
        <w:outlineLvl w:val="9"/>
        <w:rPr>
          <w:rFonts w:hint="default" w:ascii="仿宋_GB2312" w:hAnsi="仿宋_GB2312" w:eastAsia="仿宋_GB2312" w:cs="仿宋_GB2312"/>
          <w:b w:val="0"/>
          <w:bCs w:val="0"/>
          <w:sz w:val="32"/>
          <w:szCs w:val="32"/>
          <w:lang w:val="en-US" w:eastAsia="zh-CN" w:bidi="zh-CN"/>
        </w:rPr>
      </w:pPr>
      <w:r>
        <w:rPr>
          <w:rFonts w:hint="default" w:ascii="仿宋_GB2312" w:hAnsi="仿宋_GB2312" w:eastAsia="仿宋_GB2312" w:cs="仿宋_GB2312"/>
          <w:b w:val="0"/>
          <w:bCs w:val="0"/>
          <w:sz w:val="32"/>
          <w:szCs w:val="32"/>
          <w:lang w:val="en-US" w:eastAsia="zh-CN" w:bidi="zh-CN"/>
        </w:rPr>
        <w:t>截至202</w:t>
      </w:r>
      <w:r>
        <w:rPr>
          <w:rFonts w:hint="eastAsia" w:cs="仿宋_GB2312"/>
          <w:b w:val="0"/>
          <w:bCs w:val="0"/>
          <w:sz w:val="32"/>
          <w:szCs w:val="32"/>
          <w:lang w:val="en-US" w:eastAsia="zh-CN" w:bidi="zh-CN"/>
        </w:rPr>
        <w:t>3</w:t>
      </w:r>
      <w:r>
        <w:rPr>
          <w:rFonts w:hint="default" w:ascii="仿宋_GB2312" w:hAnsi="仿宋_GB2312" w:eastAsia="仿宋_GB2312" w:cs="仿宋_GB2312"/>
          <w:b w:val="0"/>
          <w:bCs w:val="0"/>
          <w:sz w:val="32"/>
          <w:szCs w:val="32"/>
          <w:lang w:val="en-US" w:eastAsia="zh-CN" w:bidi="zh-CN"/>
        </w:rPr>
        <w:t>年12月31日，</w:t>
      </w:r>
      <w:r>
        <w:rPr>
          <w:rFonts w:hint="eastAsia" w:cs="仿宋_GB2312"/>
          <w:b w:val="0"/>
          <w:bCs w:val="0"/>
          <w:sz w:val="32"/>
          <w:szCs w:val="32"/>
          <w:lang w:val="en-US" w:eastAsia="zh-CN" w:bidi="zh-CN"/>
        </w:rPr>
        <w:t>我局</w:t>
      </w:r>
      <w:r>
        <w:rPr>
          <w:rFonts w:hint="default" w:ascii="仿宋_GB2312" w:hAnsi="仿宋_GB2312" w:eastAsia="仿宋_GB2312" w:cs="仿宋_GB2312"/>
          <w:b w:val="0"/>
          <w:bCs w:val="0"/>
          <w:sz w:val="32"/>
          <w:szCs w:val="32"/>
          <w:lang w:val="en-US" w:eastAsia="zh-CN" w:bidi="zh-CN"/>
        </w:rPr>
        <w:t>资产总额（账面净值，下同）为</w:t>
      </w:r>
      <w:r>
        <w:rPr>
          <w:rFonts w:hint="eastAsia" w:cs="仿宋_GB2312"/>
          <w:b w:val="0"/>
          <w:bCs w:val="0"/>
          <w:sz w:val="32"/>
          <w:szCs w:val="32"/>
          <w:lang w:val="en-US" w:eastAsia="zh-CN" w:bidi="zh-CN"/>
        </w:rPr>
        <w:t>2719.341609</w:t>
      </w:r>
      <w:r>
        <w:rPr>
          <w:rFonts w:hint="default" w:ascii="仿宋_GB2312" w:hAnsi="仿宋_GB2312" w:eastAsia="仿宋_GB2312" w:cs="仿宋_GB2312"/>
          <w:b w:val="0"/>
          <w:bCs w:val="0"/>
          <w:sz w:val="32"/>
          <w:szCs w:val="32"/>
          <w:lang w:val="en-US" w:eastAsia="zh-CN" w:bidi="zh-CN"/>
        </w:rPr>
        <w:t>万元，其中，货币资金</w:t>
      </w:r>
      <w:r>
        <w:rPr>
          <w:rFonts w:hint="eastAsia" w:cs="仿宋_GB2312"/>
          <w:b w:val="0"/>
          <w:bCs w:val="0"/>
          <w:sz w:val="32"/>
          <w:szCs w:val="32"/>
          <w:lang w:val="en-US" w:eastAsia="zh-CN" w:bidi="zh-CN"/>
        </w:rPr>
        <w:t>2635.821524</w:t>
      </w:r>
      <w:r>
        <w:rPr>
          <w:rFonts w:hint="default" w:ascii="仿宋_GB2312" w:hAnsi="仿宋_GB2312" w:eastAsia="仿宋_GB2312" w:cs="仿宋_GB2312"/>
          <w:b w:val="0"/>
          <w:bCs w:val="0"/>
          <w:sz w:val="32"/>
          <w:szCs w:val="32"/>
          <w:lang w:val="en-US" w:eastAsia="zh-CN" w:bidi="zh-CN"/>
        </w:rPr>
        <w:t>万元，固定资产</w:t>
      </w:r>
      <w:r>
        <w:rPr>
          <w:rFonts w:hint="eastAsia" w:cs="仿宋_GB2312"/>
          <w:b w:val="0"/>
          <w:bCs w:val="0"/>
          <w:sz w:val="32"/>
          <w:szCs w:val="32"/>
          <w:lang w:val="en-US" w:eastAsia="zh-CN" w:bidi="zh-CN"/>
        </w:rPr>
        <w:t>83.520085</w:t>
      </w:r>
      <w:r>
        <w:rPr>
          <w:rFonts w:hint="default" w:ascii="仿宋_GB2312" w:hAnsi="仿宋_GB2312" w:eastAsia="仿宋_GB2312" w:cs="仿宋_GB2312"/>
          <w:b w:val="0"/>
          <w:bCs w:val="0"/>
          <w:sz w:val="32"/>
          <w:szCs w:val="32"/>
          <w:lang w:val="en-US" w:eastAsia="zh-CN" w:bidi="zh-CN"/>
        </w:rPr>
        <w:t>万元，资产情况如下</w:t>
      </w:r>
      <w:r>
        <w:rPr>
          <w:rFonts w:hint="eastAsia" w:cs="仿宋_GB2312"/>
          <w:b w:val="0"/>
          <w:bCs w:val="0"/>
          <w:sz w:val="32"/>
          <w:szCs w:val="32"/>
          <w:lang w:val="en-US" w:eastAsia="zh-CN" w:bidi="zh-CN"/>
        </w:rPr>
        <w:t>表</w:t>
      </w:r>
      <w:r>
        <w:rPr>
          <w:rFonts w:hint="default" w:ascii="仿宋_GB2312" w:hAnsi="仿宋_GB2312" w:eastAsia="仿宋_GB2312" w:cs="仿宋_GB2312"/>
          <w:b w:val="0"/>
          <w:bCs w:val="0"/>
          <w:sz w:val="32"/>
          <w:szCs w:val="32"/>
          <w:lang w:val="en-US" w:eastAsia="zh-CN" w:bidi="zh-CN"/>
        </w:rPr>
        <w:t>所示：</w:t>
      </w:r>
    </w:p>
    <w:p>
      <w:pPr>
        <w:pStyle w:val="4"/>
        <w:pageBreakBefore w:val="0"/>
        <w:kinsoku/>
        <w:wordWrap/>
        <w:overflowPunct/>
        <w:topLinePunct w:val="0"/>
        <w:autoSpaceDE w:val="0"/>
        <w:autoSpaceDN w:val="0"/>
        <w:bidi w:val="0"/>
        <w:adjustRightInd/>
        <w:snapToGrid/>
        <w:jc w:val="center"/>
        <w:outlineLvl w:val="9"/>
        <w:rPr>
          <w:rFonts w:hint="default" w:ascii="仿宋_GB2312" w:hAnsi="仿宋_GB2312" w:eastAsia="仿宋_GB2312" w:cs="仿宋_GB2312"/>
          <w:b/>
          <w:bCs/>
          <w:sz w:val="36"/>
          <w:szCs w:val="36"/>
          <w:lang w:val="en-US" w:eastAsia="zh-CN" w:bidi="zh-CN"/>
        </w:rPr>
      </w:pPr>
      <w:r>
        <w:rPr>
          <w:rFonts w:hint="eastAsia" w:ascii="仿宋_GB2312" w:hAnsi="仿宋_GB2312" w:eastAsia="仿宋_GB2312" w:cs="仿宋_GB2312"/>
          <w:b/>
          <w:bCs/>
          <w:sz w:val="36"/>
          <w:szCs w:val="36"/>
          <w:lang w:val="en-US" w:eastAsia="zh-CN" w:bidi="zh-CN"/>
        </w:rPr>
        <w:t>2023年度</w:t>
      </w:r>
      <w:r>
        <w:rPr>
          <w:rFonts w:hint="default" w:ascii="仿宋_GB2312" w:hAnsi="仿宋_GB2312" w:eastAsia="仿宋_GB2312" w:cs="仿宋_GB2312"/>
          <w:b/>
          <w:bCs/>
          <w:sz w:val="36"/>
          <w:szCs w:val="36"/>
          <w:lang w:val="en-US" w:eastAsia="zh-CN" w:bidi="zh-CN"/>
        </w:rPr>
        <w:t>资产明细表</w:t>
      </w:r>
    </w:p>
    <w:p>
      <w:pPr>
        <w:pStyle w:val="4"/>
        <w:pageBreakBefore w:val="0"/>
        <w:kinsoku/>
        <w:wordWrap/>
        <w:overflowPunct/>
        <w:topLinePunct w:val="0"/>
        <w:autoSpaceDE w:val="0"/>
        <w:autoSpaceDN w:val="0"/>
        <w:bidi w:val="0"/>
        <w:adjustRightInd/>
        <w:snapToGrid/>
        <w:jc w:val="right"/>
        <w:outlineLvl w:val="9"/>
        <w:rPr>
          <w:rFonts w:hint="eastAsia" w:cs="仿宋_GB2312"/>
          <w:b/>
          <w:bCs/>
          <w:sz w:val="28"/>
          <w:szCs w:val="28"/>
          <w:lang w:val="en-US" w:eastAsia="zh-CN" w:bidi="zh-CN"/>
        </w:rPr>
      </w:pPr>
      <w:r>
        <w:rPr>
          <w:rFonts w:hint="eastAsia" w:cs="仿宋_GB2312"/>
          <w:b/>
          <w:bCs/>
          <w:sz w:val="28"/>
          <w:szCs w:val="28"/>
          <w:lang w:val="en-US" w:eastAsia="zh-CN" w:bidi="zh-CN"/>
        </w:rPr>
        <w:t>单位：万元</w:t>
      </w:r>
    </w:p>
    <w:tbl>
      <w:tblPr>
        <w:tblStyle w:val="12"/>
        <w:tblW w:w="84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40"/>
        <w:gridCol w:w="2383"/>
        <w:gridCol w:w="24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3640" w:type="dxa"/>
            <w:tcBorders>
              <w:top w:val="single" w:color="000000" w:sz="8" w:space="0"/>
              <w:left w:val="single" w:color="000000" w:sz="8" w:space="0"/>
              <w:bottom w:val="single" w:color="000000" w:sz="8" w:space="0"/>
              <w:right w:val="single" w:color="000000" w:sz="8" w:space="0"/>
            </w:tcBorders>
            <w:shd w:val="clear" w:color="auto" w:fill="D8D8D8"/>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2383" w:type="dxa"/>
            <w:tcBorders>
              <w:top w:val="single" w:color="000000" w:sz="8" w:space="0"/>
              <w:left w:val="nil"/>
              <w:bottom w:val="single" w:color="000000" w:sz="8" w:space="0"/>
              <w:right w:val="single" w:color="000000" w:sz="8" w:space="0"/>
            </w:tcBorders>
            <w:shd w:val="clear" w:color="auto" w:fill="D8D8D8"/>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年初数</w:t>
            </w:r>
          </w:p>
        </w:tc>
        <w:tc>
          <w:tcPr>
            <w:tcW w:w="2428" w:type="dxa"/>
            <w:tcBorders>
              <w:top w:val="single" w:color="000000" w:sz="8" w:space="0"/>
              <w:left w:val="nil"/>
              <w:bottom w:val="single" w:color="000000" w:sz="8" w:space="0"/>
              <w:right w:val="single" w:color="000000" w:sz="8" w:space="0"/>
            </w:tcBorders>
            <w:shd w:val="clear" w:color="auto" w:fill="D8D8D8"/>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年末数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（一）货币资金</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其中：银行存款</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3407.75615</w:t>
            </w: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2635.821524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（二）财政应返还额度</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（三）固定资产原值</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89.7648</w:t>
            </w: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131.9587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其中：房屋（平方米）</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1.</w:t>
            </w:r>
            <w:r>
              <w:rPr>
                <w:rFonts w:hint="eastAsia" w:ascii="宋体" w:hAnsi="宋体" w:eastAsia="宋体" w:cs="宋体"/>
                <w:i w:val="0"/>
                <w:iCs w:val="0"/>
                <w:color w:val="000000"/>
                <w:kern w:val="0"/>
                <w:sz w:val="22"/>
                <w:szCs w:val="22"/>
                <w:u w:val="none"/>
                <w:lang w:val="en-US" w:eastAsia="zh-CN" w:bidi="ar"/>
              </w:rPr>
              <w:t>办公用房</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2.</w:t>
            </w:r>
            <w:r>
              <w:rPr>
                <w:rFonts w:hint="eastAsia" w:ascii="宋体" w:hAnsi="宋体" w:eastAsia="宋体" w:cs="宋体"/>
                <w:i w:val="0"/>
                <w:iCs w:val="0"/>
                <w:color w:val="000000"/>
                <w:kern w:val="0"/>
                <w:sz w:val="22"/>
                <w:szCs w:val="22"/>
                <w:u w:val="none"/>
                <w:lang w:val="en-US" w:eastAsia="zh-CN" w:bidi="ar"/>
              </w:rPr>
              <w:t>业务用房</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3.</w:t>
            </w:r>
            <w:r>
              <w:rPr>
                <w:rFonts w:hint="eastAsia" w:ascii="宋体" w:hAnsi="宋体" w:eastAsia="宋体" w:cs="宋体"/>
                <w:i w:val="0"/>
                <w:iCs w:val="0"/>
                <w:color w:val="000000"/>
                <w:kern w:val="0"/>
                <w:sz w:val="22"/>
                <w:szCs w:val="22"/>
                <w:u w:val="none"/>
                <w:lang w:val="en-US" w:eastAsia="zh-CN" w:bidi="ar"/>
              </w:rPr>
              <w:t>其他（不含构筑物）</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车辆（台、辆）</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1.</w:t>
            </w:r>
            <w:r>
              <w:rPr>
                <w:rFonts w:hint="eastAsia" w:ascii="宋体" w:hAnsi="宋体" w:eastAsia="宋体" w:cs="宋体"/>
                <w:i w:val="0"/>
                <w:iCs w:val="0"/>
                <w:color w:val="000000"/>
                <w:kern w:val="0"/>
                <w:sz w:val="22"/>
                <w:szCs w:val="22"/>
                <w:u w:val="none"/>
                <w:lang w:val="en-US" w:eastAsia="zh-CN" w:bidi="ar"/>
              </w:rPr>
              <w:t>轿车</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2.</w:t>
            </w:r>
            <w:r>
              <w:rPr>
                <w:rFonts w:hint="eastAsia" w:ascii="宋体" w:hAnsi="宋体" w:eastAsia="宋体" w:cs="宋体"/>
                <w:i w:val="0"/>
                <w:iCs w:val="0"/>
                <w:color w:val="000000"/>
                <w:kern w:val="0"/>
                <w:sz w:val="22"/>
                <w:szCs w:val="22"/>
                <w:u w:val="none"/>
                <w:lang w:val="en-US" w:eastAsia="zh-CN" w:bidi="ar"/>
              </w:rPr>
              <w:t>越野车</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3.</w:t>
            </w:r>
            <w:r>
              <w:rPr>
                <w:rFonts w:hint="eastAsia" w:ascii="宋体" w:hAnsi="宋体" w:eastAsia="宋体" w:cs="宋体"/>
                <w:i w:val="0"/>
                <w:iCs w:val="0"/>
                <w:color w:val="000000"/>
                <w:kern w:val="0"/>
                <w:sz w:val="22"/>
                <w:szCs w:val="22"/>
                <w:u w:val="none"/>
                <w:lang w:val="en-US" w:eastAsia="zh-CN" w:bidi="ar"/>
              </w:rPr>
              <w:t>小型载客汽车</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4.</w:t>
            </w:r>
            <w:r>
              <w:rPr>
                <w:rFonts w:hint="eastAsia" w:ascii="宋体" w:hAnsi="宋体" w:eastAsia="宋体" w:cs="宋体"/>
                <w:i w:val="0"/>
                <w:iCs w:val="0"/>
                <w:color w:val="000000"/>
                <w:kern w:val="0"/>
                <w:sz w:val="22"/>
                <w:szCs w:val="22"/>
                <w:u w:val="none"/>
                <w:lang w:val="en-US" w:eastAsia="zh-CN" w:bidi="ar"/>
              </w:rPr>
              <w:t>大中型载客汽车</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5.</w:t>
            </w:r>
            <w:r>
              <w:rPr>
                <w:rFonts w:hint="eastAsia" w:ascii="宋体" w:hAnsi="宋体" w:eastAsia="宋体" w:cs="宋体"/>
                <w:i w:val="0"/>
                <w:iCs w:val="0"/>
                <w:color w:val="000000"/>
                <w:kern w:val="0"/>
                <w:sz w:val="22"/>
                <w:szCs w:val="22"/>
                <w:u w:val="none"/>
                <w:lang w:val="en-US" w:eastAsia="zh-CN" w:bidi="ar"/>
              </w:rPr>
              <w:t>其他车型</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减：固定资产累计折旧</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31.956431</w:t>
            </w: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48.438615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364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固定资产净值</w:t>
            </w:r>
          </w:p>
        </w:tc>
        <w:tc>
          <w:tcPr>
            <w:tcW w:w="238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57.808369</w:t>
            </w:r>
          </w:p>
        </w:tc>
        <w:tc>
          <w:tcPr>
            <w:tcW w:w="24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等线" w:cs="Times New Roman"/>
                <w:i w:val="0"/>
                <w:iCs w:val="0"/>
                <w:color w:val="000000"/>
                <w:sz w:val="22"/>
                <w:szCs w:val="22"/>
                <w:u w:val="none"/>
                <w:lang w:val="en-US" w:eastAsia="zh-CN"/>
              </w:rPr>
            </w:pPr>
            <w:r>
              <w:rPr>
                <w:rFonts w:hint="eastAsia" w:ascii="Times New Roman" w:hAnsi="Times New Roman" w:eastAsia="等线" w:cs="Times New Roman"/>
                <w:i w:val="0"/>
                <w:iCs w:val="0"/>
                <w:color w:val="000000"/>
                <w:sz w:val="22"/>
                <w:szCs w:val="22"/>
                <w:u w:val="none"/>
                <w:lang w:val="en-US" w:eastAsia="zh-CN"/>
              </w:rPr>
              <w:t>83.520085</w:t>
            </w:r>
          </w:p>
        </w:tc>
      </w:tr>
    </w:tbl>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pStyle w:val="9"/>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textAlignment w:val="auto"/>
        <w:outlineLvl w:val="1"/>
        <w:rPr>
          <w:rFonts w:hint="eastAsia" w:ascii="楷体_GB2312" w:hAnsi="楷体_GB2312" w:eastAsia="楷体_GB2312" w:cs="楷体_GB2312"/>
          <w:b/>
          <w:bCs/>
          <w:color w:val="000000"/>
          <w:sz w:val="32"/>
          <w:szCs w:val="32"/>
        </w:rPr>
      </w:pPr>
      <w:bookmarkStart w:id="4" w:name="_Toc19522"/>
      <w:r>
        <w:rPr>
          <w:rFonts w:hint="eastAsia" w:ascii="楷体_GB2312" w:hAnsi="楷体_GB2312" w:eastAsia="楷体_GB2312" w:cs="楷体_GB2312"/>
          <w:b/>
          <w:bCs/>
          <w:color w:val="000000"/>
          <w:sz w:val="32"/>
          <w:szCs w:val="32"/>
        </w:rPr>
        <w:t>当年部门（单位）履职总体目标、工作任务。</w:t>
      </w:r>
      <w:bookmarkEnd w:id="4"/>
    </w:p>
    <w:p>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b/>
          <w:bCs/>
          <w:sz w:val="32"/>
          <w:szCs w:val="32"/>
          <w:lang w:eastAsia="zh-CN"/>
        </w:rPr>
      </w:pPr>
      <w:bookmarkStart w:id="5" w:name="_Toc10378"/>
      <w:r>
        <w:rPr>
          <w:rFonts w:hint="eastAsia" w:ascii="仿宋_GB2312" w:hAnsi="仿宋_GB2312" w:eastAsia="仿宋_GB2312" w:cs="仿宋_GB2312"/>
          <w:sz w:val="32"/>
          <w:szCs w:val="32"/>
          <w:lang w:val="en-US" w:eastAsia="zh-CN"/>
        </w:rPr>
        <w:t>2023年，</w:t>
      </w:r>
      <w:r>
        <w:rPr>
          <w:rFonts w:hint="eastAsia" w:ascii="仿宋_GB2312" w:eastAsia="仿宋_GB2312"/>
          <w:color w:val="000000" w:themeColor="text1"/>
          <w:sz w:val="32"/>
          <w:szCs w:val="32"/>
          <w14:textFill>
            <w14:solidFill>
              <w14:schemeClr w14:val="tx1"/>
            </w14:solidFill>
          </w14:textFill>
        </w:rPr>
        <w:t>县民政局坚持以习近平新时代中国特色社会主义思想为引领，全面贯彻落实县委、县政府决策部署，积极践行“民政为民、民政爱民”工作理念，</w:t>
      </w:r>
      <w:r>
        <w:rPr>
          <w:rFonts w:hint="eastAsia" w:ascii="仿宋_GB2312" w:hAnsi="仿宋_GB2312" w:eastAsia="仿宋_GB2312" w:cs="仿宋_GB2312"/>
          <w:sz w:val="32"/>
          <w:szCs w:val="32"/>
          <w:lang w:val="en-US" w:eastAsia="zh-CN"/>
        </w:rPr>
        <w:t>聚焦特殊群体、聚焦群众关切，</w:t>
      </w:r>
      <w:r>
        <w:rPr>
          <w:rFonts w:hint="eastAsia" w:ascii="仿宋_GB2312" w:hAnsi="仿宋_GB2312" w:eastAsia="仿宋_GB2312" w:cs="仿宋_GB2312"/>
          <w:color w:val="000000"/>
          <w:spacing w:val="-4"/>
          <w:sz w:val="32"/>
          <w:szCs w:val="32"/>
          <w:lang w:val="en-US" w:eastAsia="zh-CN"/>
        </w:rPr>
        <w:t>扎实开展了民政领域各项工作。</w:t>
      </w:r>
      <w:r>
        <w:rPr>
          <w:rFonts w:hint="eastAsia" w:ascii="黑体" w:hAnsi="黑体" w:eastAsia="黑体"/>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围绕民生保障推动社会救助提标扩围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1.不断提高困难群众保障标准。</w:t>
      </w:r>
      <w:r>
        <w:rPr>
          <w:rFonts w:hint="eastAsia" w:ascii="仿宋_GB2312" w:hAnsi="仿宋_GB2312" w:eastAsia="仿宋_GB2312" w:cs="仿宋_GB2312"/>
          <w:sz w:val="32"/>
          <w:szCs w:val="32"/>
          <w:lang w:val="en-US" w:eastAsia="zh-CN"/>
        </w:rPr>
        <w:t>根据上级工作部署，我县城乡低保保障月标准提高到915元，人均补差580元；特困人员供养月标准提高到1190元，护理补贴按照失能1480元、半失能370元、自理100元月标准进行发放。困难群众保障资金提标提补工作于4月份全部完成，补发资金216.78万元，惠及困难群众15060人。今年以来，已发放低保家庭及特困人员保障资金6821.73万元，目前，最低生活保障家庭共有4547户，8490人，特困人员720人、孤儿15人、事实无人抚养儿童190人、重度残疾3133人、困难残疾2954人、困难重度失能残疾73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2.全面实施社会救助扩围增效。</w:t>
      </w:r>
      <w:r>
        <w:rPr>
          <w:rFonts w:hint="eastAsia" w:ascii="仿宋_GB2312" w:hAnsi="仿宋_GB2312" w:eastAsia="仿宋_GB2312" w:cs="仿宋_GB2312"/>
          <w:sz w:val="32"/>
          <w:szCs w:val="32"/>
          <w:lang w:val="en-US" w:eastAsia="zh-CN"/>
        </w:rPr>
        <w:t>针对目前我县最低生活保障家庭整户保率不高，基层认定整户保不精准等问题，在全县范围内开展“整户保”摸排工作，其中低保保障人口占户籍人口比率从年初的2.6%上升到2.79%，净增长372人，整户保比率从年初的28.82%上升到64.87%。同时，结合“整户保”摸排，将符合条件的困难群众分层分类纳入社会救助范畴，共新增城乡最低生活保障对象733人，城乡特困人员129人，低保边缘家庭133人，支出型困难家庭61人。为持续加强“赣服通”社会救助申请功能推广使用，全面推行社会救助“码上救”，各乡镇和村（社区）窗口都张贴了“赣服通”社会救助申请二维码，今年共办理323起“赣服通”社会救助申请，申请办结率达到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3.着力推进救助主动发现机制。</w:t>
      </w:r>
      <w:r>
        <w:rPr>
          <w:rFonts w:hint="eastAsia" w:ascii="仿宋_GB2312" w:hAnsi="仿宋_GB2312" w:eastAsia="仿宋_GB2312" w:cs="仿宋_GB2312"/>
          <w:sz w:val="32"/>
          <w:szCs w:val="32"/>
          <w:lang w:val="en-US" w:eastAsia="zh-CN"/>
        </w:rPr>
        <w:t>通过与乡村振兴部门掌握的脱贫不稳定户、边缘易致贫户、突发严重困难户等信息和教体、人社、住建、卫健、应急、医保等部门专项救助信息定期进行数据交叉比对并动态更新，筛查出未纳入兜底保障的对象，指导开展摸底排查，持续加强基本生活救助制度与专项救助制度衔接，实现救助帮扶的闭环管理。</w:t>
      </w:r>
      <w:r>
        <w:rPr>
          <w:rFonts w:hint="eastAsia" w:ascii="仿宋_GB2312" w:hAnsi="仿宋_GB2312" w:eastAsia="仿宋_GB2312" w:cs="仿宋_GB2312"/>
          <w:sz w:val="32"/>
          <w:szCs w:val="32"/>
        </w:rPr>
        <w:t>今年共推送677名新增低保及特困数据给各专项救助部门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共比对6万余人次数据，通过比对共纳入7户15人</w:t>
      </w:r>
      <w:r>
        <w:rPr>
          <w:rFonts w:hint="eastAsia" w:ascii="仿宋_GB2312" w:hAnsi="仿宋_GB2312" w:eastAsia="仿宋_GB2312" w:cs="仿宋_GB2312"/>
          <w:sz w:val="32"/>
          <w:szCs w:val="32"/>
          <w:lang w:eastAsia="zh-CN"/>
        </w:rPr>
        <w:t>进入</w:t>
      </w:r>
      <w:r>
        <w:rPr>
          <w:rFonts w:hint="eastAsia" w:ascii="仿宋_GB2312" w:hAnsi="仿宋_GB2312" w:eastAsia="仿宋_GB2312" w:cs="仿宋_GB2312"/>
          <w:sz w:val="32"/>
          <w:szCs w:val="32"/>
        </w:rPr>
        <w:t>低保保障范围。针对数字民政系统预警摸排不及时等问题，</w:t>
      </w:r>
      <w:r>
        <w:rPr>
          <w:rFonts w:hint="eastAsia" w:ascii="仿宋_GB2312" w:hAnsi="仿宋_GB2312" w:eastAsia="仿宋_GB2312" w:cs="仿宋_GB2312"/>
          <w:sz w:val="32"/>
          <w:szCs w:val="32"/>
          <w:lang w:val="en-US" w:eastAsia="zh-CN"/>
        </w:rPr>
        <w:t>下发</w:t>
      </w:r>
      <w:r>
        <w:rPr>
          <w:rFonts w:hint="eastAsia" w:ascii="仿宋_GB2312" w:hAnsi="仿宋_GB2312" w:eastAsia="仿宋_GB2312" w:cs="仿宋_GB2312"/>
          <w:sz w:val="32"/>
          <w:szCs w:val="32"/>
        </w:rPr>
        <w:t>了《安义县社会救助主动发现工作机制实施方案》，并多次召开乡镇民政工作会议，要求对预警数据进行摸排处理，充分发挥主动发现机制作用，</w:t>
      </w:r>
      <w:r>
        <w:rPr>
          <w:rFonts w:hint="eastAsia" w:ascii="仿宋_GB2312" w:hAnsi="仿宋_GB2312" w:eastAsia="仿宋_GB2312" w:cs="仿宋_GB2312"/>
          <w:sz w:val="32"/>
          <w:szCs w:val="32"/>
          <w:lang w:val="en-US" w:eastAsia="zh-CN"/>
        </w:rPr>
        <w:t>目前，</w:t>
      </w:r>
      <w:r>
        <w:rPr>
          <w:rFonts w:hint="eastAsia" w:ascii="仿宋_GB2312" w:hAnsi="仿宋_GB2312" w:eastAsia="仿宋_GB2312" w:cs="仿宋_GB2312"/>
          <w:sz w:val="32"/>
          <w:szCs w:val="32"/>
        </w:rPr>
        <w:t>我县预警处置率为100%，相较于年初，效率大大提升。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深度提升社会救助基层经办能力</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通过下发的</w:t>
      </w:r>
      <w:r>
        <w:rPr>
          <w:rFonts w:hint="eastAsia" w:ascii="仿宋_GB2312" w:hAnsi="仿宋_GB2312" w:eastAsia="仿宋_GB2312" w:cs="仿宋_GB2312"/>
          <w:sz w:val="32"/>
          <w:szCs w:val="32"/>
        </w:rPr>
        <w:t>社会救助通报体现的重点问题要求乡镇做出问题整改及情况说明，并根据通报的问题制定社会救助工作提示，使乡镇能正确实施社会救助服务，让通报不仅是以排名为目的，而是以提升乡镇经办能力为目的，从每期通报的各项指标上来看，我县各项基层经办数据有了很大的提升。</w:t>
      </w:r>
      <w:r>
        <w:rPr>
          <w:rFonts w:hint="eastAsia" w:ascii="仿宋_GB2312" w:hAnsi="仿宋_GB2312" w:eastAsia="仿宋_GB2312" w:cs="仿宋_GB2312"/>
          <w:sz w:val="32"/>
          <w:szCs w:val="32"/>
          <w:lang w:val="en-US" w:eastAsia="zh-CN"/>
        </w:rPr>
        <w:t>不定期</w:t>
      </w:r>
      <w:r>
        <w:rPr>
          <w:rFonts w:hint="eastAsia" w:ascii="仿宋_GB2312" w:hAnsi="仿宋_GB2312" w:eastAsia="仿宋_GB2312" w:cs="仿宋_GB2312"/>
          <w:sz w:val="32"/>
          <w:szCs w:val="32"/>
        </w:rPr>
        <w:t>组织召开全县社会救助业务知识培训会，将最新的文件政策面对面</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进行解读，将基层社会救助存在的问题面对面</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交流进行解决，同时还要求乡镇将培训会延伸至村（社区）一级，配合下阶段的督导检查，在规定时间内完成各项工作的落实。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5.积极营造社会救助宣传氛围。</w:t>
      </w:r>
      <w:r>
        <w:rPr>
          <w:rFonts w:hint="eastAsia" w:ascii="仿宋_GB2312" w:hAnsi="仿宋_GB2312" w:eastAsia="仿宋_GB2312" w:cs="仿宋_GB2312"/>
          <w:sz w:val="32"/>
          <w:szCs w:val="32"/>
          <w:lang w:val="en-US" w:eastAsia="zh-CN"/>
        </w:rPr>
        <w:t>为提升社会救助政策知晓率，我局以社会救助宣传月活动为引领，组建“安心救”政策宣讲团，深入全县11个乡镇（处）开展社会救助政策宣讲。据统计，共开展讲座10场，会同乡镇（处）、村（社区）开展现场咨询90余场，发放宣传册5000份，印制发放宣传布袋5000个。在市局组织开展的2023年社会救助业务技能竞赛（决赛）中，我局干部荣获一等奖，我县荣获优秀组织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（二）围绕提质增效完善基本养老服务体系</w:t>
      </w:r>
    </w:p>
    <w:p>
      <w:pPr>
        <w:keepNext w:val="0"/>
        <w:keepLines w:val="0"/>
        <w:pageBreakBefore w:val="0"/>
        <w:widowControl w:val="0"/>
        <w:tabs>
          <w:tab w:val="left" w:pos="797"/>
        </w:tabs>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1.加快推进中心养老院建设。</w:t>
      </w:r>
      <w:r>
        <w:rPr>
          <w:rFonts w:hint="eastAsia" w:ascii="仿宋_GB2312" w:hAnsi="仿宋_GB2312" w:eastAsia="仿宋_GB2312" w:cs="仿宋_GB2312"/>
          <w:sz w:val="32"/>
          <w:szCs w:val="32"/>
          <w:lang w:val="en-US" w:eastAsia="zh-CN"/>
        </w:rPr>
        <w:t>县中心养老院总投入1320万元，其中一期</w:t>
      </w:r>
      <w:r>
        <w:rPr>
          <w:rFonts w:hint="eastAsia" w:ascii="仿宋_GB2312" w:hAnsi="仿宋_GB2312" w:eastAsia="仿宋_GB2312" w:cs="仿宋_GB2312"/>
          <w:i w:val="0"/>
          <w:iCs w:val="0"/>
          <w:caps w:val="0"/>
          <w:color w:val="auto"/>
          <w:spacing w:val="8"/>
          <w:sz w:val="32"/>
          <w:szCs w:val="32"/>
          <w:shd w:val="clear" w:color="auto" w:fill="FFFFFF"/>
          <w:lang w:val="en-US" w:eastAsia="zh-CN"/>
        </w:rPr>
        <w:t>项目列入我县2023年民生实事项目，</w:t>
      </w:r>
      <w:r>
        <w:rPr>
          <w:rFonts w:hint="eastAsia" w:ascii="仿宋_GB2312" w:hAnsi="仿宋_GB2312" w:eastAsia="仿宋_GB2312" w:cs="仿宋_GB2312"/>
          <w:sz w:val="32"/>
          <w:szCs w:val="32"/>
          <w:lang w:val="en-US" w:eastAsia="zh-CN"/>
        </w:rPr>
        <w:t>4月初启动建设，主要</w:t>
      </w:r>
      <w:r>
        <w:rPr>
          <w:rFonts w:hint="eastAsia" w:ascii="仿宋_GB2312" w:hAnsi="仿宋" w:eastAsia="仿宋_GB2312" w:cs="仿宋"/>
          <w:color w:val="000000"/>
          <w:kern w:val="2"/>
          <w:sz w:val="32"/>
          <w:szCs w:val="32"/>
          <w:shd w:val="clear" w:color="auto" w:fill="FFFFFF"/>
          <w:lang w:val="en-US" w:eastAsia="zh-CN" w:bidi="ar-SA"/>
        </w:rPr>
        <w:t>对颐养楼（</w:t>
      </w:r>
      <w:r>
        <w:rPr>
          <w:rFonts w:hint="default" w:ascii="仿宋_GB2312" w:hAnsi="仿宋" w:eastAsia="仿宋_GB2312" w:cs="仿宋"/>
          <w:color w:val="000000"/>
          <w:kern w:val="2"/>
          <w:sz w:val="32"/>
          <w:szCs w:val="32"/>
          <w:shd w:val="clear" w:color="auto" w:fill="FFFFFF"/>
          <w:lang w:val="en-US" w:eastAsia="zh-CN" w:bidi="ar-SA"/>
        </w:rPr>
        <w:t>建</w:t>
      </w:r>
      <w:r>
        <w:rPr>
          <w:rFonts w:hint="eastAsia" w:ascii="仿宋_GB2312" w:hAnsi="仿宋" w:eastAsia="仿宋_GB2312" w:cs="仿宋"/>
          <w:color w:val="000000"/>
          <w:kern w:val="2"/>
          <w:sz w:val="32"/>
          <w:szCs w:val="32"/>
          <w:shd w:val="clear" w:color="auto" w:fill="FFFFFF"/>
          <w:lang w:val="en-US" w:eastAsia="zh-CN" w:bidi="ar-SA"/>
        </w:rPr>
        <w:t>筑</w:t>
      </w:r>
      <w:r>
        <w:rPr>
          <w:rFonts w:hint="default" w:ascii="仿宋_GB2312" w:hAnsi="仿宋" w:eastAsia="仿宋_GB2312" w:cs="仿宋"/>
          <w:color w:val="000000"/>
          <w:kern w:val="2"/>
          <w:sz w:val="32"/>
          <w:szCs w:val="32"/>
          <w:shd w:val="clear" w:color="auto" w:fill="FFFFFF"/>
          <w:lang w:val="en-US" w:eastAsia="zh-CN" w:bidi="ar-SA"/>
        </w:rPr>
        <w:t>面</w:t>
      </w:r>
      <w:r>
        <w:rPr>
          <w:rFonts w:hint="eastAsia" w:ascii="仿宋_GB2312" w:hAnsi="仿宋" w:eastAsia="仿宋_GB2312" w:cs="仿宋"/>
          <w:color w:val="000000"/>
          <w:kern w:val="2"/>
          <w:sz w:val="32"/>
          <w:szCs w:val="32"/>
          <w:shd w:val="clear" w:color="auto" w:fill="FFFFFF"/>
          <w:lang w:val="en-US" w:eastAsia="zh-CN" w:bidi="ar-SA"/>
        </w:rPr>
        <w:t>积</w:t>
      </w:r>
      <w:r>
        <w:rPr>
          <w:rFonts w:hint="default" w:ascii="仿宋_GB2312" w:hAnsi="仿宋" w:eastAsia="仿宋_GB2312" w:cs="仿宋"/>
          <w:color w:val="000000"/>
          <w:kern w:val="2"/>
          <w:sz w:val="32"/>
          <w:szCs w:val="32"/>
          <w:shd w:val="clear" w:color="auto" w:fill="FFFFFF"/>
          <w:lang w:val="en-US" w:eastAsia="zh-CN" w:bidi="ar-SA"/>
        </w:rPr>
        <w:t>3723㎡</w:t>
      </w:r>
      <w:r>
        <w:rPr>
          <w:rFonts w:hint="eastAsia" w:ascii="仿宋_GB2312" w:hAnsi="仿宋" w:eastAsia="仿宋_GB2312" w:cs="仿宋"/>
          <w:color w:val="000000"/>
          <w:kern w:val="2"/>
          <w:sz w:val="32"/>
          <w:szCs w:val="32"/>
          <w:shd w:val="clear" w:color="auto" w:fill="FFFFFF"/>
          <w:lang w:val="en-US" w:eastAsia="zh-CN" w:bidi="ar-SA"/>
        </w:rPr>
        <w:t>）进行屋顶及墙面防漏处理、室内外装修改造、消防改造、加装电梯等，建筑面积达3723㎡，老人住宿房间75间，每层设2个功能活动室，一楼单独设立洗衣房及助浴室</w:t>
      </w:r>
      <w:r>
        <w:rPr>
          <w:rFonts w:hint="eastAsia" w:ascii="仿宋_GB2312" w:hAnsi="仿宋_GB2312" w:eastAsia="仿宋_GB2312" w:cs="仿宋_GB2312"/>
          <w:sz w:val="32"/>
          <w:szCs w:val="32"/>
          <w:lang w:val="en-US" w:eastAsia="zh-CN"/>
        </w:rPr>
        <w:t>。二期项目于</w:t>
      </w:r>
      <w:r>
        <w:rPr>
          <w:rFonts w:hint="default"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lang w:val="en-US" w:eastAsia="zh-CN"/>
        </w:rPr>
        <w:t>年10月底开工建设，主要对综合楼（建筑面积</w:t>
      </w:r>
      <w:r>
        <w:rPr>
          <w:rFonts w:hint="default" w:ascii="仿宋_GB2312" w:hAnsi="仿宋_GB2312" w:eastAsia="仿宋_GB2312" w:cs="仿宋_GB2312"/>
          <w:sz w:val="32"/>
          <w:szCs w:val="32"/>
          <w:lang w:val="en-US" w:eastAsia="zh-CN"/>
        </w:rPr>
        <w:t>1626㎡</w:t>
      </w:r>
      <w:r>
        <w:rPr>
          <w:rFonts w:hint="eastAsia" w:ascii="仿宋_GB2312" w:hAnsi="仿宋_GB2312" w:eastAsia="仿宋_GB2312" w:cs="仿宋_GB2312"/>
          <w:sz w:val="32"/>
          <w:szCs w:val="32"/>
          <w:lang w:val="en-US" w:eastAsia="zh-CN"/>
        </w:rPr>
        <w:t>）、厨房、院内环境等进行提升改造，</w:t>
      </w:r>
      <w:r>
        <w:rPr>
          <w:rFonts w:hint="eastAsia" w:ascii="仿宋_GB2312" w:hAnsi="仿宋" w:eastAsia="仿宋_GB2312" w:cs="仿宋"/>
          <w:color w:val="000000"/>
          <w:sz w:val="32"/>
          <w:szCs w:val="32"/>
          <w:shd w:val="clear" w:color="auto" w:fill="FFFFFF"/>
          <w:lang w:val="en-US" w:eastAsia="zh-CN"/>
        </w:rPr>
        <w:t>布设养老功能室（卫生室、文娱室、多媒体室、运动室、签约室等），</w:t>
      </w:r>
      <w:r>
        <w:rPr>
          <w:rFonts w:hint="eastAsia" w:ascii="仿宋_GB2312" w:hAnsi="仿宋_GB2312" w:eastAsia="仿宋_GB2312" w:cs="仿宋_GB2312"/>
          <w:sz w:val="32"/>
          <w:szCs w:val="32"/>
          <w:lang w:val="en-US" w:eastAsia="zh-CN"/>
        </w:rPr>
        <w:t>目前项目已基本完工并启动</w:t>
      </w:r>
      <w:r>
        <w:rPr>
          <w:rFonts w:hint="default" w:ascii="仿宋_GB2312" w:hAnsi="仿宋_GB2312" w:eastAsia="仿宋_GB2312" w:cs="仿宋_GB2312"/>
          <w:sz w:val="32"/>
          <w:szCs w:val="32"/>
          <w:lang w:val="en-US" w:eastAsia="zh-CN"/>
        </w:rPr>
        <w:t>试</w:t>
      </w:r>
      <w:r>
        <w:rPr>
          <w:rFonts w:hint="eastAsia" w:ascii="仿宋_GB2312" w:hAnsi="仿宋_GB2312" w:eastAsia="仿宋_GB2312" w:cs="仿宋_GB2312"/>
          <w:i w:val="0"/>
          <w:iCs w:val="0"/>
          <w:caps w:val="0"/>
          <w:color w:val="auto"/>
          <w:spacing w:val="8"/>
          <w:sz w:val="32"/>
          <w:szCs w:val="32"/>
          <w:shd w:val="clear" w:color="auto" w:fill="FFFFFF"/>
          <w:lang w:val="en-US" w:eastAsia="zh-CN"/>
        </w:rPr>
        <w:t>运营。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2.深入推进公办养老机构改革。</w:t>
      </w:r>
      <w:r>
        <w:rPr>
          <w:rFonts w:hint="eastAsia" w:ascii="仿宋_GB2312" w:hAnsi="Times New Roman" w:eastAsia="仿宋_GB2312" w:cs="仿宋_GB2312"/>
          <w:spacing w:val="-4"/>
          <w:sz w:val="32"/>
          <w:szCs w:val="32"/>
          <w:lang w:val="en-US" w:eastAsia="zh-CN"/>
        </w:rPr>
        <w:t>为解决我县养老机构管理不到位、入住率低、专业服务水平低、消防设施不达标等问题，启动了安义县公办养老机构改革工作，制定了《安义县优化公办养老资源配置工作方案》，并对全县10个乡镇敬老院进行整合。目前，</w:t>
      </w:r>
      <w:r>
        <w:rPr>
          <w:rFonts w:hint="eastAsia" w:ascii="仿宋_GB2312" w:hAnsi="仿宋_GB2312" w:eastAsia="仿宋_GB2312" w:cs="仿宋_GB2312"/>
          <w:color w:val="auto"/>
          <w:kern w:val="2"/>
          <w:sz w:val="32"/>
          <w:szCs w:val="32"/>
          <w:lang w:val="en-US" w:eastAsia="zh-CN" w:bidi="ar-SA"/>
        </w:rPr>
        <w:t>县社会福利院（县中心养老院）已投入使用，并将乡镇</w:t>
      </w:r>
      <w:r>
        <w:rPr>
          <w:rFonts w:hint="eastAsia" w:ascii="仿宋_GB2312" w:eastAsia="仿宋_GB2312"/>
          <w:sz w:val="32"/>
          <w:szCs w:val="32"/>
          <w:lang w:val="en-US" w:eastAsia="zh-CN"/>
        </w:rPr>
        <w:t>敬老院老人和前期安置在县社会福利中心的老人（半失能和全自理老人）统一安排至县中心养老院进行集中照护，</w:t>
      </w:r>
      <w:r>
        <w:rPr>
          <w:rFonts w:hint="eastAsia" w:ascii="仿宋_GB2312" w:hAnsi="Times New Roman" w:eastAsia="仿宋_GB2312" w:cs="仿宋_GB2312"/>
          <w:spacing w:val="-4"/>
          <w:sz w:val="32"/>
          <w:szCs w:val="32"/>
          <w:lang w:val="en-US" w:eastAsia="zh-CN"/>
        </w:rPr>
        <w:t>预计机构入住率可由原来的33%提升至89%，</w:t>
      </w:r>
      <w:r>
        <w:rPr>
          <w:rFonts w:hint="eastAsia" w:ascii="仿宋_GB2312" w:eastAsia="仿宋_GB2312"/>
          <w:sz w:val="32"/>
          <w:szCs w:val="32"/>
          <w:lang w:val="en-US" w:eastAsia="zh-CN"/>
        </w:rPr>
        <w:t>改革到位后，初步形成全县养老机构改革“十合一”模式。</w:t>
      </w:r>
    </w:p>
    <w:p>
      <w:pPr>
        <w:keepNext w:val="0"/>
        <w:keepLines w:val="0"/>
        <w:pageBreakBefore w:val="0"/>
        <w:widowControl w:val="0"/>
        <w:tabs>
          <w:tab w:val="left" w:pos="797"/>
        </w:tabs>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3.全面推进“一老一小”幸福院建设。</w:t>
      </w:r>
      <w:r>
        <w:rPr>
          <w:rFonts w:hint="eastAsia" w:ascii="仿宋_GB2312" w:eastAsia="仿宋_GB2312"/>
          <w:sz w:val="32"/>
          <w:szCs w:val="32"/>
          <w:lang w:val="en-US" w:eastAsia="zh-CN"/>
        </w:rPr>
        <w:t>2023年，</w:t>
      </w:r>
      <w:r>
        <w:rPr>
          <w:rFonts w:hint="eastAsia" w:ascii="仿宋_GB2312" w:hAnsi="仿宋_GB2312" w:eastAsia="仿宋_GB2312" w:cs="仿宋_GB2312"/>
          <w:sz w:val="32"/>
          <w:szCs w:val="32"/>
          <w:lang w:val="en-US" w:eastAsia="zh-CN"/>
        </w:rPr>
        <w:t>按照省委、省政府部署要求，在14个县（市、区）优化县域义务教育资源配置试点县同步开展优化农村“一老一小”关爱服务资源配置试点工作，我县代表南昌市且唯一的一个县（区）去落实省委、省政府“一老一小”改革试点工作任务。围绕“服务便利、环境整洁、乡镇村积极主动、群众有需求”总要求，</w:t>
      </w:r>
      <w:r>
        <w:rPr>
          <w:rFonts w:hint="eastAsia" w:ascii="仿宋_GB2312" w:hAnsi="仿宋_GB2312" w:eastAsia="仿宋_GB2312" w:cs="仿宋_GB2312"/>
          <w:color w:val="auto"/>
          <w:sz w:val="32"/>
          <w:szCs w:val="32"/>
          <w:lang w:val="en-US" w:eastAsia="zh-CN"/>
        </w:rPr>
        <w:t>选定10个闲置小学、1个乡镇敬老院及7个农村颐养之家共18个乡村资源作为“一老一小”幸福院示范点位，</w:t>
      </w:r>
      <w:r>
        <w:rPr>
          <w:rFonts w:hint="default" w:ascii="仿宋_GB2312" w:hAnsi="仿宋_GB2312" w:eastAsia="仿宋_GB2312" w:cs="仿宋_GB2312"/>
          <w:b w:val="0"/>
          <w:bCs w:val="0"/>
          <w:spacing w:val="0"/>
          <w:kern w:val="2"/>
          <w:sz w:val="32"/>
          <w:szCs w:val="32"/>
          <w:lang w:val="en-US" w:eastAsia="zh-CN" w:bidi="ar-SA"/>
        </w:rPr>
        <w:t>创新性制定了党建引领幸福院建设、幸福院建设导则、幸福院建设星级评定</w:t>
      </w:r>
      <w:r>
        <w:rPr>
          <w:rFonts w:hint="eastAsia" w:ascii="仿宋_GB2312" w:hAnsi="仿宋_GB2312" w:eastAsia="仿宋_GB2312" w:cs="仿宋_GB2312"/>
          <w:b w:val="0"/>
          <w:bCs w:val="0"/>
          <w:spacing w:val="0"/>
          <w:kern w:val="2"/>
          <w:sz w:val="32"/>
          <w:szCs w:val="32"/>
          <w:lang w:val="en-US" w:eastAsia="zh-CN" w:bidi="ar-SA"/>
        </w:rPr>
        <w:t>等工作机制</w:t>
      </w:r>
      <w:r>
        <w:rPr>
          <w:rFonts w:hint="default" w:ascii="仿宋_GB2312" w:hAnsi="仿宋_GB2312" w:eastAsia="仿宋_GB2312" w:cs="仿宋_GB2312"/>
          <w:b w:val="0"/>
          <w:bCs w:val="0"/>
          <w:spacing w:val="0"/>
          <w:kern w:val="2"/>
          <w:sz w:val="32"/>
          <w:szCs w:val="32"/>
          <w:lang w:val="en-US" w:eastAsia="zh-CN" w:bidi="ar-SA"/>
        </w:rPr>
        <w:t>，</w:t>
      </w:r>
      <w:r>
        <w:rPr>
          <w:rFonts w:hint="eastAsia" w:ascii="仿宋_GB2312" w:hAnsi="仿宋_GB2312" w:eastAsia="仿宋_GB2312" w:cs="仿宋_GB2312"/>
          <w:b w:val="0"/>
          <w:bCs w:val="0"/>
          <w:spacing w:val="0"/>
          <w:kern w:val="2"/>
          <w:sz w:val="32"/>
          <w:szCs w:val="32"/>
          <w:lang w:val="en-US" w:eastAsia="zh-CN" w:bidi="ar-SA"/>
        </w:rPr>
        <w:t>构</w:t>
      </w:r>
      <w:r>
        <w:rPr>
          <w:rFonts w:hint="default" w:ascii="仿宋_GB2312" w:hAnsi="仿宋_GB2312" w:eastAsia="仿宋_GB2312" w:cs="仿宋_GB2312"/>
          <w:b w:val="0"/>
          <w:bCs w:val="0"/>
          <w:spacing w:val="0"/>
          <w:kern w:val="2"/>
          <w:sz w:val="32"/>
          <w:szCs w:val="32"/>
          <w:lang w:val="en-US" w:eastAsia="zh-CN" w:bidi="ar-SA"/>
        </w:rPr>
        <w:t>建</w:t>
      </w:r>
      <w:r>
        <w:rPr>
          <w:rFonts w:hint="eastAsia" w:ascii="仿宋_GB2312" w:hAnsi="仿宋_GB2312" w:eastAsia="仿宋_GB2312" w:cs="仿宋_GB2312"/>
          <w:b w:val="0"/>
          <w:bCs w:val="0"/>
          <w:spacing w:val="0"/>
          <w:kern w:val="2"/>
          <w:sz w:val="32"/>
          <w:szCs w:val="32"/>
          <w:lang w:val="en-US" w:eastAsia="zh-CN" w:bidi="ar-SA"/>
        </w:rPr>
        <w:t>了村级党</w:t>
      </w:r>
      <w:r>
        <w:rPr>
          <w:rFonts w:hint="default" w:ascii="仿宋_GB2312" w:hAnsi="仿宋_GB2312" w:eastAsia="仿宋_GB2312" w:cs="仿宋_GB2312"/>
          <w:b w:val="0"/>
          <w:bCs w:val="0"/>
          <w:spacing w:val="0"/>
          <w:kern w:val="2"/>
          <w:sz w:val="32"/>
          <w:szCs w:val="32"/>
          <w:lang w:val="en-US" w:eastAsia="zh-CN" w:bidi="ar-SA"/>
        </w:rPr>
        <w:t>群</w:t>
      </w:r>
      <w:r>
        <w:rPr>
          <w:rFonts w:hint="eastAsia" w:ascii="仿宋_GB2312" w:hAnsi="仿宋_GB2312" w:eastAsia="仿宋_GB2312" w:cs="仿宋_GB2312"/>
          <w:b w:val="0"/>
          <w:bCs w:val="0"/>
          <w:spacing w:val="0"/>
          <w:kern w:val="2"/>
          <w:sz w:val="32"/>
          <w:szCs w:val="32"/>
          <w:lang w:val="en-US" w:eastAsia="zh-CN" w:bidi="ar-SA"/>
        </w:rPr>
        <w:t>服务</w:t>
      </w:r>
      <w:r>
        <w:rPr>
          <w:rFonts w:hint="default" w:ascii="仿宋_GB2312" w:hAnsi="仿宋_GB2312" w:eastAsia="仿宋_GB2312" w:cs="仿宋_GB2312"/>
          <w:b w:val="0"/>
          <w:bCs w:val="0"/>
          <w:spacing w:val="0"/>
          <w:kern w:val="2"/>
          <w:sz w:val="32"/>
          <w:szCs w:val="32"/>
          <w:lang w:val="en-US" w:eastAsia="zh-CN" w:bidi="ar-SA"/>
        </w:rPr>
        <w:t>中</w:t>
      </w:r>
      <w:r>
        <w:rPr>
          <w:rFonts w:hint="eastAsia" w:ascii="仿宋_GB2312" w:hAnsi="仿宋_GB2312" w:eastAsia="仿宋_GB2312" w:cs="仿宋_GB2312"/>
          <w:b w:val="0"/>
          <w:bCs w:val="0"/>
          <w:spacing w:val="0"/>
          <w:kern w:val="2"/>
          <w:sz w:val="32"/>
          <w:szCs w:val="32"/>
          <w:lang w:val="en-US" w:eastAsia="zh-CN" w:bidi="ar-SA"/>
        </w:rPr>
        <w:t>心、一老一小幸福院、</w:t>
      </w:r>
      <w:r>
        <w:rPr>
          <w:rFonts w:hint="default" w:ascii="仿宋_GB2312" w:hAnsi="仿宋_GB2312" w:eastAsia="仿宋_GB2312" w:cs="仿宋_GB2312"/>
          <w:b w:val="0"/>
          <w:bCs w:val="0"/>
          <w:spacing w:val="0"/>
          <w:kern w:val="2"/>
          <w:sz w:val="32"/>
          <w:szCs w:val="32"/>
          <w:lang w:val="en-US" w:eastAsia="zh-CN" w:bidi="ar-SA"/>
        </w:rPr>
        <w:t>农</w:t>
      </w:r>
      <w:r>
        <w:rPr>
          <w:rFonts w:hint="eastAsia" w:ascii="仿宋_GB2312" w:hAnsi="仿宋_GB2312" w:eastAsia="仿宋_GB2312" w:cs="仿宋_GB2312"/>
          <w:b w:val="0"/>
          <w:bCs w:val="0"/>
          <w:spacing w:val="0"/>
          <w:kern w:val="2"/>
          <w:sz w:val="32"/>
          <w:szCs w:val="32"/>
          <w:lang w:val="en-US" w:eastAsia="zh-CN" w:bidi="ar-SA"/>
        </w:rPr>
        <w:t>村颐养之家“三合一”的</w:t>
      </w:r>
      <w:r>
        <w:rPr>
          <w:rFonts w:hint="default" w:ascii="仿宋_GB2312" w:hAnsi="仿宋_GB2312" w:eastAsia="仿宋_GB2312" w:cs="仿宋_GB2312"/>
          <w:b w:val="0"/>
          <w:bCs w:val="0"/>
          <w:spacing w:val="0"/>
          <w:kern w:val="2"/>
          <w:sz w:val="32"/>
          <w:szCs w:val="32"/>
          <w:lang w:val="en-US" w:eastAsia="zh-CN" w:bidi="ar-SA"/>
        </w:rPr>
        <w:t>安</w:t>
      </w:r>
      <w:r>
        <w:rPr>
          <w:rFonts w:hint="eastAsia" w:ascii="仿宋_GB2312" w:hAnsi="仿宋_GB2312" w:eastAsia="仿宋_GB2312" w:cs="仿宋_GB2312"/>
          <w:b w:val="0"/>
          <w:bCs w:val="0"/>
          <w:spacing w:val="0"/>
          <w:kern w:val="2"/>
          <w:sz w:val="32"/>
          <w:szCs w:val="32"/>
          <w:lang w:val="en-US" w:eastAsia="zh-CN" w:bidi="ar-SA"/>
        </w:rPr>
        <w:t>义“一老一小”幸福院建设模式，</w:t>
      </w:r>
      <w:r>
        <w:rPr>
          <w:rFonts w:hint="default" w:ascii="仿宋_GB2312" w:hAnsi="仿宋_GB2312" w:eastAsia="仿宋_GB2312" w:cs="仿宋_GB2312"/>
          <w:b w:val="0"/>
          <w:bCs w:val="0"/>
          <w:spacing w:val="0"/>
          <w:kern w:val="2"/>
          <w:sz w:val="32"/>
          <w:szCs w:val="32"/>
          <w:lang w:val="en-US" w:eastAsia="zh-CN" w:bidi="ar-SA"/>
        </w:rPr>
        <w:t>充分发挥</w:t>
      </w:r>
      <w:r>
        <w:rPr>
          <w:rFonts w:hint="eastAsia" w:ascii="仿宋_GB2312" w:hAnsi="仿宋_GB2312" w:eastAsia="仿宋_GB2312" w:cs="仿宋_GB2312"/>
          <w:b w:val="0"/>
          <w:bCs w:val="0"/>
          <w:spacing w:val="0"/>
          <w:kern w:val="2"/>
          <w:sz w:val="32"/>
          <w:szCs w:val="32"/>
          <w:lang w:val="en-US" w:eastAsia="zh-CN" w:bidi="ar-SA"/>
        </w:rPr>
        <w:t>村级</w:t>
      </w:r>
      <w:r>
        <w:rPr>
          <w:rFonts w:hint="default" w:ascii="仿宋_GB2312" w:hAnsi="仿宋_GB2312" w:eastAsia="仿宋_GB2312" w:cs="仿宋_GB2312"/>
          <w:b w:val="0"/>
          <w:bCs w:val="0"/>
          <w:spacing w:val="0"/>
          <w:kern w:val="2"/>
          <w:sz w:val="32"/>
          <w:szCs w:val="32"/>
          <w:lang w:val="en-US" w:eastAsia="zh-CN" w:bidi="ar-SA"/>
        </w:rPr>
        <w:t>党组织在幸福院日常</w:t>
      </w:r>
      <w:r>
        <w:rPr>
          <w:rFonts w:hint="eastAsia" w:ascii="仿宋_GB2312" w:hAnsi="仿宋_GB2312" w:eastAsia="仿宋_GB2312" w:cs="仿宋_GB2312"/>
          <w:b w:val="0"/>
          <w:bCs w:val="0"/>
          <w:spacing w:val="0"/>
          <w:kern w:val="2"/>
          <w:sz w:val="32"/>
          <w:szCs w:val="32"/>
          <w:lang w:val="en-US" w:eastAsia="zh-CN" w:bidi="ar-SA"/>
        </w:rPr>
        <w:t>管理运行</w:t>
      </w:r>
      <w:r>
        <w:rPr>
          <w:rFonts w:hint="default" w:ascii="仿宋_GB2312" w:hAnsi="仿宋_GB2312" w:eastAsia="仿宋_GB2312" w:cs="仿宋_GB2312"/>
          <w:b w:val="0"/>
          <w:bCs w:val="0"/>
          <w:spacing w:val="0"/>
          <w:kern w:val="2"/>
          <w:sz w:val="32"/>
          <w:szCs w:val="32"/>
          <w:lang w:val="en-US" w:eastAsia="zh-CN" w:bidi="ar-SA"/>
        </w:rPr>
        <w:t>中的引领作用</w:t>
      </w:r>
      <w:r>
        <w:rPr>
          <w:rFonts w:hint="eastAsia" w:ascii="仿宋_GB2312" w:hAnsi="仿宋_GB2312" w:eastAsia="仿宋_GB2312" w:cs="仿宋_GB2312"/>
          <w:b w:val="0"/>
          <w:bCs w:val="0"/>
          <w:spacing w:val="0"/>
          <w:kern w:val="2"/>
          <w:sz w:val="32"/>
          <w:szCs w:val="32"/>
          <w:lang w:val="en-US" w:eastAsia="zh-CN" w:bidi="ar-SA"/>
        </w:rPr>
        <w:t>，</w:t>
      </w:r>
      <w:r>
        <w:rPr>
          <w:rFonts w:hint="default" w:ascii="仿宋_GB2312" w:hAnsi="仿宋_GB2312" w:eastAsia="仿宋_GB2312" w:cs="仿宋_GB2312"/>
          <w:b w:val="0"/>
          <w:bCs w:val="0"/>
          <w:spacing w:val="0"/>
          <w:kern w:val="2"/>
          <w:sz w:val="32"/>
          <w:szCs w:val="32"/>
          <w:lang w:val="en-US" w:eastAsia="zh-CN" w:bidi="ar-SA"/>
        </w:rPr>
        <w:t>促进</w:t>
      </w:r>
      <w:r>
        <w:rPr>
          <w:rFonts w:hint="eastAsia" w:ascii="仿宋_GB2312" w:hAnsi="仿宋_GB2312" w:eastAsia="仿宋_GB2312" w:cs="仿宋_GB2312"/>
          <w:b w:val="0"/>
          <w:bCs w:val="0"/>
          <w:spacing w:val="0"/>
          <w:kern w:val="2"/>
          <w:sz w:val="32"/>
          <w:szCs w:val="32"/>
          <w:lang w:val="en-US" w:eastAsia="zh-CN" w:bidi="ar-SA"/>
        </w:rPr>
        <w:t>了</w:t>
      </w:r>
      <w:r>
        <w:rPr>
          <w:rFonts w:hint="default" w:ascii="仿宋_GB2312" w:hAnsi="仿宋_GB2312" w:eastAsia="仿宋_GB2312" w:cs="仿宋_GB2312"/>
          <w:b w:val="0"/>
          <w:bCs w:val="0"/>
          <w:spacing w:val="0"/>
          <w:kern w:val="2"/>
          <w:sz w:val="32"/>
          <w:szCs w:val="32"/>
          <w:lang w:val="en-US" w:eastAsia="zh-CN" w:bidi="ar-SA"/>
        </w:rPr>
        <w:t>幸福院建设、管理、运行</w:t>
      </w:r>
      <w:r>
        <w:rPr>
          <w:rFonts w:hint="eastAsia" w:ascii="仿宋_GB2312" w:hAnsi="仿宋_GB2312" w:eastAsia="仿宋_GB2312" w:cs="仿宋_GB2312"/>
          <w:b w:val="0"/>
          <w:bCs w:val="0"/>
          <w:spacing w:val="0"/>
          <w:kern w:val="2"/>
          <w:sz w:val="32"/>
          <w:szCs w:val="32"/>
          <w:lang w:val="en-US" w:eastAsia="zh-CN" w:bidi="ar-SA"/>
        </w:rPr>
        <w:t>的</w:t>
      </w:r>
      <w:r>
        <w:rPr>
          <w:rFonts w:hint="default" w:ascii="仿宋_GB2312" w:hAnsi="仿宋_GB2312" w:eastAsia="仿宋_GB2312" w:cs="仿宋_GB2312"/>
          <w:b w:val="0"/>
          <w:bCs w:val="0"/>
          <w:spacing w:val="0"/>
          <w:kern w:val="2"/>
          <w:sz w:val="32"/>
          <w:szCs w:val="32"/>
          <w:lang w:val="en-US" w:eastAsia="zh-CN" w:bidi="ar-SA"/>
        </w:rPr>
        <w:t>规范化。</w:t>
      </w:r>
      <w:r>
        <w:rPr>
          <w:rFonts w:hint="eastAsia" w:ascii="仿宋_GB2312" w:hAnsi="仿宋_GB2312" w:eastAsia="仿宋_GB2312" w:cs="仿宋_GB2312"/>
          <w:b w:val="0"/>
          <w:bCs w:val="0"/>
          <w:spacing w:val="0"/>
          <w:kern w:val="2"/>
          <w:sz w:val="32"/>
          <w:szCs w:val="32"/>
          <w:lang w:val="en-US" w:eastAsia="zh-CN" w:bidi="ar-SA"/>
        </w:rPr>
        <w:t>目前已建成11个“一老一小”幸福院。10月18日全省养老服务改革现场推进会</w:t>
      </w:r>
      <w:r>
        <w:rPr>
          <w:rFonts w:hint="default" w:ascii="仿宋_GB2312" w:hAnsi="仿宋_GB2312" w:eastAsia="仿宋_GB2312" w:cs="仿宋_GB2312"/>
          <w:b w:val="0"/>
          <w:bCs w:val="0"/>
          <w:spacing w:val="0"/>
          <w:kern w:val="2"/>
          <w:sz w:val="32"/>
          <w:szCs w:val="32"/>
          <w:lang w:val="en-US" w:eastAsia="zh-CN" w:bidi="ar-SA"/>
        </w:rPr>
        <w:t>与会</w:t>
      </w:r>
      <w:r>
        <w:rPr>
          <w:rFonts w:hint="eastAsia" w:ascii="仿宋_GB2312" w:hAnsi="仿宋_GB2312" w:eastAsia="仿宋_GB2312" w:cs="仿宋_GB2312"/>
          <w:b w:val="0"/>
          <w:bCs w:val="0"/>
          <w:spacing w:val="0"/>
          <w:kern w:val="2"/>
          <w:sz w:val="32"/>
          <w:szCs w:val="32"/>
          <w:lang w:val="en-US" w:eastAsia="zh-CN" w:bidi="ar-SA"/>
        </w:rPr>
        <w:t>人员在我县参观，并在10月19日的会议上我</w:t>
      </w:r>
      <w:r>
        <w:rPr>
          <w:rFonts w:hint="default" w:ascii="仿宋_GB2312" w:hAnsi="仿宋_GB2312" w:eastAsia="仿宋_GB2312" w:cs="仿宋_GB2312"/>
          <w:b w:val="0"/>
          <w:bCs w:val="0"/>
          <w:spacing w:val="0"/>
          <w:kern w:val="2"/>
          <w:sz w:val="32"/>
          <w:szCs w:val="32"/>
          <w:lang w:val="en-US" w:eastAsia="zh-CN" w:bidi="ar-SA"/>
        </w:rPr>
        <w:t>县</w:t>
      </w:r>
      <w:r>
        <w:rPr>
          <w:rFonts w:hint="eastAsia" w:ascii="仿宋_GB2312" w:hAnsi="仿宋_GB2312" w:eastAsia="仿宋_GB2312" w:cs="仿宋_GB2312"/>
          <w:b w:val="0"/>
          <w:bCs w:val="0"/>
          <w:spacing w:val="0"/>
          <w:kern w:val="2"/>
          <w:sz w:val="32"/>
          <w:szCs w:val="32"/>
          <w:lang w:val="en-US" w:eastAsia="zh-CN" w:bidi="ar-SA"/>
        </w:rPr>
        <w:t>作了“一老一小”幸福院建设经验交流发言。</w:t>
      </w:r>
    </w:p>
    <w:p>
      <w:pPr>
        <w:keepNext w:val="0"/>
        <w:keepLines w:val="0"/>
        <w:pageBreakBefore w:val="0"/>
        <w:widowControl w:val="0"/>
        <w:tabs>
          <w:tab w:val="left" w:pos="79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4.不断优化颐养之家助餐模式。</w:t>
      </w:r>
      <w:r>
        <w:rPr>
          <w:rFonts w:hint="eastAsia" w:ascii="仿宋_GB2312" w:hAnsi="仿宋_GB2312" w:eastAsia="仿宋_GB2312" w:cs="仿宋_GB2312"/>
          <w:sz w:val="32"/>
          <w:szCs w:val="32"/>
          <w:lang w:val="en-US" w:eastAsia="zh-CN"/>
        </w:rPr>
        <w:t>我县共有</w:t>
      </w:r>
      <w:r>
        <w:rPr>
          <w:rFonts w:hint="eastAsia" w:ascii="仿宋_GB2312" w:eastAsia="仿宋_GB2312"/>
          <w:sz w:val="32"/>
          <w:szCs w:val="32"/>
          <w:lang w:val="en-US" w:eastAsia="zh-CN"/>
        </w:rPr>
        <w:t>农村颐养之家149家，具备助餐功能的137家，其中长期开展助餐服务的有58家</w:t>
      </w:r>
      <w:r>
        <w:rPr>
          <w:rFonts w:hint="eastAsia" w:ascii="仿宋_GB2312" w:hAnsi="仿宋_GB2312" w:eastAsia="仿宋_GB2312" w:cs="仿宋_GB2312"/>
          <w:sz w:val="32"/>
          <w:szCs w:val="32"/>
          <w:lang w:val="en-US" w:eastAsia="zh-CN"/>
        </w:rPr>
        <w:t>。同时，为进一步扩大养老助餐服务有效供给，创新助餐模式，长均乡观察村以行政村为单位，推广整村助餐模式，服务范围从单一的自然村扩展至周边五个自然村；龙津镇以乡镇为单位，发展就近助餐与送餐服务，助餐率达100%；石鼻镇果田江上颐养之家开展“银龄”互助，鼓励老人发挥余热参与到选菜、配菜、洗菜、打扫卫生等环节，实现助餐可持续化。</w:t>
      </w:r>
    </w:p>
    <w:p>
      <w:pPr>
        <w:keepNext w:val="0"/>
        <w:keepLines w:val="0"/>
        <w:pageBreakBefore w:val="0"/>
        <w:widowControl w:val="0"/>
        <w:tabs>
          <w:tab w:val="left" w:pos="797"/>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5.全面落实政府购买服务。</w:t>
      </w:r>
      <w:r>
        <w:rPr>
          <w:rFonts w:hint="eastAsia" w:ascii="仿宋_GB2312" w:hAnsi="仿宋_GB2312" w:eastAsia="仿宋_GB2312" w:cs="仿宋_GB2312"/>
          <w:sz w:val="32"/>
          <w:szCs w:val="32"/>
          <w:lang w:val="en-US" w:eastAsia="zh-CN"/>
        </w:rPr>
        <w:t>目前，全县共有“五类老人”1278人，按照每人每月200元的标准为“五类老人”提供居家养老服务，今年以来，已开展居家养老上门服务1153人，服务人次20493次；为80岁以上老人按照每人每月50元提供居家上门服务，目前，我县80岁以上老人5417人，开展居家上门服务3004人，服务人次22892次；对长期居住在安义县内且具有本地户籍的60周岁及以上经评估为轻度、中度或重度失能的家庭养老床位建设对象提供居家养老上门服务，服务标准为轻度失能老年人每月200元/人、中度失能老年人每月300元/人、重度失能老年人400元/月，家床对象已开展服务人数270人，人次7264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（三）围绕“五社联动”发展提升基层治理水平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1.不断提升城乡社区治理水平。</w:t>
      </w:r>
      <w:r>
        <w:rPr>
          <w:rFonts w:hint="eastAsia" w:ascii="仿宋_GB2312" w:hAnsi="仿宋_GB2312" w:eastAsia="仿宋_GB2312" w:cs="仿宋_GB2312"/>
          <w:color w:val="auto"/>
          <w:sz w:val="32"/>
          <w:szCs w:val="32"/>
          <w:lang w:val="en-US" w:eastAsia="zh-CN"/>
        </w:rPr>
        <w:t>为切实减轻村级组织的负担，提升基层为民服务能力，按照省市要求，扎实开展规范村级组织工作事务、机制牌子和证明事项工作，</w:t>
      </w:r>
      <w:r>
        <w:rPr>
          <w:rFonts w:hint="eastAsia" w:ascii="仿宋_GB2312" w:hAnsi="仿宋_GB2312" w:eastAsia="仿宋_GB2312" w:cs="仿宋_GB2312"/>
          <w:sz w:val="32"/>
          <w:szCs w:val="32"/>
          <w:lang w:val="en-US" w:eastAsia="zh-CN"/>
        </w:rPr>
        <w:t>分管领导带队前往各村（社区）</w:t>
      </w:r>
      <w:r>
        <w:rPr>
          <w:rFonts w:hint="eastAsia" w:ascii="仿宋_GB2312" w:hAnsi="仿宋_GB2312" w:eastAsia="仿宋_GB2312" w:cs="仿宋_GB2312"/>
          <w:sz w:val="32"/>
          <w:szCs w:val="32"/>
        </w:rPr>
        <w:t>实地查看工作开展情况，确保挂牌清理工作落到实处</w:t>
      </w:r>
      <w:r>
        <w:rPr>
          <w:rFonts w:hint="eastAsia" w:ascii="仿宋_GB2312" w:hAnsi="仿宋_GB2312" w:eastAsia="仿宋_GB2312" w:cs="仿宋_GB2312"/>
          <w:sz w:val="32"/>
          <w:szCs w:val="32"/>
          <w:lang w:eastAsia="zh-CN"/>
        </w:rPr>
        <w:t>。</w:t>
      </w:r>
      <w:r>
        <w:rPr>
          <w:rFonts w:hint="eastAsia" w:ascii="仿宋_GB2312" w:eastAsia="仿宋_GB2312" w:cstheme="minorBidi"/>
          <w:kern w:val="2"/>
          <w:sz w:val="32"/>
          <w:szCs w:val="32"/>
          <w:lang w:val="en-US" w:eastAsia="zh-CN" w:bidi="ar-SA"/>
        </w:rPr>
        <w:t>为</w:t>
      </w:r>
      <w:r>
        <w:rPr>
          <w:rFonts w:hint="eastAsia" w:ascii="仿宋_GB2312" w:hAnsi="仿宋_GB2312" w:eastAsia="仿宋_GB2312" w:cs="仿宋_GB2312"/>
          <w:sz w:val="32"/>
          <w:szCs w:val="32"/>
          <w:lang w:val="en-US" w:eastAsia="zh-CN"/>
        </w:rPr>
        <w:t>充分发挥村民自治作用，进一步修订完善村规民约、居民公约，并在各村、社区广泛开展群众说事、民情恳谈、百姓议事、妇女议事等协商活动。</w:t>
      </w:r>
      <w:r>
        <w:rPr>
          <w:rFonts w:hint="eastAsia" w:ascii="仿宋_GB2312" w:eastAsia="仿宋_GB2312" w:cstheme="minorBidi"/>
          <w:kern w:val="2"/>
          <w:sz w:val="32"/>
          <w:szCs w:val="32"/>
          <w:lang w:val="en-US" w:eastAsia="zh-CN" w:bidi="ar-SA"/>
        </w:rPr>
        <w:t>深入推进“</w:t>
      </w:r>
      <w:r>
        <w:rPr>
          <w:rFonts w:hint="eastAsia" w:ascii="仿宋_GB2312" w:hAnsi="仿宋_GB2312" w:eastAsia="仿宋_GB2312" w:cs="仿宋_GB2312"/>
          <w:color w:val="auto"/>
          <w:sz w:val="32"/>
          <w:szCs w:val="32"/>
          <w:lang w:val="en-US" w:eastAsia="zh-CN"/>
        </w:rPr>
        <w:t>365天服务不打烊</w:t>
      </w:r>
      <w:r>
        <w:rPr>
          <w:rFonts w:hint="eastAsia" w:ascii="仿宋_GB2312" w:eastAsia="仿宋_GB2312" w:cstheme="minorBidi"/>
          <w:kern w:val="2"/>
          <w:sz w:val="32"/>
          <w:szCs w:val="32"/>
          <w:lang w:val="en-US" w:eastAsia="zh-CN" w:bidi="ar-SA"/>
        </w:rPr>
        <w:t>”，在</w:t>
      </w:r>
      <w:r>
        <w:rPr>
          <w:rFonts w:hint="eastAsia" w:ascii="仿宋_GB2312" w:hAnsi="仿宋_GB2312" w:eastAsia="仿宋_GB2312" w:cs="仿宋_GB2312"/>
          <w:color w:val="auto"/>
          <w:sz w:val="32"/>
          <w:szCs w:val="32"/>
          <w:lang w:val="en-US" w:eastAsia="zh-CN"/>
        </w:rPr>
        <w:t>各行政村（社区）党群服务中心张贴制作了365天服务不打烊</w:t>
      </w:r>
      <w:r>
        <w:rPr>
          <w:rFonts w:hint="eastAsia" w:ascii="仿宋_GB2312" w:eastAsia="仿宋_GB2312" w:cstheme="minorBidi"/>
          <w:kern w:val="2"/>
          <w:sz w:val="32"/>
          <w:szCs w:val="32"/>
          <w:lang w:val="en-US" w:eastAsia="zh-CN" w:bidi="ar-SA"/>
        </w:rPr>
        <w:t>”</w:t>
      </w:r>
      <w:r>
        <w:rPr>
          <w:rFonts w:hint="eastAsia" w:ascii="仿宋_GB2312" w:hAnsi="仿宋_GB2312" w:eastAsia="仿宋_GB2312" w:cs="仿宋_GB2312"/>
          <w:color w:val="auto"/>
          <w:sz w:val="32"/>
          <w:szCs w:val="32"/>
          <w:lang w:val="en-US" w:eastAsia="zh-CN"/>
        </w:rPr>
        <w:t>公告、服务事项清单及不打烊服务值班安排表。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2.不断规范社会组织管理。</w:t>
      </w:r>
      <w:r>
        <w:rPr>
          <w:rFonts w:hint="eastAsia" w:ascii="仿宋_GB2312" w:hAnsi="仿宋_GB2312" w:eastAsia="仿宋_GB2312" w:cs="仿宋_GB2312"/>
          <w:sz w:val="32"/>
          <w:szCs w:val="32"/>
          <w:lang w:val="en-US" w:eastAsia="zh-CN"/>
        </w:rPr>
        <w:t>全县共有社会团体70家，民办非企业共有38家，其中今年共注册5家社会组织，4家社会团体。重新梳理社会组织登记法规政策，将社会组织登记工作涉及的23个子项按照简化程序、减少环节、精简材料的要求重新编制办事指南，制作一次性告知书，使办事群众通俗易懂，便于理解，易于操作。依规开展注册年检，35家民办非企业完成年检工作，撤销3家民办非企业单位，社会团体有65家完成年检。全县在去年培育发展855家社区社会组织的基础上，通过各乡镇、社区及村三级共同努力，今年共培育出184家社区社会组织，活跃于生活服务、体育爱好、产业扶持等领域，是对我县乡村振兴战略的有效补充、基层治理的有效抓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eastAsia="仿宋_GB2312" w:cs="宋体" w:hAnsiTheme="minorHAnsi"/>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3.不断深化婚丧领域移风易俗。</w:t>
      </w:r>
      <w:r>
        <w:rPr>
          <w:rFonts w:hint="eastAsia" w:ascii="仿宋_GB2312" w:eastAsia="仿宋_GB2312" w:cs="宋体" w:hAnsiTheme="minorHAnsi"/>
          <w:b w:val="0"/>
          <w:bCs w:val="0"/>
          <w:kern w:val="2"/>
          <w:sz w:val="32"/>
          <w:szCs w:val="32"/>
          <w:lang w:val="en-US" w:eastAsia="zh-CN" w:bidi="ar-SA"/>
        </w:rPr>
        <w:t>县政府研究制定了《安义县2023年婚丧领域移风易俗工作方案》，与县委组织部、县委宣传部等11个部门联合印发了《&lt;深入开展农村婚嫁彩礼专项治理实施意见&gt;的通知》文件，成立了安义县农村婚嫁彩礼专项治理工作专班，制定了安义县治理农村婚嫁彩礼实施细则，为移风易俗工作顺利开展提供了政策指导和制度遵循。指导村(居)成立红白理事会，制定完善涵盖婚丧标准及礼俗的村规民约。</w:t>
      </w:r>
      <w:r>
        <w:rPr>
          <w:rFonts w:hint="eastAsia" w:ascii="仿宋_GB2312" w:eastAsia="仿宋_GB2312" w:cs="宋体"/>
          <w:b w:val="0"/>
          <w:bCs w:val="0"/>
          <w:kern w:val="2"/>
          <w:sz w:val="32"/>
          <w:szCs w:val="32"/>
          <w:lang w:val="en-US" w:eastAsia="zh-CN" w:bidi="ar-SA"/>
        </w:rPr>
        <w:t>启动了“1+10”</w:t>
      </w:r>
      <w:r>
        <w:rPr>
          <w:rFonts w:hint="eastAsia" w:ascii="仿宋_GB2312" w:eastAsia="仿宋_GB2312" w:cs="宋体" w:hAnsiTheme="minorHAnsi"/>
          <w:b w:val="0"/>
          <w:bCs w:val="0"/>
          <w:kern w:val="2"/>
          <w:sz w:val="32"/>
          <w:szCs w:val="32"/>
          <w:lang w:val="en-US" w:eastAsia="zh-CN" w:bidi="ar-SA"/>
        </w:rPr>
        <w:t>婚丧领域移风易俗示范</w:t>
      </w:r>
      <w:r>
        <w:rPr>
          <w:rFonts w:hint="eastAsia" w:ascii="仿宋_GB2312" w:eastAsia="仿宋_GB2312" w:cs="宋体"/>
          <w:b w:val="0"/>
          <w:bCs w:val="0"/>
          <w:kern w:val="2"/>
          <w:sz w:val="32"/>
          <w:szCs w:val="32"/>
          <w:lang w:val="en-US" w:eastAsia="zh-CN" w:bidi="ar-SA"/>
        </w:rPr>
        <w:t>工程</w:t>
      </w:r>
      <w:r>
        <w:rPr>
          <w:rFonts w:hint="eastAsia" w:ascii="仿宋_GB2312" w:eastAsia="仿宋_GB2312" w:cs="宋体" w:hAnsiTheme="minorHAnsi"/>
          <w:b w:val="0"/>
          <w:bCs w:val="0"/>
          <w:kern w:val="2"/>
          <w:sz w:val="32"/>
          <w:szCs w:val="32"/>
          <w:lang w:val="en-US" w:eastAsia="zh-CN" w:bidi="ar-SA"/>
        </w:rPr>
        <w:t>，即打造1个古村婚俗示范基地，10个乡镇各打造1个示范点。石鼻村迎接了3月份的省移风易俗现场会参观，接待了20余次外省、外市移风易俗点位参观。制定并印发了婚事新办、丧事简办承诺书及移风易俗倡议书3万余份，制作了婚丧领域移风易俗宣传片1个，制作并发放了婚丧领域移风易俗宣传扇5000把，编排了《移风易俗 乡风文明之歌》参与“党建引领乡村治理，促进提升乡风文明”乡镇巡演活动，开展婚丧领域从业人员培训1次，引导村(居)以村民自治方式实现移风易俗。</w:t>
      </w:r>
    </w:p>
    <w:p>
      <w:pPr>
        <w:pStyle w:val="4"/>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sz w:val="32"/>
          <w:szCs w:val="32"/>
          <w:lang w:val="en-US" w:eastAsia="zh-CN"/>
        </w:rPr>
      </w:pPr>
      <w:r>
        <w:rPr>
          <w:rFonts w:hint="eastAsia" w:ascii="仿宋_GB2312" w:hAnsi="仿宋_GB2312" w:eastAsia="仿宋_GB2312" w:cs="仿宋_GB2312"/>
          <w:b/>
          <w:bCs/>
          <w:sz w:val="32"/>
          <w:szCs w:val="32"/>
          <w:lang w:val="en-US" w:eastAsia="zh-CN"/>
        </w:rPr>
        <w:t>4.不断增强社工服务建设。</w:t>
      </w:r>
      <w:r>
        <w:rPr>
          <w:rFonts w:hint="eastAsia" w:ascii="仿宋_GB2312" w:eastAsia="仿宋_GB2312" w:cs="宋体"/>
          <w:b w:val="0"/>
          <w:bCs w:val="0"/>
          <w:kern w:val="2"/>
          <w:sz w:val="32"/>
          <w:szCs w:val="32"/>
          <w:lang w:val="en-US" w:eastAsia="zh-CN" w:bidi="ar-SA"/>
        </w:rPr>
        <w:t>全县各社工站充分发挥统筹联动、资源整合、专业引领、凝聚增能、协同参与平台作用聚焦辖区范围内“一老一小”和特殊困难群体需求，开展入户走访，收集困难需求，建立“一对一”服务档案。今年以来，各社工站累计开展入户探访1216户，服务1481人次；开展社区活动220场，服务8224人次；完结个案82例，累计服务498人次；完成小组活动50个，累计服务2853人次，宣传报道220篇，其中国家级媒体7篇，省级媒体22篇，市级媒体4篇，县级媒体187篇。全</w:t>
      </w:r>
      <w:r>
        <w:rPr>
          <w:rFonts w:hint="eastAsia" w:ascii="仿宋_GB2312" w:eastAsia="仿宋_GB2312"/>
          <w:sz w:val="32"/>
          <w:szCs w:val="32"/>
          <w:lang w:val="en-US" w:eastAsia="zh-CN"/>
        </w:rPr>
        <w:t>县90%及以上的社区综合服务设施设立了志愿服务站点，80%及以上的农村社区综合服务设施设立了志愿服务站点。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（四）围绕规范管理提高专项社会事务能效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bCs/>
          <w:sz w:val="32"/>
          <w:szCs w:val="32"/>
          <w:lang w:val="en-US" w:eastAsia="zh-CN"/>
        </w:rPr>
        <w:t>1.稳妥推进殡葬改革工作。</w:t>
      </w:r>
      <w:r>
        <w:rPr>
          <w:rFonts w:hint="eastAsia" w:ascii="仿宋_GB2312" w:hAnsi="仿宋_GB2312" w:eastAsia="仿宋_GB2312" w:cs="仿宋_GB2312"/>
          <w:b w:val="0"/>
          <w:bCs w:val="0"/>
          <w:color w:val="000000"/>
          <w:kern w:val="0"/>
          <w:sz w:val="32"/>
          <w:szCs w:val="32"/>
          <w:lang w:val="en-US" w:eastAsia="zh-CN" w:bidi="ar"/>
        </w:rPr>
        <w:t>为持续巩固我县殡葬改革成果，按照上级要求，完成了我县西山山脉红线内及沿线100米以内66个历史埋葬点清杂和隔离带开挖整治及验收工作；完成了西二环沿线500米可视范围内坟墓迁移（或平坟）4693座，完成进度93.86%，完成绿化遮挡1666座，完成进度100%。开展了城市规划区坟墓“清零”专项整治行动，共迁移坟墓2066座，实现了县城规划区内无坟墓目标。深入推进了“三沿六区”散埋乱葬整治攻坚行动，黄洲镇完成坟墓整治300余座。2023年1-12月受理本县户籍遗体火化1385具，受理全民遗体免费火化报销结算1091人，涉及惠民殡葬奖补资金200.744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2.高效推动区划地名工作。</w:t>
      </w:r>
      <w:r>
        <w:rPr>
          <w:rFonts w:hint="eastAsia" w:ascii="仿宋_GB2312" w:hAnsi="仿宋_GB2312" w:eastAsia="仿宋_GB2312" w:cs="仿宋_GB2312"/>
          <w:b w:val="0"/>
          <w:bCs w:val="0"/>
          <w:kern w:val="2"/>
          <w:sz w:val="32"/>
          <w:szCs w:val="32"/>
          <w:lang w:val="en-US" w:eastAsia="zh-CN" w:bidi="ar-SA"/>
        </w:rPr>
        <w:t>迅速成立了以县主要领导任组长的安义县行政区划调整工作领导小组，聘请了第三方机构按照合法流程召开了县、乡、村行政区划调整座谈会，广泛征求了有关部门、社会公众和县人大、县政协意见，均对我县此次行政区划调整方案达成共识，并经县政府常务会、县委常委会和县委全会集体研究决策。已以县政府名义向市政府呈送《关于安义县部分乡级行政区划调整的请示》及相关随文材料。拟定《安义县“乡村著名”试点工作方案》，结合全县实际，通过“地名+乡村旅游”“地名+特色农产品”赋能地理标志产品，推广“乡字号”“土字号”特色品牌，绘制乡村旅游景点地名图，推广乡村旅游线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3.常态推进婚姻登记工作。</w:t>
      </w:r>
      <w:r>
        <w:rPr>
          <w:rFonts w:hint="eastAsia" w:ascii="仿宋_GB2312" w:hAnsi="仿宋_GB2312" w:eastAsia="仿宋_GB2312" w:cs="仿宋_GB2312"/>
          <w:b w:val="0"/>
          <w:bCs w:val="0"/>
          <w:kern w:val="2"/>
          <w:sz w:val="32"/>
          <w:szCs w:val="32"/>
          <w:lang w:val="en-US" w:eastAsia="zh-CN" w:bidi="ar-SA"/>
        </w:rPr>
        <w:t>认真做好日常登记工作。截至目前，全年办理结婚登记2575对，补办结婚证779对， 离婚登记451对，补办离婚证104个，办证合格率均达100%。充分发挥阵地优势，积极宣传移风易俗，今年以来，发放宣传册2700余册，引导新人签署《新婚承诺书》1200余份，提供个人颁证服务50余场，移风易俗、文明新风得到很好的宣传。及时开展“跨省通办”工作，2023年6月1日实施“跨省通办”以来，县婚登处加大政策宣传力度，积极做好相关工作，进一步满足群众异地办理婚姻登记的诉求，减轻当事人办理婚姻登记的经济负担和“多地跑、折返跑”问题，提高群众办事的便捷度、体验感和获得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val="en-US" w:eastAsia="zh-CN"/>
        </w:rPr>
        <w:t>4.深入开展“精康融合”行动。</w:t>
      </w:r>
      <w:r>
        <w:rPr>
          <w:rFonts w:hint="eastAsia" w:ascii="仿宋_GB2312" w:hAnsi="仿宋_GB2312" w:eastAsia="仿宋_GB2312" w:cs="仿宋_GB2312"/>
          <w:b w:val="0"/>
          <w:bCs w:val="0"/>
          <w:kern w:val="2"/>
          <w:sz w:val="32"/>
          <w:szCs w:val="32"/>
          <w:lang w:val="en-US" w:eastAsia="zh-CN" w:bidi="ar-SA"/>
        </w:rPr>
        <w:t>为有效帮助精神障碍患者进行社区康复，聘请第三方安义县心芽社会工作服务中心开展精神障碍康复专业知识培训，促进精神障碍社区康复服务标准化、规范化。已开展精神障碍社区康复工作共计615次，服务1880人次；组织大型宣传活动3场，服务大约200多人次；跟进个案10人，服务65人次；对项目社工进行48次工作督导，解决在工作中遇到的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val="en-US" w:eastAsia="zh-CN"/>
        </w:rPr>
        <w:t>5.扎实推进未成年人保护关心关爱工作。</w:t>
      </w:r>
      <w:r>
        <w:rPr>
          <w:rFonts w:hint="eastAsia" w:ascii="仿宋_GB2312" w:hAnsi="仿宋_GB2312" w:eastAsia="仿宋_GB2312" w:cs="仿宋_GB2312"/>
          <w:color w:val="auto"/>
          <w:sz w:val="32"/>
          <w:szCs w:val="32"/>
          <w:lang w:val="en-US" w:eastAsia="zh-CN"/>
        </w:rPr>
        <w:t>已全面摸清留守儿童群体底数</w:t>
      </w:r>
      <w:r>
        <w:rPr>
          <w:rFonts w:hint="eastAsia" w:ascii="仿宋_GB2312" w:hAnsi="仿宋_GB2312" w:eastAsia="仿宋_GB2312" w:cs="仿宋_GB2312"/>
          <w:sz w:val="32"/>
          <w:szCs w:val="32"/>
          <w:lang w:val="en-US" w:eastAsia="zh-CN"/>
        </w:rPr>
        <w:t>，我县现有留守儿童4342名，困境儿童2210名</w:t>
      </w:r>
      <w:r>
        <w:rPr>
          <w:rFonts w:hint="default" w:ascii="仿宋_GB2312" w:hAnsi="仿宋_GB2312" w:eastAsia="仿宋_GB2312" w:cs="仿宋_GB2312"/>
          <w:sz w:val="32"/>
          <w:szCs w:val="32"/>
          <w:lang w:val="en-US" w:eastAsia="zh-CN"/>
        </w:rPr>
        <w:t>，均已</w:t>
      </w:r>
      <w:r>
        <w:rPr>
          <w:rFonts w:hint="eastAsia" w:ascii="仿宋_GB2312" w:hAnsi="仿宋_GB2312" w:eastAsia="仿宋_GB2312" w:cs="仿宋_GB2312"/>
          <w:sz w:val="32"/>
          <w:szCs w:val="32"/>
          <w:lang w:val="en-US" w:eastAsia="zh-CN"/>
        </w:rPr>
        <w:t>建立台账。各乡镇（处）都配备了儿童督导员，104个行政村均配备了儿童主任，对困境儿童定期进行摸排和重点关注，并对重点关注儿童实行了一人一档。依托省民政厅购买服务，由春晖博爱机构按照规定对我县重点儿童开展探视巡访及心理疏导等服务。为提升儿童关爱保护工作基层业务水平，5月11日，我县举办乡镇（处）儿童督导员、村（社区）委员会儿童主任业务培训班，各乡镇儿童督导员、儿童主任共计130余人参加培训。</w:t>
      </w:r>
    </w:p>
    <w:p>
      <w:pPr>
        <w:pStyle w:val="4"/>
        <w:keepNext w:val="0"/>
        <w:keepLines w:val="0"/>
        <w:pageBreakBefore w:val="0"/>
        <w:widowControl w:val="0"/>
        <w:kinsoku/>
        <w:wordWrap/>
        <w:overflowPunct/>
        <w:topLinePunct w:val="0"/>
        <w:autoSpaceDE w:val="0"/>
        <w:autoSpaceDN w:val="0"/>
        <w:bidi w:val="0"/>
        <w:adjustRightInd/>
        <w:snapToGrid/>
        <w:ind w:firstLine="643" w:firstLineChars="200"/>
        <w:textAlignment w:val="auto"/>
        <w:outlineLvl w:val="1"/>
        <w:rPr>
          <w:rFonts w:hint="default" w:ascii="楷体_GB2312" w:hAnsi="楷体_GB2312" w:eastAsia="楷体_GB2312" w:cs="楷体_GB2312"/>
          <w:b/>
          <w:bCs/>
          <w:color w:val="000000"/>
          <w:sz w:val="32"/>
          <w:szCs w:val="32"/>
          <w:lang w:val="en-US" w:eastAsia="zh-CN" w:bidi="zh-CN"/>
        </w:rPr>
      </w:pPr>
      <w:r>
        <w:rPr>
          <w:rFonts w:hint="default" w:ascii="楷体_GB2312" w:hAnsi="楷体_GB2312" w:eastAsia="楷体_GB2312" w:cs="楷体_GB2312"/>
          <w:b/>
          <w:bCs/>
          <w:color w:val="000000"/>
          <w:sz w:val="32"/>
          <w:szCs w:val="32"/>
          <w:lang w:val="en-US" w:eastAsia="zh-CN" w:bidi="zh-CN"/>
        </w:rPr>
        <w:t>（三）当年部门（单位）年度整体支出绩效目标</w:t>
      </w:r>
      <w:bookmarkEnd w:id="5"/>
    </w:p>
    <w:p>
      <w:pPr>
        <w:pStyle w:val="4"/>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default" w:ascii="仿宋_GB2312" w:hAnsi="仿宋_GB2312" w:eastAsia="仿宋_GB2312" w:cs="仿宋_GB2312"/>
          <w:sz w:val="32"/>
          <w:szCs w:val="32"/>
          <w:lang w:val="en-US" w:eastAsia="zh-CN" w:bidi="zh-CN"/>
        </w:rPr>
      </w:pPr>
      <w:r>
        <w:rPr>
          <w:rFonts w:hint="default" w:ascii="仿宋_GB2312" w:hAnsi="仿宋_GB2312" w:eastAsia="仿宋_GB2312" w:cs="仿宋_GB2312"/>
          <w:sz w:val="32"/>
          <w:szCs w:val="32"/>
          <w:lang w:val="en-US" w:eastAsia="zh-CN" w:bidi="zh-CN"/>
        </w:rPr>
        <w:t>根据202</w:t>
      </w:r>
      <w:r>
        <w:rPr>
          <w:rFonts w:hint="eastAsia" w:cs="仿宋_GB2312"/>
          <w:sz w:val="32"/>
          <w:szCs w:val="32"/>
          <w:lang w:val="en-US" w:eastAsia="zh-CN" w:bidi="zh-CN"/>
        </w:rPr>
        <w:t>3</w:t>
      </w:r>
      <w:r>
        <w:rPr>
          <w:rFonts w:hint="default" w:ascii="仿宋_GB2312" w:hAnsi="仿宋_GB2312" w:eastAsia="仿宋_GB2312" w:cs="仿宋_GB2312"/>
          <w:sz w:val="32"/>
          <w:szCs w:val="32"/>
          <w:lang w:val="en-US" w:eastAsia="zh-CN" w:bidi="zh-CN"/>
        </w:rPr>
        <w:t>年度</w:t>
      </w:r>
      <w:r>
        <w:rPr>
          <w:rFonts w:hint="eastAsia" w:cs="仿宋_GB2312"/>
          <w:sz w:val="32"/>
          <w:szCs w:val="32"/>
          <w:lang w:val="en-US" w:eastAsia="zh-CN" w:bidi="zh-CN"/>
        </w:rPr>
        <w:t>单位</w:t>
      </w:r>
      <w:r>
        <w:rPr>
          <w:rFonts w:hint="default" w:ascii="仿宋_GB2312" w:hAnsi="仿宋_GB2312" w:eastAsia="仿宋_GB2312" w:cs="仿宋_GB2312"/>
          <w:sz w:val="32"/>
          <w:szCs w:val="32"/>
          <w:lang w:val="en-US" w:eastAsia="zh-CN" w:bidi="zh-CN"/>
        </w:rPr>
        <w:t>预算资金安排及预期达成的效果，结合</w:t>
      </w:r>
      <w:r>
        <w:rPr>
          <w:rFonts w:hint="eastAsia" w:cs="仿宋_GB2312"/>
          <w:sz w:val="32"/>
          <w:szCs w:val="32"/>
          <w:lang w:val="en-US" w:eastAsia="zh-CN" w:bidi="zh-CN"/>
        </w:rPr>
        <w:t>我局年度</w:t>
      </w:r>
      <w:r>
        <w:rPr>
          <w:rFonts w:hint="default" w:ascii="仿宋_GB2312" w:hAnsi="仿宋_GB2312" w:eastAsia="仿宋_GB2312" w:cs="仿宋_GB2312"/>
          <w:sz w:val="32"/>
          <w:szCs w:val="32"/>
          <w:lang w:val="en-US" w:eastAsia="zh-CN" w:bidi="zh-CN"/>
        </w:rPr>
        <w:t>工作开展计划，设计了</w:t>
      </w:r>
      <w:r>
        <w:rPr>
          <w:rFonts w:hint="eastAsia" w:cs="仿宋_GB2312"/>
          <w:sz w:val="32"/>
          <w:szCs w:val="32"/>
          <w:lang w:val="en-US" w:eastAsia="zh-CN" w:bidi="zh-CN"/>
        </w:rPr>
        <w:t>单位</w:t>
      </w:r>
      <w:r>
        <w:rPr>
          <w:rFonts w:hint="default" w:ascii="仿宋_GB2312" w:hAnsi="仿宋_GB2312" w:eastAsia="仿宋_GB2312" w:cs="仿宋_GB2312"/>
          <w:sz w:val="32"/>
          <w:szCs w:val="32"/>
          <w:lang w:val="en-US" w:eastAsia="zh-CN" w:bidi="zh-CN"/>
        </w:rPr>
        <w:t>年度整体支出绩效目标，具体情况如下：</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3" w:firstLineChars="200"/>
        <w:textAlignment w:val="auto"/>
        <w:rPr>
          <w:rFonts w:hint="eastAsia"/>
          <w:b/>
          <w:bCs/>
          <w:lang w:val="en-US" w:eastAsia="zh-CN"/>
        </w:rPr>
      </w:pPr>
      <w:r>
        <w:rPr>
          <w:rFonts w:hint="eastAsia"/>
          <w:b/>
          <w:bCs/>
          <w:lang w:val="en-US" w:eastAsia="zh-CN"/>
        </w:rPr>
        <w:t>1.产出目标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（1）产出数量：</w:t>
      </w:r>
      <w:r>
        <w:rPr>
          <w:rFonts w:hint="eastAsia" w:ascii="仿宋_GB2312" w:eastAsia="仿宋_GB2312"/>
          <w:sz w:val="32"/>
          <w:szCs w:val="32"/>
          <w:shd w:val="clear" w:color="auto" w:fill="FFFFFF"/>
        </w:rPr>
        <w:t>把符合条件的城</w:t>
      </w:r>
      <w:r>
        <w:rPr>
          <w:rFonts w:hint="eastAsia" w:ascii="仿宋_GB2312" w:eastAsia="仿宋_GB2312"/>
          <w:sz w:val="32"/>
          <w:szCs w:val="32"/>
          <w:shd w:val="clear" w:color="auto" w:fill="FFFFFF"/>
          <w:lang w:eastAsia="zh-CN"/>
        </w:rPr>
        <w:t>乡</w:t>
      </w:r>
      <w:r>
        <w:rPr>
          <w:rFonts w:hint="eastAsia" w:ascii="仿宋_GB2312" w:eastAsia="仿宋_GB2312"/>
          <w:sz w:val="32"/>
          <w:szCs w:val="32"/>
          <w:shd w:val="clear" w:color="auto" w:fill="FFFFFF"/>
        </w:rPr>
        <w:t>困难群众100%纳入</w:t>
      </w:r>
      <w:r>
        <w:rPr>
          <w:rFonts w:hint="eastAsia" w:ascii="仿宋_GB2312" w:eastAsia="仿宋_GB2312"/>
          <w:sz w:val="32"/>
          <w:szCs w:val="32"/>
          <w:shd w:val="clear" w:color="auto" w:fill="FFFFFF"/>
          <w:lang w:val="en-US" w:eastAsia="zh-CN"/>
        </w:rPr>
        <w:t>,</w:t>
      </w:r>
      <w:r>
        <w:rPr>
          <w:rFonts w:hint="eastAsia" w:ascii="仿宋_GB2312" w:eastAsia="仿宋_GB2312"/>
          <w:color w:val="auto"/>
          <w:sz w:val="32"/>
          <w:szCs w:val="32"/>
          <w:shd w:val="clear" w:color="auto" w:fill="FFFFFF"/>
          <w:lang w:eastAsia="zh-CN"/>
        </w:rPr>
        <w:t>把符合条件的残疾人两项补贴对象和高龄老人生活补贴对象等都纳入。</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_GB2312" w:eastAsia="仿宋_GB2312"/>
          <w:sz w:val="32"/>
          <w:szCs w:val="32"/>
          <w:shd w:val="clear" w:color="auto" w:fill="FFFFFF"/>
        </w:rPr>
      </w:pPr>
      <w:r>
        <w:rPr>
          <w:rFonts w:hint="eastAsia" w:ascii="仿宋_GB2312" w:hAnsi="仿宋_GB2312" w:eastAsia="仿宋_GB2312" w:cs="仿宋_GB2312"/>
          <w:sz w:val="32"/>
          <w:szCs w:val="32"/>
          <w:lang w:val="en-US" w:eastAsia="zh-CN" w:bidi="zh-CN"/>
        </w:rPr>
        <w:t>产出质量：</w:t>
      </w:r>
      <w:r>
        <w:rPr>
          <w:rFonts w:hint="eastAsia" w:ascii="仿宋_GB2312" w:eastAsia="仿宋_GB2312"/>
          <w:sz w:val="32"/>
          <w:szCs w:val="32"/>
          <w:shd w:val="clear" w:color="auto" w:fill="FFFFFF"/>
        </w:rPr>
        <w:t>城</w:t>
      </w:r>
      <w:r>
        <w:rPr>
          <w:rFonts w:hint="eastAsia" w:ascii="仿宋_GB2312" w:eastAsia="仿宋_GB2312"/>
          <w:sz w:val="32"/>
          <w:szCs w:val="32"/>
          <w:shd w:val="clear" w:color="auto" w:fill="FFFFFF"/>
          <w:lang w:eastAsia="zh-CN"/>
        </w:rPr>
        <w:t>乡</w:t>
      </w:r>
      <w:r>
        <w:rPr>
          <w:rFonts w:hint="eastAsia" w:ascii="仿宋_GB2312" w:eastAsia="仿宋_GB2312"/>
          <w:sz w:val="32"/>
          <w:szCs w:val="32"/>
          <w:shd w:val="clear" w:color="auto" w:fill="FFFFFF"/>
        </w:rPr>
        <w:t>低保</w:t>
      </w:r>
      <w:r>
        <w:rPr>
          <w:rFonts w:hint="eastAsia"/>
          <w:sz w:val="32"/>
          <w:szCs w:val="32"/>
          <w:shd w:val="clear" w:color="auto" w:fill="FFFFFF"/>
          <w:lang w:eastAsia="zh-CN"/>
        </w:rPr>
        <w:t>、残疾人两项补贴对象、高龄老人生活补贴对象</w:t>
      </w:r>
      <w:r>
        <w:rPr>
          <w:rFonts w:hint="eastAsia"/>
          <w:sz w:val="32"/>
          <w:szCs w:val="32"/>
          <w:shd w:val="clear" w:color="auto" w:fill="FFFFFF"/>
          <w:lang w:val="en-US" w:eastAsia="zh-CN"/>
        </w:rPr>
        <w:t>11个</w:t>
      </w:r>
      <w:r>
        <w:rPr>
          <w:rFonts w:hint="eastAsia"/>
          <w:sz w:val="32"/>
          <w:szCs w:val="32"/>
          <w:shd w:val="clear" w:color="auto" w:fill="FFFFFF"/>
          <w:lang w:eastAsia="zh-CN"/>
        </w:rPr>
        <w:t>乡镇</w:t>
      </w:r>
      <w:r>
        <w:rPr>
          <w:rFonts w:hint="eastAsia"/>
          <w:sz w:val="32"/>
          <w:szCs w:val="32"/>
          <w:shd w:val="clear" w:color="auto" w:fill="FFFFFF"/>
          <w:lang w:val="en-US" w:eastAsia="zh-CN"/>
        </w:rPr>
        <w:t>(</w:t>
      </w:r>
      <w:r>
        <w:rPr>
          <w:rFonts w:hint="eastAsia"/>
          <w:sz w:val="32"/>
          <w:szCs w:val="32"/>
          <w:shd w:val="clear" w:color="auto" w:fill="FFFFFF"/>
          <w:lang w:eastAsia="zh-CN"/>
        </w:rPr>
        <w:t>处</w:t>
      </w:r>
      <w:r>
        <w:rPr>
          <w:rFonts w:hint="eastAsia"/>
          <w:sz w:val="32"/>
          <w:szCs w:val="32"/>
          <w:shd w:val="clear" w:color="auto" w:fill="FFFFFF"/>
          <w:lang w:val="en-US" w:eastAsia="zh-CN"/>
        </w:rPr>
        <w:t>)</w:t>
      </w:r>
      <w:r>
        <w:rPr>
          <w:rFonts w:hint="eastAsia"/>
          <w:sz w:val="32"/>
          <w:szCs w:val="32"/>
          <w:shd w:val="clear" w:color="auto" w:fill="FFFFFF"/>
          <w:lang w:eastAsia="zh-CN"/>
        </w:rPr>
        <w:t>覆盖率为</w:t>
      </w:r>
      <w:r>
        <w:rPr>
          <w:rFonts w:hint="eastAsia"/>
          <w:sz w:val="32"/>
          <w:szCs w:val="32"/>
          <w:shd w:val="clear" w:color="auto" w:fill="FFFFFF"/>
          <w:lang w:val="en-US" w:eastAsia="zh-CN"/>
        </w:rPr>
        <w:t>100%。</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_GB2312" w:eastAsia="仿宋_GB2312"/>
          <w:sz w:val="32"/>
          <w:szCs w:val="32"/>
          <w:shd w:val="clear" w:color="auto" w:fill="FFFFFF"/>
          <w:lang w:val="en-US" w:eastAsia="zh-CN"/>
        </w:rPr>
      </w:pPr>
      <w:r>
        <w:rPr>
          <w:rFonts w:hint="eastAsia" w:cs="仿宋_GB2312"/>
          <w:sz w:val="32"/>
          <w:szCs w:val="32"/>
          <w:lang w:val="en-US" w:eastAsia="zh-CN" w:bidi="zh-CN"/>
        </w:rPr>
        <w:t>（3）产出时效：</w:t>
      </w:r>
      <w:r>
        <w:rPr>
          <w:rFonts w:hint="eastAsia" w:ascii="仿宋_GB2312" w:eastAsia="仿宋_GB2312"/>
          <w:sz w:val="32"/>
          <w:szCs w:val="32"/>
          <w:shd w:val="clear" w:color="auto" w:fill="FFFFFF"/>
        </w:rPr>
        <w:t>每月</w:t>
      </w:r>
      <w:r>
        <w:rPr>
          <w:rFonts w:hint="eastAsia" w:ascii="仿宋_GB2312" w:eastAsia="仿宋_GB2312"/>
          <w:sz w:val="32"/>
          <w:szCs w:val="32"/>
          <w:shd w:val="clear" w:color="auto" w:fill="FFFFFF"/>
          <w:lang w:eastAsia="zh-CN"/>
        </w:rPr>
        <w:t>通过社保一卡通</w:t>
      </w:r>
      <w:r>
        <w:rPr>
          <w:rFonts w:hint="eastAsia" w:ascii="仿宋_GB2312" w:eastAsia="仿宋_GB2312"/>
          <w:sz w:val="32"/>
          <w:szCs w:val="32"/>
          <w:shd w:val="clear" w:color="auto" w:fill="FFFFFF"/>
        </w:rPr>
        <w:t>完成</w:t>
      </w:r>
      <w:r>
        <w:rPr>
          <w:rFonts w:hint="eastAsia"/>
          <w:sz w:val="32"/>
          <w:szCs w:val="32"/>
          <w:shd w:val="clear" w:color="auto" w:fill="FFFFFF"/>
          <w:lang w:eastAsia="zh-CN"/>
        </w:rPr>
        <w:t>社会化</w:t>
      </w:r>
      <w:r>
        <w:rPr>
          <w:rFonts w:hint="eastAsia" w:ascii="仿宋_GB2312" w:eastAsia="仿宋_GB2312"/>
          <w:sz w:val="32"/>
          <w:szCs w:val="32"/>
          <w:shd w:val="clear" w:color="auto" w:fill="FFFFFF"/>
        </w:rPr>
        <w:t>发放</w:t>
      </w:r>
      <w:r>
        <w:rPr>
          <w:rFonts w:hint="eastAsia"/>
          <w:sz w:val="32"/>
          <w:szCs w:val="32"/>
          <w:shd w:val="clear" w:color="auto" w:fill="FFFFFF"/>
          <w:lang w:eastAsia="zh-CN"/>
        </w:rPr>
        <w:t>专项</w:t>
      </w:r>
      <w:r>
        <w:rPr>
          <w:rFonts w:hint="eastAsia" w:ascii="仿宋_GB2312" w:eastAsia="仿宋_GB2312"/>
          <w:sz w:val="32"/>
          <w:szCs w:val="32"/>
          <w:shd w:val="clear" w:color="auto" w:fill="FFFFFF"/>
        </w:rPr>
        <w:t>资金</w:t>
      </w:r>
      <w:r>
        <w:rPr>
          <w:rFonts w:hint="eastAsia"/>
          <w:sz w:val="32"/>
          <w:szCs w:val="32"/>
          <w:shd w:val="clear" w:color="auto" w:fill="FFFFFF"/>
          <w:lang w:eastAsia="zh-CN"/>
        </w:rPr>
        <w:t>。</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default" w:ascii="仿宋_GB2312" w:hAnsi="仿宋_GB2312" w:eastAsia="仿宋_GB2312" w:cs="仿宋_GB2312"/>
          <w:sz w:val="32"/>
          <w:szCs w:val="32"/>
          <w:lang w:val="en-US" w:eastAsia="zh-CN" w:bidi="zh-CN"/>
        </w:rPr>
      </w:pPr>
      <w:r>
        <w:rPr>
          <w:rFonts w:hint="eastAsia" w:cs="仿宋_GB2312"/>
          <w:sz w:val="32"/>
          <w:szCs w:val="32"/>
          <w:lang w:val="en-US" w:eastAsia="zh-CN" w:bidi="zh-CN"/>
        </w:rPr>
        <w:t>（4）产出成本：各项支出成本控制率</w:t>
      </w:r>
      <w:r>
        <w:rPr>
          <w:rFonts w:hint="default" w:ascii="Arial" w:hAnsi="Arial" w:cs="Arial"/>
          <w:sz w:val="32"/>
          <w:szCs w:val="32"/>
          <w:lang w:val="en-US" w:eastAsia="zh-CN" w:bidi="zh-CN"/>
        </w:rPr>
        <w:t>≤</w:t>
      </w:r>
      <w:r>
        <w:rPr>
          <w:rFonts w:hint="eastAsia" w:cs="仿宋_GB2312"/>
          <w:sz w:val="32"/>
          <w:szCs w:val="32"/>
          <w:lang w:val="en-US" w:eastAsia="zh-CN" w:bidi="zh-CN"/>
        </w:rPr>
        <w:t>100%。</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3" w:firstLineChars="200"/>
        <w:textAlignment w:val="auto"/>
        <w:rPr>
          <w:rFonts w:hint="eastAsia"/>
          <w:b/>
          <w:bCs/>
          <w:lang w:val="en-US" w:eastAsia="zh-CN"/>
        </w:rPr>
      </w:pPr>
      <w:r>
        <w:rPr>
          <w:rFonts w:hint="eastAsia"/>
          <w:b/>
          <w:bCs/>
          <w:lang w:val="en-US" w:eastAsia="zh-CN"/>
        </w:rPr>
        <w:t>2.效果目标</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cs="仿宋_GB2312"/>
          <w:sz w:val="32"/>
          <w:szCs w:val="32"/>
          <w:lang w:val="en-US" w:eastAsia="zh-CN" w:bidi="zh-CN"/>
        </w:rPr>
      </w:pPr>
      <w:r>
        <w:rPr>
          <w:rFonts w:hint="eastAsia" w:cs="仿宋_GB2312"/>
          <w:sz w:val="32"/>
          <w:szCs w:val="32"/>
          <w:lang w:val="en-US" w:eastAsia="zh-CN" w:bidi="zh-CN"/>
        </w:rPr>
        <w:t>（1）社会效益：有效保障城乡低保、特困人员等的基本生活。提升困难群众的获得感、幸福感。</w:t>
      </w:r>
    </w:p>
    <w:p>
      <w:pPr>
        <w:ind w:firstLine="640"/>
        <w:rPr>
          <w:rFonts w:hint="eastAsia" w:ascii="仿宋_GB2312" w:hAnsi="仿宋_GB2312" w:eastAsia="仿宋_GB2312" w:cs="仿宋_GB2312"/>
          <w:sz w:val="32"/>
          <w:szCs w:val="32"/>
          <w:lang w:val="en-US" w:eastAsia="zh-CN" w:bidi="zh-CN"/>
        </w:rPr>
      </w:pPr>
      <w:r>
        <w:rPr>
          <w:rFonts w:hint="eastAsia" w:cs="仿宋_GB2312"/>
          <w:sz w:val="32"/>
          <w:szCs w:val="32"/>
          <w:lang w:val="en-US" w:eastAsia="zh-CN" w:bidi="zh-CN"/>
        </w:rPr>
        <w:t>（2）</w:t>
      </w:r>
      <w:r>
        <w:rPr>
          <w:rFonts w:hint="eastAsia" w:ascii="仿宋_GB2312" w:hAnsi="仿宋_GB2312" w:eastAsia="仿宋_GB2312" w:cs="仿宋_GB2312"/>
          <w:sz w:val="32"/>
          <w:szCs w:val="32"/>
          <w:lang w:val="en-US" w:eastAsia="zh-CN" w:bidi="zh-CN"/>
        </w:rPr>
        <w:t>生态效益：保护生态环境，节约土地资源。</w:t>
      </w:r>
    </w:p>
    <w:p>
      <w:pPr>
        <w:ind w:firstLine="640"/>
        <w:rPr>
          <w:rFonts w:hint="default" w:ascii="仿宋_GB2312" w:hAnsi="仿宋_GB2312" w:eastAsia="仿宋_GB2312" w:cs="仿宋_GB2312"/>
          <w:sz w:val="32"/>
          <w:szCs w:val="32"/>
          <w:lang w:val="en-US" w:eastAsia="zh-CN" w:bidi="zh-CN"/>
        </w:rPr>
      </w:pPr>
      <w:r>
        <w:rPr>
          <w:rFonts w:hint="eastAsia" w:cs="仿宋_GB2312"/>
          <w:sz w:val="32"/>
          <w:szCs w:val="32"/>
          <w:lang w:val="en-US" w:eastAsia="zh-CN" w:bidi="zh-CN"/>
        </w:rPr>
        <w:t>（3）</w:t>
      </w:r>
      <w:r>
        <w:rPr>
          <w:rFonts w:hint="eastAsia" w:ascii="仿宋_GB2312" w:hAnsi="仿宋_GB2312" w:eastAsia="仿宋_GB2312" w:cs="仿宋_GB2312"/>
          <w:sz w:val="32"/>
          <w:szCs w:val="32"/>
          <w:lang w:val="en-US" w:eastAsia="zh-CN" w:bidi="zh-CN"/>
        </w:rPr>
        <w:t>可持续影响</w:t>
      </w:r>
      <w:r>
        <w:rPr>
          <w:rFonts w:hint="eastAsia" w:cs="仿宋_GB2312"/>
          <w:sz w:val="32"/>
          <w:szCs w:val="32"/>
          <w:lang w:val="en-US" w:eastAsia="zh-CN" w:bidi="zh-CN"/>
        </w:rPr>
        <w:t>：</w:t>
      </w:r>
      <w:r>
        <w:rPr>
          <w:rFonts w:hint="eastAsia" w:ascii="仿宋_GB2312" w:hAnsi="仿宋_GB2312" w:eastAsia="仿宋_GB2312" w:cs="仿宋_GB2312"/>
          <w:sz w:val="32"/>
          <w:szCs w:val="32"/>
          <w:lang w:val="en-US" w:eastAsia="zh-CN" w:bidi="zh-CN"/>
        </w:rPr>
        <w:t>促进全县绿色殡葬改革和移风易俗工作推进。</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3" w:firstLineChars="200"/>
        <w:textAlignment w:val="auto"/>
        <w:rPr>
          <w:rFonts w:hint="eastAsia"/>
          <w:b/>
          <w:bCs/>
          <w:lang w:val="en-US" w:eastAsia="zh-CN"/>
        </w:rPr>
      </w:pPr>
      <w:r>
        <w:rPr>
          <w:rFonts w:hint="eastAsia"/>
          <w:b/>
          <w:bCs/>
          <w:lang w:val="en-US" w:eastAsia="zh-CN"/>
        </w:rPr>
        <w:t>3.满意度目标</w:t>
      </w:r>
    </w:p>
    <w:p>
      <w:pPr>
        <w:pStyle w:val="4"/>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cs="仿宋_GB2312"/>
          <w:sz w:val="32"/>
          <w:szCs w:val="32"/>
          <w:lang w:val="en-US" w:eastAsia="zh-CN" w:bidi="zh-CN"/>
        </w:rPr>
      </w:pPr>
      <w:r>
        <w:rPr>
          <w:rFonts w:hint="eastAsia" w:cs="仿宋_GB2312"/>
          <w:sz w:val="32"/>
          <w:szCs w:val="32"/>
          <w:lang w:val="en-US" w:eastAsia="zh-CN" w:bidi="zh-CN"/>
        </w:rPr>
        <w:t>（1）</w:t>
      </w:r>
      <w:r>
        <w:rPr>
          <w:rFonts w:hint="default" w:cs="仿宋_GB2312"/>
          <w:sz w:val="32"/>
          <w:szCs w:val="32"/>
          <w:lang w:val="en-US" w:eastAsia="zh-CN" w:bidi="zh-CN"/>
        </w:rPr>
        <w:t>满意度：</w:t>
      </w:r>
      <w:r>
        <w:rPr>
          <w:rFonts w:hint="eastAsia" w:cs="仿宋_GB2312"/>
          <w:sz w:val="32"/>
          <w:szCs w:val="32"/>
          <w:lang w:val="en-US" w:eastAsia="zh-CN" w:bidi="zh-CN"/>
        </w:rPr>
        <w:t>困难群众、高龄生活补贴对象、残疾人两项补贴对象满意度达90%及以上。</w:t>
      </w:r>
    </w:p>
    <w:p>
      <w:pPr>
        <w:pStyle w:val="4"/>
        <w:keepNext w:val="0"/>
        <w:keepLines w:val="0"/>
        <w:pageBreakBefore w:val="0"/>
        <w:widowControl w:val="0"/>
        <w:kinsoku/>
        <w:wordWrap/>
        <w:overflowPunct/>
        <w:topLinePunct w:val="0"/>
        <w:autoSpaceDE w:val="0"/>
        <w:autoSpaceDN w:val="0"/>
        <w:bidi w:val="0"/>
        <w:adjustRightInd/>
        <w:snapToGrid/>
        <w:ind w:firstLine="643" w:firstLineChars="200"/>
        <w:textAlignment w:val="auto"/>
        <w:outlineLvl w:val="1"/>
        <w:rPr>
          <w:rFonts w:hint="default" w:ascii="楷体_GB2312" w:hAnsi="楷体_GB2312" w:eastAsia="楷体_GB2312" w:cs="楷体_GB2312"/>
          <w:b/>
          <w:bCs/>
          <w:color w:val="000000"/>
          <w:sz w:val="32"/>
          <w:szCs w:val="32"/>
          <w:lang w:val="en-US" w:eastAsia="zh-CN" w:bidi="zh-CN"/>
        </w:rPr>
      </w:pPr>
      <w:bookmarkStart w:id="6" w:name="_Toc69230090"/>
      <w:bookmarkStart w:id="7" w:name="_Toc12271"/>
      <w:r>
        <w:rPr>
          <w:rFonts w:hint="default" w:ascii="楷体_GB2312" w:hAnsi="楷体_GB2312" w:eastAsia="楷体_GB2312" w:cs="楷体_GB2312"/>
          <w:b/>
          <w:bCs/>
          <w:color w:val="000000"/>
          <w:sz w:val="32"/>
          <w:szCs w:val="32"/>
          <w:lang w:val="en-US" w:eastAsia="zh-CN" w:bidi="zh-CN"/>
        </w:rPr>
        <w:t>（四）部门预算绩效管理开展情况</w:t>
      </w:r>
      <w:bookmarkEnd w:id="6"/>
      <w:bookmarkEnd w:id="7"/>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县民政局项目支出预算绩效管理开展严格按照预算管理规定执行，按时向财政部门提交预算报告</w:t>
      </w:r>
      <w:r>
        <w:rPr>
          <w:rFonts w:hint="eastAsia" w:ascii="仿宋_GB2312" w:hAnsi="仿宋_GB2312" w:eastAsia="仿宋_GB2312" w:cs="仿宋_GB2312"/>
          <w:sz w:val="32"/>
          <w:szCs w:val="32"/>
          <w:lang w:eastAsia="zh-CN"/>
        </w:rPr>
        <w:t>。</w:t>
      </w:r>
    </w:p>
    <w:p>
      <w:pPr>
        <w:pStyle w:val="4"/>
        <w:keepNext w:val="0"/>
        <w:keepLines w:val="0"/>
        <w:pageBreakBefore w:val="0"/>
        <w:widowControl w:val="0"/>
        <w:numPr>
          <w:ilvl w:val="0"/>
          <w:numId w:val="3"/>
        </w:numPr>
        <w:kinsoku/>
        <w:wordWrap/>
        <w:overflowPunct/>
        <w:topLinePunct w:val="0"/>
        <w:autoSpaceDE w:val="0"/>
        <w:autoSpaceDN w:val="0"/>
        <w:bidi w:val="0"/>
        <w:adjustRightInd/>
        <w:snapToGrid/>
        <w:ind w:firstLine="643" w:firstLineChars="200"/>
        <w:textAlignment w:val="auto"/>
        <w:outlineLvl w:val="1"/>
        <w:rPr>
          <w:rFonts w:hint="eastAsia" w:ascii="楷体_GB2312" w:hAnsi="楷体_GB2312" w:eastAsia="楷体_GB2312" w:cs="楷体_GB2312"/>
          <w:b/>
          <w:bCs/>
          <w:color w:val="000000"/>
          <w:sz w:val="32"/>
          <w:szCs w:val="32"/>
          <w:lang w:val="en-US" w:eastAsia="zh-CN" w:bidi="zh-CN"/>
        </w:rPr>
      </w:pPr>
      <w:r>
        <w:rPr>
          <w:rFonts w:hint="eastAsia" w:ascii="楷体_GB2312" w:hAnsi="楷体_GB2312" w:eastAsia="楷体_GB2312" w:cs="楷体_GB2312"/>
          <w:b/>
          <w:bCs/>
          <w:color w:val="000000"/>
          <w:sz w:val="32"/>
          <w:szCs w:val="32"/>
          <w:lang w:val="en-US" w:eastAsia="zh-CN" w:bidi="zh-CN"/>
        </w:rPr>
        <w:t>当年部门预算及执行情况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当年部门预算及执行情况。202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年县民政局预算为 </w:t>
      </w:r>
      <w:r>
        <w:rPr>
          <w:rFonts w:hint="eastAsia" w:ascii="仿宋_GB2312" w:hAnsi="仿宋_GB2312" w:eastAsia="仿宋_GB2312" w:cs="仿宋_GB2312"/>
          <w:sz w:val="32"/>
          <w:szCs w:val="32"/>
          <w:lang w:val="en-US" w:eastAsia="zh-CN"/>
        </w:rPr>
        <w:t>12022.91</w:t>
      </w:r>
      <w:r>
        <w:rPr>
          <w:rFonts w:hint="eastAsia" w:ascii="仿宋_GB2312" w:hAnsi="仿宋_GB2312" w:eastAsia="仿宋_GB2312" w:cs="仿宋_GB2312"/>
          <w:sz w:val="32"/>
          <w:szCs w:val="32"/>
        </w:rPr>
        <w:t>万元，执行</w:t>
      </w:r>
      <w:r>
        <w:rPr>
          <w:rFonts w:hint="eastAsia" w:ascii="仿宋_GB2312" w:hAnsi="仿宋_GB2312" w:eastAsia="仿宋_GB2312" w:cs="仿宋_GB2312"/>
          <w:sz w:val="32"/>
          <w:szCs w:val="32"/>
          <w:lang w:val="en-US" w:eastAsia="zh-CN"/>
        </w:rPr>
        <w:t>12022.91</w:t>
      </w:r>
      <w:r>
        <w:rPr>
          <w:rFonts w:hint="eastAsia" w:ascii="仿宋_GB2312" w:hAnsi="仿宋_GB2312" w:eastAsia="仿宋_GB2312" w:cs="仿宋_GB2312"/>
          <w:sz w:val="32"/>
          <w:szCs w:val="32"/>
        </w:rPr>
        <w:t>万元。预算及执行均已完成。</w:t>
      </w:r>
    </w:p>
    <w:p>
      <w:pPr>
        <w:spacing w:line="560" w:lineRule="exact"/>
        <w:ind w:firstLine="640" w:firstLineChars="200"/>
        <w:rPr>
          <w:rFonts w:hint="eastAsia" w:ascii="黑体" w:hAnsi="黑体" w:eastAsia="黑体" w:cs="黑体"/>
          <w:b w:val="0"/>
          <w:bCs w:val="0"/>
          <w:sz w:val="32"/>
          <w:szCs w:val="40"/>
        </w:rPr>
      </w:pPr>
      <w:r>
        <w:rPr>
          <w:rFonts w:hint="eastAsia" w:ascii="黑体" w:hAnsi="黑体" w:eastAsia="黑体" w:cs="黑体"/>
          <w:b w:val="0"/>
          <w:bCs w:val="0"/>
          <w:color w:val="000000"/>
          <w:sz w:val="32"/>
          <w:szCs w:val="32"/>
          <w:lang w:val="en-US" w:eastAsia="zh-CN" w:bidi="zh-CN"/>
        </w:rPr>
        <w:t>二、部门整体支出绩效实现情况</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 w:hAnsi="仿宋" w:eastAsia="仿宋" w:cs="仿宋_GB2312"/>
          <w:sz w:val="32"/>
          <w:szCs w:val="40"/>
          <w:lang w:val="en-US" w:eastAsia="zh-CN"/>
        </w:rPr>
      </w:pPr>
      <w:r>
        <w:rPr>
          <w:rFonts w:hint="eastAsia" w:ascii="仿宋" w:hAnsi="仿宋" w:eastAsia="仿宋" w:cs="仿宋_GB2312"/>
          <w:sz w:val="32"/>
          <w:szCs w:val="40"/>
          <w:lang w:eastAsia="zh-CN"/>
        </w:rPr>
        <w:t>（一）</w:t>
      </w:r>
      <w:r>
        <w:rPr>
          <w:rFonts w:hint="eastAsia" w:ascii="仿宋" w:hAnsi="仿宋" w:eastAsia="仿宋" w:cs="仿宋_GB2312"/>
          <w:sz w:val="32"/>
          <w:szCs w:val="40"/>
        </w:rPr>
        <w:t>履职完成情况：从数量、质量、时效等方面归纳反映年度主要计划任务完成情况。</w:t>
      </w:r>
      <w:r>
        <w:rPr>
          <w:rFonts w:hint="eastAsia" w:ascii="仿宋" w:hAnsi="仿宋" w:eastAsia="仿宋" w:cs="仿宋_GB2312"/>
          <w:sz w:val="32"/>
          <w:szCs w:val="40"/>
          <w:lang w:val="en-US" w:eastAsia="zh-CN"/>
        </w:rPr>
        <w:t>2023年</w:t>
      </w:r>
      <w:r>
        <w:rPr>
          <w:rFonts w:hint="eastAsia" w:ascii="仿宋_GB2312" w:eastAsia="仿宋_GB2312"/>
          <w:color w:val="auto"/>
          <w:sz w:val="32"/>
          <w:szCs w:val="32"/>
          <w:shd w:val="clear" w:color="auto" w:fill="FFFFFF"/>
        </w:rPr>
        <w:t>共保障城</w:t>
      </w:r>
      <w:r>
        <w:rPr>
          <w:rFonts w:hint="eastAsia" w:ascii="仿宋_GB2312" w:eastAsia="仿宋_GB2312"/>
          <w:color w:val="auto"/>
          <w:sz w:val="32"/>
          <w:szCs w:val="32"/>
          <w:shd w:val="clear" w:color="auto" w:fill="FFFFFF"/>
          <w:lang w:eastAsia="zh-CN"/>
        </w:rPr>
        <w:t>乡</w:t>
      </w:r>
      <w:r>
        <w:rPr>
          <w:rFonts w:hint="eastAsia" w:ascii="仿宋_GB2312" w:eastAsia="仿宋_GB2312"/>
          <w:color w:val="auto"/>
          <w:sz w:val="32"/>
          <w:szCs w:val="32"/>
          <w:shd w:val="clear" w:color="auto" w:fill="FFFFFF"/>
        </w:rPr>
        <w:t>低保户</w:t>
      </w:r>
      <w:r>
        <w:rPr>
          <w:rFonts w:hint="eastAsia" w:ascii="仿宋_GB2312" w:eastAsia="仿宋_GB2312"/>
          <w:color w:val="auto"/>
          <w:sz w:val="32"/>
          <w:szCs w:val="32"/>
          <w:shd w:val="clear" w:color="auto" w:fill="FFFFFF"/>
          <w:lang w:val="en-US" w:eastAsia="zh-CN"/>
        </w:rPr>
        <w:t>4559</w:t>
      </w:r>
      <w:r>
        <w:rPr>
          <w:rFonts w:hint="eastAsia" w:ascii="仿宋_GB2312" w:eastAsia="仿宋_GB2312"/>
          <w:color w:val="auto"/>
          <w:sz w:val="32"/>
          <w:szCs w:val="32"/>
          <w:shd w:val="clear" w:color="auto" w:fill="FFFFFF"/>
        </w:rPr>
        <w:t>户</w:t>
      </w:r>
      <w:r>
        <w:rPr>
          <w:rFonts w:hint="eastAsia" w:ascii="仿宋_GB2312" w:eastAsia="仿宋_GB2312"/>
          <w:color w:val="auto"/>
          <w:sz w:val="32"/>
          <w:szCs w:val="32"/>
          <w:shd w:val="clear" w:color="auto" w:fill="FFFFFF"/>
          <w:lang w:val="en-US" w:eastAsia="zh-CN"/>
        </w:rPr>
        <w:t>8511人，城乡特困720人，</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城乡</w:t>
      </w:r>
      <w:r>
        <w:rPr>
          <w:rFonts w:hint="eastAsia" w:ascii="仿宋_GB2312" w:hAnsi="仿宋_GB2312" w:eastAsia="仿宋_GB2312" w:cs="仿宋_GB2312"/>
          <w:b w:val="0"/>
          <w:bCs w:val="0"/>
          <w:i w:val="0"/>
          <w:iCs w:val="0"/>
          <w:caps w:val="0"/>
          <w:color w:val="auto"/>
          <w:spacing w:val="0"/>
          <w:sz w:val="32"/>
          <w:szCs w:val="32"/>
          <w:shd w:val="clear" w:fill="FFFFFF"/>
        </w:rPr>
        <w:t>特困供养人员</w:t>
      </w:r>
      <w:r>
        <w:rPr>
          <w:rFonts w:hint="eastAsia" w:ascii="仿宋_GB2312" w:hAnsi="仿宋_GB2312" w:eastAsia="仿宋_GB2312" w:cs="仿宋_GB2312"/>
          <w:b w:val="0"/>
          <w:bCs w:val="0"/>
          <w:i w:val="0"/>
          <w:iCs w:val="0"/>
          <w:caps w:val="0"/>
          <w:color w:val="auto"/>
          <w:spacing w:val="0"/>
          <w:sz w:val="32"/>
          <w:szCs w:val="32"/>
          <w:shd w:val="clear" w:fill="FFFFFF"/>
          <w:lang w:eastAsia="zh-CN"/>
        </w:rPr>
        <w:t>特困补助</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1190元/人。</w:t>
      </w:r>
      <w:r>
        <w:rPr>
          <w:rFonts w:hint="eastAsia" w:ascii="仿宋_GB2312" w:hAnsi="仿宋_GB2312" w:eastAsia="仿宋_GB2312" w:cs="仿宋_GB2312"/>
          <w:sz w:val="32"/>
          <w:szCs w:val="32"/>
          <w:lang w:val="en-US" w:eastAsia="zh-CN"/>
        </w:rPr>
        <w:t>我县城乡低保保障月标准提高到915元，人均补差580元；特困人员供养月标准提高到1190元，护理补贴按照失能1480元、半失能370元、自理100元月标准进行发放。困难群众保障资金提标提补工作于4月份全部完成，补发资金216.78万元，惠及困难群众15060人。今年以来，已发放低保家庭及特困人员保障资金6821.73万元，目前，最低生活保障家庭共有4547户，8490人，特困人员720人、孤儿15人、事实无人抚养儿童190人、重度残疾3133人、困难残疾2954人、困难重度失能残疾73人。开展居家养老上门服务1153人，服务人次20493次；为80岁以上老人按照每人每月50元提供居家上门服务，目前，我县80岁以上老人5417人，开展居家上门服务3004人，服务人次22892次。</w:t>
      </w:r>
      <w:r>
        <w:rPr>
          <w:rFonts w:hint="eastAsia" w:ascii="仿宋_GB2312" w:eastAsia="仿宋_GB2312"/>
          <w:sz w:val="32"/>
          <w:szCs w:val="32"/>
          <w:shd w:val="clear" w:color="auto" w:fill="FFFFFF"/>
        </w:rPr>
        <w:t>城</w:t>
      </w:r>
      <w:r>
        <w:rPr>
          <w:rFonts w:hint="eastAsia" w:ascii="仿宋_GB2312" w:eastAsia="仿宋_GB2312"/>
          <w:sz w:val="32"/>
          <w:szCs w:val="32"/>
          <w:shd w:val="clear" w:color="auto" w:fill="FFFFFF"/>
          <w:lang w:eastAsia="zh-CN"/>
        </w:rPr>
        <w:t>乡</w:t>
      </w:r>
      <w:r>
        <w:rPr>
          <w:rFonts w:hint="eastAsia" w:ascii="仿宋_GB2312" w:eastAsia="仿宋_GB2312"/>
          <w:sz w:val="32"/>
          <w:szCs w:val="32"/>
          <w:shd w:val="clear" w:color="auto" w:fill="FFFFFF"/>
        </w:rPr>
        <w:t>低保</w:t>
      </w:r>
      <w:r>
        <w:rPr>
          <w:rFonts w:hint="eastAsia"/>
          <w:sz w:val="32"/>
          <w:szCs w:val="32"/>
          <w:shd w:val="clear" w:color="auto" w:fill="FFFFFF"/>
          <w:lang w:eastAsia="zh-CN"/>
        </w:rPr>
        <w:t>、残疾人两项补贴对象、高龄老人生活补贴对象</w:t>
      </w:r>
      <w:r>
        <w:rPr>
          <w:rFonts w:hint="eastAsia"/>
          <w:sz w:val="32"/>
          <w:szCs w:val="32"/>
          <w:shd w:val="clear" w:color="auto" w:fill="FFFFFF"/>
          <w:lang w:val="en-US" w:eastAsia="zh-CN"/>
        </w:rPr>
        <w:t>11个</w:t>
      </w:r>
      <w:r>
        <w:rPr>
          <w:rFonts w:hint="eastAsia"/>
          <w:sz w:val="32"/>
          <w:szCs w:val="32"/>
          <w:shd w:val="clear" w:color="auto" w:fill="FFFFFF"/>
          <w:lang w:eastAsia="zh-CN"/>
        </w:rPr>
        <w:t>乡镇处覆</w:t>
      </w:r>
      <w:r>
        <w:rPr>
          <w:rFonts w:hint="eastAsia" w:ascii="仿宋" w:hAnsi="仿宋" w:eastAsia="仿宋" w:cs="仿宋_GB2312"/>
          <w:sz w:val="32"/>
          <w:szCs w:val="40"/>
          <w:lang w:eastAsia="zh-CN"/>
        </w:rPr>
        <w:t>盖率为</w:t>
      </w:r>
      <w:r>
        <w:rPr>
          <w:rFonts w:hint="eastAsia" w:ascii="仿宋" w:hAnsi="仿宋" w:eastAsia="仿宋" w:cs="仿宋_GB2312"/>
          <w:sz w:val="32"/>
          <w:szCs w:val="40"/>
          <w:lang w:val="en-US" w:eastAsia="zh-CN"/>
        </w:rPr>
        <w:t>100%。</w:t>
      </w:r>
      <w:r>
        <w:rPr>
          <w:rFonts w:hint="eastAsia" w:ascii="仿宋" w:hAnsi="仿宋" w:eastAsia="仿宋" w:cs="仿宋_GB2312"/>
          <w:sz w:val="32"/>
          <w:szCs w:val="40"/>
          <w:lang w:eastAsia="zh-CN"/>
        </w:rPr>
        <w:t>每月通过社保一卡通完成社会化发放专项资金。</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_GB2312" w:hAnsi="仿宋_GB2312" w:eastAsia="仿宋_GB2312" w:cs="仿宋_GB2312"/>
          <w:sz w:val="32"/>
          <w:szCs w:val="32"/>
          <w:lang w:val="en-US" w:eastAsia="zh-CN" w:bidi="zh-CN"/>
        </w:rPr>
      </w:pPr>
      <w:r>
        <w:rPr>
          <w:rFonts w:hint="eastAsia" w:ascii="仿宋" w:hAnsi="仿宋" w:eastAsia="仿宋" w:cs="仿宋_GB2312"/>
          <w:sz w:val="32"/>
          <w:szCs w:val="40"/>
          <w:lang w:val="en-US" w:eastAsia="zh-CN"/>
        </w:rPr>
        <w:t>（二）履职效果情况：从社会效益、经济效益等方面反映部门履职效果。</w:t>
      </w:r>
      <w:r>
        <w:rPr>
          <w:rFonts w:hint="eastAsia" w:cs="仿宋_GB2312"/>
          <w:sz w:val="32"/>
          <w:szCs w:val="32"/>
          <w:lang w:val="en-US" w:eastAsia="zh-CN" w:bidi="zh-CN"/>
        </w:rPr>
        <w:t>社会效益：有效保障城乡低保、特困人员等的基本生活。提升困难群众的获得感、幸福感。</w:t>
      </w:r>
      <w:r>
        <w:rPr>
          <w:rFonts w:hint="eastAsia" w:ascii="仿宋_GB2312" w:hAnsi="仿宋_GB2312" w:eastAsia="仿宋_GB2312" w:cs="仿宋_GB2312"/>
          <w:sz w:val="32"/>
          <w:szCs w:val="32"/>
          <w:lang w:val="en-US" w:eastAsia="zh-CN" w:bidi="zh-CN"/>
        </w:rPr>
        <w:t>生态效益：保护生态环境，节约土地资源。</w:t>
      </w:r>
    </w:p>
    <w:p>
      <w:pPr>
        <w:rPr>
          <w:rFonts w:hint="eastAsia" w:ascii="仿宋" w:hAnsi="仿宋" w:eastAsia="仿宋" w:cs="仿宋_GB2312"/>
          <w:sz w:val="32"/>
          <w:szCs w:val="40"/>
          <w:lang w:val="en-US" w:eastAsia="zh-CN"/>
        </w:rPr>
      </w:pPr>
      <w:r>
        <w:rPr>
          <w:rFonts w:hint="eastAsia" w:ascii="仿宋_GB2312" w:hAnsi="仿宋_GB2312" w:eastAsia="仿宋_GB2312" w:cs="仿宋_GB2312"/>
          <w:sz w:val="32"/>
          <w:szCs w:val="32"/>
          <w:lang w:val="en-US" w:eastAsia="zh-CN" w:bidi="zh-CN"/>
        </w:rPr>
        <w:t xml:space="preserve">    （三）社会满意度及可持续性影响。困难群众满意度</w:t>
      </w:r>
      <w:r>
        <w:rPr>
          <w:rFonts w:hint="default" w:ascii="Arial" w:hAnsi="Arial" w:eastAsia="仿宋_GB2312" w:cs="Arial"/>
          <w:sz w:val="32"/>
          <w:szCs w:val="32"/>
          <w:lang w:val="en-US" w:eastAsia="zh-CN" w:bidi="zh-CN"/>
        </w:rPr>
        <w:t>≥</w:t>
      </w:r>
      <w:r>
        <w:rPr>
          <w:rFonts w:hint="eastAsia" w:ascii="仿宋_GB2312" w:hAnsi="仿宋_GB2312" w:eastAsia="仿宋_GB2312" w:cs="仿宋_GB2312"/>
          <w:sz w:val="32"/>
          <w:szCs w:val="32"/>
          <w:lang w:val="en-US" w:eastAsia="zh-CN" w:bidi="zh-CN"/>
        </w:rPr>
        <w:t>95%。可持续影响</w:t>
      </w:r>
      <w:r>
        <w:rPr>
          <w:rFonts w:hint="eastAsia" w:cs="仿宋_GB2312"/>
          <w:sz w:val="32"/>
          <w:szCs w:val="32"/>
          <w:lang w:val="en-US" w:eastAsia="zh-CN" w:bidi="zh-CN"/>
        </w:rPr>
        <w:t>：</w:t>
      </w:r>
      <w:r>
        <w:rPr>
          <w:rFonts w:hint="eastAsia" w:ascii="仿宋_GB2312" w:hAnsi="仿宋_GB2312" w:eastAsia="仿宋_GB2312" w:cs="仿宋_GB2312"/>
          <w:sz w:val="32"/>
          <w:szCs w:val="32"/>
          <w:lang w:val="en-US" w:eastAsia="zh-CN" w:bidi="zh-CN"/>
        </w:rPr>
        <w:t>促进全县绿色殡葬改革和移风易俗工作推进。</w:t>
      </w:r>
    </w:p>
    <w:p>
      <w:pPr>
        <w:spacing w:line="560" w:lineRule="exact"/>
        <w:ind w:firstLine="640" w:firstLineChars="200"/>
        <w:rPr>
          <w:rFonts w:hint="eastAsia" w:ascii="黑体" w:hAnsi="黑体" w:eastAsia="黑体" w:cs="黑体"/>
          <w:b w:val="0"/>
          <w:bCs w:val="0"/>
          <w:color w:val="000000"/>
          <w:sz w:val="32"/>
          <w:szCs w:val="32"/>
          <w:lang w:val="en-US" w:eastAsia="zh-CN" w:bidi="zh-CN"/>
        </w:rPr>
      </w:pPr>
      <w:r>
        <w:rPr>
          <w:rFonts w:hint="eastAsia" w:ascii="黑体" w:hAnsi="黑体" w:eastAsia="黑体" w:cs="黑体"/>
          <w:b w:val="0"/>
          <w:bCs w:val="0"/>
          <w:color w:val="000000"/>
          <w:sz w:val="32"/>
          <w:szCs w:val="32"/>
          <w:lang w:val="en-US" w:eastAsia="zh-CN" w:bidi="zh-CN"/>
        </w:rPr>
        <w:t>三、部门整体支出绩效中存在问题及改进措施</w:t>
      </w:r>
    </w:p>
    <w:p>
      <w:pPr>
        <w:ind w:firstLine="640" w:firstLineChars="200"/>
        <w:rPr>
          <w:rFonts w:hint="eastAsia" w:ascii="仿宋_GB2312" w:hAnsi="仿宋_GB2312" w:eastAsia="仿宋_GB2312" w:cs="仿宋_GB2312"/>
          <w:sz w:val="32"/>
          <w:szCs w:val="32"/>
          <w:lang w:val="en-US" w:eastAsia="zh-CN" w:bidi="zh-CN"/>
        </w:rPr>
      </w:pPr>
      <w:r>
        <w:rPr>
          <w:rFonts w:hint="eastAsia" w:ascii="仿宋" w:hAnsi="仿宋" w:eastAsia="仿宋" w:cs="仿宋_GB2312"/>
          <w:sz w:val="32"/>
          <w:szCs w:val="40"/>
        </w:rPr>
        <w:t>（一）主</w:t>
      </w:r>
      <w:r>
        <w:rPr>
          <w:rFonts w:hint="eastAsia" w:ascii="仿宋_GB2312" w:hAnsi="仿宋_GB2312" w:eastAsia="仿宋_GB2312" w:cs="仿宋_GB2312"/>
          <w:sz w:val="32"/>
          <w:szCs w:val="32"/>
          <w:lang w:val="en-US" w:eastAsia="zh-CN" w:bidi="zh-CN"/>
        </w:rPr>
        <w:t>要问题及原因分析。</w:t>
      </w:r>
    </w:p>
    <w:p>
      <w:pPr>
        <w:ind w:firstLine="640" w:firstLineChars="200"/>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一是项目建设资金缺口较大，在一定程度上影响了项目进度。二是民政维稳的压力仍然较大，民政对象广而多、情况复杂，不断提出新的上访诉求，给社会稳定带来一定的压力。</w:t>
      </w:r>
    </w:p>
    <w:p>
      <w:pPr>
        <w:ind w:firstLine="640" w:firstLineChars="200"/>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（二）改进的方向和具体措施</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bidi="zh-CN"/>
        </w:rPr>
        <w:t>建议加大财政预算经费投入力度，补足工作经费，完善基础设施，保障各项工作顺利开展。</w:t>
      </w:r>
    </w:p>
    <w:p>
      <w:pPr>
        <w:spacing w:line="560" w:lineRule="exact"/>
        <w:ind w:firstLine="640" w:firstLineChars="200"/>
        <w:rPr>
          <w:rFonts w:hint="eastAsia" w:ascii="黑体" w:hAnsi="黑体" w:eastAsia="黑体" w:cs="黑体"/>
          <w:b w:val="0"/>
          <w:bCs w:val="0"/>
          <w:color w:val="000000"/>
          <w:sz w:val="32"/>
          <w:szCs w:val="32"/>
          <w:lang w:val="en-US" w:eastAsia="zh-CN" w:bidi="zh-CN"/>
        </w:rPr>
      </w:pPr>
      <w:r>
        <w:rPr>
          <w:rFonts w:hint="eastAsia" w:ascii="黑体" w:hAnsi="黑体" w:eastAsia="黑体" w:cs="黑体"/>
          <w:b w:val="0"/>
          <w:bCs w:val="0"/>
          <w:color w:val="000000"/>
          <w:sz w:val="32"/>
          <w:szCs w:val="32"/>
          <w:lang w:val="en-US" w:eastAsia="zh-CN" w:bidi="zh-CN"/>
        </w:rPr>
        <w:t>四、绩效自评结果拟应用和公开情况</w:t>
      </w:r>
    </w:p>
    <w:p>
      <w:pPr>
        <w:pStyle w:val="4"/>
        <w:numPr>
          <w:ilvl w:val="0"/>
          <w:numId w:val="0"/>
        </w:numPr>
        <w:ind w:right="0" w:rightChars="0" w:firstLine="640" w:firstLineChars="200"/>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rPr>
        <w:t>根据定量分析及定性分析，综合自评得分为9</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分，评价等次确定为优。</w:t>
      </w:r>
      <w:r>
        <w:rPr>
          <w:rFonts w:hint="eastAsia" w:ascii="仿宋_GB2312" w:hAnsi="仿宋_GB2312" w:eastAsia="仿宋_GB2312" w:cs="仿宋_GB2312"/>
          <w:sz w:val="32"/>
          <w:szCs w:val="32"/>
          <w:lang w:val="en-US" w:eastAsia="zh-CN" w:bidi="zh-CN"/>
        </w:rPr>
        <w:t>本次绩效自评是对202</w:t>
      </w:r>
      <w:r>
        <w:rPr>
          <w:rFonts w:hint="eastAsia" w:cs="仿宋_GB2312"/>
          <w:sz w:val="32"/>
          <w:szCs w:val="32"/>
          <w:lang w:val="en-US" w:eastAsia="zh-CN" w:bidi="zh-CN"/>
        </w:rPr>
        <w:t>3</w:t>
      </w:r>
      <w:r>
        <w:rPr>
          <w:rFonts w:hint="eastAsia" w:ascii="仿宋_GB2312" w:hAnsi="仿宋_GB2312" w:eastAsia="仿宋_GB2312" w:cs="仿宋_GB2312"/>
          <w:sz w:val="32"/>
          <w:szCs w:val="32"/>
          <w:lang w:val="en-US" w:eastAsia="zh-CN" w:bidi="zh-CN"/>
        </w:rPr>
        <w:t>年度单位整体支出预算目标实现情况的自我审查及总结，我</w:t>
      </w:r>
      <w:r>
        <w:rPr>
          <w:rFonts w:hint="eastAsia" w:cs="仿宋_GB2312"/>
          <w:sz w:val="32"/>
          <w:szCs w:val="32"/>
          <w:lang w:val="en-US" w:eastAsia="zh-CN" w:bidi="zh-CN"/>
        </w:rPr>
        <w:t>部门</w:t>
      </w:r>
      <w:r>
        <w:rPr>
          <w:rFonts w:hint="eastAsia" w:ascii="仿宋_GB2312" w:hAnsi="仿宋_GB2312" w:eastAsia="仿宋_GB2312" w:cs="仿宋_GB2312"/>
          <w:sz w:val="32"/>
          <w:szCs w:val="32"/>
          <w:lang w:val="en-US" w:eastAsia="zh-CN" w:bidi="zh-CN"/>
        </w:rPr>
        <w:t>注重自身建设和提升，力求资源配置合理，发挥财政资金最大化效益。</w:t>
      </w:r>
    </w:p>
    <w:p>
      <w:pPr>
        <w:pStyle w:val="4"/>
        <w:numPr>
          <w:ilvl w:val="0"/>
          <w:numId w:val="0"/>
        </w:numPr>
        <w:ind w:right="0" w:rightChars="0" w:firstLine="640" w:firstLineChars="200"/>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同时，我</w:t>
      </w:r>
      <w:r>
        <w:rPr>
          <w:rFonts w:hint="eastAsia" w:cs="仿宋_GB2312"/>
          <w:sz w:val="32"/>
          <w:szCs w:val="32"/>
          <w:lang w:val="en-US" w:eastAsia="zh-CN" w:bidi="zh-CN"/>
        </w:rPr>
        <w:t>部门</w:t>
      </w:r>
      <w:r>
        <w:rPr>
          <w:rFonts w:hint="eastAsia" w:ascii="仿宋_GB2312" w:hAnsi="仿宋_GB2312" w:eastAsia="仿宋_GB2312" w:cs="仿宋_GB2312"/>
          <w:sz w:val="32"/>
          <w:szCs w:val="32"/>
          <w:lang w:val="en-US" w:eastAsia="zh-CN" w:bidi="zh-CN"/>
        </w:rPr>
        <w:t>将把本次绩效评价结果作为本年度绩效考核及以后年度预算安排的重要依据。针对此次评价过程中发现的问题，督促相关人员进行整改并落实到位，切实有效地发挥每一次评价的作用，我</w:t>
      </w:r>
      <w:r>
        <w:rPr>
          <w:rFonts w:hint="eastAsia" w:cs="仿宋_GB2312"/>
          <w:sz w:val="32"/>
          <w:szCs w:val="32"/>
          <w:lang w:val="en-US" w:eastAsia="zh-CN" w:bidi="zh-CN"/>
        </w:rPr>
        <w:t>部门</w:t>
      </w:r>
      <w:r>
        <w:rPr>
          <w:rFonts w:hint="eastAsia" w:ascii="仿宋_GB2312" w:hAnsi="仿宋_GB2312" w:eastAsia="仿宋_GB2312" w:cs="仿宋_GB2312"/>
          <w:sz w:val="32"/>
          <w:szCs w:val="32"/>
          <w:lang w:val="en-US" w:eastAsia="zh-CN" w:bidi="zh-CN"/>
        </w:rPr>
        <w:t>也将在门户网站公开披露本次单位整体支出绩效评价结果，接受社会公众的监督。</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CBC7B8"/>
    <w:multiLevelType w:val="singleLevel"/>
    <w:tmpl w:val="1DCBC7B8"/>
    <w:lvl w:ilvl="0" w:tentative="0">
      <w:start w:val="2"/>
      <w:numFmt w:val="chineseCounting"/>
      <w:suff w:val="nothing"/>
      <w:lvlText w:val="（%1）"/>
      <w:lvlJc w:val="left"/>
      <w:rPr>
        <w:rFonts w:hint="eastAsia"/>
      </w:rPr>
    </w:lvl>
  </w:abstractNum>
  <w:abstractNum w:abstractNumId="1">
    <w:nsid w:val="34FA2E8F"/>
    <w:multiLevelType w:val="singleLevel"/>
    <w:tmpl w:val="34FA2E8F"/>
    <w:lvl w:ilvl="0" w:tentative="0">
      <w:start w:val="2"/>
      <w:numFmt w:val="decimal"/>
      <w:suff w:val="nothing"/>
      <w:lvlText w:val="（%1）"/>
      <w:lvlJc w:val="left"/>
    </w:lvl>
  </w:abstractNum>
  <w:abstractNum w:abstractNumId="2">
    <w:nsid w:val="7DAC5C68"/>
    <w:multiLevelType w:val="singleLevel"/>
    <w:tmpl w:val="7DAC5C68"/>
    <w:lvl w:ilvl="0" w:tentative="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kNjJkODJiYmQ4NWU1MzdhZTg5MGU3MDY5YjE4ODgifQ=="/>
  </w:docVars>
  <w:rsids>
    <w:rsidRoot w:val="7B6E2884"/>
    <w:rsid w:val="05062D68"/>
    <w:rsid w:val="06416622"/>
    <w:rsid w:val="07A41C88"/>
    <w:rsid w:val="0B506007"/>
    <w:rsid w:val="0D616996"/>
    <w:rsid w:val="0E2C38BC"/>
    <w:rsid w:val="0FB50E8E"/>
    <w:rsid w:val="1064596F"/>
    <w:rsid w:val="11816C45"/>
    <w:rsid w:val="127E0B34"/>
    <w:rsid w:val="129240E3"/>
    <w:rsid w:val="13826402"/>
    <w:rsid w:val="15C335EF"/>
    <w:rsid w:val="16CA5C82"/>
    <w:rsid w:val="177516A8"/>
    <w:rsid w:val="185A507F"/>
    <w:rsid w:val="191C5BD5"/>
    <w:rsid w:val="19E25E4D"/>
    <w:rsid w:val="1CEE4B08"/>
    <w:rsid w:val="210759F5"/>
    <w:rsid w:val="24AF750D"/>
    <w:rsid w:val="254E15E3"/>
    <w:rsid w:val="257756E7"/>
    <w:rsid w:val="2C835E6C"/>
    <w:rsid w:val="30133C99"/>
    <w:rsid w:val="30CD55EE"/>
    <w:rsid w:val="311C71E6"/>
    <w:rsid w:val="36113768"/>
    <w:rsid w:val="3A33472A"/>
    <w:rsid w:val="3A642F28"/>
    <w:rsid w:val="3CBB1C4D"/>
    <w:rsid w:val="40426C23"/>
    <w:rsid w:val="40484352"/>
    <w:rsid w:val="41843041"/>
    <w:rsid w:val="43F23FC6"/>
    <w:rsid w:val="45E00BE3"/>
    <w:rsid w:val="480013F4"/>
    <w:rsid w:val="49492F43"/>
    <w:rsid w:val="4BA67FE4"/>
    <w:rsid w:val="4C545E87"/>
    <w:rsid w:val="4D8925B3"/>
    <w:rsid w:val="4DD112EB"/>
    <w:rsid w:val="54B41BB8"/>
    <w:rsid w:val="563C1A30"/>
    <w:rsid w:val="56C232D8"/>
    <w:rsid w:val="58516363"/>
    <w:rsid w:val="59812CE6"/>
    <w:rsid w:val="5C087CA1"/>
    <w:rsid w:val="5FC855E1"/>
    <w:rsid w:val="6233447A"/>
    <w:rsid w:val="64B0659B"/>
    <w:rsid w:val="661C7E7A"/>
    <w:rsid w:val="6828049B"/>
    <w:rsid w:val="69471A07"/>
    <w:rsid w:val="6B202B98"/>
    <w:rsid w:val="6D313CA5"/>
    <w:rsid w:val="6FEA6982"/>
    <w:rsid w:val="739A36AA"/>
    <w:rsid w:val="772B7707"/>
    <w:rsid w:val="773D43B3"/>
    <w:rsid w:val="78E47B24"/>
    <w:rsid w:val="79641A93"/>
    <w:rsid w:val="7A1A5488"/>
    <w:rsid w:val="7AC01599"/>
    <w:rsid w:val="7B6E2884"/>
    <w:rsid w:val="7D4B5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autoRedefine/>
    <w:qFormat/>
    <w:uiPriority w:val="1"/>
    <w:pPr>
      <w:jc w:val="center"/>
      <w:outlineLvl w:val="1"/>
    </w:pPr>
    <w:rPr>
      <w:rFonts w:ascii="宋体" w:hAnsi="宋体" w:eastAsia="宋体" w:cs="宋体"/>
      <w:sz w:val="44"/>
      <w:szCs w:val="44"/>
      <w:lang w:val="zh-CN" w:eastAsia="zh-CN" w:bidi="zh-CN"/>
    </w:rPr>
  </w:style>
  <w:style w:type="paragraph" w:styleId="3">
    <w:name w:val="heading 3"/>
    <w:basedOn w:val="1"/>
    <w:next w:val="1"/>
    <w:autoRedefine/>
    <w:unhideWhenUsed/>
    <w:qFormat/>
    <w:uiPriority w:val="0"/>
    <w:pPr>
      <w:keepNext/>
      <w:keepLines/>
      <w:spacing w:before="120" w:after="120" w:line="360" w:lineRule="auto"/>
      <w:jc w:val="left"/>
      <w:outlineLvl w:val="2"/>
    </w:pPr>
    <w:rPr>
      <w:rFonts w:ascii="Times New Roman" w:hAnsi="Times New Roman" w:cs="Times New Roman"/>
      <w:b/>
      <w:bCs/>
      <w:sz w:val="30"/>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1"/>
    <w:rPr>
      <w:rFonts w:ascii="仿宋_GB2312" w:hAnsi="仿宋_GB2312" w:eastAsia="仿宋_GB2312" w:cs="仿宋_GB2312"/>
      <w:sz w:val="32"/>
      <w:szCs w:val="32"/>
      <w:lang w:val="zh-CN" w:eastAsia="zh-CN" w:bidi="zh-CN"/>
    </w:rPr>
  </w:style>
  <w:style w:type="paragraph" w:styleId="5">
    <w:name w:val="Plain Text"/>
    <w:basedOn w:val="1"/>
    <w:autoRedefine/>
    <w:unhideWhenUsed/>
    <w:qFormat/>
    <w:uiPriority w:val="99"/>
    <w:rPr>
      <w:rFonts w:hAnsi="Courier New" w:cs="Courier New"/>
      <w:szCs w:val="21"/>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39"/>
    <w:pPr>
      <w:spacing w:line="480" w:lineRule="auto"/>
    </w:pPr>
    <w:rPr>
      <w:rFonts w:asciiTheme="minorHAnsi" w:hAnsiTheme="minorHAnsi"/>
      <w:b/>
      <w:sz w:val="36"/>
    </w:rPr>
  </w:style>
  <w:style w:type="paragraph" w:styleId="9">
    <w:name w:val="toc 2"/>
    <w:basedOn w:val="1"/>
    <w:next w:val="1"/>
    <w:autoRedefine/>
    <w:qFormat/>
    <w:uiPriority w:val="39"/>
    <w:pPr>
      <w:spacing w:line="320" w:lineRule="exact"/>
      <w:ind w:left="420" w:leftChars="200"/>
    </w:pPr>
    <w:rPr>
      <w:rFonts w:asciiTheme="minorHAnsi" w:hAnsiTheme="minorHAnsi"/>
      <w:sz w:val="24"/>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4"/>
    <w:autoRedefine/>
    <w:semiHidden/>
    <w:unhideWhenUsed/>
    <w:qFormat/>
    <w:uiPriority w:val="99"/>
    <w:pPr>
      <w:spacing w:before="100" w:beforeAutospacing="1"/>
      <w:ind w:firstLine="420" w:firstLineChars="100"/>
    </w:pPr>
  </w:style>
  <w:style w:type="character" w:styleId="14">
    <w:name w:val="Hyperlink"/>
    <w:basedOn w:val="13"/>
    <w:autoRedefine/>
    <w:unhideWhenUsed/>
    <w:qFormat/>
    <w:uiPriority w:val="99"/>
    <w:rPr>
      <w:color w:val="0563C1" w:themeColor="hyperlink"/>
      <w:u w:val="single"/>
      <w14:textFill>
        <w14:solidFill>
          <w14:schemeClr w14:val="hlink"/>
        </w14:solidFill>
      </w14:textFill>
    </w:rPr>
  </w:style>
  <w:style w:type="paragraph" w:customStyle="1" w:styleId="15">
    <w:name w:val="TOC Heading"/>
    <w:basedOn w:val="2"/>
    <w:next w:val="1"/>
    <w:autoRedefine/>
    <w:unhideWhenUsed/>
    <w:qFormat/>
    <w:uiPriority w:val="39"/>
    <w:pPr>
      <w:widowControl/>
      <w:autoSpaceDE/>
      <w:autoSpaceDN/>
      <w:spacing w:before="240" w:line="259" w:lineRule="auto"/>
      <w:ind w:firstLine="0" w:firstLineChars="0"/>
      <w:outlineLvl w:val="9"/>
    </w:pPr>
    <w:rPr>
      <w:rFonts w:asciiTheme="majorHAnsi" w:hAnsiTheme="majorHAnsi" w:cstheme="majorBidi"/>
      <w:color w:val="2E75B6" w:themeColor="accent1" w:themeShade="BF"/>
      <w:kern w:val="0"/>
      <w:szCs w:val="32"/>
      <w:lang w:val="en-US" w:bidi="ar-SA"/>
    </w:rPr>
  </w:style>
  <w:style w:type="character" w:customStyle="1" w:styleId="16">
    <w:name w:val="font11"/>
    <w:basedOn w:val="13"/>
    <w:autoRedefine/>
    <w:qFormat/>
    <w:uiPriority w:val="0"/>
    <w:rPr>
      <w:rFonts w:hint="eastAsia" w:ascii="宋体" w:hAnsi="宋体" w:eastAsia="宋体" w:cs="宋体"/>
      <w:color w:val="000000"/>
      <w:sz w:val="22"/>
      <w:szCs w:val="22"/>
      <w:u w:val="none"/>
    </w:rPr>
  </w:style>
  <w:style w:type="character" w:customStyle="1" w:styleId="17">
    <w:name w:val="font31"/>
    <w:basedOn w:val="13"/>
    <w:autoRedefine/>
    <w:qFormat/>
    <w:uiPriority w:val="0"/>
    <w:rPr>
      <w:rFonts w:hint="default" w:ascii="Times New Roman" w:hAnsi="Times New Roman" w:cs="Times New Roman"/>
      <w:color w:val="000000"/>
      <w:sz w:val="22"/>
      <w:szCs w:val="22"/>
      <w:u w:val="none"/>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paragraph" w:customStyle="1" w:styleId="19">
    <w:name w:val="WPSOffice手动目录 1"/>
    <w:autoRedefine/>
    <w:qFormat/>
    <w:uiPriority w:val="0"/>
    <w:pPr>
      <w:ind w:leftChars="0"/>
    </w:pPr>
    <w:rPr>
      <w:rFonts w:ascii="Times New Roman" w:hAnsi="Times New Roman" w:eastAsia="宋体" w:cs="Times New Roman"/>
      <w:sz w:val="20"/>
      <w:szCs w:val="20"/>
    </w:rPr>
  </w:style>
  <w:style w:type="character" w:customStyle="1" w:styleId="20">
    <w:name w:val="font21"/>
    <w:basedOn w:val="13"/>
    <w:autoRedefine/>
    <w:qFormat/>
    <w:uiPriority w:val="0"/>
    <w:rPr>
      <w:rFonts w:hint="default" w:ascii="Times New Roman" w:hAnsi="Times New Roman" w:cs="Times New Roman"/>
      <w:color w:val="000000"/>
      <w:sz w:val="22"/>
      <w:szCs w:val="22"/>
      <w:u w:val="none"/>
    </w:rPr>
  </w:style>
  <w:style w:type="paragraph" w:customStyle="1" w:styleId="21">
    <w:name w:val="BodyText"/>
    <w:basedOn w:val="1"/>
    <w:autoRedefine/>
    <w:qFormat/>
    <w:uiPriority w:val="0"/>
    <w:pPr>
      <w:spacing w:after="12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8722</Words>
  <Characters>9322</Characters>
  <Lines>0</Lines>
  <Paragraphs>0</Paragraphs>
  <TotalTime>183</TotalTime>
  <ScaleCrop>false</ScaleCrop>
  <LinksUpToDate>false</LinksUpToDate>
  <CharactersWithSpaces>9539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2022-04-22T01:50:00Z</dcterms:created>
  <dc:creator>lucky</dc:creator>
  <cp:lastModifiedBy>太阳花</cp:lastModifiedBy>
  <dcterms:modified xsi:type="dcterms:W3CDTF">2024-05-31T03:54:44Z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4ABCBF7FDBA94629900C79CB4A7DDB3F_13</vt:lpwstr>
  </property>
  <property fmtid="{D5CDD505-2E9C-101B-9397-08002B2CF9AE}" pid="4" name="commondata">
    <vt:lpwstr>eyJoZGlkIjoiN2YzNjBkOTgyNWQ1YTMxYzM3MzMwNWFiODNmOWIzYWMifQ==</vt:lpwstr>
  </property>
</Properties>
</file>