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FA38DF">
      <w:pPr>
        <w:keepNext w:val="0"/>
        <w:keepLines w:val="0"/>
        <w:pageBreakBefore w:val="0"/>
        <w:widowControl w:val="0"/>
        <w:kinsoku/>
        <w:wordWrap/>
        <w:overflowPunct/>
        <w:topLinePunct w:val="0"/>
        <w:autoSpaceDE w:val="0"/>
        <w:autoSpaceDN w:val="0"/>
        <w:bidi w:val="0"/>
        <w:adjustRightInd/>
        <w:snapToGrid/>
        <w:spacing w:before="0" w:after="60" w:line="600" w:lineRule="exact"/>
        <w:jc w:val="center"/>
        <w:textAlignment w:val="auto"/>
        <w:outlineLvl w:val="9"/>
        <w:rPr>
          <w:rFonts w:hint="eastAsia" w:ascii="方正小标宋简体" w:hAnsi="方正小标宋简体" w:eastAsia="方正小标宋简体" w:cs="方正小标宋简体"/>
          <w:b w:val="0"/>
          <w:bCs w:val="0"/>
          <w:sz w:val="44"/>
          <w:szCs w:val="44"/>
        </w:rPr>
      </w:pPr>
      <w:bookmarkStart w:id="0" w:name="_Toc11373"/>
      <w:bookmarkStart w:id="9" w:name="_GoBack"/>
      <w:bookmarkEnd w:id="9"/>
      <w:r>
        <w:rPr>
          <w:rFonts w:hint="eastAsia" w:ascii="方正小标宋简体" w:hAnsi="方正小标宋简体" w:eastAsia="方正小标宋简体" w:cs="方正小标宋简体"/>
          <w:b w:val="0"/>
          <w:bCs w:val="0"/>
          <w:sz w:val="44"/>
          <w:szCs w:val="44"/>
          <w:lang w:val="en-US" w:eastAsia="zh-CN"/>
        </w:rPr>
        <w:t>2025年度安义县民政局</w:t>
      </w:r>
      <w:r>
        <w:rPr>
          <w:rFonts w:hint="eastAsia" w:ascii="方正小标宋简体" w:hAnsi="方正小标宋简体" w:eastAsia="方正小标宋简体" w:cs="方正小标宋简体"/>
          <w:b w:val="0"/>
          <w:bCs w:val="0"/>
          <w:sz w:val="44"/>
          <w:szCs w:val="44"/>
        </w:rPr>
        <w:t>部门</w:t>
      </w:r>
      <w:bookmarkEnd w:id="0"/>
      <w:bookmarkStart w:id="1" w:name="_Toc3985"/>
      <w:r>
        <w:rPr>
          <w:rFonts w:hint="eastAsia" w:ascii="方正小标宋简体" w:hAnsi="方正小标宋简体" w:eastAsia="方正小标宋简体" w:cs="方正小标宋简体"/>
          <w:b w:val="0"/>
          <w:bCs w:val="0"/>
          <w:sz w:val="44"/>
          <w:szCs w:val="44"/>
        </w:rPr>
        <w:t>整体支出</w:t>
      </w:r>
    </w:p>
    <w:p w14:paraId="6BAF7463">
      <w:pPr>
        <w:keepNext w:val="0"/>
        <w:keepLines w:val="0"/>
        <w:pageBreakBefore w:val="0"/>
        <w:widowControl w:val="0"/>
        <w:kinsoku/>
        <w:wordWrap/>
        <w:overflowPunct/>
        <w:topLinePunct w:val="0"/>
        <w:autoSpaceDE w:val="0"/>
        <w:autoSpaceDN w:val="0"/>
        <w:bidi w:val="0"/>
        <w:adjustRightInd/>
        <w:snapToGrid/>
        <w:spacing w:before="0" w:after="60" w:line="600" w:lineRule="exact"/>
        <w:jc w:val="center"/>
        <w:textAlignment w:val="auto"/>
        <w:outlineLvl w:val="9"/>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绩效自评报告</w:t>
      </w:r>
      <w:bookmarkEnd w:id="1"/>
    </w:p>
    <w:p w14:paraId="7C57C4C8">
      <w:pPr>
        <w:pStyle w:val="2"/>
        <w:spacing w:before="178"/>
        <w:ind w:right="1935"/>
        <w:jc w:val="center"/>
        <w:rPr>
          <w:rFonts w:hint="eastAsia" w:ascii="楷体" w:eastAsia="楷体"/>
          <w:b/>
          <w:bCs/>
        </w:rPr>
      </w:pPr>
      <w:r>
        <w:rPr>
          <w:rFonts w:hint="eastAsia" w:ascii="楷体" w:eastAsia="楷体"/>
          <w:b/>
          <w:bCs/>
          <w:lang w:val="en-US" w:eastAsia="zh-CN"/>
        </w:rPr>
        <w:t xml:space="preserve">          </w:t>
      </w:r>
    </w:p>
    <w:p w14:paraId="5AEBC546">
      <w:pPr>
        <w:keepNext w:val="0"/>
        <w:keepLines w:val="0"/>
        <w:widowControl/>
        <w:suppressLineNumbers w:val="0"/>
        <w:ind w:firstLine="640" w:firstLineChars="200"/>
        <w:jc w:val="left"/>
        <w:rPr>
          <w:rFonts w:hint="eastAsia" w:ascii="仿宋_GB2312" w:hAnsi="仿宋" w:eastAsia="仿宋_GB2312" w:cs="仿宋"/>
          <w:sz w:val="32"/>
          <w:szCs w:val="32"/>
          <w:highlight w:val="none"/>
          <w:lang w:val="en-US" w:eastAsia="zh-CN" w:bidi="zh-CN"/>
        </w:rPr>
      </w:pPr>
      <w:r>
        <w:rPr>
          <w:rFonts w:hint="eastAsia" w:ascii="仿宋_GB2312" w:hAnsi="仿宋" w:eastAsia="仿宋_GB2312" w:cs="仿宋"/>
          <w:sz w:val="32"/>
          <w:szCs w:val="32"/>
          <w:highlight w:val="none"/>
          <w:lang w:val="en-US" w:eastAsia="zh-CN" w:bidi="zh-CN"/>
        </w:rPr>
        <w:t>为贯彻落实《中共中央 国务院关于全面实施预算绩效管理的实施意见》（中发〔2018〕34号）和《中共江西省委 江西省人民政府关于全面实施预算绩效管理的实施意见》（赣发〔2019〕8号）、江西省财政厅关于印发《江西省省级项目</w:t>
      </w:r>
      <w:r>
        <w:rPr>
          <w:rFonts w:hint="default" w:ascii="仿宋_GB2312" w:hAnsi="仿宋" w:eastAsia="仿宋_GB2312" w:cs="仿宋"/>
          <w:sz w:val="32"/>
          <w:szCs w:val="32"/>
          <w:highlight w:val="none"/>
          <w:lang w:val="en-US" w:eastAsia="zh-CN" w:bidi="zh-CN"/>
        </w:rPr>
        <w:t>支出和部门整体支出绩效评价管理暂行办法》的通知</w:t>
      </w:r>
      <w:r>
        <w:rPr>
          <w:rFonts w:hint="eastAsia" w:ascii="仿宋_GB2312" w:hAnsi="仿宋" w:eastAsia="仿宋_GB2312" w:cs="仿宋"/>
          <w:sz w:val="32"/>
          <w:szCs w:val="32"/>
          <w:highlight w:val="none"/>
          <w:lang w:val="en-US" w:eastAsia="zh-CN" w:bidi="zh-CN"/>
        </w:rPr>
        <w:t>（</w:t>
      </w:r>
      <w:r>
        <w:rPr>
          <w:rFonts w:ascii="仿宋_GB2312" w:hAnsi="仿宋_GB2312" w:eastAsia="仿宋_GB2312" w:cs="仿宋_GB2312"/>
          <w:color w:val="000000"/>
          <w:kern w:val="0"/>
          <w:sz w:val="31"/>
          <w:szCs w:val="31"/>
          <w:lang w:val="en-US" w:eastAsia="zh-CN" w:bidi="ar"/>
        </w:rPr>
        <w:t>赣财绩〔2022〕9 号</w:t>
      </w:r>
      <w:r>
        <w:rPr>
          <w:rFonts w:hint="eastAsia" w:ascii="仿宋_GB2312" w:hAnsi="仿宋_GB2312" w:eastAsia="仿宋_GB2312" w:cs="仿宋_GB2312"/>
          <w:color w:val="000000"/>
          <w:kern w:val="0"/>
          <w:sz w:val="31"/>
          <w:szCs w:val="31"/>
          <w:lang w:val="en-US" w:eastAsia="zh-CN" w:bidi="ar"/>
        </w:rPr>
        <w:t>）</w:t>
      </w:r>
      <w:r>
        <w:rPr>
          <w:rFonts w:hint="eastAsia" w:ascii="仿宋_GB2312" w:hAnsi="仿宋" w:eastAsia="仿宋_GB2312" w:cs="仿宋"/>
          <w:sz w:val="32"/>
          <w:szCs w:val="32"/>
          <w:highlight w:val="none"/>
          <w:lang w:val="en-US" w:eastAsia="zh-CN" w:bidi="zh-CN"/>
        </w:rPr>
        <w:t>，规范预算绩效管理，提高财政资金使用效益和运行效率，促进财政支出绩效评价与部门预算的有机结合，建立健全预算绩效评价体系和科学合理的财政资金绩效管理机制，进一步提高绩效评价站位和效能，</w:t>
      </w:r>
      <w:r>
        <w:rPr>
          <w:rFonts w:hint="eastAsia" w:ascii="仿宋_GB2312" w:hAnsi="仿宋_GB2312" w:eastAsia="仿宋_GB2312" w:cs="仿宋_GB2312"/>
          <w:kern w:val="2"/>
          <w:sz w:val="32"/>
          <w:szCs w:val="32"/>
          <w:lang w:val="en-US" w:eastAsia="zh-CN" w:bidi="ar-SA"/>
        </w:rPr>
        <w:t>我局按照《南昌市财政局关于开展2025年度全市预算单位自评及部门评价工作的通知》（洪财绩〔2026〕1号）</w:t>
      </w:r>
      <w:r>
        <w:rPr>
          <w:rFonts w:hint="eastAsia" w:ascii="仿宋_GB2312" w:hAnsi="仿宋" w:eastAsia="仿宋_GB2312" w:cs="仿宋"/>
          <w:sz w:val="32"/>
          <w:szCs w:val="32"/>
          <w:highlight w:val="none"/>
          <w:lang w:val="en-US" w:eastAsia="zh-CN" w:bidi="zh-CN"/>
        </w:rPr>
        <w:t>相关工作要求，开展单位部门整体支出绩效自评工作，经过资金使用情况核查、项目数据采集、社会调查等必要的评价程序，运用绩效原理和统计方法，在梳理、分析评价数据资料的基础上，进行了部门整体支出绩效自评。具体情况汇报如下：</w:t>
      </w:r>
    </w:p>
    <w:p w14:paraId="397B0AF5">
      <w:pPr>
        <w:pStyle w:val="2"/>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640" w:firstLineChars="200"/>
        <w:textAlignment w:val="auto"/>
        <w:outlineLvl w:val="0"/>
        <w:rPr>
          <w:rFonts w:hint="eastAsia" w:ascii="黑体" w:eastAsia="黑体"/>
        </w:rPr>
      </w:pPr>
      <w:bookmarkStart w:id="2" w:name="_Toc9869"/>
      <w:r>
        <w:rPr>
          <w:rFonts w:hint="eastAsia" w:ascii="黑体" w:eastAsia="黑体"/>
        </w:rPr>
        <w:t>一、部门概况</w:t>
      </w:r>
      <w:bookmarkEnd w:id="2"/>
    </w:p>
    <w:p w14:paraId="2BEF7F88">
      <w:pPr>
        <w:pStyle w:val="2"/>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643" w:firstLineChars="200"/>
        <w:textAlignment w:val="auto"/>
        <w:outlineLvl w:val="1"/>
        <w:rPr>
          <w:rFonts w:hint="eastAsia" w:ascii="楷体_GB2312" w:hAnsi="楷体_GB2312" w:eastAsia="楷体_GB2312" w:cs="楷体_GB2312"/>
          <w:b/>
          <w:bCs/>
          <w:color w:val="000000"/>
          <w:sz w:val="32"/>
          <w:szCs w:val="32"/>
        </w:rPr>
      </w:pPr>
      <w:bookmarkStart w:id="3" w:name="_Toc28507"/>
      <w:r>
        <w:rPr>
          <w:rFonts w:hint="eastAsia" w:ascii="楷体_GB2312" w:hAnsi="楷体_GB2312" w:eastAsia="楷体_GB2312" w:cs="楷体_GB2312"/>
          <w:b/>
          <w:bCs/>
          <w:color w:val="000000"/>
          <w:sz w:val="32"/>
          <w:szCs w:val="32"/>
        </w:rPr>
        <w:t>（一）部门主要职责职能，组织架构、人员及资产等基本情况</w:t>
      </w:r>
      <w:bookmarkEnd w:id="3"/>
    </w:p>
    <w:p w14:paraId="1A605A94">
      <w:pPr>
        <w:pStyle w:val="2"/>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643" w:firstLineChars="200"/>
        <w:textAlignment w:val="auto"/>
        <w:outlineLvl w:val="9"/>
        <w:rPr>
          <w:rFonts w:hint="eastAsia" w:ascii="仿宋_GB2312" w:hAnsi="仿宋_GB2312" w:eastAsia="仿宋_GB2312" w:cs="仿宋_GB2312"/>
          <w:b/>
          <w:bCs/>
          <w:sz w:val="32"/>
          <w:szCs w:val="32"/>
          <w:lang w:val="en-US" w:eastAsia="zh-CN" w:bidi="zh-CN"/>
        </w:rPr>
      </w:pPr>
      <w:r>
        <w:rPr>
          <w:rFonts w:hint="eastAsia" w:ascii="仿宋_GB2312" w:hAnsi="仿宋_GB2312" w:eastAsia="仿宋_GB2312" w:cs="仿宋_GB2312"/>
          <w:b/>
          <w:bCs/>
          <w:sz w:val="32"/>
          <w:szCs w:val="32"/>
          <w:lang w:val="en-US" w:eastAsia="zh-CN" w:bidi="zh-CN"/>
        </w:rPr>
        <w:t>1.部门主要职责职能</w:t>
      </w:r>
    </w:p>
    <w:p w14:paraId="74FF8EBD">
      <w:pPr>
        <w:keepNext w:val="0"/>
        <w:keepLines w:val="0"/>
        <w:widowControl/>
        <w:suppressLineNumbers w:val="0"/>
        <w:ind w:firstLine="620" w:firstLineChars="200"/>
        <w:jc w:val="left"/>
      </w:pPr>
      <w:r>
        <w:rPr>
          <w:rFonts w:ascii="仿宋_GB2312" w:hAnsi="仿宋_GB2312" w:eastAsia="仿宋_GB2312" w:cs="仿宋_GB2312"/>
          <w:color w:val="000000"/>
          <w:kern w:val="0"/>
          <w:sz w:val="31"/>
          <w:szCs w:val="31"/>
          <w:lang w:val="en-US" w:eastAsia="zh-CN" w:bidi="ar"/>
        </w:rPr>
        <w:t xml:space="preserve">安义县民政局是安义县政府组成部门，正科级单位，主要工作职责是： </w:t>
      </w:r>
    </w:p>
    <w:p w14:paraId="039E72A0">
      <w:pPr>
        <w:widowControl/>
        <w:spacing w:line="600" w:lineRule="exact"/>
        <w:ind w:firstLine="640"/>
        <w:jc w:val="lef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(一)根据国民经济和社会发展规划制定全县民政事业发展规划和年度工作计划;拟订有关规定并组织实施。</w:t>
      </w:r>
    </w:p>
    <w:p w14:paraId="2B768631">
      <w:pPr>
        <w:widowControl/>
        <w:spacing w:line="600" w:lineRule="exact"/>
        <w:ind w:firstLine="640"/>
        <w:jc w:val="lef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二)负责县本级社团的登记管理和年度检查工作;负责市民政局委托管理的全市性社团及其分支机构的监督管理;查处社团的违法行为和未经登记而以社团名义开展活动的非法组织;指导相关业务(行业)主管部门开展社团登记管理工作,指导乡(镇)开展社区社会组织备案登记工作</w:t>
      </w:r>
    </w:p>
    <w:p w14:paraId="4BED1F0D">
      <w:pPr>
        <w:widowControl/>
        <w:spacing w:line="600" w:lineRule="exact"/>
        <w:ind w:firstLine="640"/>
        <w:jc w:val="lef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三)负责县本级民办非企业单位的登记管理和年度检查工作;负责市民政局委托管理的全市性民办非企业单位的监督管理;查处民办非企业单位的违法行为和未经登记而以民办非企业名义开展活动的非法组织;指导相关业务(行业)主管部门开展民办非企业单位的登记管理工作。</w:t>
      </w:r>
    </w:p>
    <w:p w14:paraId="41B1D36A">
      <w:pPr>
        <w:widowControl/>
        <w:spacing w:line="600" w:lineRule="exact"/>
        <w:ind w:firstLine="640"/>
        <w:jc w:val="lef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(四)牵头拟订全县社会救助规划、政策和标准，统筹社会救助体系建设，组织实施全县居民最低生活保障、特困人员救助供养、临时救助。牵头负责农村脱贫攻坚兜底保障和城镇贫困群众脱贫解困工作。</w:t>
      </w:r>
    </w:p>
    <w:p w14:paraId="51933F2F">
      <w:pPr>
        <w:widowControl/>
        <w:spacing w:line="600" w:lineRule="exact"/>
        <w:ind w:firstLine="640"/>
        <w:jc w:val="lef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(五)负责全县婚姻登记管理工作;负责全县婚介机构的审核报批、检查监督工作;宣传婚姻法规，倡导婚姻习俗改革(八)拟订全县殡葬管理政策并组织实施，推进殡葬改革。(九)负责全县收养登记管理工作。</w:t>
      </w:r>
    </w:p>
    <w:p w14:paraId="10E4EF86">
      <w:pPr>
        <w:widowControl/>
        <w:spacing w:line="600" w:lineRule="exact"/>
        <w:ind w:firstLine="640"/>
        <w:jc w:val="lef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(六)负责全县城市生活无着的流浪乞讨人员救助管理工作，健全农村留守儿童关爱服务体系和困境儿童保障制度。</w:t>
      </w:r>
    </w:p>
    <w:p w14:paraId="300441EA">
      <w:pPr>
        <w:widowControl/>
        <w:spacing w:line="600" w:lineRule="exact"/>
        <w:ind w:firstLine="640"/>
        <w:jc w:val="lef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(七)负责全县社会福利工作。拟订全县残疾人权益保护政策，统筹推进残疾人福利制度建设。</w:t>
      </w:r>
    </w:p>
    <w:p w14:paraId="43ACB648">
      <w:pPr>
        <w:widowControl/>
        <w:spacing w:line="600" w:lineRule="exact"/>
        <w:ind w:firstLine="640"/>
        <w:jc w:val="lef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(八)负责全县行政区划工作;组织协调全县乡镇、村边界的勘定和管理工作。</w:t>
      </w:r>
    </w:p>
    <w:p w14:paraId="457E83CE">
      <w:pPr>
        <w:widowControl/>
        <w:spacing w:line="600" w:lineRule="exact"/>
        <w:ind w:firstLine="640"/>
        <w:jc w:val="lef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(九)负责全县地名工作。</w:t>
      </w:r>
    </w:p>
    <w:p w14:paraId="76067218">
      <w:pPr>
        <w:widowControl/>
        <w:spacing w:line="600" w:lineRule="exact"/>
        <w:ind w:firstLine="640"/>
        <w:jc w:val="lef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(十)主管全县福利彩票发行工作，负责全县福利彩票公益金的管理、使用和监督工作。</w:t>
      </w:r>
    </w:p>
    <w:p w14:paraId="02C727A3">
      <w:pPr>
        <w:widowControl/>
        <w:spacing w:line="600" w:lineRule="exact"/>
        <w:ind w:firstLine="640"/>
        <w:jc w:val="lef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(十一)指导制定全县慈善救助事业发展规划和年度工作计划并组织实施;指导乡(镇)开展慈善救助工作,监督慈善基金的管理和使用。</w:t>
      </w:r>
    </w:p>
    <w:p w14:paraId="5539E933">
      <w:pPr>
        <w:widowControl/>
        <w:spacing w:line="600" w:lineRule="exact"/>
        <w:ind w:firstLine="640"/>
        <w:jc w:val="lef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(十二)依法开展申请家庭经济状况核对工作;负责城乡居民家庭经济状况核对政务平台和管理系统的建设、日常管理及维护;负责汇总和分析全县核对工作进展情况、核对业务数据资料。</w:t>
      </w:r>
    </w:p>
    <w:p w14:paraId="2AA2FC7F">
      <w:pPr>
        <w:widowControl/>
        <w:spacing w:line="600" w:lineRule="exact"/>
        <w:ind w:firstLine="640"/>
        <w:jc w:val="lef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(十三)负责全县养老机构的管理和监督，</w:t>
      </w:r>
    </w:p>
    <w:p w14:paraId="13ABF950">
      <w:pPr>
        <w:widowControl/>
        <w:spacing w:line="600" w:lineRule="exact"/>
        <w:ind w:firstLine="640"/>
        <w:jc w:val="lef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(十四)负责全县因公致残公务员、人民警察残疾等级评定和调整的审核报批工作。</w:t>
      </w:r>
    </w:p>
    <w:p w14:paraId="39B71896">
      <w:pPr>
        <w:widowControl/>
        <w:spacing w:line="600" w:lineRule="exact"/>
        <w:ind w:firstLine="640"/>
        <w:jc w:val="lef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(十五)负责民政系统安全生产监督管理工作。指导养老服务、特困供养、儿童福利、未成年人保护、救助管理、殡葬服务等民政服务机构的安全生产监督管理工作。</w:t>
      </w:r>
    </w:p>
    <w:p w14:paraId="7D43CA2A">
      <w:pPr>
        <w:widowControl/>
        <w:spacing w:line="600" w:lineRule="exact"/>
        <w:ind w:firstLine="640"/>
        <w:jc w:val="lef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十六)完善老龄工作体制。负责统筹推进、督促指导、监督管理养老服务工作，拟订养老服务体系建设规划、标准并组织实施，承担老年人福利和特殊困难老年人救助工作。县民政局划入县卫生健康委员会老龄工作职责，强化其综合协调、督促指导、组织推进老龄事业发展职责。县老龄工作委员会办公室设在县民政局。</w:t>
      </w:r>
    </w:p>
    <w:p w14:paraId="1989383E">
      <w:pPr>
        <w:widowControl/>
        <w:spacing w:line="600" w:lineRule="exact"/>
        <w:ind w:firstLine="640"/>
        <w:jc w:val="left"/>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(十七)完成县委、县政府交办的其他任务。</w:t>
      </w:r>
    </w:p>
    <w:p w14:paraId="2EF1C6A1">
      <w:pPr>
        <w:keepNext w:val="0"/>
        <w:keepLines w:val="0"/>
        <w:widowControl/>
        <w:suppressLineNumbers w:val="0"/>
        <w:ind w:firstLine="643" w:firstLineChars="200"/>
        <w:jc w:val="left"/>
        <w:rPr>
          <w:rFonts w:hint="eastAsia" w:ascii="仿宋_GB2312" w:hAnsi="仿宋_GB2312" w:eastAsia="仿宋_GB2312" w:cs="仿宋_GB2312"/>
          <w:b/>
          <w:bCs/>
          <w:sz w:val="32"/>
          <w:szCs w:val="32"/>
        </w:rPr>
      </w:pPr>
      <w:r>
        <w:rPr>
          <w:rFonts w:hint="eastAsia" w:ascii="仿宋_GB2312" w:hAnsi="仿宋_GB2312" w:eastAsia="仿宋_GB2312" w:cs="仿宋_GB2312"/>
          <w:b/>
          <w:bCs/>
          <w:color w:val="000000"/>
          <w:kern w:val="0"/>
          <w:sz w:val="32"/>
          <w:szCs w:val="32"/>
          <w:lang w:val="en-US" w:eastAsia="zh-CN" w:bidi="ar"/>
        </w:rPr>
        <w:t xml:space="preserve">2.组织架构及人员情况  </w:t>
      </w:r>
    </w:p>
    <w:p w14:paraId="55C07220">
      <w:pPr>
        <w:pStyle w:val="23"/>
        <w:bidi w:val="0"/>
        <w:rPr>
          <w:rFonts w:hint="eastAsia" w:ascii="仿宋_GB2312" w:hAnsi="仿宋_GB2312" w:eastAsia="仿宋_GB2312" w:cs="仿宋_GB2312"/>
        </w:rPr>
      </w:pPr>
      <w:r>
        <w:rPr>
          <w:rFonts w:hint="eastAsia" w:ascii="仿宋_GB2312" w:hAnsi="仿宋_GB2312" w:eastAsia="仿宋_GB2312" w:cs="仿宋_GB2312"/>
          <w:lang w:eastAsia="zh-CN"/>
        </w:rPr>
        <w:t>安义县民政局(部门)共有预算单位2个，包括安义县民政局(</w:t>
      </w:r>
      <w:r>
        <w:rPr>
          <w:rFonts w:hint="eastAsia" w:cs="仿宋_GB2312"/>
          <w:lang w:val="en-US" w:eastAsia="zh-CN"/>
        </w:rPr>
        <w:t>本级</w:t>
      </w:r>
      <w:r>
        <w:rPr>
          <w:rFonts w:hint="eastAsia" w:ascii="仿宋_GB2312" w:hAnsi="仿宋_GB2312" w:eastAsia="仿宋_GB2312" w:cs="仿宋_GB2312"/>
          <w:lang w:eastAsia="zh-CN"/>
        </w:rPr>
        <w:t>)和1个所属预算单位：</w:t>
      </w:r>
      <w:r>
        <w:rPr>
          <w:rFonts w:hint="eastAsia" w:ascii="仿宋_GB2312" w:hAnsi="仿宋_GB2312" w:eastAsia="仿宋_GB2312" w:cs="仿宋_GB2312"/>
        </w:rPr>
        <w:t>安义县社会福利院。</w:t>
      </w:r>
    </w:p>
    <w:p w14:paraId="62124035">
      <w:pPr>
        <w:pStyle w:val="2"/>
        <w:spacing w:before="182" w:line="327" w:lineRule="auto"/>
        <w:ind w:firstLine="647"/>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单位内设机构：办公室、社会救助股、社会事务股。</w:t>
      </w:r>
    </w:p>
    <w:p w14:paraId="5B0C997F">
      <w:pPr>
        <w:pStyle w:val="2"/>
        <w:spacing w:before="182" w:line="327" w:lineRule="auto"/>
        <w:ind w:firstLine="647"/>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纳入本部门2026年部门预算人数62个，其中行政编制9个，事业编制53个。实有人数67人，在校学生0人，其他人员11人。离退休人员29人，其中：单位发放离退休费的人员0人，养老保险基金发放养老金的人员29人。</w:t>
      </w:r>
    </w:p>
    <w:p w14:paraId="750819EC">
      <w:pPr>
        <w:pStyle w:val="10"/>
        <w:keepNext w:val="0"/>
        <w:keepLines w:val="0"/>
        <w:pageBreakBefore w:val="0"/>
        <w:widowControl w:val="0"/>
        <w:numPr>
          <w:ilvl w:val="0"/>
          <w:numId w:val="1"/>
        </w:numPr>
        <w:kinsoku/>
        <w:wordWrap/>
        <w:overflowPunct/>
        <w:topLinePunct w:val="0"/>
        <w:autoSpaceDE w:val="0"/>
        <w:autoSpaceDN w:val="0"/>
        <w:bidi w:val="0"/>
        <w:adjustRightInd/>
        <w:snapToGrid/>
        <w:spacing w:line="360" w:lineRule="auto"/>
        <w:textAlignment w:val="auto"/>
        <w:outlineLvl w:val="1"/>
        <w:rPr>
          <w:rFonts w:hint="eastAsia" w:ascii="楷体_GB2312" w:hAnsi="楷体_GB2312" w:eastAsia="楷体_GB2312" w:cs="楷体_GB2312"/>
          <w:b/>
          <w:bCs/>
          <w:color w:val="000000"/>
          <w:sz w:val="32"/>
          <w:szCs w:val="32"/>
        </w:rPr>
      </w:pPr>
      <w:bookmarkStart w:id="4" w:name="_Toc19522"/>
      <w:r>
        <w:rPr>
          <w:rFonts w:hint="eastAsia" w:ascii="楷体_GB2312" w:hAnsi="楷体_GB2312" w:eastAsia="楷体_GB2312" w:cs="楷体_GB2312"/>
          <w:b/>
          <w:bCs/>
          <w:color w:val="000000"/>
          <w:sz w:val="32"/>
          <w:szCs w:val="32"/>
        </w:rPr>
        <w:t>当年部门履职总体目标、工作任务。</w:t>
      </w:r>
      <w:bookmarkEnd w:id="4"/>
    </w:p>
    <w:p w14:paraId="07D09D9E">
      <w:pPr>
        <w:pStyle w:val="2"/>
        <w:keepNext w:val="0"/>
        <w:keepLines w:val="0"/>
        <w:pageBreakBefore w:val="0"/>
        <w:widowControl w:val="0"/>
        <w:kinsoku/>
        <w:wordWrap/>
        <w:overflowPunct/>
        <w:topLinePunct w:val="0"/>
        <w:autoSpaceDE/>
        <w:autoSpaceDN/>
        <w:bidi w:val="0"/>
        <w:adjustRightInd/>
        <w:snapToGrid/>
        <w:spacing w:after="0" w:line="560" w:lineRule="exact"/>
        <w:ind w:firstLine="640" w:firstLineChars="200"/>
        <w:textAlignment w:val="auto"/>
        <w:rPr>
          <w:rFonts w:hint="eastAsia" w:ascii="楷体_GB2312" w:hAnsi="楷体_GB2312" w:eastAsia="楷体_GB2312" w:cs="楷体_GB2312"/>
          <w:b/>
          <w:bCs/>
          <w:sz w:val="32"/>
          <w:szCs w:val="32"/>
          <w:lang w:eastAsia="zh-CN"/>
        </w:rPr>
      </w:pPr>
      <w:bookmarkStart w:id="5" w:name="_Toc10378"/>
      <w:r>
        <w:rPr>
          <w:rFonts w:hint="eastAsia" w:ascii="仿宋_GB2312" w:hAnsi="仿宋_GB2312" w:eastAsia="仿宋_GB2312" w:cs="仿宋_GB2312"/>
          <w:sz w:val="32"/>
          <w:szCs w:val="32"/>
          <w:lang w:val="en-US" w:eastAsia="zh-CN"/>
        </w:rPr>
        <w:t xml:space="preserve"> 202</w:t>
      </w:r>
      <w:r>
        <w:rPr>
          <w:rFonts w:hint="eastAsia" w:cs="仿宋_GB2312"/>
          <w:sz w:val="32"/>
          <w:szCs w:val="32"/>
          <w:lang w:val="en-US" w:eastAsia="zh-CN"/>
        </w:rPr>
        <w:t>5</w:t>
      </w:r>
      <w:r>
        <w:rPr>
          <w:rFonts w:hint="eastAsia" w:ascii="仿宋_GB2312" w:hAnsi="仿宋_GB2312" w:eastAsia="仿宋_GB2312" w:cs="仿宋_GB2312"/>
          <w:sz w:val="32"/>
          <w:szCs w:val="32"/>
          <w:lang w:val="en-US" w:eastAsia="zh-CN"/>
        </w:rPr>
        <w:t>年，在省市民政部门悉心指导和县委、县政府坚强领导下，我局紧扣民生主线，以保障和改善民生为落脚点，扎实履行民政职责。</w:t>
      </w:r>
      <w:r>
        <w:rPr>
          <w:rFonts w:hint="eastAsia" w:ascii="黑体" w:hAnsi="黑体" w:eastAsia="黑体"/>
          <w:sz w:val="32"/>
          <w:szCs w:val="32"/>
        </w:rPr>
        <w:t xml:space="preserve">      </w:t>
      </w:r>
    </w:p>
    <w:p w14:paraId="3FF8EFC8">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eastAsia" w:ascii="仿宋_GB2312" w:hAnsi="仿宋_GB2312" w:eastAsia="仿宋_GB2312" w:cs="仿宋_GB2312"/>
          <w:sz w:val="32"/>
          <w:szCs w:val="32"/>
          <w:lang w:val="en-US" w:eastAsia="zh-CN"/>
        </w:rPr>
      </w:pPr>
      <w:r>
        <w:rPr>
          <w:rFonts w:hint="eastAsia" w:ascii="楷体" w:hAnsi="楷体" w:eastAsia="楷体" w:cs="楷体"/>
          <w:b/>
          <w:bCs/>
          <w:sz w:val="32"/>
          <w:szCs w:val="32"/>
          <w:lang w:val="en-US" w:eastAsia="zh-CN"/>
        </w:rPr>
        <w:t>一、社会救助兜牢兜底防线</w:t>
      </w:r>
    </w:p>
    <w:p w14:paraId="786919E9">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color w:val="auto"/>
          <w:sz w:val="32"/>
          <w:szCs w:val="32"/>
          <w:lang w:val="en-US" w:eastAsia="zh-CN"/>
        </w:rPr>
        <w:t>1.救助政策精准保障。</w:t>
      </w:r>
      <w:r>
        <w:rPr>
          <w:rFonts w:hint="eastAsia" w:ascii="仿宋_GB2312" w:hAnsi="仿宋_GB2312" w:eastAsia="仿宋_GB2312" w:cs="仿宋_GB2312"/>
          <w:sz w:val="32"/>
          <w:szCs w:val="32"/>
          <w:lang w:val="en-US" w:eastAsia="zh-CN"/>
        </w:rPr>
        <w:t>在</w:t>
      </w:r>
      <w:r>
        <w:rPr>
          <w:rFonts w:hint="eastAsia" w:ascii="仿宋_GB2312" w:hAnsi="仿宋_GB2312" w:eastAsia="仿宋_GB2312" w:cs="仿宋_GB2312"/>
          <w:sz w:val="32"/>
          <w:szCs w:val="32"/>
        </w:rPr>
        <w:t>全县推广建立“社会救助预备人员信息库”</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动员乡镇（处）、村（居）干部、社会救助协理员等人员及组织，充分发挥“铁脚板”作用，按照“镇不漏村、村不漏户、户不漏人、人不漏项”的工作要求，对困难群众的家庭情况进行摸排，逐一核实对困难群众开展常态化入户摸底排查工作。</w:t>
      </w:r>
      <w:r>
        <w:rPr>
          <w:rFonts w:hint="eastAsia" w:ascii="仿宋_GB2312" w:hAnsi="仿宋_GB2312" w:eastAsia="仿宋_GB2312" w:cs="仿宋_GB2312"/>
          <w:sz w:val="32"/>
          <w:szCs w:val="32"/>
        </w:rPr>
        <w:t>目前</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信息库已收录4</w:t>
      </w:r>
      <w:r>
        <w:rPr>
          <w:rFonts w:hint="eastAsia" w:ascii="仿宋_GB2312" w:hAnsi="仿宋_GB2312" w:eastAsia="仿宋_GB2312" w:cs="仿宋_GB2312"/>
          <w:sz w:val="32"/>
          <w:szCs w:val="32"/>
          <w:lang w:val="en-US" w:eastAsia="zh-CN"/>
        </w:rPr>
        <w:t>87</w:t>
      </w:r>
      <w:r>
        <w:rPr>
          <w:rFonts w:hint="eastAsia" w:ascii="仿宋_GB2312" w:hAnsi="仿宋_GB2312" w:eastAsia="仿宋_GB2312" w:cs="仿宋_GB2312"/>
          <w:sz w:val="32"/>
          <w:szCs w:val="32"/>
        </w:rPr>
        <w:t>人，其中108人已按程序纳入保障，101人列为跟访对象，278人纳入重点关注范围。</w:t>
      </w:r>
      <w:r>
        <w:rPr>
          <w:rFonts w:hint="eastAsia" w:ascii="仿宋_GB2312" w:hAnsi="仿宋_GB2312" w:eastAsia="仿宋_GB2312" w:cs="仿宋_GB2312"/>
          <w:sz w:val="32"/>
          <w:szCs w:val="32"/>
          <w:lang w:val="en-US" w:eastAsia="zh-CN"/>
        </w:rPr>
        <w:t>2025年</w:t>
      </w:r>
      <w:r>
        <w:rPr>
          <w:rFonts w:hint="eastAsia" w:ascii="仿宋_GB2312" w:hAnsi="仿宋_GB2312" w:eastAsia="仿宋_GB2312" w:cs="仿宋_GB2312"/>
          <w:sz w:val="32"/>
          <w:szCs w:val="32"/>
          <w:lang w:eastAsia="zh-CN"/>
        </w:rPr>
        <w:t>，全县累计新增低保对象</w:t>
      </w:r>
      <w:r>
        <w:rPr>
          <w:rFonts w:hint="eastAsia" w:ascii="仿宋_GB2312" w:hAnsi="仿宋_GB2312" w:eastAsia="仿宋_GB2312" w:cs="仿宋_GB2312"/>
          <w:sz w:val="32"/>
          <w:szCs w:val="32"/>
          <w:lang w:val="en-US" w:eastAsia="zh-CN"/>
        </w:rPr>
        <w:t>852</w:t>
      </w:r>
      <w:r>
        <w:rPr>
          <w:rFonts w:hint="eastAsia" w:ascii="仿宋_GB2312" w:hAnsi="仿宋_GB2312" w:eastAsia="仿宋_GB2312" w:cs="仿宋_GB2312"/>
          <w:sz w:val="32"/>
          <w:szCs w:val="32"/>
          <w:lang w:eastAsia="zh-CN"/>
        </w:rPr>
        <w:t>人、退出791人；新增特困人员53人、退出36人。截至目前，全县低保4437户8619人,特困人员824人，1-12月共发放低保、特困资金8171.47万元。</w:t>
      </w:r>
    </w:p>
    <w:p w14:paraId="05398821">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lang w:val="en-US" w:eastAsia="zh-CN"/>
        </w:rPr>
        <w:t>2.救助申请高效协同。</w:t>
      </w:r>
      <w:r>
        <w:rPr>
          <w:rFonts w:hint="eastAsia" w:ascii="仿宋_GB2312" w:hAnsi="仿宋_GB2312" w:eastAsia="仿宋_GB2312" w:cs="仿宋_GB2312"/>
          <w:color w:val="auto"/>
          <w:sz w:val="32"/>
          <w:szCs w:val="32"/>
          <w:lang w:val="en-US" w:eastAsia="zh-CN"/>
        </w:rPr>
        <w:t>加强社会救助申请受理，建立乡镇窗口“一门受理、协同办理”和社会救助审批专班，依托窗</w:t>
      </w:r>
      <w:r>
        <w:rPr>
          <w:rFonts w:hint="eastAsia" w:ascii="仿宋_GB2312" w:hAnsi="仿宋_GB2312" w:eastAsia="仿宋_GB2312" w:cs="仿宋_GB2312"/>
          <w:color w:val="auto"/>
          <w:sz w:val="32"/>
          <w:szCs w:val="32"/>
        </w:rPr>
        <w:t>口和专班，强化乡镇社会救助审批实效，低保对象及时办结率从去年99%增长至今年以来100%，堵住最后1%的审批程序漏洞。</w:t>
      </w:r>
      <w:r>
        <w:rPr>
          <w:rFonts w:hint="eastAsia" w:ascii="仿宋_GB2312" w:hAnsi="仿宋_GB2312" w:eastAsia="仿宋_GB2312" w:cs="仿宋_GB2312"/>
          <w:color w:val="auto"/>
          <w:sz w:val="32"/>
          <w:szCs w:val="32"/>
          <w:lang w:val="en-US" w:eastAsia="zh-CN"/>
        </w:rPr>
        <w:t>同步</w:t>
      </w:r>
      <w:r>
        <w:rPr>
          <w:rFonts w:hint="eastAsia" w:ascii="仿宋_GB2312" w:hAnsi="仿宋_GB2312" w:eastAsia="仿宋_GB2312" w:cs="仿宋_GB2312"/>
          <w:sz w:val="32"/>
          <w:szCs w:val="32"/>
          <w:lang w:val="en-US" w:eastAsia="zh-CN"/>
        </w:rPr>
        <w:t>建立跨部门数据共享机制，定期与医保、教育、住建、人社、乡村振兴等单位开展信息比对，累计推送困难群众数据10万余人次。</w:t>
      </w:r>
      <w:r>
        <w:rPr>
          <w:rFonts w:hint="eastAsia" w:ascii="仿宋_GB2312" w:hAnsi="仿宋_GB2312" w:eastAsia="仿宋_GB2312" w:cs="仿宋_GB2312"/>
          <w:color w:val="auto"/>
          <w:sz w:val="32"/>
          <w:szCs w:val="32"/>
          <w:lang w:val="en-US" w:eastAsia="zh-CN"/>
        </w:rPr>
        <w:t>同时，</w:t>
      </w:r>
      <w:r>
        <w:rPr>
          <w:rFonts w:hint="eastAsia" w:ascii="仿宋_GB2312" w:hAnsi="仿宋_GB2312" w:eastAsia="仿宋_GB2312" w:cs="仿宋_GB2312"/>
          <w:sz w:val="32"/>
          <w:szCs w:val="32"/>
        </w:rPr>
        <w:t>积极推动社会救助与公用事业惠民政策衔接，将困难群众名单推送至天然气、供电、供水等企业，落实费用减免。目前已惠及天然气用户125户、自来水用户328户、电网用户5192户，并建立新增对象信息月度推送长效机制。</w:t>
      </w:r>
    </w:p>
    <w:p w14:paraId="25F63E59">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lang w:val="en-US" w:eastAsia="zh-CN"/>
        </w:rPr>
        <w:t>3.</w:t>
      </w:r>
      <w:r>
        <w:rPr>
          <w:rFonts w:hint="eastAsia" w:ascii="楷体_GB2312" w:hAnsi="楷体_GB2312" w:eastAsia="楷体_GB2312" w:cs="楷体_GB2312"/>
          <w:b/>
          <w:bCs/>
          <w:sz w:val="32"/>
          <w:szCs w:val="32"/>
        </w:rPr>
        <w:t>夯实基层</w:t>
      </w:r>
      <w:r>
        <w:rPr>
          <w:rFonts w:hint="eastAsia" w:ascii="楷体_GB2312" w:hAnsi="楷体_GB2312" w:eastAsia="楷体_GB2312" w:cs="楷体_GB2312"/>
          <w:b/>
          <w:bCs/>
          <w:sz w:val="32"/>
          <w:szCs w:val="32"/>
          <w:lang w:val="en-US" w:eastAsia="zh-CN"/>
        </w:rPr>
        <w:t>经办</w:t>
      </w:r>
      <w:r>
        <w:rPr>
          <w:rFonts w:hint="eastAsia" w:ascii="楷体_GB2312" w:hAnsi="楷体_GB2312" w:eastAsia="楷体_GB2312" w:cs="楷体_GB2312"/>
          <w:b/>
          <w:bCs/>
          <w:sz w:val="32"/>
          <w:szCs w:val="32"/>
        </w:rPr>
        <w:t>基础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今年以来</w:t>
      </w:r>
      <w:r>
        <w:rPr>
          <w:rFonts w:hint="eastAsia" w:ascii="仿宋_GB2312" w:hAnsi="仿宋_GB2312" w:eastAsia="仿宋_GB2312" w:cs="仿宋_GB2312"/>
          <w:sz w:val="32"/>
          <w:szCs w:val="32"/>
        </w:rPr>
        <w:t>组织社会救助政策集中培训4次，创新采用</w:t>
      </w:r>
      <w:r>
        <w:rPr>
          <w:rFonts w:hint="eastAsia" w:ascii="仿宋_GB2312" w:hAnsi="仿宋_GB2312" w:eastAsia="仿宋_GB2312" w:cs="仿宋_GB2312"/>
          <w:sz w:val="32"/>
          <w:szCs w:val="32"/>
          <w:lang w:val="en-US" w:eastAsia="zh-CN"/>
        </w:rPr>
        <w:t>现场</w:t>
      </w:r>
      <w:r>
        <w:rPr>
          <w:rFonts w:hint="eastAsia" w:ascii="仿宋_GB2312" w:hAnsi="仿宋_GB2312" w:eastAsia="仿宋_GB2312" w:cs="仿宋_GB2312"/>
          <w:sz w:val="32"/>
          <w:szCs w:val="32"/>
        </w:rPr>
        <w:t>交叉互查档案</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以赛代训等方式，针对乡镇审核流程等薄弱环节进行重点讲解，</w:t>
      </w:r>
      <w:r>
        <w:rPr>
          <w:rFonts w:hint="eastAsia" w:ascii="仿宋_GB2312" w:hAnsi="仿宋_GB2312" w:eastAsia="仿宋_GB2312" w:cs="仿宋_GB2312"/>
          <w:sz w:val="32"/>
          <w:szCs w:val="32"/>
          <w:lang w:val="en-US" w:eastAsia="zh-CN"/>
        </w:rPr>
        <w:t>同时指导乡镇对村（社区）社会救助协理员进行下沉式培训，</w:t>
      </w:r>
      <w:r>
        <w:rPr>
          <w:rFonts w:hint="eastAsia" w:ascii="仿宋_GB2312" w:hAnsi="仿宋_GB2312" w:eastAsia="仿宋_GB2312" w:cs="仿宋_GB2312"/>
          <w:sz w:val="32"/>
          <w:szCs w:val="32"/>
        </w:rPr>
        <w:t>有效提升了基层经办人员的业务水平。</w:t>
      </w:r>
      <w:r>
        <w:rPr>
          <w:rFonts w:hint="eastAsia" w:ascii="仿宋_GB2312" w:hAnsi="仿宋_GB2312" w:eastAsia="仿宋_GB2312" w:cs="仿宋_GB2312"/>
          <w:sz w:val="32"/>
          <w:szCs w:val="32"/>
          <w:lang w:val="en-US" w:eastAsia="zh-CN"/>
        </w:rPr>
        <w:t>进一步</w:t>
      </w:r>
      <w:r>
        <w:rPr>
          <w:rFonts w:hint="eastAsia" w:ascii="仿宋_GB2312" w:hAnsi="仿宋_GB2312" w:eastAsia="仿宋_GB2312" w:cs="仿宋_GB2312"/>
          <w:sz w:val="32"/>
          <w:szCs w:val="32"/>
        </w:rPr>
        <w:t>畅通社会救助服务热线，在全县所有乡镇（处）、行政村公开栏公示救助对象信息及办事指南，提升政策知晓率与群众联系度。</w:t>
      </w:r>
    </w:p>
    <w:p w14:paraId="4FCF2E3A">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二、养老服务提升幸福指数</w:t>
      </w:r>
    </w:p>
    <w:p w14:paraId="7CEAE149">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3" w:firstLineChars="200"/>
        <w:jc w:val="left"/>
        <w:textAlignment w:val="auto"/>
        <w:rPr>
          <w:rFonts w:hint="eastAsia"/>
          <w:lang w:val="en-US" w:eastAsia="zh-CN"/>
        </w:rPr>
      </w:pPr>
      <w:r>
        <w:rPr>
          <w:rFonts w:hint="eastAsia" w:ascii="楷体_GB2312" w:hAnsi="楷体_GB2312" w:eastAsia="楷体_GB2312" w:cs="楷体_GB2312"/>
          <w:b/>
          <w:bCs/>
          <w:color w:val="000000" w:themeColor="text1"/>
          <w:kern w:val="2"/>
          <w:sz w:val="32"/>
          <w:szCs w:val="32"/>
          <w:lang w:val="en-US" w:eastAsia="zh-CN" w:bidi="ar-SA"/>
          <w14:textFill>
            <w14:solidFill>
              <w14:schemeClr w14:val="tx1"/>
            </w14:solidFill>
          </w14:textFill>
        </w:rPr>
        <w:t>1.全面保障老年人基本权益。</w:t>
      </w:r>
      <w:r>
        <w:rPr>
          <w:rFonts w:hint="eastAsia" w:ascii="仿宋_GB2312" w:hAnsi="仿宋_GB2312" w:eastAsia="仿宋_GB2312" w:cs="仿宋_GB2312"/>
          <w:i w:val="0"/>
          <w:iCs w:val="0"/>
          <w:caps w:val="0"/>
          <w:spacing w:val="0"/>
          <w:sz w:val="32"/>
          <w:szCs w:val="32"/>
          <w:shd w:val="clear" w:fill="FFFFFF"/>
          <w:lang w:val="en-US" w:eastAsia="zh-CN"/>
        </w:rPr>
        <w:t>目前我县80岁及以上老年人6076人，2025年1月至12月发放高龄补贴840.67万元。经济困难老年人2252人，2025年1月至12月，累计发放经济困难老年人补贴119.815万元。常</w:t>
      </w:r>
      <w:r>
        <w:rPr>
          <w:rFonts w:hint="eastAsia" w:ascii="仿宋_GB2312" w:hAnsi="仿宋_GB2312" w:eastAsia="仿宋_GB2312" w:cs="仿宋_GB2312"/>
          <w:i w:val="0"/>
          <w:iCs w:val="0"/>
          <w:caps w:val="0"/>
          <w:spacing w:val="9"/>
          <w:sz w:val="32"/>
          <w:szCs w:val="32"/>
          <w:shd w:val="clear" w:fill="FFFFFF"/>
          <w:lang w:val="en-US" w:eastAsia="zh-CN"/>
        </w:rPr>
        <w:t>态化指导农村颐养之家助餐运营，目前开展助餐服务的有39家。</w:t>
      </w:r>
    </w:p>
    <w:p w14:paraId="43194E90">
      <w:pPr>
        <w:keepNext w:val="0"/>
        <w:keepLines w:val="0"/>
        <w:pageBreakBefore w:val="0"/>
        <w:widowControl w:val="0"/>
        <w:kinsoku/>
        <w:wordWrap/>
        <w:overflowPunct/>
        <w:topLinePunct w:val="0"/>
        <w:autoSpaceDE/>
        <w:autoSpaceDN/>
        <w:bidi w:val="0"/>
        <w:adjustRightInd/>
        <w:snapToGrid/>
        <w:spacing w:line="600" w:lineRule="exact"/>
        <w:ind w:left="0" w:leftChars="0" w:firstLine="643" w:firstLineChars="200"/>
        <w:textAlignment w:val="auto"/>
        <w:rPr>
          <w:rFonts w:hint="eastAsia" w:ascii="仿宋_GB2312" w:hAnsi="仿宋_GB2312" w:eastAsia="仿宋_GB2312" w:cs="仿宋_GB2312"/>
          <w:b w:val="0"/>
          <w:color w:val="auto"/>
          <w:kern w:val="2"/>
          <w:sz w:val="32"/>
          <w:szCs w:val="32"/>
          <w:lang w:val="en-US" w:eastAsia="zh-CN" w:bidi="ar-SA"/>
        </w:rPr>
      </w:pPr>
      <w:r>
        <w:rPr>
          <w:rFonts w:hint="eastAsia" w:ascii="楷体_GB2312" w:hAnsi="楷体_GB2312" w:eastAsia="楷体_GB2312" w:cs="楷体_GB2312"/>
          <w:b/>
          <w:bCs/>
          <w:color w:val="000000" w:themeColor="text1"/>
          <w:kern w:val="2"/>
          <w:sz w:val="32"/>
          <w:szCs w:val="32"/>
          <w:lang w:val="en-US" w:eastAsia="zh-CN" w:bidi="ar-SA"/>
          <w14:textFill>
            <w14:solidFill>
              <w14:schemeClr w14:val="tx1"/>
            </w14:solidFill>
          </w14:textFill>
        </w:rPr>
        <w:t>2.持续提升养老服务水平。</w:t>
      </w:r>
      <w:r>
        <w:rPr>
          <w:rFonts w:hint="eastAsia" w:ascii="仿宋_GB2312" w:hAnsi="仿宋_GB2312" w:eastAsia="仿宋_GB2312" w:cs="仿宋_GB2312"/>
          <w:b w:val="0"/>
          <w:color w:val="auto"/>
          <w:spacing w:val="0"/>
          <w:kern w:val="2"/>
          <w:sz w:val="32"/>
          <w:szCs w:val="32"/>
          <w:lang w:val="en-US" w:eastAsia="zh-CN" w:bidi="ar-SA"/>
        </w:rPr>
        <w:t>推动完成县社会福利院特护区改造提升，建设失能失智照护区，为36名失能失智对象提供照护服务。</w:t>
      </w:r>
      <w:r>
        <w:rPr>
          <w:rFonts w:hint="eastAsia" w:ascii="仿宋_GB2312" w:hAnsi="仿宋_GB2312" w:eastAsia="仿宋_GB2312" w:cs="仿宋_GB2312"/>
          <w:i w:val="0"/>
          <w:iCs w:val="0"/>
          <w:color w:val="auto"/>
          <w:spacing w:val="0"/>
          <w:kern w:val="0"/>
          <w:sz w:val="32"/>
          <w:szCs w:val="32"/>
          <w:u w:val="none"/>
          <w:lang w:val="en-US" w:eastAsia="zh-CN" w:bidi="ar"/>
        </w:rPr>
        <w:t>将龙津镇</w:t>
      </w:r>
      <w:r>
        <w:rPr>
          <w:rFonts w:hint="eastAsia" w:ascii="仿宋_GB2312" w:hAnsi="仿宋_GB2312" w:eastAsia="仿宋_GB2312" w:cs="仿宋_GB2312"/>
          <w:i w:val="0"/>
          <w:iCs w:val="0"/>
          <w:caps w:val="0"/>
          <w:spacing w:val="0"/>
          <w:sz w:val="32"/>
          <w:szCs w:val="32"/>
          <w:shd w:val="clear" w:fill="FFFFFF"/>
          <w:lang w:val="en-US" w:eastAsia="zh-CN"/>
        </w:rPr>
        <w:t>敬老院内特困入住对象转移至安义县社会福利院进行集中照料，彻底完成我县乡镇敬老院“十合一”改革。</w:t>
      </w:r>
      <w:r>
        <w:rPr>
          <w:rFonts w:hint="eastAsia" w:ascii="仿宋_GB2312" w:hAnsi="仿宋_GB2312" w:eastAsia="仿宋_GB2312" w:cs="仿宋_GB2312"/>
          <w:b w:val="0"/>
          <w:bCs w:val="0"/>
          <w:sz w:val="32"/>
          <w:szCs w:val="32"/>
          <w:lang w:val="en-US" w:eastAsia="zh-CN"/>
        </w:rPr>
        <w:t>指导县社会福利院</w:t>
      </w:r>
      <w:r>
        <w:rPr>
          <w:rFonts w:hint="eastAsia" w:ascii="仿宋_GB2312" w:hAnsi="仿宋_GB2312" w:eastAsia="仿宋_GB2312" w:cs="仿宋_GB2312"/>
          <w:sz w:val="32"/>
          <w:szCs w:val="32"/>
          <w:lang w:val="en-US" w:eastAsia="zh-CN"/>
        </w:rPr>
        <w:t>从“物品采购、膳食标准、房间配置、照料流程、卫生要求、规范就医、财务公示、巡查探访、内部监督、活动开展”十方面进行统一规范管理。</w:t>
      </w:r>
      <w:r>
        <w:rPr>
          <w:rFonts w:hint="eastAsia" w:ascii="仿宋_GB2312" w:hAnsi="仿宋_GB2312" w:eastAsia="仿宋_GB2312" w:cs="仿宋_GB2312"/>
          <w:b w:val="0"/>
          <w:bCs w:val="0"/>
          <w:sz w:val="32"/>
          <w:szCs w:val="32"/>
          <w:lang w:val="en-US" w:eastAsia="zh-CN"/>
        </w:rPr>
        <w:t>2025年10月，我县社会福利院获评全国“敬老文明号”。</w:t>
      </w:r>
    </w:p>
    <w:p w14:paraId="048AD01B">
      <w:pPr>
        <w:pStyle w:val="24"/>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default" w:ascii="仿宋_GB2312" w:hAnsi="仿宋_GB2312" w:eastAsia="仿宋_GB2312" w:cs="仿宋_GB2312"/>
          <w:color w:val="auto"/>
          <w:kern w:val="2"/>
          <w:sz w:val="32"/>
          <w:szCs w:val="32"/>
          <w:lang w:val="en-US" w:eastAsia="zh-CN" w:bidi="ar-SA"/>
        </w:rPr>
      </w:pPr>
      <w:r>
        <w:rPr>
          <w:rFonts w:hint="eastAsia" w:ascii="楷体_GB2312" w:hAnsi="楷体_GB2312" w:eastAsia="楷体_GB2312" w:cs="楷体_GB2312"/>
          <w:b/>
          <w:bCs/>
          <w:color w:val="000000" w:themeColor="text1"/>
          <w:kern w:val="2"/>
          <w:sz w:val="32"/>
          <w:szCs w:val="32"/>
          <w:lang w:val="en-US" w:eastAsia="zh-CN" w:bidi="ar-SA"/>
          <w14:textFill>
            <w14:solidFill>
              <w14:schemeClr w14:val="tx1"/>
            </w14:solidFill>
          </w14:textFill>
        </w:rPr>
        <w:t>3.着力推进民生实事项目建设。</w:t>
      </w:r>
      <w:r>
        <w:rPr>
          <w:rFonts w:hint="eastAsia" w:ascii="仿宋_GB2312" w:hAnsi="仿宋_GB2312" w:eastAsia="仿宋_GB2312" w:cs="仿宋_GB2312"/>
          <w:color w:val="auto"/>
          <w:spacing w:val="0"/>
          <w:sz w:val="32"/>
          <w:szCs w:val="32"/>
          <w:lang w:val="en-US" w:eastAsia="zh-CN"/>
        </w:rPr>
        <w:t>省级民生实事涉及我县任务为有需求的特殊困难失能、部分失能老年人提供居家养老上门服务，目前我县已为528名五类老人提供上门服务，服务人次9142人次。市级民生实事我县</w:t>
      </w:r>
      <w:r>
        <w:rPr>
          <w:rFonts w:hint="eastAsia" w:ascii="仿宋_GB2312" w:hAnsi="仿宋_GB2312" w:eastAsia="仿宋_GB2312" w:cs="仿宋_GB2312"/>
          <w:color w:val="auto"/>
          <w:spacing w:val="0"/>
          <w:kern w:val="2"/>
          <w:sz w:val="32"/>
          <w:szCs w:val="32"/>
          <w:lang w:val="en-US" w:eastAsia="zh-CN" w:bidi="ar-SA"/>
        </w:rPr>
        <w:t>任务为2个“一老一小”幸福院和2个城市助餐点。目前，已</w:t>
      </w:r>
      <w:r>
        <w:rPr>
          <w:rFonts w:hint="eastAsia" w:ascii="仿宋_GB2312" w:hAnsi="仿宋_GB2312" w:eastAsia="仿宋_GB2312" w:cs="仿宋_GB2312"/>
          <w:color w:val="auto"/>
          <w:kern w:val="2"/>
          <w:sz w:val="32"/>
          <w:szCs w:val="32"/>
          <w:lang w:val="en-US" w:eastAsia="zh-CN" w:bidi="ar-SA"/>
        </w:rPr>
        <w:t>完成东门社区阳湖店幸福食堂、西门社区幸福食堂等两个城市助餐点建设，新民村“一老一小”幸福院、黄洲镇“一老一小”幸福院建设。</w:t>
      </w:r>
    </w:p>
    <w:p w14:paraId="75A38838">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color w:val="000000" w:themeColor="text1"/>
          <w:kern w:val="2"/>
          <w:sz w:val="32"/>
          <w:szCs w:val="32"/>
          <w:lang w:val="en-US" w:eastAsia="zh-CN" w:bidi="ar-SA"/>
          <w14:textFill>
            <w14:solidFill>
              <w14:schemeClr w14:val="tx1"/>
            </w14:solidFill>
          </w14:textFill>
        </w:rPr>
        <w:t>4.积极推进适老化改造工作。</w:t>
      </w:r>
      <w:r>
        <w:rPr>
          <w:rFonts w:hint="eastAsia" w:ascii="仿宋_GB2312" w:hAnsi="仿宋_GB2312" w:eastAsia="仿宋_GB2312" w:cs="仿宋_GB2312"/>
          <w:color w:val="auto"/>
          <w:sz w:val="32"/>
          <w:szCs w:val="32"/>
          <w:lang w:val="en-US" w:eastAsia="zh-CN"/>
        </w:rPr>
        <w:t>根据2025年省、市对消费品以旧换新适老化改造的工作部署，我县认真落实2025年消费品以旧换新适老化改造工作推进，集中宣传4次，累计发放4000份宣传物料。</w:t>
      </w:r>
      <w:r>
        <w:rPr>
          <w:rFonts w:hint="eastAsia" w:ascii="仿宋_GB2312" w:hAnsi="仿宋_GB2312" w:eastAsia="仿宋_GB2312" w:cs="仿宋_GB2312"/>
          <w:sz w:val="32"/>
          <w:szCs w:val="32"/>
        </w:rPr>
        <w:t>在省综合养老服务平台审核通过符合改造标准对象43户</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提交了资金补贴申请（其中改造类1户，购买产品类42户），目前已全部完成改造和通过验收。</w:t>
      </w:r>
    </w:p>
    <w:p w14:paraId="44AE2EF4">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default" w:ascii="楷体" w:hAnsi="楷体" w:eastAsia="楷体" w:cs="楷体"/>
          <w:b/>
          <w:bCs/>
          <w:sz w:val="32"/>
          <w:szCs w:val="32"/>
          <w:lang w:val="en-US" w:eastAsia="zh-CN"/>
        </w:rPr>
      </w:pPr>
      <w:r>
        <w:rPr>
          <w:rFonts w:hint="eastAsia" w:ascii="楷体" w:hAnsi="楷体" w:eastAsia="楷体" w:cs="楷体"/>
          <w:b/>
          <w:bCs/>
          <w:sz w:val="32"/>
          <w:szCs w:val="32"/>
          <w:lang w:val="en-US" w:eastAsia="zh-CN"/>
        </w:rPr>
        <w:t>三、儿童关爱守护成长未来</w:t>
      </w:r>
    </w:p>
    <w:p w14:paraId="57320591">
      <w:pPr>
        <w:pStyle w:val="2"/>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after="0" w:line="600" w:lineRule="exact"/>
        <w:ind w:left="0" w:leftChars="0"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1.完善儿童福利体系。</w:t>
      </w:r>
      <w:r>
        <w:rPr>
          <w:rFonts w:hint="eastAsia" w:ascii="仿宋_GB2312" w:hAnsi="仿宋_GB2312" w:eastAsia="仿宋_GB2312" w:cs="仿宋_GB2312"/>
          <w:sz w:val="32"/>
          <w:szCs w:val="32"/>
          <w:lang w:val="en-US" w:eastAsia="zh-CN"/>
        </w:rPr>
        <w:t>2025年4月14日，我县困境儿童关爱服务试点项目正式启动实施。</w:t>
      </w:r>
      <w:r>
        <w:rPr>
          <w:rFonts w:hint="eastAsia" w:ascii="仿宋_GB2312" w:hAnsi="仿宋_GB2312" w:eastAsia="仿宋_GB2312" w:cs="仿宋_GB2312"/>
          <w:b w:val="0"/>
          <w:bCs w:val="0"/>
          <w:sz w:val="32"/>
          <w:szCs w:val="32"/>
          <w:lang w:val="en-US" w:eastAsia="zh-CN"/>
        </w:rPr>
        <w:t>围绕“困境儿童分层分类精准帮扶”目标，强化“县未保中心—乡镇儿童督导员—村社儿童主任”三级联动关爱服务体系，累计介入处置中高风险个案68例，开展巡视探访13508人次</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专项心理疏导90例（360次）</w:t>
      </w:r>
      <w:r>
        <w:rPr>
          <w:rFonts w:hint="eastAsia" w:ascii="仿宋_GB2312" w:hAnsi="仿宋_GB2312" w:eastAsia="仿宋_GB2312" w:cs="仿宋_GB2312"/>
          <w:b w:val="0"/>
          <w:bCs w:val="0"/>
          <w:sz w:val="32"/>
          <w:szCs w:val="32"/>
          <w:lang w:val="en-US" w:eastAsia="zh-CN"/>
        </w:rPr>
        <w:t>。</w:t>
      </w:r>
      <w:r>
        <w:rPr>
          <w:rFonts w:hint="eastAsia" w:ascii="仿宋_GB2312" w:hAnsi="仿宋_GB2312" w:eastAsia="仿宋_GB2312" w:cs="仿宋_GB2312"/>
          <w:sz w:val="32"/>
          <w:szCs w:val="32"/>
          <w:lang w:val="en-US" w:eastAsia="zh-CN"/>
        </w:rPr>
        <w:t>《小森的追光路：托起困境视障儿童成长希望》和《温情守护 筑牢困境儿童监护安全网》纳入全国困境儿童关爱服务试点经验材料。</w:t>
      </w:r>
    </w:p>
    <w:p w14:paraId="0DDDAF8B">
      <w:pPr>
        <w:pStyle w:val="2"/>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after="0" w:line="600" w:lineRule="exact"/>
        <w:ind w:left="0" w:leftChars="0" w:firstLine="643" w:firstLineChars="200"/>
        <w:textAlignment w:val="auto"/>
        <w:rPr>
          <w:rFonts w:hint="eastAsia" w:ascii="仿宋_GB2312" w:hAnsi="仿宋_GB2312" w:eastAsia="仿宋_GB2312" w:cs="仿宋_GB2312"/>
          <w:spacing w:val="-6"/>
          <w:sz w:val="32"/>
          <w:szCs w:val="32"/>
          <w:lang w:val="en-US" w:eastAsia="zh-CN"/>
        </w:rPr>
      </w:pPr>
      <w:r>
        <w:rPr>
          <w:rFonts w:hint="eastAsia" w:ascii="仿宋_GB2312" w:hAnsi="仿宋_GB2312" w:eastAsia="仿宋_GB2312" w:cs="仿宋_GB2312"/>
          <w:b/>
          <w:bCs/>
          <w:sz w:val="32"/>
          <w:szCs w:val="32"/>
          <w:lang w:val="en-US" w:eastAsia="zh-CN"/>
        </w:rPr>
        <w:t>2.加强</w:t>
      </w:r>
      <w:r>
        <w:rPr>
          <w:rFonts w:hint="eastAsia" w:ascii="仿宋_GB2312" w:hAnsi="仿宋_GB2312" w:eastAsia="仿宋_GB2312" w:cs="仿宋_GB2312"/>
          <w:b/>
          <w:bCs/>
          <w:spacing w:val="-6"/>
          <w:sz w:val="32"/>
          <w:szCs w:val="32"/>
          <w:lang w:val="en-US" w:eastAsia="zh-CN"/>
        </w:rPr>
        <w:t>困境儿童帮扶。</w:t>
      </w:r>
      <w:r>
        <w:rPr>
          <w:rFonts w:hint="eastAsia" w:ascii="仿宋_GB2312" w:hAnsi="仿宋_GB2312" w:eastAsia="仿宋_GB2312" w:cs="仿宋_GB2312"/>
          <w:color w:val="auto"/>
          <w:spacing w:val="-6"/>
          <w:sz w:val="32"/>
          <w:szCs w:val="32"/>
        </w:rPr>
        <w:t>创新实施“三色”动态管理，对重点儿童实行“一人一档”跟踪服务</w:t>
      </w:r>
      <w:r>
        <w:rPr>
          <w:rFonts w:hint="eastAsia" w:ascii="仿宋_GB2312" w:hAnsi="仿宋_GB2312" w:eastAsia="仿宋_GB2312" w:cs="仿宋_GB2312"/>
          <w:color w:val="auto"/>
          <w:spacing w:val="-6"/>
          <w:sz w:val="32"/>
          <w:szCs w:val="32"/>
          <w:lang w:eastAsia="zh-CN"/>
        </w:rPr>
        <w:t>，</w:t>
      </w:r>
      <w:r>
        <w:rPr>
          <w:rFonts w:hint="eastAsia" w:ascii="仿宋_GB2312" w:hAnsi="仿宋_GB2312" w:eastAsia="仿宋_GB2312" w:cs="仿宋_GB2312"/>
          <w:color w:val="auto"/>
          <w:spacing w:val="-6"/>
          <w:sz w:val="32"/>
          <w:szCs w:val="32"/>
          <w:lang w:val="en-US" w:eastAsia="zh-CN"/>
        </w:rPr>
        <w:t>目前已完成</w:t>
      </w:r>
      <w:r>
        <w:rPr>
          <w:rFonts w:hint="eastAsia" w:ascii="仿宋_GB2312" w:hAnsi="仿宋_GB2312" w:eastAsia="仿宋_GB2312" w:cs="仿宋_GB2312"/>
          <w:spacing w:val="-6"/>
          <w:sz w:val="32"/>
          <w:szCs w:val="32"/>
          <w:lang w:val="en-US" w:eastAsia="zh-CN"/>
        </w:rPr>
        <w:t>对945名困境儿童家庭监护评估，并科学划分风险等级。同时，全面落实孤儿、事实无人抚养儿童基本生活保障制度，现有</w:t>
      </w:r>
      <w:r>
        <w:rPr>
          <w:rFonts w:hint="default" w:ascii="仿宋_GB2312" w:hAnsi="仿宋_GB2312" w:eastAsia="仿宋_GB2312" w:cs="仿宋_GB2312"/>
          <w:spacing w:val="-6"/>
          <w:sz w:val="32"/>
          <w:szCs w:val="32"/>
          <w:lang w:val="en-US" w:eastAsia="zh-CN"/>
        </w:rPr>
        <w:t>孤儿17人，事实无人抚养儿童20</w:t>
      </w:r>
      <w:r>
        <w:rPr>
          <w:rFonts w:hint="eastAsia" w:ascii="仿宋_GB2312" w:hAnsi="仿宋_GB2312" w:eastAsia="仿宋_GB2312" w:cs="仿宋_GB2312"/>
          <w:spacing w:val="-6"/>
          <w:sz w:val="32"/>
          <w:szCs w:val="32"/>
          <w:lang w:val="en-US" w:eastAsia="zh-CN"/>
        </w:rPr>
        <w:t>6</w:t>
      </w:r>
      <w:r>
        <w:rPr>
          <w:rFonts w:hint="default" w:ascii="仿宋_GB2312" w:hAnsi="仿宋_GB2312" w:eastAsia="仿宋_GB2312" w:cs="仿宋_GB2312"/>
          <w:spacing w:val="-6"/>
          <w:sz w:val="32"/>
          <w:szCs w:val="32"/>
          <w:lang w:val="en-US" w:eastAsia="zh-CN"/>
        </w:rPr>
        <w:t>人，</w:t>
      </w:r>
      <w:r>
        <w:rPr>
          <w:rFonts w:hint="eastAsia" w:ascii="仿宋_GB2312" w:hAnsi="仿宋_GB2312" w:eastAsia="仿宋_GB2312" w:cs="仿宋_GB2312"/>
          <w:spacing w:val="-6"/>
          <w:sz w:val="32"/>
          <w:szCs w:val="32"/>
          <w:lang w:val="en-US" w:eastAsia="zh-CN"/>
        </w:rPr>
        <w:t>1-12月</w:t>
      </w:r>
      <w:r>
        <w:rPr>
          <w:rFonts w:hint="default" w:ascii="仿宋_GB2312" w:hAnsi="仿宋_GB2312" w:eastAsia="仿宋_GB2312" w:cs="仿宋_GB2312"/>
          <w:spacing w:val="-6"/>
          <w:sz w:val="32"/>
          <w:szCs w:val="32"/>
          <w:lang w:val="en-US" w:eastAsia="zh-CN"/>
        </w:rPr>
        <w:t>共发放</w:t>
      </w:r>
      <w:r>
        <w:rPr>
          <w:rFonts w:hint="eastAsia" w:ascii="仿宋_GB2312" w:hAnsi="仿宋_GB2312" w:eastAsia="仿宋_GB2312" w:cs="仿宋_GB2312"/>
          <w:spacing w:val="-6"/>
          <w:sz w:val="32"/>
          <w:szCs w:val="32"/>
          <w:lang w:val="en-US" w:eastAsia="zh-CN"/>
        </w:rPr>
        <w:t>260.72</w:t>
      </w:r>
      <w:r>
        <w:rPr>
          <w:rFonts w:hint="default" w:ascii="仿宋_GB2312" w:hAnsi="仿宋_GB2312" w:eastAsia="仿宋_GB2312" w:cs="仿宋_GB2312"/>
          <w:spacing w:val="-6"/>
          <w:sz w:val="32"/>
          <w:szCs w:val="32"/>
          <w:lang w:val="en-US" w:eastAsia="zh-CN"/>
        </w:rPr>
        <w:t>万元</w:t>
      </w:r>
      <w:r>
        <w:rPr>
          <w:rFonts w:hint="eastAsia" w:ascii="仿宋_GB2312" w:hAnsi="仿宋_GB2312" w:eastAsia="仿宋_GB2312" w:cs="仿宋_GB2312"/>
          <w:spacing w:val="-6"/>
          <w:sz w:val="32"/>
          <w:szCs w:val="32"/>
          <w:lang w:val="en-US" w:eastAsia="zh-CN"/>
        </w:rPr>
        <w:t>。</w:t>
      </w:r>
    </w:p>
    <w:p w14:paraId="18130217">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bCs/>
          <w:spacing w:val="-6"/>
          <w:sz w:val="32"/>
          <w:szCs w:val="32"/>
          <w:lang w:val="en-US" w:eastAsia="zh-CN"/>
        </w:rPr>
        <w:t>3.夯实儿童服务成效。</w:t>
      </w:r>
      <w:r>
        <w:rPr>
          <w:rFonts w:hint="eastAsia" w:ascii="仿宋_GB2312" w:hAnsi="仿宋_GB2312" w:eastAsia="仿宋_GB2312" w:cs="仿宋_GB2312"/>
          <w:sz w:val="32"/>
          <w:szCs w:val="32"/>
        </w:rPr>
        <w:t>围绕心理健康教育、社会融入支持、自我保护能力提升、红色主题教育、各类节日活动等七大领域，全年累计开展各类主题活动9</w:t>
      </w:r>
      <w:r>
        <w:rPr>
          <w:rFonts w:hint="eastAsia" w:ascii="仿宋_GB2312" w:hAnsi="仿宋_GB2312" w:eastAsia="仿宋_GB2312" w:cs="仿宋_GB2312"/>
          <w:sz w:val="32"/>
          <w:szCs w:val="32"/>
          <w:lang w:val="en-US" w:eastAsia="zh-CN"/>
        </w:rPr>
        <w:t>15</w:t>
      </w:r>
      <w:r>
        <w:rPr>
          <w:rFonts w:hint="eastAsia" w:ascii="仿宋_GB2312" w:hAnsi="仿宋_GB2312" w:eastAsia="仿宋_GB2312" w:cs="仿宋_GB2312"/>
          <w:sz w:val="32"/>
          <w:szCs w:val="32"/>
        </w:rPr>
        <w:t>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服务超</w:t>
      </w:r>
      <w:r>
        <w:rPr>
          <w:rFonts w:hint="eastAsia" w:ascii="仿宋_GB2312" w:hAnsi="仿宋_GB2312" w:eastAsia="仿宋_GB2312" w:cs="仿宋_GB2312"/>
          <w:sz w:val="32"/>
          <w:szCs w:val="32"/>
          <w:lang w:val="en-US" w:eastAsia="zh-CN"/>
        </w:rPr>
        <w:t>11700</w:t>
      </w:r>
      <w:r>
        <w:rPr>
          <w:rFonts w:hint="eastAsia" w:ascii="仿宋_GB2312" w:hAnsi="仿宋_GB2312" w:eastAsia="仿宋_GB2312" w:cs="仿宋_GB2312"/>
          <w:sz w:val="32"/>
          <w:szCs w:val="32"/>
        </w:rPr>
        <w:t>人次。同时，联动检察院、法院、教体等部门常态推进儿童关爱保护工作，形成“政府主导+部门协同+社会参与”的立体化保护网络。创新实施“雁阵计划”，形成“社工领军—督导员支撑—儿童主任落地”三级人才架构</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组织开展县级</w:t>
      </w:r>
      <w:r>
        <w:rPr>
          <w:rFonts w:hint="eastAsia" w:ascii="仿宋_GB2312" w:hAnsi="仿宋_GB2312" w:eastAsia="仿宋_GB2312" w:cs="仿宋_GB2312"/>
          <w:sz w:val="32"/>
          <w:szCs w:val="32"/>
          <w:lang w:val="en-US" w:eastAsia="zh-CN"/>
        </w:rPr>
        <w:t>儿童福利工作</w:t>
      </w:r>
      <w:r>
        <w:rPr>
          <w:rFonts w:hint="eastAsia" w:ascii="仿宋_GB2312" w:hAnsi="仿宋_GB2312" w:eastAsia="仿宋_GB2312" w:cs="仿宋_GB2312"/>
          <w:sz w:val="32"/>
          <w:szCs w:val="32"/>
        </w:rPr>
        <w:t>专题培训</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期，覆盖</w:t>
      </w:r>
      <w:r>
        <w:rPr>
          <w:rFonts w:hint="eastAsia" w:ascii="仿宋_GB2312" w:hAnsi="仿宋_GB2312" w:eastAsia="仿宋_GB2312" w:cs="仿宋_GB2312"/>
          <w:sz w:val="32"/>
          <w:szCs w:val="32"/>
          <w:lang w:val="en-US" w:eastAsia="zh-CN"/>
        </w:rPr>
        <w:t>290</w:t>
      </w:r>
      <w:r>
        <w:rPr>
          <w:rFonts w:hint="eastAsia" w:ascii="仿宋_GB2312" w:hAnsi="仿宋_GB2312" w:eastAsia="仿宋_GB2312" w:cs="仿宋_GB2312"/>
          <w:sz w:val="32"/>
          <w:szCs w:val="32"/>
        </w:rPr>
        <w:t>人</w:t>
      </w:r>
      <w:r>
        <w:rPr>
          <w:rFonts w:hint="eastAsia" w:ascii="仿宋_GB2312" w:hAnsi="仿宋_GB2312" w:eastAsia="仿宋_GB2312" w:cs="仿宋_GB2312"/>
          <w:sz w:val="32"/>
          <w:szCs w:val="32"/>
          <w:lang w:eastAsia="zh-CN"/>
        </w:rPr>
        <w:t>。推行跟岗实训制度，近</w:t>
      </w:r>
      <w:r>
        <w:rPr>
          <w:rFonts w:hint="eastAsia" w:ascii="仿宋_GB2312" w:hAnsi="仿宋_GB2312" w:eastAsia="仿宋_GB2312" w:cs="仿宋_GB2312"/>
          <w:sz w:val="32"/>
          <w:szCs w:val="32"/>
          <w:lang w:val="en-US" w:eastAsia="zh-CN"/>
        </w:rPr>
        <w:t>百</w:t>
      </w:r>
      <w:r>
        <w:rPr>
          <w:rFonts w:hint="eastAsia" w:ascii="仿宋_GB2312" w:hAnsi="仿宋_GB2312" w:eastAsia="仿宋_GB2312" w:cs="仿宋_GB2312"/>
          <w:sz w:val="32"/>
          <w:szCs w:val="32"/>
          <w:lang w:eastAsia="zh-CN"/>
        </w:rPr>
        <w:t>名儿童主任深度参与家庭评估、个案介入及活动实施，有效提升基层实操能力。</w:t>
      </w:r>
      <w:r>
        <w:rPr>
          <w:rFonts w:hint="eastAsia" w:ascii="仿宋_GB2312" w:hAnsi="仿宋_GB2312" w:eastAsia="仿宋_GB2312" w:cs="仿宋_GB2312"/>
          <w:sz w:val="32"/>
          <w:szCs w:val="32"/>
          <w:lang w:val="en-US" w:eastAsia="zh-CN"/>
        </w:rPr>
        <w:t>乡镇、未保实地督导48次，儿童类社会组织孵化督导培训共计20场，孵化注册1家社会组织。</w:t>
      </w:r>
    </w:p>
    <w:p w14:paraId="6BB45449">
      <w:pPr>
        <w:keepNext w:val="0"/>
        <w:keepLines w:val="0"/>
        <w:pageBreakBefore w:val="0"/>
        <w:widowControl w:val="0"/>
        <w:kinsoku/>
        <w:wordWrap/>
        <w:overflowPunct/>
        <w:topLinePunct w:val="0"/>
        <w:autoSpaceDE/>
        <w:autoSpaceDN/>
        <w:bidi w:val="0"/>
        <w:adjustRightInd/>
        <w:snapToGrid/>
        <w:spacing w:line="600" w:lineRule="exact"/>
        <w:ind w:firstLine="640"/>
        <w:jc w:val="both"/>
        <w:textAlignment w:val="auto"/>
        <w:rPr>
          <w:rFonts w:hint="eastAsia" w:ascii="仿宋_GB2312" w:hAnsi="仿宋_GB2312" w:eastAsia="仿宋_GB2312" w:cs="仿宋_GB2312"/>
          <w:sz w:val="32"/>
          <w:szCs w:val="32"/>
          <w:lang w:val="en-US" w:eastAsia="zh-CN"/>
        </w:rPr>
      </w:pPr>
      <w:r>
        <w:rPr>
          <w:rFonts w:hint="eastAsia" w:ascii="楷体" w:hAnsi="楷体" w:eastAsia="楷体" w:cs="楷体"/>
          <w:b/>
          <w:bCs/>
          <w:sz w:val="32"/>
          <w:szCs w:val="32"/>
          <w:lang w:val="en-US" w:eastAsia="zh-CN"/>
        </w:rPr>
        <w:t>四、社会事务规范有序运行</w:t>
      </w:r>
      <w:r>
        <w:rPr>
          <w:rFonts w:hint="eastAsia" w:ascii="仿宋_GB2312" w:hAnsi="仿宋_GB2312" w:eastAsia="仿宋_GB2312" w:cs="仿宋_GB2312"/>
          <w:sz w:val="32"/>
          <w:szCs w:val="32"/>
          <w:lang w:val="en-US" w:eastAsia="zh-CN"/>
        </w:rPr>
        <w:t xml:space="preserve">  </w:t>
      </w:r>
    </w:p>
    <w:p w14:paraId="55741D9F">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3" w:firstLineChars="200"/>
        <w:textAlignment w:val="auto"/>
        <w:rPr>
          <w:rFonts w:hint="eastAsia" w:ascii="仿宋_GB2312" w:hAnsi="仿宋_GB2312" w:eastAsia="仿宋_GB2312" w:cs="仿宋_GB2312"/>
          <w:sz w:val="32"/>
          <w:szCs w:val="32"/>
          <w:lang w:val="en-US" w:eastAsia="zh-CN"/>
        </w:rPr>
      </w:pPr>
      <w:r>
        <w:rPr>
          <w:rFonts w:hint="eastAsia" w:ascii="仿宋_GB2312" w:eastAsia="仿宋_GB2312"/>
          <w:b/>
          <w:bCs/>
          <w:sz w:val="32"/>
          <w:szCs w:val="32"/>
          <w:lang w:val="en-US" w:eastAsia="zh-CN"/>
        </w:rPr>
        <w:t>1.殡葬改革推进有力。</w:t>
      </w:r>
      <w:r>
        <w:rPr>
          <w:rFonts w:hint="eastAsia" w:ascii="仿宋_GB2312" w:hAnsi="仿宋_GB2312" w:eastAsia="仿宋_GB2312" w:cs="仿宋_GB2312"/>
          <w:b w:val="0"/>
          <w:bCs w:val="0"/>
          <w:sz w:val="32"/>
          <w:szCs w:val="32"/>
          <w:lang w:val="en-US" w:eastAsia="zh-CN"/>
        </w:rPr>
        <w:t>将殡葬服务收费项目从60项精简至26项，降低了拣灰炉火化等6项收费标准，群众每起治丧平均费用从2024年的3054元降至现在2148元，降幅达29.67%。同时，对经营性墓位价格进行限高，明确墓位价格不超过10万元。</w:t>
      </w:r>
      <w:r>
        <w:rPr>
          <w:rFonts w:hint="eastAsia" w:ascii="仿宋_GB2312" w:hAnsi="仿宋_GB2312" w:eastAsia="仿宋_GB2312" w:cs="仿宋_GB2312"/>
          <w:sz w:val="32"/>
          <w:szCs w:val="32"/>
          <w:lang w:val="en-US" w:eastAsia="zh-CN"/>
        </w:rPr>
        <w:t>2025年，县殡仪馆共受理遗体火化3347人（其中安义县户籍1313例），受理本县户籍遗体基本殡葬服务免费报销结算1011人，减免丧属费用186.024万元，全县1313起丧事均落实了全流程监管。</w:t>
      </w:r>
      <w:r>
        <w:rPr>
          <w:rStyle w:val="17"/>
          <w:rFonts w:hint="eastAsia" w:ascii="仿宋_GB2312" w:hAnsi="仿宋_GB2312" w:eastAsia="仿宋_GB2312" w:cs="仿宋_GB2312"/>
          <w:sz w:val="32"/>
          <w:szCs w:val="32"/>
          <w:lang w:val="en-US" w:eastAsia="zh-CN"/>
        </w:rPr>
        <w:t>创新举措开发骨灰流向追踪信息系统，</w:t>
      </w:r>
      <w:r>
        <w:rPr>
          <w:rFonts w:hint="eastAsia" w:ascii="仿宋_GB2312" w:hAnsi="仿宋_GB2312" w:eastAsia="仿宋_GB2312" w:cs="仿宋_GB2312"/>
          <w:color w:val="auto"/>
          <w:sz w:val="32"/>
          <w:szCs w:val="32"/>
          <w:lang w:val="en-US" w:eastAsia="zh-CN"/>
        </w:rPr>
        <w:t>有效遏制“阴阳骨灰盒”。</w:t>
      </w:r>
      <w:r>
        <w:rPr>
          <w:rFonts w:hint="eastAsia" w:ascii="仿宋_GB2312" w:hAnsi="仿宋_GB2312" w:eastAsia="仿宋_GB2312" w:cs="仿宋_GB2312"/>
          <w:sz w:val="32"/>
          <w:szCs w:val="32"/>
          <w:lang w:val="en-US" w:eastAsia="zh-CN"/>
        </w:rPr>
        <w:t xml:space="preserve"> </w:t>
      </w:r>
    </w:p>
    <w:p w14:paraId="4417F6EF">
      <w:pPr>
        <w:keepNext w:val="0"/>
        <w:keepLines w:val="0"/>
        <w:pageBreakBefore w:val="0"/>
        <w:widowControl w:val="0"/>
        <w:kinsoku/>
        <w:wordWrap/>
        <w:overflowPunct/>
        <w:topLinePunct w:val="0"/>
        <w:autoSpaceDE/>
        <w:autoSpaceDN/>
        <w:bidi w:val="0"/>
        <w:adjustRightInd/>
        <w:snapToGrid/>
        <w:spacing w:line="600" w:lineRule="exact"/>
        <w:ind w:firstLine="643"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2.社会组织管理有序。</w:t>
      </w:r>
      <w:r>
        <w:rPr>
          <w:rFonts w:hint="eastAsia" w:ascii="仿宋_GB2312" w:hAnsi="仿宋_GB2312" w:eastAsia="仿宋_GB2312" w:cs="仿宋_GB2312"/>
          <w:sz w:val="32"/>
          <w:szCs w:val="32"/>
          <w:lang w:val="en-US" w:eastAsia="zh-CN"/>
        </w:rPr>
        <w:t>严格依法依规做好社会组织成立、变更、注销登记等工作。今年以来，新登记成立社会组织4家，全县社会组织总数达115家。加大对社会组织党建工作的指导力度。当前，</w:t>
      </w:r>
      <w:r>
        <w:rPr>
          <w:rFonts w:hint="eastAsia" w:ascii="仿宋_GB2312" w:hAnsi="仿宋_GB2312" w:eastAsia="仿宋_GB2312" w:cs="仿宋_GB2312"/>
          <w:sz w:val="32"/>
          <w:szCs w:val="32"/>
        </w:rPr>
        <w:t>党员</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人以上的69家社会组织，全部单独建立党组织；对党员不足</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人的30个社会组织，按行业相近、地域相邻原则，组建10个联合党支部</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实现社会组织党组织“应建尽建”、党建指导员“应派尽派”，全县社会组织党组织覆盖率达100%。</w:t>
      </w:r>
    </w:p>
    <w:p w14:paraId="5C9074C9">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3.区划地名实施有质。</w:t>
      </w:r>
      <w:r>
        <w:rPr>
          <w:rFonts w:hint="eastAsia" w:ascii="仿宋_GB2312" w:eastAsia="仿宋_GB2312"/>
          <w:sz w:val="32"/>
          <w:szCs w:val="32"/>
          <w:lang w:val="en-US" w:eastAsia="zh-CN"/>
        </w:rPr>
        <w:t>完成了县域</w:t>
      </w:r>
      <w:r>
        <w:rPr>
          <w:rFonts w:hint="eastAsia" w:ascii="仿宋_GB2312" w:eastAsia="仿宋_GB2312"/>
          <w:sz w:val="32"/>
          <w:szCs w:val="32"/>
        </w:rPr>
        <w:t>行政区域界线联检工作，</w:t>
      </w:r>
      <w:r>
        <w:rPr>
          <w:rFonts w:hint="eastAsia" w:ascii="仿宋_GB2312" w:eastAsia="仿宋_GB2312"/>
          <w:sz w:val="32"/>
          <w:szCs w:val="32"/>
          <w:lang w:val="en-US" w:eastAsia="zh-CN"/>
        </w:rPr>
        <w:t>组织龙津、鼎湖、石鼻、万埠四个乡镇开展乡级行政界线联检工</w:t>
      </w:r>
      <w:r>
        <w:rPr>
          <w:rFonts w:hint="eastAsia" w:ascii="仿宋_GB2312" w:hAnsi="仿宋_GB2312" w:eastAsia="仿宋_GB2312" w:cs="仿宋_GB2312"/>
          <w:sz w:val="32"/>
          <w:szCs w:val="32"/>
          <w:lang w:val="en-US" w:eastAsia="zh-CN"/>
        </w:rPr>
        <w:t>作。对全县不规范道路牌进行全面整治，共整治道路牌38块。持续开展乡村著名行动，命名31条乡村道路。安义古道、曹门石桥、砀山桥、邓家桥，石鼻前街列入省级地名文化保护名录。</w:t>
      </w:r>
    </w:p>
    <w:p w14:paraId="1A4C751F">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4.婚姻登记规范有序。</w:t>
      </w:r>
      <w:r>
        <w:rPr>
          <w:rFonts w:hint="eastAsia" w:ascii="仿宋_GB2312" w:hAnsi="仿宋_GB2312" w:eastAsia="仿宋_GB2312" w:cs="仿宋_GB2312"/>
          <w:sz w:val="32"/>
          <w:szCs w:val="32"/>
          <w:lang w:val="en-US" w:eastAsia="zh-CN"/>
        </w:rPr>
        <w:t>设置小赣事咨询台，规范办事流程，在政数局的月度考核中获一次自设大厅服务明星评价，在政数服务大厅增设婚姻登记咨询及简易办证窗口，方便群众办事。2025年婚姻登记2236对，其中结婚登记664对，补发结婚证454对，离婚申请办理673对，离婚登记386对，补发离婚证59对。组织举办一场集体婚礼、三场集体颁证服务，联合政协、团县委、妇联等单位举办三场相亲交友活动。</w:t>
      </w:r>
    </w:p>
    <w:p w14:paraId="183FE806">
      <w:pPr>
        <w:pStyle w:val="2"/>
        <w:keepNext w:val="0"/>
        <w:keepLines w:val="0"/>
        <w:pageBreakBefore w:val="0"/>
        <w:widowControl w:val="0"/>
        <w:kinsoku/>
        <w:wordWrap/>
        <w:overflowPunct/>
        <w:topLinePunct w:val="0"/>
        <w:autoSpaceDE w:val="0"/>
        <w:autoSpaceDN w:val="0"/>
        <w:bidi w:val="0"/>
        <w:adjustRightInd/>
        <w:snapToGrid/>
        <w:ind w:firstLine="643" w:firstLineChars="200"/>
        <w:textAlignment w:val="auto"/>
        <w:outlineLvl w:val="1"/>
        <w:rPr>
          <w:rFonts w:hint="default" w:ascii="楷体_GB2312" w:hAnsi="楷体_GB2312" w:eastAsia="楷体_GB2312" w:cs="楷体_GB2312"/>
          <w:b/>
          <w:bCs/>
          <w:color w:val="000000"/>
          <w:sz w:val="32"/>
          <w:szCs w:val="32"/>
          <w:lang w:val="en-US" w:eastAsia="zh-CN" w:bidi="zh-CN"/>
        </w:rPr>
      </w:pPr>
      <w:r>
        <w:rPr>
          <w:rFonts w:hint="default" w:ascii="楷体_GB2312" w:hAnsi="楷体_GB2312" w:eastAsia="楷体_GB2312" w:cs="楷体_GB2312"/>
          <w:b/>
          <w:bCs/>
          <w:color w:val="000000"/>
          <w:sz w:val="32"/>
          <w:szCs w:val="32"/>
          <w:lang w:val="en-US" w:eastAsia="zh-CN" w:bidi="zh-CN"/>
        </w:rPr>
        <w:t>（三）当年部门年度整体支出绩效目标</w:t>
      </w:r>
      <w:bookmarkEnd w:id="5"/>
    </w:p>
    <w:p w14:paraId="41905C9B">
      <w:pPr>
        <w:pStyle w:val="2"/>
        <w:keepNext w:val="0"/>
        <w:keepLines w:val="0"/>
        <w:pageBreakBefore w:val="0"/>
        <w:widowControl w:val="0"/>
        <w:kinsoku/>
        <w:wordWrap/>
        <w:overflowPunct/>
        <w:topLinePunct w:val="0"/>
        <w:autoSpaceDE w:val="0"/>
        <w:autoSpaceDN w:val="0"/>
        <w:bidi w:val="0"/>
        <w:adjustRightInd/>
        <w:snapToGrid/>
        <w:ind w:firstLine="640" w:firstLineChars="200"/>
        <w:textAlignment w:val="auto"/>
        <w:rPr>
          <w:rFonts w:hint="default" w:ascii="仿宋_GB2312" w:hAnsi="仿宋_GB2312" w:eastAsia="仿宋_GB2312" w:cs="仿宋_GB2312"/>
          <w:sz w:val="32"/>
          <w:szCs w:val="32"/>
          <w:lang w:val="en-US" w:eastAsia="zh-CN" w:bidi="zh-CN"/>
        </w:rPr>
      </w:pPr>
      <w:r>
        <w:rPr>
          <w:rFonts w:hint="default" w:ascii="仿宋_GB2312" w:hAnsi="仿宋_GB2312" w:eastAsia="仿宋_GB2312" w:cs="仿宋_GB2312"/>
          <w:sz w:val="32"/>
          <w:szCs w:val="32"/>
          <w:lang w:val="en-US" w:eastAsia="zh-CN" w:bidi="zh-CN"/>
        </w:rPr>
        <w:t>根据202</w:t>
      </w:r>
      <w:r>
        <w:rPr>
          <w:rFonts w:hint="eastAsia" w:cs="仿宋_GB2312"/>
          <w:sz w:val="32"/>
          <w:szCs w:val="32"/>
          <w:lang w:val="en-US" w:eastAsia="zh-CN" w:bidi="zh-CN"/>
        </w:rPr>
        <w:t>5</w:t>
      </w:r>
      <w:r>
        <w:rPr>
          <w:rFonts w:hint="default" w:ascii="仿宋_GB2312" w:hAnsi="仿宋_GB2312" w:eastAsia="仿宋_GB2312" w:cs="仿宋_GB2312"/>
          <w:sz w:val="32"/>
          <w:szCs w:val="32"/>
          <w:lang w:val="en-US" w:eastAsia="zh-CN" w:bidi="zh-CN"/>
        </w:rPr>
        <w:t>年度</w:t>
      </w:r>
      <w:r>
        <w:rPr>
          <w:rFonts w:hint="eastAsia" w:cs="仿宋_GB2312"/>
          <w:sz w:val="32"/>
          <w:szCs w:val="32"/>
          <w:lang w:val="en-US" w:eastAsia="zh-CN" w:bidi="zh-CN"/>
        </w:rPr>
        <w:t>单位</w:t>
      </w:r>
      <w:r>
        <w:rPr>
          <w:rFonts w:hint="default" w:ascii="仿宋_GB2312" w:hAnsi="仿宋_GB2312" w:eastAsia="仿宋_GB2312" w:cs="仿宋_GB2312"/>
          <w:sz w:val="32"/>
          <w:szCs w:val="32"/>
          <w:lang w:val="en-US" w:eastAsia="zh-CN" w:bidi="zh-CN"/>
        </w:rPr>
        <w:t>预算资金安排及预期达成的效果，结合</w:t>
      </w:r>
      <w:r>
        <w:rPr>
          <w:rFonts w:hint="eastAsia" w:cs="仿宋_GB2312"/>
          <w:sz w:val="32"/>
          <w:szCs w:val="32"/>
          <w:lang w:val="en-US" w:eastAsia="zh-CN" w:bidi="zh-CN"/>
        </w:rPr>
        <w:t>我局年度</w:t>
      </w:r>
      <w:r>
        <w:rPr>
          <w:rFonts w:hint="default" w:ascii="仿宋_GB2312" w:hAnsi="仿宋_GB2312" w:eastAsia="仿宋_GB2312" w:cs="仿宋_GB2312"/>
          <w:sz w:val="32"/>
          <w:szCs w:val="32"/>
          <w:lang w:val="en-US" w:eastAsia="zh-CN" w:bidi="zh-CN"/>
        </w:rPr>
        <w:t>工作开展计划，设计了</w:t>
      </w:r>
      <w:r>
        <w:rPr>
          <w:rFonts w:hint="eastAsia" w:cs="仿宋_GB2312"/>
          <w:sz w:val="32"/>
          <w:szCs w:val="32"/>
          <w:lang w:val="en-US" w:eastAsia="zh-CN" w:bidi="zh-CN"/>
        </w:rPr>
        <w:t>单位</w:t>
      </w:r>
      <w:r>
        <w:rPr>
          <w:rFonts w:hint="default" w:ascii="仿宋_GB2312" w:hAnsi="仿宋_GB2312" w:eastAsia="仿宋_GB2312" w:cs="仿宋_GB2312"/>
          <w:sz w:val="32"/>
          <w:szCs w:val="32"/>
          <w:lang w:val="en-US" w:eastAsia="zh-CN" w:bidi="zh-CN"/>
        </w:rPr>
        <w:t>年度整体支出绩效目标，具体情况如下：</w:t>
      </w:r>
    </w:p>
    <w:p w14:paraId="27E1E546">
      <w:pPr>
        <w:pStyle w:val="2"/>
        <w:keepNext w:val="0"/>
        <w:keepLines w:val="0"/>
        <w:pageBreakBefore w:val="0"/>
        <w:widowControl w:val="0"/>
        <w:numPr>
          <w:ilvl w:val="0"/>
          <w:numId w:val="0"/>
        </w:numPr>
        <w:kinsoku/>
        <w:wordWrap/>
        <w:overflowPunct/>
        <w:topLinePunct w:val="0"/>
        <w:autoSpaceDE w:val="0"/>
        <w:autoSpaceDN w:val="0"/>
        <w:bidi w:val="0"/>
        <w:adjustRightInd/>
        <w:snapToGrid/>
        <w:spacing w:before="0" w:line="360" w:lineRule="auto"/>
        <w:ind w:right="0" w:rightChars="0" w:firstLine="643" w:firstLineChars="200"/>
        <w:textAlignment w:val="auto"/>
        <w:rPr>
          <w:rFonts w:hint="eastAsia"/>
          <w:b/>
          <w:bCs/>
          <w:lang w:val="en-US" w:eastAsia="zh-CN"/>
        </w:rPr>
      </w:pPr>
      <w:r>
        <w:rPr>
          <w:rFonts w:hint="eastAsia"/>
          <w:b/>
          <w:bCs/>
          <w:lang w:val="en-US" w:eastAsia="zh-CN"/>
        </w:rPr>
        <w:t>1.产出目标</w:t>
      </w:r>
    </w:p>
    <w:p w14:paraId="6B94409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eastAsia="仿宋_GB2312" w:cs="仿宋_GB2312"/>
          <w:sz w:val="32"/>
          <w:szCs w:val="32"/>
          <w:lang w:val="en-US" w:eastAsia="zh-CN" w:bidi="zh-CN"/>
        </w:rPr>
      </w:pPr>
      <w:r>
        <w:rPr>
          <w:rFonts w:hint="eastAsia" w:ascii="仿宋_GB2312" w:hAnsi="仿宋_GB2312" w:eastAsia="仿宋_GB2312" w:cs="仿宋_GB2312"/>
          <w:sz w:val="32"/>
          <w:szCs w:val="32"/>
          <w:lang w:val="en-US" w:eastAsia="zh-CN" w:bidi="zh-CN"/>
        </w:rPr>
        <w:t>（1）产出数量：</w:t>
      </w:r>
      <w:r>
        <w:rPr>
          <w:rFonts w:hint="eastAsia" w:ascii="仿宋" w:hAnsi="仿宋" w:eastAsia="仿宋" w:cs="仿宋"/>
          <w:i w:val="0"/>
          <w:iCs w:val="0"/>
          <w:caps w:val="0"/>
          <w:color w:val="auto"/>
          <w:spacing w:val="0"/>
          <w:kern w:val="2"/>
          <w:sz w:val="30"/>
          <w:szCs w:val="30"/>
          <w:shd w:val="clear" w:color="auto" w:fill="FFFFFF"/>
          <w:lang w:val="en-US" w:eastAsia="zh-CN"/>
        </w:rPr>
        <w:t>各项救助补助发放对象数量≥20000人次/月</w:t>
      </w:r>
      <w:r>
        <w:rPr>
          <w:rFonts w:hint="eastAsia" w:ascii="仿宋_GB2312" w:eastAsia="仿宋_GB2312"/>
          <w:color w:val="auto"/>
          <w:sz w:val="32"/>
          <w:szCs w:val="32"/>
          <w:shd w:val="clear" w:color="auto" w:fill="FFFFFF"/>
          <w:lang w:eastAsia="zh-CN"/>
        </w:rPr>
        <w:t>。</w:t>
      </w:r>
    </w:p>
    <w:p w14:paraId="3A38135B">
      <w:pPr>
        <w:pStyle w:val="2"/>
        <w:keepNext w:val="0"/>
        <w:keepLines w:val="0"/>
        <w:pageBreakBefore w:val="0"/>
        <w:widowControl w:val="0"/>
        <w:numPr>
          <w:ilvl w:val="0"/>
          <w:numId w:val="2"/>
        </w:numPr>
        <w:kinsoku/>
        <w:wordWrap/>
        <w:overflowPunct/>
        <w:topLinePunct w:val="0"/>
        <w:autoSpaceDE w:val="0"/>
        <w:autoSpaceDN w:val="0"/>
        <w:bidi w:val="0"/>
        <w:adjustRightInd/>
        <w:snapToGrid/>
        <w:spacing w:before="0" w:line="360" w:lineRule="auto"/>
        <w:ind w:right="0" w:rightChars="0" w:firstLine="640" w:firstLineChars="200"/>
        <w:textAlignment w:val="auto"/>
        <w:rPr>
          <w:rFonts w:hint="eastAsia" w:ascii="仿宋_GB2312" w:eastAsia="仿宋_GB2312"/>
          <w:sz w:val="32"/>
          <w:szCs w:val="32"/>
          <w:shd w:val="clear" w:color="auto" w:fill="FFFFFF"/>
        </w:rPr>
      </w:pPr>
      <w:r>
        <w:rPr>
          <w:rFonts w:hint="eastAsia" w:ascii="仿宋_GB2312" w:hAnsi="仿宋_GB2312" w:eastAsia="仿宋_GB2312" w:cs="仿宋_GB2312"/>
          <w:sz w:val="32"/>
          <w:szCs w:val="32"/>
          <w:lang w:val="en-US" w:eastAsia="zh-CN" w:bidi="zh-CN"/>
        </w:rPr>
        <w:t>产出质量：</w:t>
      </w:r>
      <w:r>
        <w:rPr>
          <w:rFonts w:hint="eastAsia" w:ascii="仿宋_GB2312" w:eastAsia="仿宋_GB2312"/>
          <w:sz w:val="32"/>
          <w:szCs w:val="32"/>
          <w:shd w:val="clear" w:color="auto" w:fill="FFFFFF"/>
        </w:rPr>
        <w:t>城</w:t>
      </w:r>
      <w:r>
        <w:rPr>
          <w:rFonts w:hint="eastAsia" w:ascii="仿宋_GB2312" w:eastAsia="仿宋_GB2312"/>
          <w:sz w:val="32"/>
          <w:szCs w:val="32"/>
          <w:shd w:val="clear" w:color="auto" w:fill="FFFFFF"/>
          <w:lang w:eastAsia="zh-CN"/>
        </w:rPr>
        <w:t>乡</w:t>
      </w:r>
      <w:r>
        <w:rPr>
          <w:rFonts w:hint="eastAsia" w:ascii="仿宋_GB2312" w:eastAsia="仿宋_GB2312"/>
          <w:sz w:val="32"/>
          <w:szCs w:val="32"/>
          <w:shd w:val="clear" w:color="auto" w:fill="FFFFFF"/>
        </w:rPr>
        <w:t>低保</w:t>
      </w:r>
      <w:r>
        <w:rPr>
          <w:rFonts w:hint="eastAsia"/>
          <w:sz w:val="32"/>
          <w:szCs w:val="32"/>
          <w:shd w:val="clear" w:color="auto" w:fill="FFFFFF"/>
          <w:lang w:eastAsia="zh-CN"/>
        </w:rPr>
        <w:t>、城乡特困、残疾人两项补贴对象、高龄老人生活补贴等对象</w:t>
      </w:r>
      <w:r>
        <w:rPr>
          <w:rFonts w:hint="eastAsia"/>
          <w:sz w:val="32"/>
          <w:szCs w:val="32"/>
          <w:shd w:val="clear" w:color="auto" w:fill="FFFFFF"/>
          <w:lang w:val="en-US" w:eastAsia="zh-CN"/>
        </w:rPr>
        <w:t>11个</w:t>
      </w:r>
      <w:r>
        <w:rPr>
          <w:rFonts w:hint="eastAsia"/>
          <w:sz w:val="32"/>
          <w:szCs w:val="32"/>
          <w:shd w:val="clear" w:color="auto" w:fill="FFFFFF"/>
          <w:lang w:eastAsia="zh-CN"/>
        </w:rPr>
        <w:t>乡镇</w:t>
      </w:r>
      <w:r>
        <w:rPr>
          <w:rFonts w:hint="eastAsia"/>
          <w:sz w:val="32"/>
          <w:szCs w:val="32"/>
          <w:shd w:val="clear" w:color="auto" w:fill="FFFFFF"/>
          <w:lang w:val="en-US" w:eastAsia="zh-CN"/>
        </w:rPr>
        <w:t>(</w:t>
      </w:r>
      <w:r>
        <w:rPr>
          <w:rFonts w:hint="eastAsia"/>
          <w:sz w:val="32"/>
          <w:szCs w:val="32"/>
          <w:shd w:val="clear" w:color="auto" w:fill="FFFFFF"/>
          <w:lang w:eastAsia="zh-CN"/>
        </w:rPr>
        <w:t>处</w:t>
      </w:r>
      <w:r>
        <w:rPr>
          <w:rFonts w:hint="eastAsia"/>
          <w:sz w:val="32"/>
          <w:szCs w:val="32"/>
          <w:shd w:val="clear" w:color="auto" w:fill="FFFFFF"/>
          <w:lang w:val="en-US" w:eastAsia="zh-CN"/>
        </w:rPr>
        <w:t>)</w:t>
      </w:r>
      <w:r>
        <w:rPr>
          <w:rFonts w:hint="eastAsia"/>
          <w:sz w:val="32"/>
          <w:szCs w:val="32"/>
          <w:shd w:val="clear" w:color="auto" w:fill="FFFFFF"/>
          <w:lang w:eastAsia="zh-CN"/>
        </w:rPr>
        <w:t>覆盖率为</w:t>
      </w:r>
      <w:r>
        <w:rPr>
          <w:rFonts w:hint="eastAsia"/>
          <w:sz w:val="32"/>
          <w:szCs w:val="32"/>
          <w:shd w:val="clear" w:color="auto" w:fill="FFFFFF"/>
          <w:lang w:val="en-US" w:eastAsia="zh-CN"/>
        </w:rPr>
        <w:t>100%。</w:t>
      </w:r>
    </w:p>
    <w:p w14:paraId="72890CBF">
      <w:pPr>
        <w:pStyle w:val="2"/>
        <w:keepNext w:val="0"/>
        <w:keepLines w:val="0"/>
        <w:pageBreakBefore w:val="0"/>
        <w:widowControl w:val="0"/>
        <w:numPr>
          <w:ilvl w:val="0"/>
          <w:numId w:val="0"/>
        </w:numPr>
        <w:kinsoku/>
        <w:wordWrap/>
        <w:overflowPunct/>
        <w:topLinePunct w:val="0"/>
        <w:autoSpaceDE w:val="0"/>
        <w:autoSpaceDN w:val="0"/>
        <w:bidi w:val="0"/>
        <w:adjustRightInd/>
        <w:snapToGrid/>
        <w:spacing w:before="0" w:line="360" w:lineRule="auto"/>
        <w:ind w:right="0" w:rightChars="0" w:firstLine="640" w:firstLineChars="200"/>
        <w:textAlignment w:val="auto"/>
        <w:rPr>
          <w:rFonts w:hint="eastAsia" w:ascii="仿宋_GB2312" w:eastAsia="仿宋_GB2312"/>
          <w:sz w:val="32"/>
          <w:szCs w:val="32"/>
          <w:shd w:val="clear" w:color="auto" w:fill="FFFFFF"/>
          <w:lang w:val="en-US" w:eastAsia="zh-CN"/>
        </w:rPr>
      </w:pPr>
      <w:r>
        <w:rPr>
          <w:rFonts w:hint="eastAsia" w:cs="仿宋_GB2312"/>
          <w:sz w:val="32"/>
          <w:szCs w:val="32"/>
          <w:lang w:val="en-US" w:eastAsia="zh-CN" w:bidi="zh-CN"/>
        </w:rPr>
        <w:t>（3）产出时效：</w:t>
      </w:r>
      <w:r>
        <w:rPr>
          <w:rFonts w:hint="eastAsia" w:ascii="仿宋_GB2312" w:eastAsia="仿宋_GB2312"/>
          <w:sz w:val="32"/>
          <w:szCs w:val="32"/>
          <w:shd w:val="clear" w:color="auto" w:fill="FFFFFF"/>
        </w:rPr>
        <w:t>每月</w:t>
      </w:r>
      <w:r>
        <w:rPr>
          <w:rFonts w:hint="eastAsia" w:ascii="仿宋_GB2312" w:eastAsia="仿宋_GB2312"/>
          <w:sz w:val="32"/>
          <w:szCs w:val="32"/>
          <w:shd w:val="clear" w:color="auto" w:fill="FFFFFF"/>
          <w:lang w:eastAsia="zh-CN"/>
        </w:rPr>
        <w:t>通过社保一卡通</w:t>
      </w:r>
      <w:r>
        <w:rPr>
          <w:rFonts w:hint="eastAsia" w:ascii="仿宋_GB2312" w:eastAsia="仿宋_GB2312"/>
          <w:sz w:val="32"/>
          <w:szCs w:val="32"/>
          <w:shd w:val="clear" w:color="auto" w:fill="FFFFFF"/>
        </w:rPr>
        <w:t>完成</w:t>
      </w:r>
      <w:r>
        <w:rPr>
          <w:rFonts w:hint="eastAsia"/>
          <w:sz w:val="32"/>
          <w:szCs w:val="32"/>
          <w:shd w:val="clear" w:color="auto" w:fill="FFFFFF"/>
          <w:lang w:eastAsia="zh-CN"/>
        </w:rPr>
        <w:t>社会化</w:t>
      </w:r>
      <w:r>
        <w:rPr>
          <w:rFonts w:hint="eastAsia" w:ascii="仿宋_GB2312" w:eastAsia="仿宋_GB2312"/>
          <w:sz w:val="32"/>
          <w:szCs w:val="32"/>
          <w:shd w:val="clear" w:color="auto" w:fill="FFFFFF"/>
        </w:rPr>
        <w:t>发放</w:t>
      </w:r>
      <w:r>
        <w:rPr>
          <w:rFonts w:hint="eastAsia"/>
          <w:sz w:val="32"/>
          <w:szCs w:val="32"/>
          <w:shd w:val="clear" w:color="auto" w:fill="FFFFFF"/>
          <w:lang w:eastAsia="zh-CN"/>
        </w:rPr>
        <w:t>专项</w:t>
      </w:r>
      <w:r>
        <w:rPr>
          <w:rFonts w:hint="eastAsia" w:ascii="仿宋_GB2312" w:eastAsia="仿宋_GB2312"/>
          <w:sz w:val="32"/>
          <w:szCs w:val="32"/>
          <w:shd w:val="clear" w:color="auto" w:fill="FFFFFF"/>
        </w:rPr>
        <w:t>资金</w:t>
      </w:r>
      <w:r>
        <w:rPr>
          <w:rFonts w:hint="eastAsia"/>
          <w:sz w:val="32"/>
          <w:szCs w:val="32"/>
          <w:shd w:val="clear" w:color="auto" w:fill="FFFFFF"/>
          <w:lang w:eastAsia="zh-CN"/>
        </w:rPr>
        <w:t>。</w:t>
      </w:r>
    </w:p>
    <w:p w14:paraId="62150868">
      <w:pPr>
        <w:pStyle w:val="2"/>
        <w:keepNext w:val="0"/>
        <w:keepLines w:val="0"/>
        <w:pageBreakBefore w:val="0"/>
        <w:widowControl w:val="0"/>
        <w:numPr>
          <w:ilvl w:val="0"/>
          <w:numId w:val="0"/>
        </w:numPr>
        <w:kinsoku/>
        <w:wordWrap/>
        <w:overflowPunct/>
        <w:topLinePunct w:val="0"/>
        <w:autoSpaceDE w:val="0"/>
        <w:autoSpaceDN w:val="0"/>
        <w:bidi w:val="0"/>
        <w:adjustRightInd/>
        <w:snapToGrid/>
        <w:spacing w:before="0" w:line="360" w:lineRule="auto"/>
        <w:ind w:right="0" w:rightChars="0" w:firstLine="640" w:firstLineChars="200"/>
        <w:textAlignment w:val="auto"/>
        <w:rPr>
          <w:rFonts w:hint="default" w:ascii="仿宋_GB2312" w:hAnsi="仿宋_GB2312" w:eastAsia="仿宋_GB2312" w:cs="仿宋_GB2312"/>
          <w:sz w:val="32"/>
          <w:szCs w:val="32"/>
          <w:lang w:val="en-US" w:eastAsia="zh-CN" w:bidi="zh-CN"/>
        </w:rPr>
      </w:pPr>
      <w:r>
        <w:rPr>
          <w:rFonts w:hint="eastAsia" w:cs="仿宋_GB2312"/>
          <w:sz w:val="32"/>
          <w:szCs w:val="32"/>
          <w:lang w:val="en-US" w:eastAsia="zh-CN" w:bidi="zh-CN"/>
        </w:rPr>
        <w:t>（4）产出成本：各项支出成本控制率</w:t>
      </w:r>
      <w:r>
        <w:rPr>
          <w:rFonts w:hint="default" w:ascii="Arial" w:hAnsi="Arial" w:cs="Arial"/>
          <w:sz w:val="32"/>
          <w:szCs w:val="32"/>
          <w:lang w:val="en-US" w:eastAsia="zh-CN" w:bidi="zh-CN"/>
        </w:rPr>
        <w:t>≤</w:t>
      </w:r>
      <w:r>
        <w:rPr>
          <w:rFonts w:hint="eastAsia" w:cs="仿宋_GB2312"/>
          <w:sz w:val="32"/>
          <w:szCs w:val="32"/>
          <w:lang w:val="en-US" w:eastAsia="zh-CN" w:bidi="zh-CN"/>
        </w:rPr>
        <w:t>100%。</w:t>
      </w:r>
    </w:p>
    <w:p w14:paraId="3960673D">
      <w:pPr>
        <w:pStyle w:val="2"/>
        <w:keepNext w:val="0"/>
        <w:keepLines w:val="0"/>
        <w:pageBreakBefore w:val="0"/>
        <w:widowControl w:val="0"/>
        <w:numPr>
          <w:ilvl w:val="0"/>
          <w:numId w:val="0"/>
        </w:numPr>
        <w:kinsoku/>
        <w:wordWrap/>
        <w:overflowPunct/>
        <w:topLinePunct w:val="0"/>
        <w:autoSpaceDE w:val="0"/>
        <w:autoSpaceDN w:val="0"/>
        <w:bidi w:val="0"/>
        <w:adjustRightInd/>
        <w:snapToGrid/>
        <w:spacing w:before="0" w:line="360" w:lineRule="auto"/>
        <w:ind w:right="0" w:rightChars="0" w:firstLine="643" w:firstLineChars="200"/>
        <w:textAlignment w:val="auto"/>
        <w:rPr>
          <w:rFonts w:hint="eastAsia"/>
          <w:b/>
          <w:bCs/>
          <w:lang w:val="en-US" w:eastAsia="zh-CN"/>
        </w:rPr>
      </w:pPr>
      <w:r>
        <w:rPr>
          <w:rFonts w:hint="eastAsia"/>
          <w:b/>
          <w:bCs/>
          <w:lang w:val="en-US" w:eastAsia="zh-CN"/>
        </w:rPr>
        <w:t>2.效果目标</w:t>
      </w:r>
    </w:p>
    <w:p w14:paraId="5EDC52BA">
      <w:pPr>
        <w:pStyle w:val="2"/>
        <w:keepNext w:val="0"/>
        <w:keepLines w:val="0"/>
        <w:pageBreakBefore w:val="0"/>
        <w:widowControl w:val="0"/>
        <w:numPr>
          <w:ilvl w:val="0"/>
          <w:numId w:val="0"/>
        </w:numPr>
        <w:kinsoku/>
        <w:wordWrap/>
        <w:overflowPunct/>
        <w:topLinePunct w:val="0"/>
        <w:autoSpaceDE w:val="0"/>
        <w:autoSpaceDN w:val="0"/>
        <w:bidi w:val="0"/>
        <w:adjustRightInd/>
        <w:snapToGrid/>
        <w:spacing w:before="0" w:line="360" w:lineRule="auto"/>
        <w:ind w:right="0" w:rightChars="0" w:firstLine="640" w:firstLineChars="200"/>
        <w:textAlignment w:val="auto"/>
        <w:rPr>
          <w:rFonts w:hint="eastAsia" w:cs="仿宋_GB2312"/>
          <w:sz w:val="32"/>
          <w:szCs w:val="32"/>
          <w:lang w:val="en-US" w:eastAsia="zh-CN" w:bidi="zh-CN"/>
        </w:rPr>
      </w:pPr>
      <w:r>
        <w:rPr>
          <w:rFonts w:hint="eastAsia" w:cs="仿宋_GB2312"/>
          <w:sz w:val="32"/>
          <w:szCs w:val="32"/>
          <w:lang w:val="en-US" w:eastAsia="zh-CN" w:bidi="zh-CN"/>
        </w:rPr>
        <w:t>（1）社会效益：有效保障城乡低保、特困供养人员等困难群众的基本生活。提升困难群众的获得感、幸福感。</w:t>
      </w:r>
    </w:p>
    <w:p w14:paraId="3FB9CA90">
      <w:pPr>
        <w:ind w:firstLine="640"/>
        <w:rPr>
          <w:rFonts w:hint="eastAsia" w:ascii="仿宋_GB2312" w:hAnsi="仿宋_GB2312" w:eastAsia="仿宋_GB2312" w:cs="仿宋_GB2312"/>
          <w:sz w:val="32"/>
          <w:szCs w:val="32"/>
          <w:lang w:val="en-US" w:eastAsia="zh-CN" w:bidi="zh-CN"/>
        </w:rPr>
      </w:pPr>
      <w:r>
        <w:rPr>
          <w:rFonts w:hint="eastAsia" w:cs="仿宋_GB2312"/>
          <w:sz w:val="32"/>
          <w:szCs w:val="32"/>
          <w:lang w:val="en-US" w:eastAsia="zh-CN" w:bidi="zh-CN"/>
        </w:rPr>
        <w:t>（2）</w:t>
      </w:r>
      <w:r>
        <w:rPr>
          <w:rFonts w:hint="eastAsia" w:ascii="仿宋_GB2312" w:hAnsi="仿宋_GB2312" w:eastAsia="仿宋_GB2312" w:cs="仿宋_GB2312"/>
          <w:sz w:val="32"/>
          <w:szCs w:val="32"/>
          <w:lang w:val="en-US" w:eastAsia="zh-CN" w:bidi="zh-CN"/>
        </w:rPr>
        <w:t>生态效益：保护生态环境，节约土地资源。</w:t>
      </w:r>
    </w:p>
    <w:p w14:paraId="1EBC3F9A">
      <w:pPr>
        <w:ind w:firstLine="640"/>
        <w:rPr>
          <w:rFonts w:hint="default" w:ascii="仿宋_GB2312" w:hAnsi="仿宋_GB2312" w:eastAsia="仿宋_GB2312" w:cs="仿宋_GB2312"/>
          <w:sz w:val="32"/>
          <w:szCs w:val="32"/>
          <w:lang w:val="en-US" w:eastAsia="zh-CN" w:bidi="zh-CN"/>
        </w:rPr>
      </w:pPr>
      <w:r>
        <w:rPr>
          <w:rFonts w:hint="eastAsia" w:cs="仿宋_GB2312"/>
          <w:sz w:val="32"/>
          <w:szCs w:val="32"/>
          <w:lang w:val="en-US" w:eastAsia="zh-CN" w:bidi="zh-CN"/>
        </w:rPr>
        <w:t>（3）</w:t>
      </w:r>
      <w:r>
        <w:rPr>
          <w:rFonts w:hint="eastAsia" w:ascii="仿宋_GB2312" w:hAnsi="仿宋_GB2312" w:eastAsia="仿宋_GB2312" w:cs="仿宋_GB2312"/>
          <w:sz w:val="32"/>
          <w:szCs w:val="32"/>
          <w:lang w:val="en-US" w:eastAsia="zh-CN" w:bidi="zh-CN"/>
        </w:rPr>
        <w:t>可持续影响</w:t>
      </w:r>
      <w:r>
        <w:rPr>
          <w:rFonts w:hint="eastAsia" w:cs="仿宋_GB2312"/>
          <w:sz w:val="32"/>
          <w:szCs w:val="32"/>
          <w:lang w:val="en-US" w:eastAsia="zh-CN" w:bidi="zh-CN"/>
        </w:rPr>
        <w:t>：</w:t>
      </w:r>
      <w:r>
        <w:rPr>
          <w:rFonts w:hint="eastAsia" w:ascii="仿宋_GB2312" w:hAnsi="仿宋_GB2312" w:eastAsia="仿宋_GB2312" w:cs="仿宋_GB2312"/>
          <w:sz w:val="32"/>
          <w:szCs w:val="32"/>
          <w:lang w:val="en-US" w:eastAsia="zh-CN" w:bidi="zh-CN"/>
        </w:rPr>
        <w:t>促进全县绿色殡葬改革和移风易俗工作推进。</w:t>
      </w:r>
    </w:p>
    <w:p w14:paraId="0A733E97">
      <w:pPr>
        <w:pStyle w:val="2"/>
        <w:keepNext w:val="0"/>
        <w:keepLines w:val="0"/>
        <w:pageBreakBefore w:val="0"/>
        <w:widowControl w:val="0"/>
        <w:numPr>
          <w:ilvl w:val="0"/>
          <w:numId w:val="0"/>
        </w:numPr>
        <w:kinsoku/>
        <w:wordWrap/>
        <w:overflowPunct/>
        <w:topLinePunct w:val="0"/>
        <w:autoSpaceDE w:val="0"/>
        <w:autoSpaceDN w:val="0"/>
        <w:bidi w:val="0"/>
        <w:adjustRightInd/>
        <w:snapToGrid/>
        <w:spacing w:before="0" w:line="360" w:lineRule="auto"/>
        <w:ind w:right="0" w:rightChars="0" w:firstLine="643" w:firstLineChars="200"/>
        <w:textAlignment w:val="auto"/>
        <w:rPr>
          <w:rFonts w:hint="eastAsia"/>
          <w:b/>
          <w:bCs/>
          <w:lang w:val="en-US" w:eastAsia="zh-CN"/>
        </w:rPr>
      </w:pPr>
      <w:r>
        <w:rPr>
          <w:rFonts w:hint="eastAsia"/>
          <w:b/>
          <w:bCs/>
          <w:lang w:val="en-US" w:eastAsia="zh-CN"/>
        </w:rPr>
        <w:t>3.满意度目标</w:t>
      </w:r>
    </w:p>
    <w:p w14:paraId="536ABFDB">
      <w:pPr>
        <w:pStyle w:val="2"/>
        <w:keepNext w:val="0"/>
        <w:keepLines w:val="0"/>
        <w:pageBreakBefore w:val="0"/>
        <w:widowControl w:val="0"/>
        <w:kinsoku/>
        <w:wordWrap/>
        <w:overflowPunct/>
        <w:topLinePunct w:val="0"/>
        <w:autoSpaceDE w:val="0"/>
        <w:autoSpaceDN w:val="0"/>
        <w:bidi w:val="0"/>
        <w:adjustRightInd/>
        <w:snapToGrid/>
        <w:ind w:firstLine="640" w:firstLineChars="200"/>
        <w:textAlignment w:val="auto"/>
        <w:rPr>
          <w:rFonts w:hint="eastAsia" w:cs="仿宋_GB2312"/>
          <w:sz w:val="32"/>
          <w:szCs w:val="32"/>
          <w:lang w:val="en-US" w:eastAsia="zh-CN" w:bidi="zh-CN"/>
        </w:rPr>
      </w:pPr>
      <w:r>
        <w:rPr>
          <w:rFonts w:hint="eastAsia" w:cs="仿宋_GB2312"/>
          <w:sz w:val="32"/>
          <w:szCs w:val="32"/>
          <w:lang w:val="en-US" w:eastAsia="zh-CN" w:bidi="zh-CN"/>
        </w:rPr>
        <w:t>（1）</w:t>
      </w:r>
      <w:r>
        <w:rPr>
          <w:rFonts w:hint="default" w:cs="仿宋_GB2312"/>
          <w:sz w:val="32"/>
          <w:szCs w:val="32"/>
          <w:lang w:val="en-US" w:eastAsia="zh-CN" w:bidi="zh-CN"/>
        </w:rPr>
        <w:t>满意度：</w:t>
      </w:r>
      <w:r>
        <w:rPr>
          <w:rFonts w:hint="eastAsia" w:cs="仿宋_GB2312"/>
          <w:sz w:val="32"/>
          <w:szCs w:val="32"/>
          <w:lang w:val="en-US" w:eastAsia="zh-CN" w:bidi="zh-CN"/>
        </w:rPr>
        <w:t>城乡低保、城乡特困、高龄生活补贴对象、残疾人两项补贴对象等困难群众满意度达90%及以上。</w:t>
      </w:r>
    </w:p>
    <w:p w14:paraId="7EDF6987">
      <w:pPr>
        <w:pStyle w:val="2"/>
        <w:keepNext w:val="0"/>
        <w:keepLines w:val="0"/>
        <w:pageBreakBefore w:val="0"/>
        <w:widowControl w:val="0"/>
        <w:kinsoku/>
        <w:wordWrap/>
        <w:overflowPunct/>
        <w:topLinePunct w:val="0"/>
        <w:autoSpaceDE w:val="0"/>
        <w:autoSpaceDN w:val="0"/>
        <w:bidi w:val="0"/>
        <w:adjustRightInd/>
        <w:snapToGrid/>
        <w:ind w:firstLine="643" w:firstLineChars="200"/>
        <w:textAlignment w:val="auto"/>
        <w:outlineLvl w:val="1"/>
        <w:rPr>
          <w:rFonts w:hint="default" w:ascii="楷体_GB2312" w:hAnsi="楷体_GB2312" w:eastAsia="楷体_GB2312" w:cs="楷体_GB2312"/>
          <w:b/>
          <w:bCs/>
          <w:color w:val="000000"/>
          <w:sz w:val="32"/>
          <w:szCs w:val="32"/>
          <w:lang w:val="en-US" w:eastAsia="zh-CN" w:bidi="zh-CN"/>
        </w:rPr>
      </w:pPr>
      <w:bookmarkStart w:id="6" w:name="_Toc69230090"/>
      <w:bookmarkStart w:id="7" w:name="_Toc12271"/>
      <w:r>
        <w:rPr>
          <w:rFonts w:hint="default" w:ascii="楷体_GB2312" w:hAnsi="楷体_GB2312" w:eastAsia="楷体_GB2312" w:cs="楷体_GB2312"/>
          <w:b/>
          <w:bCs/>
          <w:color w:val="000000"/>
          <w:sz w:val="32"/>
          <w:szCs w:val="32"/>
          <w:lang w:val="en-US" w:eastAsia="zh-CN" w:bidi="zh-CN"/>
        </w:rPr>
        <w:t>（四）部门预算绩效管理开展情况</w:t>
      </w:r>
      <w:bookmarkEnd w:id="6"/>
      <w:bookmarkEnd w:id="7"/>
    </w:p>
    <w:p w14:paraId="1423393F">
      <w:pPr>
        <w:spacing w:line="56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县民政局项目支出预算绩效管理开展严格按照预算管理规定执行，按时向财政部门提交预算报告</w:t>
      </w:r>
      <w:r>
        <w:rPr>
          <w:rFonts w:hint="eastAsia" w:ascii="仿宋_GB2312" w:hAnsi="仿宋_GB2312" w:eastAsia="仿宋_GB2312" w:cs="仿宋_GB2312"/>
          <w:sz w:val="32"/>
          <w:szCs w:val="32"/>
          <w:lang w:eastAsia="zh-CN"/>
        </w:rPr>
        <w:t>。</w:t>
      </w:r>
    </w:p>
    <w:p w14:paraId="5B443746">
      <w:pPr>
        <w:pStyle w:val="2"/>
        <w:keepNext w:val="0"/>
        <w:keepLines w:val="0"/>
        <w:pageBreakBefore w:val="0"/>
        <w:widowControl w:val="0"/>
        <w:numPr>
          <w:ilvl w:val="0"/>
          <w:numId w:val="3"/>
        </w:numPr>
        <w:kinsoku/>
        <w:wordWrap/>
        <w:overflowPunct/>
        <w:topLinePunct w:val="0"/>
        <w:autoSpaceDE w:val="0"/>
        <w:autoSpaceDN w:val="0"/>
        <w:bidi w:val="0"/>
        <w:adjustRightInd/>
        <w:snapToGrid/>
        <w:ind w:firstLine="643" w:firstLineChars="200"/>
        <w:textAlignment w:val="auto"/>
        <w:outlineLvl w:val="1"/>
        <w:rPr>
          <w:rFonts w:hint="eastAsia" w:ascii="楷体_GB2312" w:hAnsi="楷体_GB2312" w:eastAsia="楷体_GB2312" w:cs="楷体_GB2312"/>
          <w:b/>
          <w:bCs/>
          <w:color w:val="000000"/>
          <w:sz w:val="32"/>
          <w:szCs w:val="32"/>
          <w:lang w:val="en-US" w:eastAsia="zh-CN" w:bidi="zh-CN"/>
        </w:rPr>
      </w:pPr>
      <w:r>
        <w:rPr>
          <w:rFonts w:hint="eastAsia" w:ascii="楷体_GB2312" w:hAnsi="楷体_GB2312" w:eastAsia="楷体_GB2312" w:cs="楷体_GB2312"/>
          <w:b/>
          <w:bCs/>
          <w:color w:val="000000"/>
          <w:sz w:val="32"/>
          <w:szCs w:val="32"/>
          <w:lang w:val="en-US" w:eastAsia="zh-CN" w:bidi="zh-CN"/>
        </w:rPr>
        <w:t>当年部门预算及执行情况</w:t>
      </w:r>
    </w:p>
    <w:p w14:paraId="72325F80">
      <w:pPr>
        <w:spacing w:line="56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当年部门预算及执行情况。202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 xml:space="preserve">年县民政局预算为 </w:t>
      </w:r>
      <w:r>
        <w:rPr>
          <w:rFonts w:hint="eastAsia" w:ascii="仿宋_GB2312" w:hAnsi="仿宋_GB2312" w:eastAsia="仿宋_GB2312" w:cs="仿宋_GB2312"/>
          <w:sz w:val="32"/>
          <w:szCs w:val="32"/>
          <w:lang w:val="en-US" w:eastAsia="zh-CN"/>
        </w:rPr>
        <w:t>14299.19</w:t>
      </w:r>
      <w:r>
        <w:rPr>
          <w:rFonts w:hint="eastAsia" w:ascii="仿宋_GB2312" w:hAnsi="仿宋_GB2312" w:eastAsia="仿宋_GB2312" w:cs="仿宋_GB2312"/>
          <w:sz w:val="32"/>
          <w:szCs w:val="32"/>
        </w:rPr>
        <w:t>万元，执行</w:t>
      </w:r>
      <w:r>
        <w:rPr>
          <w:rFonts w:hint="eastAsia" w:ascii="仿宋_GB2312" w:hAnsi="仿宋_GB2312" w:eastAsia="仿宋_GB2312" w:cs="仿宋_GB2312"/>
          <w:sz w:val="32"/>
          <w:szCs w:val="32"/>
          <w:lang w:val="en-US" w:eastAsia="zh-CN"/>
        </w:rPr>
        <w:t>14299.19</w:t>
      </w:r>
      <w:r>
        <w:rPr>
          <w:rFonts w:hint="eastAsia" w:ascii="仿宋_GB2312" w:hAnsi="仿宋_GB2312" w:eastAsia="仿宋_GB2312" w:cs="仿宋_GB2312"/>
          <w:sz w:val="32"/>
          <w:szCs w:val="32"/>
        </w:rPr>
        <w:t>万元。预算及执行均已完成。</w:t>
      </w:r>
    </w:p>
    <w:p w14:paraId="6885C1E8">
      <w:pPr>
        <w:spacing w:line="560" w:lineRule="exact"/>
        <w:ind w:firstLine="640" w:firstLineChars="200"/>
        <w:rPr>
          <w:rFonts w:hint="eastAsia" w:ascii="黑体" w:hAnsi="黑体" w:eastAsia="黑体" w:cs="黑体"/>
          <w:b w:val="0"/>
          <w:bCs w:val="0"/>
          <w:sz w:val="32"/>
          <w:szCs w:val="40"/>
        </w:rPr>
      </w:pPr>
      <w:r>
        <w:rPr>
          <w:rFonts w:hint="eastAsia" w:ascii="黑体" w:hAnsi="黑体" w:eastAsia="黑体" w:cs="黑体"/>
          <w:b w:val="0"/>
          <w:bCs w:val="0"/>
          <w:color w:val="000000"/>
          <w:sz w:val="32"/>
          <w:szCs w:val="32"/>
          <w:lang w:val="en-US" w:eastAsia="zh-CN" w:bidi="zh-CN"/>
        </w:rPr>
        <w:t>二、部门整体支出绩效实现情况</w:t>
      </w:r>
    </w:p>
    <w:p w14:paraId="56B6EFF9">
      <w:pPr>
        <w:pStyle w:val="2"/>
        <w:keepNext w:val="0"/>
        <w:keepLines w:val="0"/>
        <w:pageBreakBefore w:val="0"/>
        <w:widowControl w:val="0"/>
        <w:numPr>
          <w:ilvl w:val="0"/>
          <w:numId w:val="0"/>
        </w:numPr>
        <w:kinsoku/>
        <w:wordWrap/>
        <w:overflowPunct/>
        <w:topLinePunct w:val="0"/>
        <w:autoSpaceDE w:val="0"/>
        <w:autoSpaceDN w:val="0"/>
        <w:bidi w:val="0"/>
        <w:adjustRightInd/>
        <w:snapToGrid/>
        <w:spacing w:before="0" w:line="360" w:lineRule="auto"/>
        <w:ind w:right="0" w:rightChars="0" w:firstLine="640" w:firstLineChars="200"/>
        <w:textAlignment w:val="auto"/>
        <w:rPr>
          <w:rFonts w:hint="eastAsia" w:ascii="仿宋" w:hAnsi="仿宋" w:eastAsia="仿宋" w:cs="仿宋_GB2312"/>
          <w:sz w:val="32"/>
          <w:szCs w:val="40"/>
          <w:lang w:eastAsia="zh-CN"/>
        </w:rPr>
      </w:pPr>
      <w:r>
        <w:rPr>
          <w:rFonts w:hint="eastAsia" w:ascii="仿宋" w:hAnsi="仿宋" w:eastAsia="仿宋" w:cs="仿宋_GB2312"/>
          <w:sz w:val="32"/>
          <w:szCs w:val="40"/>
          <w:lang w:eastAsia="zh-CN"/>
        </w:rPr>
        <w:t>（一）</w:t>
      </w:r>
      <w:r>
        <w:rPr>
          <w:rFonts w:hint="eastAsia" w:ascii="仿宋" w:hAnsi="仿宋" w:eastAsia="仿宋" w:cs="仿宋_GB2312"/>
          <w:sz w:val="32"/>
          <w:szCs w:val="40"/>
        </w:rPr>
        <w:t>履职完成情况：从数量、质量、时效等方面归纳反映年度主要计划任务完成情况。</w:t>
      </w:r>
      <w:r>
        <w:rPr>
          <w:rFonts w:hint="eastAsia" w:ascii="仿宋" w:hAnsi="仿宋" w:eastAsia="仿宋" w:cs="仿宋_GB2312"/>
          <w:sz w:val="32"/>
          <w:szCs w:val="40"/>
          <w:lang w:val="en-US" w:eastAsia="zh-CN"/>
        </w:rPr>
        <w:t>2025年</w:t>
      </w:r>
      <w:r>
        <w:rPr>
          <w:rFonts w:hint="eastAsia" w:ascii="仿宋_GB2312" w:eastAsia="仿宋_GB2312"/>
          <w:color w:val="auto"/>
          <w:sz w:val="32"/>
          <w:szCs w:val="32"/>
          <w:shd w:val="clear" w:color="auto" w:fill="FFFFFF"/>
        </w:rPr>
        <w:t>共保障城</w:t>
      </w:r>
      <w:r>
        <w:rPr>
          <w:rFonts w:hint="eastAsia" w:ascii="仿宋_GB2312" w:eastAsia="仿宋_GB2312"/>
          <w:color w:val="auto"/>
          <w:sz w:val="32"/>
          <w:szCs w:val="32"/>
          <w:shd w:val="clear" w:color="auto" w:fill="FFFFFF"/>
          <w:lang w:eastAsia="zh-CN"/>
        </w:rPr>
        <w:t>乡</w:t>
      </w:r>
      <w:r>
        <w:rPr>
          <w:rFonts w:hint="eastAsia" w:ascii="仿宋_GB2312" w:eastAsia="仿宋_GB2312"/>
          <w:color w:val="auto"/>
          <w:sz w:val="32"/>
          <w:szCs w:val="32"/>
          <w:shd w:val="clear" w:color="auto" w:fill="FFFFFF"/>
        </w:rPr>
        <w:t>低保户</w:t>
      </w:r>
      <w:r>
        <w:rPr>
          <w:rFonts w:hint="eastAsia" w:ascii="仿宋_GB2312" w:eastAsia="仿宋_GB2312"/>
          <w:color w:val="auto"/>
          <w:sz w:val="32"/>
          <w:szCs w:val="32"/>
          <w:shd w:val="clear" w:color="auto" w:fill="FFFFFF"/>
          <w:lang w:val="en-US" w:eastAsia="zh-CN"/>
        </w:rPr>
        <w:t>4</w:t>
      </w:r>
      <w:r>
        <w:rPr>
          <w:rFonts w:hint="eastAsia"/>
          <w:color w:val="auto"/>
          <w:sz w:val="32"/>
          <w:szCs w:val="32"/>
          <w:shd w:val="clear" w:color="auto" w:fill="FFFFFF"/>
          <w:lang w:val="en-US" w:eastAsia="zh-CN"/>
        </w:rPr>
        <w:t>415</w:t>
      </w:r>
      <w:r>
        <w:rPr>
          <w:rFonts w:hint="eastAsia" w:ascii="仿宋_GB2312" w:eastAsia="仿宋_GB2312"/>
          <w:color w:val="auto"/>
          <w:sz w:val="32"/>
          <w:szCs w:val="32"/>
          <w:shd w:val="clear" w:color="auto" w:fill="FFFFFF"/>
        </w:rPr>
        <w:t>户</w:t>
      </w:r>
      <w:r>
        <w:rPr>
          <w:rFonts w:hint="eastAsia" w:ascii="仿宋_GB2312" w:eastAsia="仿宋_GB2312"/>
          <w:color w:val="auto"/>
          <w:sz w:val="32"/>
          <w:szCs w:val="32"/>
          <w:shd w:val="clear" w:color="auto" w:fill="FFFFFF"/>
          <w:lang w:val="en-US" w:eastAsia="zh-CN"/>
        </w:rPr>
        <w:t>85</w:t>
      </w:r>
      <w:r>
        <w:rPr>
          <w:rFonts w:hint="eastAsia"/>
          <w:color w:val="auto"/>
          <w:sz w:val="32"/>
          <w:szCs w:val="32"/>
          <w:shd w:val="clear" w:color="auto" w:fill="FFFFFF"/>
          <w:lang w:val="en-US" w:eastAsia="zh-CN"/>
        </w:rPr>
        <w:t>76</w:t>
      </w:r>
      <w:r>
        <w:rPr>
          <w:rFonts w:hint="eastAsia" w:ascii="仿宋_GB2312" w:eastAsia="仿宋_GB2312"/>
          <w:color w:val="auto"/>
          <w:sz w:val="32"/>
          <w:szCs w:val="32"/>
          <w:shd w:val="clear" w:color="auto" w:fill="FFFFFF"/>
          <w:lang w:val="en-US" w:eastAsia="zh-CN"/>
        </w:rPr>
        <w:t>人，城乡特困</w:t>
      </w:r>
      <w:r>
        <w:rPr>
          <w:rFonts w:hint="eastAsia"/>
          <w:color w:val="auto"/>
          <w:sz w:val="32"/>
          <w:szCs w:val="32"/>
          <w:shd w:val="clear" w:color="auto" w:fill="FFFFFF"/>
          <w:lang w:val="en-US" w:eastAsia="zh-CN"/>
        </w:rPr>
        <w:t>824</w:t>
      </w:r>
      <w:r>
        <w:rPr>
          <w:rFonts w:hint="eastAsia" w:ascii="仿宋_GB2312" w:eastAsia="仿宋_GB2312"/>
          <w:color w:val="auto"/>
          <w:sz w:val="32"/>
          <w:szCs w:val="32"/>
          <w:shd w:val="clear" w:color="auto" w:fill="FFFFFF"/>
          <w:lang w:val="en-US" w:eastAsia="zh-CN"/>
        </w:rPr>
        <w:t>人，</w:t>
      </w:r>
      <w:r>
        <w:rPr>
          <w:rFonts w:hint="eastAsia" w:ascii="仿宋_GB2312" w:hAnsi="仿宋_GB2312" w:eastAsia="仿宋_GB2312" w:cs="仿宋_GB2312"/>
          <w:b w:val="0"/>
          <w:bCs w:val="0"/>
          <w:i w:val="0"/>
          <w:iCs w:val="0"/>
          <w:caps w:val="0"/>
          <w:color w:val="auto"/>
          <w:spacing w:val="0"/>
          <w:sz w:val="32"/>
          <w:szCs w:val="32"/>
          <w:shd w:val="clear" w:fill="FFFFFF"/>
          <w:lang w:val="en-US" w:eastAsia="zh-CN"/>
        </w:rPr>
        <w:t>城乡</w:t>
      </w:r>
      <w:r>
        <w:rPr>
          <w:rFonts w:hint="eastAsia" w:ascii="仿宋_GB2312" w:hAnsi="仿宋_GB2312" w:eastAsia="仿宋_GB2312" w:cs="仿宋_GB2312"/>
          <w:b w:val="0"/>
          <w:bCs w:val="0"/>
          <w:i w:val="0"/>
          <w:iCs w:val="0"/>
          <w:caps w:val="0"/>
          <w:color w:val="auto"/>
          <w:spacing w:val="0"/>
          <w:sz w:val="32"/>
          <w:szCs w:val="32"/>
          <w:shd w:val="clear" w:fill="FFFFFF"/>
        </w:rPr>
        <w:t>特困供养人员</w:t>
      </w:r>
      <w:r>
        <w:rPr>
          <w:rFonts w:hint="eastAsia" w:ascii="仿宋_GB2312" w:hAnsi="仿宋_GB2312" w:eastAsia="仿宋_GB2312" w:cs="仿宋_GB2312"/>
          <w:b w:val="0"/>
          <w:bCs w:val="0"/>
          <w:i w:val="0"/>
          <w:iCs w:val="0"/>
          <w:caps w:val="0"/>
          <w:color w:val="auto"/>
          <w:spacing w:val="0"/>
          <w:sz w:val="32"/>
          <w:szCs w:val="32"/>
          <w:shd w:val="clear" w:fill="FFFFFF"/>
          <w:lang w:eastAsia="zh-CN"/>
        </w:rPr>
        <w:t>特困补助</w:t>
      </w:r>
      <w:r>
        <w:rPr>
          <w:rFonts w:hint="eastAsia" w:ascii="仿宋_GB2312" w:hAnsi="仿宋_GB2312" w:eastAsia="仿宋_GB2312" w:cs="仿宋_GB2312"/>
          <w:b w:val="0"/>
          <w:bCs w:val="0"/>
          <w:i w:val="0"/>
          <w:iCs w:val="0"/>
          <w:caps w:val="0"/>
          <w:color w:val="auto"/>
          <w:spacing w:val="0"/>
          <w:sz w:val="32"/>
          <w:szCs w:val="32"/>
          <w:shd w:val="clear" w:fill="FFFFFF"/>
          <w:lang w:val="en-US" w:eastAsia="zh-CN"/>
        </w:rPr>
        <w:t>1</w:t>
      </w:r>
      <w:r>
        <w:rPr>
          <w:rFonts w:hint="eastAsia" w:cs="仿宋_GB2312"/>
          <w:b w:val="0"/>
          <w:bCs w:val="0"/>
          <w:i w:val="0"/>
          <w:iCs w:val="0"/>
          <w:caps w:val="0"/>
          <w:color w:val="auto"/>
          <w:spacing w:val="0"/>
          <w:sz w:val="32"/>
          <w:szCs w:val="32"/>
          <w:shd w:val="clear" w:fill="FFFFFF"/>
          <w:lang w:val="en-US" w:eastAsia="zh-CN"/>
        </w:rPr>
        <w:t>33</w:t>
      </w:r>
      <w:r>
        <w:rPr>
          <w:rFonts w:hint="eastAsia" w:ascii="仿宋_GB2312" w:hAnsi="仿宋_GB2312" w:eastAsia="仿宋_GB2312" w:cs="仿宋_GB2312"/>
          <w:b w:val="0"/>
          <w:bCs w:val="0"/>
          <w:i w:val="0"/>
          <w:iCs w:val="0"/>
          <w:caps w:val="0"/>
          <w:color w:val="auto"/>
          <w:spacing w:val="0"/>
          <w:sz w:val="32"/>
          <w:szCs w:val="32"/>
          <w:shd w:val="clear" w:fill="FFFFFF"/>
          <w:lang w:val="en-US" w:eastAsia="zh-CN"/>
        </w:rPr>
        <w:t>0元/人。</w:t>
      </w:r>
      <w:r>
        <w:rPr>
          <w:rFonts w:hint="eastAsia" w:ascii="仿宋_GB2312" w:hAnsi="仿宋_GB2312" w:eastAsia="仿宋_GB2312" w:cs="仿宋_GB2312"/>
          <w:sz w:val="32"/>
          <w:szCs w:val="32"/>
          <w:lang w:val="en-US" w:eastAsia="zh-CN"/>
        </w:rPr>
        <w:t>我县城乡低保保障月标准提高到</w:t>
      </w:r>
      <w:r>
        <w:rPr>
          <w:rFonts w:hint="eastAsia" w:cs="仿宋_GB2312"/>
          <w:sz w:val="32"/>
          <w:szCs w:val="32"/>
          <w:lang w:val="en-US" w:eastAsia="zh-CN"/>
        </w:rPr>
        <w:t>1015</w:t>
      </w:r>
      <w:r>
        <w:rPr>
          <w:rFonts w:hint="eastAsia" w:ascii="仿宋_GB2312" w:hAnsi="仿宋_GB2312" w:eastAsia="仿宋_GB2312" w:cs="仿宋_GB2312"/>
          <w:sz w:val="32"/>
          <w:szCs w:val="32"/>
          <w:lang w:val="en-US" w:eastAsia="zh-CN"/>
        </w:rPr>
        <w:t>元，人均补差</w:t>
      </w:r>
      <w:r>
        <w:rPr>
          <w:rFonts w:hint="eastAsia" w:cs="仿宋_GB2312"/>
          <w:sz w:val="32"/>
          <w:szCs w:val="32"/>
          <w:lang w:val="en-US" w:eastAsia="zh-CN"/>
        </w:rPr>
        <w:t>635</w:t>
      </w:r>
      <w:r>
        <w:rPr>
          <w:rFonts w:hint="eastAsia" w:ascii="仿宋_GB2312" w:hAnsi="仿宋_GB2312" w:eastAsia="仿宋_GB2312" w:cs="仿宋_GB2312"/>
          <w:sz w:val="32"/>
          <w:szCs w:val="32"/>
          <w:lang w:val="en-US" w:eastAsia="zh-CN"/>
        </w:rPr>
        <w:t>元；特困人员供养月标准提高到1</w:t>
      </w:r>
      <w:r>
        <w:rPr>
          <w:rFonts w:hint="eastAsia" w:cs="仿宋_GB2312"/>
          <w:sz w:val="32"/>
          <w:szCs w:val="32"/>
          <w:lang w:val="en-US" w:eastAsia="zh-CN"/>
        </w:rPr>
        <w:t>330</w:t>
      </w:r>
      <w:r>
        <w:rPr>
          <w:rFonts w:hint="eastAsia" w:ascii="仿宋_GB2312" w:hAnsi="仿宋_GB2312" w:eastAsia="仿宋_GB2312" w:cs="仿宋_GB2312"/>
          <w:sz w:val="32"/>
          <w:szCs w:val="32"/>
          <w:lang w:val="en-US" w:eastAsia="zh-CN"/>
        </w:rPr>
        <w:t>元，护理补贴按照失能</w:t>
      </w:r>
      <w:r>
        <w:rPr>
          <w:rFonts w:hint="eastAsia" w:cs="仿宋_GB2312"/>
          <w:sz w:val="32"/>
          <w:szCs w:val="32"/>
          <w:lang w:val="en-US" w:eastAsia="zh-CN"/>
        </w:rPr>
        <w:t>1600</w:t>
      </w:r>
      <w:r>
        <w:rPr>
          <w:rFonts w:hint="eastAsia" w:ascii="仿宋_GB2312" w:hAnsi="仿宋_GB2312" w:eastAsia="仿宋_GB2312" w:cs="仿宋_GB2312"/>
          <w:sz w:val="32"/>
          <w:szCs w:val="32"/>
          <w:lang w:val="en-US" w:eastAsia="zh-CN"/>
        </w:rPr>
        <w:t>元、半失能</w:t>
      </w:r>
      <w:r>
        <w:rPr>
          <w:rFonts w:hint="eastAsia" w:cs="仿宋_GB2312"/>
          <w:sz w:val="32"/>
          <w:szCs w:val="32"/>
          <w:lang w:val="en-US" w:eastAsia="zh-CN"/>
        </w:rPr>
        <w:t>400</w:t>
      </w:r>
      <w:r>
        <w:rPr>
          <w:rFonts w:hint="eastAsia" w:ascii="仿宋_GB2312" w:hAnsi="仿宋_GB2312" w:eastAsia="仿宋_GB2312" w:cs="仿宋_GB2312"/>
          <w:sz w:val="32"/>
          <w:szCs w:val="32"/>
          <w:lang w:val="en-US" w:eastAsia="zh-CN"/>
        </w:rPr>
        <w:t>元、自理100元月标准进行发放。今年以来，已发放低保家庭及特困人员保障资金6821.73万元，目前，最低生活保障家庭共有4</w:t>
      </w:r>
      <w:r>
        <w:rPr>
          <w:rFonts w:hint="eastAsia" w:cs="仿宋_GB2312"/>
          <w:sz w:val="32"/>
          <w:szCs w:val="32"/>
          <w:lang w:val="en-US" w:eastAsia="zh-CN"/>
        </w:rPr>
        <w:t>415</w:t>
      </w:r>
      <w:r>
        <w:rPr>
          <w:rFonts w:hint="eastAsia" w:ascii="仿宋_GB2312" w:hAnsi="仿宋_GB2312" w:eastAsia="仿宋_GB2312" w:cs="仿宋_GB2312"/>
          <w:sz w:val="32"/>
          <w:szCs w:val="32"/>
          <w:lang w:val="en-US" w:eastAsia="zh-CN"/>
        </w:rPr>
        <w:t>户，</w:t>
      </w:r>
      <w:r>
        <w:rPr>
          <w:rFonts w:hint="eastAsia" w:cs="仿宋_GB2312"/>
          <w:sz w:val="32"/>
          <w:szCs w:val="32"/>
          <w:lang w:val="en-US" w:eastAsia="zh-CN"/>
        </w:rPr>
        <w:t>8576</w:t>
      </w:r>
      <w:r>
        <w:rPr>
          <w:rFonts w:hint="eastAsia" w:ascii="仿宋_GB2312" w:hAnsi="仿宋_GB2312" w:eastAsia="仿宋_GB2312" w:cs="仿宋_GB2312"/>
          <w:sz w:val="32"/>
          <w:szCs w:val="32"/>
          <w:lang w:val="en-US" w:eastAsia="zh-CN"/>
        </w:rPr>
        <w:t>人，特困人员</w:t>
      </w:r>
      <w:r>
        <w:rPr>
          <w:rFonts w:hint="eastAsia" w:cs="仿宋_GB2312"/>
          <w:sz w:val="32"/>
          <w:szCs w:val="32"/>
          <w:lang w:val="en-US" w:eastAsia="zh-CN"/>
        </w:rPr>
        <w:t>824</w:t>
      </w:r>
      <w:r>
        <w:rPr>
          <w:rFonts w:hint="eastAsia" w:ascii="仿宋_GB2312" w:hAnsi="仿宋_GB2312" w:eastAsia="仿宋_GB2312" w:cs="仿宋_GB2312"/>
          <w:sz w:val="32"/>
          <w:szCs w:val="32"/>
          <w:lang w:val="en-US" w:eastAsia="zh-CN"/>
        </w:rPr>
        <w:t>人、孤儿1</w:t>
      </w:r>
      <w:r>
        <w:rPr>
          <w:rFonts w:hint="eastAsia" w:cs="仿宋_GB2312"/>
          <w:sz w:val="32"/>
          <w:szCs w:val="32"/>
          <w:lang w:val="en-US" w:eastAsia="zh-CN"/>
        </w:rPr>
        <w:t>7</w:t>
      </w:r>
      <w:r>
        <w:rPr>
          <w:rFonts w:hint="eastAsia" w:ascii="仿宋_GB2312" w:hAnsi="仿宋_GB2312" w:eastAsia="仿宋_GB2312" w:cs="仿宋_GB2312"/>
          <w:sz w:val="32"/>
          <w:szCs w:val="32"/>
          <w:lang w:val="en-US" w:eastAsia="zh-CN"/>
        </w:rPr>
        <w:t>人、事实无人抚养儿童</w:t>
      </w:r>
      <w:r>
        <w:rPr>
          <w:rFonts w:hint="eastAsia" w:cs="仿宋_GB2312"/>
          <w:sz w:val="32"/>
          <w:szCs w:val="32"/>
          <w:lang w:val="en-US" w:eastAsia="zh-CN"/>
        </w:rPr>
        <w:t>206</w:t>
      </w:r>
      <w:r>
        <w:rPr>
          <w:rFonts w:hint="eastAsia" w:ascii="仿宋_GB2312" w:hAnsi="仿宋_GB2312" w:eastAsia="仿宋_GB2312" w:cs="仿宋_GB2312"/>
          <w:sz w:val="32"/>
          <w:szCs w:val="32"/>
          <w:lang w:val="en-US" w:eastAsia="zh-CN"/>
        </w:rPr>
        <w:t>人、重度残疾31</w:t>
      </w:r>
      <w:r>
        <w:rPr>
          <w:rFonts w:hint="eastAsia" w:cs="仿宋_GB2312"/>
          <w:sz w:val="32"/>
          <w:szCs w:val="32"/>
          <w:lang w:val="en-US" w:eastAsia="zh-CN"/>
        </w:rPr>
        <w:t>90</w:t>
      </w:r>
      <w:r>
        <w:rPr>
          <w:rFonts w:hint="eastAsia" w:ascii="仿宋_GB2312" w:hAnsi="仿宋_GB2312" w:eastAsia="仿宋_GB2312" w:cs="仿宋_GB2312"/>
          <w:sz w:val="32"/>
          <w:szCs w:val="32"/>
          <w:lang w:val="en-US" w:eastAsia="zh-CN"/>
        </w:rPr>
        <w:t>人、困难残疾2</w:t>
      </w:r>
      <w:r>
        <w:rPr>
          <w:rFonts w:hint="eastAsia" w:cs="仿宋_GB2312"/>
          <w:sz w:val="32"/>
          <w:szCs w:val="32"/>
          <w:lang w:val="en-US" w:eastAsia="zh-CN"/>
        </w:rPr>
        <w:t>848</w:t>
      </w:r>
      <w:r>
        <w:rPr>
          <w:rFonts w:hint="eastAsia" w:ascii="仿宋_GB2312" w:hAnsi="仿宋_GB2312" w:eastAsia="仿宋_GB2312" w:cs="仿宋_GB2312"/>
          <w:sz w:val="32"/>
          <w:szCs w:val="32"/>
          <w:lang w:val="en-US" w:eastAsia="zh-CN"/>
        </w:rPr>
        <w:t>人、困难重度失能残疾73人。全年发放养老服务补贴23531人次、119.62万元，失能护理补贴39人次0.195万元，补贴标准均为每人每月50元。同时，有序开展五类老人居家上门服务，累计服务764人次，服务费47.469万元。工作中坚持精准认定、规范流程，补贴资金通过社会保障一卡通直达发放，上门服务贴合老人需求，切实保障经济困难老年人基本生活，提升其幸福感与安全感，筑牢民生保障底线</w:t>
      </w:r>
      <w:r>
        <w:rPr>
          <w:rFonts w:hint="eastAsia" w:cs="仿宋_GB2312"/>
          <w:sz w:val="32"/>
          <w:szCs w:val="32"/>
          <w:lang w:val="en-US" w:eastAsia="zh-CN"/>
        </w:rPr>
        <w:t>。</w:t>
      </w:r>
      <w:r>
        <w:rPr>
          <w:rFonts w:hint="eastAsia" w:ascii="仿宋_GB2312" w:eastAsia="仿宋_GB2312"/>
          <w:sz w:val="32"/>
          <w:szCs w:val="32"/>
          <w:shd w:val="clear" w:color="auto" w:fill="FFFFFF"/>
        </w:rPr>
        <w:t>城</w:t>
      </w:r>
      <w:r>
        <w:rPr>
          <w:rFonts w:hint="eastAsia" w:ascii="仿宋_GB2312" w:eastAsia="仿宋_GB2312"/>
          <w:sz w:val="32"/>
          <w:szCs w:val="32"/>
          <w:shd w:val="clear" w:color="auto" w:fill="FFFFFF"/>
          <w:lang w:eastAsia="zh-CN"/>
        </w:rPr>
        <w:t>乡</w:t>
      </w:r>
      <w:r>
        <w:rPr>
          <w:rFonts w:hint="eastAsia" w:ascii="仿宋_GB2312" w:eastAsia="仿宋_GB2312"/>
          <w:sz w:val="32"/>
          <w:szCs w:val="32"/>
          <w:shd w:val="clear" w:color="auto" w:fill="FFFFFF"/>
        </w:rPr>
        <w:t>低保</w:t>
      </w:r>
      <w:r>
        <w:rPr>
          <w:rFonts w:hint="eastAsia"/>
          <w:sz w:val="32"/>
          <w:szCs w:val="32"/>
          <w:shd w:val="clear" w:color="auto" w:fill="FFFFFF"/>
          <w:lang w:eastAsia="zh-CN"/>
        </w:rPr>
        <w:t>、</w:t>
      </w:r>
      <w:r>
        <w:rPr>
          <w:rFonts w:hint="eastAsia" w:ascii="仿宋_GB2312" w:eastAsia="仿宋_GB2312"/>
          <w:sz w:val="32"/>
          <w:szCs w:val="32"/>
          <w:shd w:val="clear" w:color="auto" w:fill="FFFFFF"/>
          <w:lang w:eastAsia="zh-CN"/>
        </w:rPr>
        <w:t>城乡特困、残疾人两项补贴对象、高龄老人生活补贴等对象</w:t>
      </w:r>
      <w:r>
        <w:rPr>
          <w:rFonts w:hint="eastAsia" w:ascii="仿宋_GB2312" w:eastAsia="仿宋_GB2312"/>
          <w:sz w:val="32"/>
          <w:szCs w:val="32"/>
          <w:shd w:val="clear" w:color="auto" w:fill="FFFFFF"/>
          <w:lang w:val="en-US" w:eastAsia="zh-CN"/>
        </w:rPr>
        <w:t>应纳尽纳，</w:t>
      </w:r>
      <w:r>
        <w:rPr>
          <w:rFonts w:hint="eastAsia"/>
          <w:sz w:val="32"/>
          <w:szCs w:val="32"/>
          <w:shd w:val="clear" w:color="auto" w:fill="FFFFFF"/>
          <w:lang w:val="en-US" w:eastAsia="zh-CN"/>
        </w:rPr>
        <w:t>应退尽退，</w:t>
      </w:r>
      <w:r>
        <w:rPr>
          <w:rFonts w:hint="eastAsia" w:ascii="仿宋_GB2312" w:eastAsia="仿宋_GB2312"/>
          <w:sz w:val="32"/>
          <w:szCs w:val="32"/>
          <w:shd w:val="clear" w:color="auto" w:fill="FFFFFF"/>
          <w:lang w:val="en-US" w:eastAsia="zh-CN"/>
        </w:rPr>
        <w:t>实行动态化管理。</w:t>
      </w:r>
      <w:r>
        <w:rPr>
          <w:rFonts w:hint="eastAsia" w:ascii="仿宋_GB2312" w:eastAsia="仿宋_GB2312"/>
          <w:sz w:val="32"/>
          <w:szCs w:val="32"/>
          <w:shd w:val="clear" w:color="auto" w:fill="FFFFFF"/>
          <w:lang w:eastAsia="zh-CN"/>
        </w:rPr>
        <w:t>每月通过社</w:t>
      </w:r>
      <w:r>
        <w:rPr>
          <w:rFonts w:hint="eastAsia" w:ascii="仿宋" w:hAnsi="仿宋" w:eastAsia="仿宋" w:cs="仿宋_GB2312"/>
          <w:sz w:val="32"/>
          <w:szCs w:val="40"/>
          <w:lang w:eastAsia="zh-CN"/>
        </w:rPr>
        <w:t>保一卡通完成社会化发放专项资金。</w:t>
      </w:r>
    </w:p>
    <w:p w14:paraId="7DDCB759">
      <w:pPr>
        <w:pStyle w:val="2"/>
        <w:keepNext w:val="0"/>
        <w:keepLines w:val="0"/>
        <w:pageBreakBefore w:val="0"/>
        <w:widowControl w:val="0"/>
        <w:numPr>
          <w:ilvl w:val="0"/>
          <w:numId w:val="0"/>
        </w:numPr>
        <w:kinsoku/>
        <w:wordWrap/>
        <w:overflowPunct/>
        <w:topLinePunct w:val="0"/>
        <w:autoSpaceDE w:val="0"/>
        <w:autoSpaceDN w:val="0"/>
        <w:bidi w:val="0"/>
        <w:adjustRightInd/>
        <w:snapToGrid/>
        <w:spacing w:before="0" w:line="360" w:lineRule="auto"/>
        <w:ind w:right="0" w:rightChars="0" w:firstLine="640" w:firstLineChars="200"/>
        <w:textAlignment w:val="auto"/>
        <w:rPr>
          <w:rFonts w:hint="eastAsia" w:ascii="仿宋_GB2312" w:hAnsi="仿宋_GB2312" w:eastAsia="仿宋_GB2312" w:cs="仿宋_GB2312"/>
          <w:sz w:val="32"/>
          <w:szCs w:val="32"/>
          <w:lang w:val="en-US" w:eastAsia="zh-CN" w:bidi="zh-CN"/>
        </w:rPr>
      </w:pPr>
      <w:r>
        <w:rPr>
          <w:rFonts w:hint="eastAsia" w:ascii="仿宋" w:hAnsi="仿宋" w:eastAsia="仿宋" w:cs="仿宋_GB2312"/>
          <w:sz w:val="32"/>
          <w:szCs w:val="40"/>
          <w:lang w:val="en-US" w:eastAsia="zh-CN"/>
        </w:rPr>
        <w:t>（二）履职效果情况：从社会效益、经济效益等方面反映部门履职效果。</w:t>
      </w:r>
      <w:r>
        <w:rPr>
          <w:rFonts w:hint="eastAsia" w:cs="仿宋_GB2312"/>
          <w:sz w:val="32"/>
          <w:szCs w:val="32"/>
          <w:lang w:val="en-US" w:eastAsia="zh-CN" w:bidi="zh-CN"/>
        </w:rPr>
        <w:t>社会效益：有效保障城乡低保、特困人员等的基本生活。提升困难群众的获得感、幸福感。</w:t>
      </w:r>
      <w:r>
        <w:rPr>
          <w:rFonts w:hint="eastAsia" w:ascii="仿宋_GB2312" w:hAnsi="仿宋_GB2312" w:eastAsia="仿宋_GB2312" w:cs="仿宋_GB2312"/>
          <w:sz w:val="32"/>
          <w:szCs w:val="32"/>
          <w:lang w:val="en-US" w:eastAsia="zh-CN" w:bidi="zh-CN"/>
        </w:rPr>
        <w:t>生态效益：保护生态环境，节约土地资源。</w:t>
      </w:r>
    </w:p>
    <w:p w14:paraId="008A792F">
      <w:pPr>
        <w:rPr>
          <w:rFonts w:hint="eastAsia" w:ascii="仿宋" w:hAnsi="仿宋" w:eastAsia="仿宋" w:cs="仿宋_GB2312"/>
          <w:sz w:val="32"/>
          <w:szCs w:val="40"/>
          <w:lang w:val="en-US" w:eastAsia="zh-CN"/>
        </w:rPr>
      </w:pPr>
      <w:r>
        <w:rPr>
          <w:rFonts w:hint="eastAsia" w:ascii="仿宋_GB2312" w:hAnsi="仿宋_GB2312" w:eastAsia="仿宋_GB2312" w:cs="仿宋_GB2312"/>
          <w:sz w:val="32"/>
          <w:szCs w:val="32"/>
          <w:lang w:val="en-US" w:eastAsia="zh-CN" w:bidi="zh-CN"/>
        </w:rPr>
        <w:t xml:space="preserve">    （三）社会满意度及可持续性影响。困难群众满意度</w:t>
      </w:r>
      <w:r>
        <w:rPr>
          <w:rFonts w:hint="default" w:ascii="Arial" w:hAnsi="Arial" w:eastAsia="仿宋_GB2312" w:cs="Arial"/>
          <w:sz w:val="32"/>
          <w:szCs w:val="32"/>
          <w:lang w:val="en-US" w:eastAsia="zh-CN" w:bidi="zh-CN"/>
        </w:rPr>
        <w:t>≥</w:t>
      </w:r>
      <w:r>
        <w:rPr>
          <w:rFonts w:hint="eastAsia" w:ascii="仿宋_GB2312" w:hAnsi="仿宋_GB2312" w:eastAsia="仿宋_GB2312" w:cs="仿宋_GB2312"/>
          <w:sz w:val="32"/>
          <w:szCs w:val="32"/>
          <w:lang w:val="en-US" w:eastAsia="zh-CN" w:bidi="zh-CN"/>
        </w:rPr>
        <w:t>95%。可持续影响</w:t>
      </w:r>
      <w:r>
        <w:rPr>
          <w:rFonts w:hint="eastAsia" w:cs="仿宋_GB2312"/>
          <w:sz w:val="32"/>
          <w:szCs w:val="32"/>
          <w:lang w:val="en-US" w:eastAsia="zh-CN" w:bidi="zh-CN"/>
        </w:rPr>
        <w:t>：</w:t>
      </w:r>
      <w:r>
        <w:rPr>
          <w:rFonts w:hint="eastAsia" w:ascii="仿宋_GB2312" w:hAnsi="仿宋_GB2312" w:eastAsia="仿宋_GB2312" w:cs="仿宋_GB2312"/>
          <w:sz w:val="32"/>
          <w:szCs w:val="32"/>
          <w:lang w:val="en-US" w:eastAsia="zh-CN" w:bidi="zh-CN"/>
        </w:rPr>
        <w:t>促进全县绿色殡葬改革和移风易俗工作推进。</w:t>
      </w:r>
    </w:p>
    <w:p w14:paraId="52445E10">
      <w:pPr>
        <w:pStyle w:val="2"/>
        <w:numPr>
          <w:ilvl w:val="0"/>
          <w:numId w:val="0"/>
        </w:numPr>
        <w:ind w:right="0" w:righ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三、部门整体支出绩效中存在问题及改进措施</w:t>
      </w:r>
    </w:p>
    <w:p w14:paraId="08019A68">
      <w:pPr>
        <w:pStyle w:val="2"/>
        <w:numPr>
          <w:ilvl w:val="0"/>
          <w:numId w:val="0"/>
        </w:numPr>
        <w:ind w:right="0" w:righ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（一）主要问题及原因分析。</w:t>
      </w:r>
    </w:p>
    <w:p w14:paraId="79F90FC6">
      <w:pPr>
        <w:pStyle w:val="2"/>
        <w:numPr>
          <w:ilvl w:val="0"/>
          <w:numId w:val="0"/>
        </w:numPr>
        <w:ind w:right="0" w:righ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1、年初预算编制不精准、预算调整率偏高</w:t>
      </w:r>
    </w:p>
    <w:p w14:paraId="2E7352D7">
      <w:pPr>
        <w:pStyle w:val="2"/>
        <w:numPr>
          <w:ilvl w:val="0"/>
          <w:numId w:val="0"/>
        </w:numPr>
        <w:ind w:right="0" w:righ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安义县民政局财政拨款本年支出年初预算数与收入决算，预算调整率为较大，主要是因为上级专项未纳年初预算，导致调整数偏大。</w:t>
      </w:r>
    </w:p>
    <w:p w14:paraId="22347037">
      <w:pPr>
        <w:ind w:firstLine="640" w:firstLineChars="200"/>
        <w:rPr>
          <w:rFonts w:hint="eastAsia" w:ascii="仿宋_GB2312" w:hAnsi="仿宋_GB2312" w:eastAsia="仿宋_GB2312" w:cs="仿宋_GB2312"/>
          <w:b w:val="0"/>
          <w:bCs w:val="0"/>
          <w:sz w:val="32"/>
          <w:szCs w:val="32"/>
          <w:lang w:val="en-US" w:eastAsia="zh-CN" w:bidi="zh-CN"/>
        </w:rPr>
      </w:pPr>
      <w:bookmarkStart w:id="8" w:name="_Toc16412"/>
      <w:r>
        <w:rPr>
          <w:rFonts w:hint="eastAsia" w:ascii="仿宋_GB2312" w:hAnsi="仿宋_GB2312" w:eastAsia="仿宋_GB2312" w:cs="仿宋_GB2312"/>
          <w:b w:val="0"/>
          <w:bCs w:val="0"/>
          <w:sz w:val="32"/>
          <w:szCs w:val="32"/>
          <w:lang w:val="en-US" w:eastAsia="zh-CN" w:bidi="zh-CN"/>
        </w:rPr>
        <w:t>（二）改进的方向和具体措施</w:t>
      </w:r>
      <w:bookmarkEnd w:id="8"/>
      <w:r>
        <w:rPr>
          <w:rFonts w:hint="eastAsia" w:ascii="仿宋_GB2312" w:hAnsi="仿宋_GB2312" w:eastAsia="仿宋_GB2312" w:cs="仿宋_GB2312"/>
          <w:b w:val="0"/>
          <w:bCs w:val="0"/>
          <w:sz w:val="32"/>
          <w:szCs w:val="32"/>
          <w:lang w:val="en-US" w:eastAsia="zh-CN" w:bidi="zh-CN"/>
        </w:rPr>
        <w:t xml:space="preserve"> </w:t>
      </w:r>
    </w:p>
    <w:p w14:paraId="4702D20A">
      <w:pPr>
        <w:pStyle w:val="2"/>
        <w:numPr>
          <w:ilvl w:val="0"/>
          <w:numId w:val="0"/>
        </w:numPr>
        <w:ind w:right="0" w:righ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1、科学、细化预算编制工作</w:t>
      </w:r>
    </w:p>
    <w:p w14:paraId="6842CFA1">
      <w:pPr>
        <w:pStyle w:val="2"/>
        <w:numPr>
          <w:ilvl w:val="0"/>
          <w:numId w:val="0"/>
        </w:numPr>
        <w:ind w:right="0" w:rightChars="0" w:firstLine="640" w:firstLineChars="200"/>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民政局应进一步加强预算管理意识，严格按照预算编制的相关制度和要求，提高预算编制的科学性、合理性、严谨性和可控性。预算编制前根据年度内单位可预见的工作任务，确定单位年度预算目标，细化预算指标，科学合理编制部门预算，推进预算编制科学化、准确化。年度预算编制后，根据实际情况，定期做好预算执行分析，掌握预算执行进度，及时找出预算实际执行情况与预算目标之间存在的差距，纠正偏差。</w:t>
      </w:r>
    </w:p>
    <w:p w14:paraId="46E46E20">
      <w:pPr>
        <w:pStyle w:val="2"/>
        <w:numPr>
          <w:ilvl w:val="0"/>
          <w:numId w:val="0"/>
        </w:numPr>
        <w:ind w:right="0" w:righ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四、绩效自评结果拟应用和公开情况</w:t>
      </w:r>
    </w:p>
    <w:p w14:paraId="35209715">
      <w:pPr>
        <w:pStyle w:val="2"/>
        <w:numPr>
          <w:ilvl w:val="0"/>
          <w:numId w:val="0"/>
        </w:numPr>
        <w:ind w:right="0" w:rightChars="0" w:firstLine="640" w:firstLineChars="200"/>
        <w:rPr>
          <w:rFonts w:hint="eastAsia" w:ascii="仿宋_GB2312" w:hAnsi="仿宋_GB2312" w:eastAsia="仿宋_GB2312" w:cs="仿宋_GB2312"/>
          <w:sz w:val="32"/>
          <w:szCs w:val="32"/>
          <w:lang w:val="en-US" w:eastAsia="zh-CN" w:bidi="zh-CN"/>
        </w:rPr>
      </w:pPr>
      <w:r>
        <w:rPr>
          <w:rFonts w:hint="eastAsia" w:ascii="仿宋_GB2312" w:hAnsi="仿宋_GB2312" w:eastAsia="仿宋_GB2312" w:cs="仿宋_GB2312"/>
          <w:sz w:val="32"/>
          <w:szCs w:val="32"/>
        </w:rPr>
        <w:t>根据定量分析及定性分析，综合自评得分为9</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分，评价等次确定为优。</w:t>
      </w:r>
      <w:r>
        <w:rPr>
          <w:rFonts w:hint="eastAsia" w:ascii="仿宋_GB2312" w:hAnsi="仿宋_GB2312" w:eastAsia="仿宋_GB2312" w:cs="仿宋_GB2312"/>
          <w:sz w:val="32"/>
          <w:szCs w:val="32"/>
          <w:lang w:val="en-US" w:eastAsia="zh-CN" w:bidi="zh-CN"/>
        </w:rPr>
        <w:t>本次绩效自评是对202</w:t>
      </w:r>
      <w:r>
        <w:rPr>
          <w:rFonts w:hint="eastAsia" w:cs="仿宋_GB2312"/>
          <w:sz w:val="32"/>
          <w:szCs w:val="32"/>
          <w:lang w:val="en-US" w:eastAsia="zh-CN" w:bidi="zh-CN"/>
        </w:rPr>
        <w:t>5</w:t>
      </w:r>
      <w:r>
        <w:rPr>
          <w:rFonts w:hint="eastAsia" w:ascii="仿宋_GB2312" w:hAnsi="仿宋_GB2312" w:eastAsia="仿宋_GB2312" w:cs="仿宋_GB2312"/>
          <w:sz w:val="32"/>
          <w:szCs w:val="32"/>
          <w:lang w:val="en-US" w:eastAsia="zh-CN" w:bidi="zh-CN"/>
        </w:rPr>
        <w:t>年度整体支出预算目标实现情况的自我审查及总结，我</w:t>
      </w:r>
      <w:r>
        <w:rPr>
          <w:rFonts w:hint="eastAsia" w:cs="仿宋_GB2312"/>
          <w:sz w:val="32"/>
          <w:szCs w:val="32"/>
          <w:lang w:val="en-US" w:eastAsia="zh-CN" w:bidi="zh-CN"/>
        </w:rPr>
        <w:t>部门</w:t>
      </w:r>
      <w:r>
        <w:rPr>
          <w:rFonts w:hint="eastAsia" w:ascii="仿宋_GB2312" w:hAnsi="仿宋_GB2312" w:eastAsia="仿宋_GB2312" w:cs="仿宋_GB2312"/>
          <w:sz w:val="32"/>
          <w:szCs w:val="32"/>
          <w:lang w:val="en-US" w:eastAsia="zh-CN" w:bidi="zh-CN"/>
        </w:rPr>
        <w:t>注重自身建设和提升，力求资源配置合理，发挥财政资金最大化效益。</w:t>
      </w:r>
    </w:p>
    <w:p w14:paraId="46405796">
      <w:pPr>
        <w:pStyle w:val="2"/>
        <w:numPr>
          <w:ilvl w:val="0"/>
          <w:numId w:val="0"/>
        </w:numPr>
        <w:ind w:right="0" w:rightChars="0" w:firstLine="640" w:firstLineChars="200"/>
        <w:rPr>
          <w:rFonts w:hint="eastAsia" w:ascii="仿宋_GB2312" w:hAnsi="仿宋_GB2312" w:eastAsia="仿宋_GB2312" w:cs="仿宋_GB2312"/>
          <w:sz w:val="32"/>
          <w:szCs w:val="32"/>
          <w:lang w:val="en-US" w:eastAsia="zh-CN" w:bidi="zh-CN"/>
        </w:rPr>
      </w:pPr>
      <w:r>
        <w:rPr>
          <w:rFonts w:hint="eastAsia" w:ascii="仿宋_GB2312" w:hAnsi="仿宋_GB2312" w:eastAsia="仿宋_GB2312" w:cs="仿宋_GB2312"/>
          <w:sz w:val="32"/>
          <w:szCs w:val="32"/>
          <w:lang w:val="en-US" w:eastAsia="zh-CN" w:bidi="zh-CN"/>
        </w:rPr>
        <w:t>同时，我</w:t>
      </w:r>
      <w:r>
        <w:rPr>
          <w:rFonts w:hint="eastAsia" w:cs="仿宋_GB2312"/>
          <w:sz w:val="32"/>
          <w:szCs w:val="32"/>
          <w:lang w:val="en-US" w:eastAsia="zh-CN" w:bidi="zh-CN"/>
        </w:rPr>
        <w:t>部门</w:t>
      </w:r>
      <w:r>
        <w:rPr>
          <w:rFonts w:hint="eastAsia" w:ascii="仿宋_GB2312" w:hAnsi="仿宋_GB2312" w:eastAsia="仿宋_GB2312" w:cs="仿宋_GB2312"/>
          <w:sz w:val="32"/>
          <w:szCs w:val="32"/>
          <w:lang w:val="en-US" w:eastAsia="zh-CN" w:bidi="zh-CN"/>
        </w:rPr>
        <w:t>将把本次绩效评价结果作为本年度绩效考核及以后年度预算安排的重要依据。针对此次评价过程中发现的问题，督促相关人员进行整改并落实到位，切实有效地发挥每一次评价的作用，我</w:t>
      </w:r>
      <w:r>
        <w:rPr>
          <w:rFonts w:hint="eastAsia" w:cs="仿宋_GB2312"/>
          <w:sz w:val="32"/>
          <w:szCs w:val="32"/>
          <w:lang w:val="en-US" w:eastAsia="zh-CN" w:bidi="zh-CN"/>
        </w:rPr>
        <w:t>部门</w:t>
      </w:r>
      <w:r>
        <w:rPr>
          <w:rFonts w:hint="eastAsia" w:ascii="仿宋_GB2312" w:hAnsi="仿宋_GB2312" w:eastAsia="仿宋_GB2312" w:cs="仿宋_GB2312"/>
          <w:sz w:val="32"/>
          <w:szCs w:val="32"/>
          <w:lang w:val="en-US" w:eastAsia="zh-CN" w:bidi="zh-CN"/>
        </w:rPr>
        <w:t>也将在门户网站公开披露本次整体支出绩效评价结果，接受社会公众的监督。</w:t>
      </w:r>
    </w:p>
    <w:sectPr>
      <w:footerReference r:id="rId5" w:type="default"/>
      <w:pgSz w:w="11906" w:h="16838"/>
      <w:pgMar w:top="1440" w:right="1800" w:bottom="1440" w:left="1800" w:header="851" w:footer="992" w:gutter="0"/>
      <w:pgNumType w:fmt="decimal"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Calibri Light">
    <w:panose1 w:val="020F0302020204030204"/>
    <w:charset w:val="00"/>
    <w:family w:val="swiss"/>
    <w:pitch w:val="default"/>
    <w:sig w:usb0="A00002EF" w:usb1="4000207B" w:usb2="00000000" w:usb3="00000000" w:csb0="2000019F" w:csb1="00000000"/>
  </w:font>
  <w:font w:name="GWZT-EN">
    <w:altName w:val="Arial"/>
    <w:panose1 w:val="00000000000000000000"/>
    <w:charset w:val="00"/>
    <w:family w:val="auto"/>
    <w:pitch w:val="default"/>
    <w:sig w:usb0="00000000" w:usb1="00000000" w:usb2="00000000" w:usb3="00000000" w:csb0="00000000" w:csb1="0000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A47BE3">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CC0DAB3">
                          <w:pPr>
                            <w:pStyle w:val="7"/>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CC0DAB3">
                    <w:pPr>
                      <w:pStyle w:val="7"/>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DCBC7B8"/>
    <w:multiLevelType w:val="singleLevel"/>
    <w:tmpl w:val="1DCBC7B8"/>
    <w:lvl w:ilvl="0" w:tentative="0">
      <w:start w:val="2"/>
      <w:numFmt w:val="chineseCounting"/>
      <w:suff w:val="nothing"/>
      <w:lvlText w:val="（%1）"/>
      <w:lvlJc w:val="left"/>
      <w:rPr>
        <w:rFonts w:hint="eastAsia"/>
      </w:rPr>
    </w:lvl>
  </w:abstractNum>
  <w:abstractNum w:abstractNumId="1">
    <w:nsid w:val="34FA2E8F"/>
    <w:multiLevelType w:val="singleLevel"/>
    <w:tmpl w:val="34FA2E8F"/>
    <w:lvl w:ilvl="0" w:tentative="0">
      <w:start w:val="2"/>
      <w:numFmt w:val="decimal"/>
      <w:suff w:val="nothing"/>
      <w:lvlText w:val="（%1）"/>
      <w:lvlJc w:val="left"/>
    </w:lvl>
  </w:abstractNum>
  <w:abstractNum w:abstractNumId="2">
    <w:nsid w:val="7DAC5C68"/>
    <w:multiLevelType w:val="singleLevel"/>
    <w:tmpl w:val="7DAC5C68"/>
    <w:lvl w:ilvl="0" w:tentative="0">
      <w:start w:val="5"/>
      <w:numFmt w:val="chineseCounting"/>
      <w:suff w:val="nothing"/>
      <w:lvlText w:val="（%1）"/>
      <w:lvlJc w:val="left"/>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djODBkMjZiMWUwNDNiNDY5MmRjMmJjMDc5MmEzY2YifQ=="/>
  </w:docVars>
  <w:rsids>
    <w:rsidRoot w:val="7B6E2884"/>
    <w:rsid w:val="00A3470B"/>
    <w:rsid w:val="01825834"/>
    <w:rsid w:val="05062D68"/>
    <w:rsid w:val="06416622"/>
    <w:rsid w:val="07204071"/>
    <w:rsid w:val="0797664C"/>
    <w:rsid w:val="07A41C88"/>
    <w:rsid w:val="09622640"/>
    <w:rsid w:val="098147A7"/>
    <w:rsid w:val="0ACD6B49"/>
    <w:rsid w:val="0B506007"/>
    <w:rsid w:val="0D270472"/>
    <w:rsid w:val="0D616996"/>
    <w:rsid w:val="0E2C38BC"/>
    <w:rsid w:val="0E2F5830"/>
    <w:rsid w:val="0F7237D5"/>
    <w:rsid w:val="0FB50E8E"/>
    <w:rsid w:val="1064596F"/>
    <w:rsid w:val="10E82A49"/>
    <w:rsid w:val="11816C45"/>
    <w:rsid w:val="127E0B34"/>
    <w:rsid w:val="129240E3"/>
    <w:rsid w:val="13826402"/>
    <w:rsid w:val="15C335EF"/>
    <w:rsid w:val="16CA5C82"/>
    <w:rsid w:val="177516A8"/>
    <w:rsid w:val="18472AEA"/>
    <w:rsid w:val="185A507F"/>
    <w:rsid w:val="191C5BD5"/>
    <w:rsid w:val="19E25E4D"/>
    <w:rsid w:val="1B712E00"/>
    <w:rsid w:val="1BC546B0"/>
    <w:rsid w:val="1CEE4B08"/>
    <w:rsid w:val="1ED974BC"/>
    <w:rsid w:val="20F90996"/>
    <w:rsid w:val="210759F5"/>
    <w:rsid w:val="21A67C26"/>
    <w:rsid w:val="24AF750D"/>
    <w:rsid w:val="254E15E3"/>
    <w:rsid w:val="257756E7"/>
    <w:rsid w:val="2C835E6C"/>
    <w:rsid w:val="2DB42624"/>
    <w:rsid w:val="2E4E584D"/>
    <w:rsid w:val="30133C99"/>
    <w:rsid w:val="30CD55EE"/>
    <w:rsid w:val="311C71E6"/>
    <w:rsid w:val="331E22B4"/>
    <w:rsid w:val="35E76215"/>
    <w:rsid w:val="36113768"/>
    <w:rsid w:val="3823669F"/>
    <w:rsid w:val="3A33472A"/>
    <w:rsid w:val="3A642F28"/>
    <w:rsid w:val="3CBB1C4D"/>
    <w:rsid w:val="40426C23"/>
    <w:rsid w:val="41843041"/>
    <w:rsid w:val="43F23FC6"/>
    <w:rsid w:val="45442F56"/>
    <w:rsid w:val="459E413A"/>
    <w:rsid w:val="45E00BE3"/>
    <w:rsid w:val="480013F4"/>
    <w:rsid w:val="49492F43"/>
    <w:rsid w:val="4C545E87"/>
    <w:rsid w:val="4D8925B3"/>
    <w:rsid w:val="4DD112EB"/>
    <w:rsid w:val="4DF7B867"/>
    <w:rsid w:val="50346F06"/>
    <w:rsid w:val="54B41BB8"/>
    <w:rsid w:val="563C1A30"/>
    <w:rsid w:val="56C232D8"/>
    <w:rsid w:val="56EF7445"/>
    <w:rsid w:val="578C5AC2"/>
    <w:rsid w:val="58516363"/>
    <w:rsid w:val="59812CE6"/>
    <w:rsid w:val="5C087CA1"/>
    <w:rsid w:val="6233447A"/>
    <w:rsid w:val="64B0659B"/>
    <w:rsid w:val="652B1209"/>
    <w:rsid w:val="661C7E7A"/>
    <w:rsid w:val="66E71979"/>
    <w:rsid w:val="6828049B"/>
    <w:rsid w:val="69471A07"/>
    <w:rsid w:val="6B202B98"/>
    <w:rsid w:val="6BB964E2"/>
    <w:rsid w:val="6CD32F26"/>
    <w:rsid w:val="6D035392"/>
    <w:rsid w:val="6D0C2FDB"/>
    <w:rsid w:val="6D313CA5"/>
    <w:rsid w:val="6FEA6982"/>
    <w:rsid w:val="735701F6"/>
    <w:rsid w:val="739A36AA"/>
    <w:rsid w:val="749D5F98"/>
    <w:rsid w:val="772B7707"/>
    <w:rsid w:val="773D43B3"/>
    <w:rsid w:val="78E47B24"/>
    <w:rsid w:val="7A1A5488"/>
    <w:rsid w:val="7A9D556E"/>
    <w:rsid w:val="7AC01599"/>
    <w:rsid w:val="7B6E2884"/>
    <w:rsid w:val="7BAA691D"/>
    <w:rsid w:val="7BBE7F23"/>
    <w:rsid w:val="7D4B57F4"/>
    <w:rsid w:val="7DBD767D"/>
    <w:rsid w:val="BDFDFAF6"/>
    <w:rsid w:val="FDAD0F0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spacing w:before="0" w:after="0" w:line="240" w:lineRule="auto"/>
      <w:ind w:left="0" w:right="0"/>
      <w:jc w:val="left"/>
    </w:pPr>
    <w:rPr>
      <w:rFonts w:ascii="宋体" w:hAnsi="宋体" w:eastAsia="宋体" w:cs="宋体"/>
      <w:sz w:val="22"/>
      <w:szCs w:val="22"/>
      <w:lang w:val="zh-CN" w:eastAsia="zh-CN" w:bidi="zh-CN"/>
    </w:rPr>
  </w:style>
  <w:style w:type="paragraph" w:styleId="3">
    <w:name w:val="heading 1"/>
    <w:basedOn w:val="1"/>
    <w:next w:val="1"/>
    <w:qFormat/>
    <w:uiPriority w:val="1"/>
    <w:pPr>
      <w:jc w:val="center"/>
      <w:outlineLvl w:val="1"/>
    </w:pPr>
    <w:rPr>
      <w:rFonts w:ascii="宋体" w:hAnsi="宋体" w:eastAsia="宋体" w:cs="宋体"/>
      <w:sz w:val="44"/>
      <w:szCs w:val="44"/>
      <w:lang w:val="zh-CN" w:eastAsia="zh-CN" w:bidi="zh-CN"/>
    </w:rPr>
  </w:style>
  <w:style w:type="paragraph" w:styleId="4">
    <w:name w:val="heading 2"/>
    <w:basedOn w:val="1"/>
    <w:next w:val="1"/>
    <w:unhideWhenUsed/>
    <w:qFormat/>
    <w:uiPriority w:val="0"/>
    <w:pPr>
      <w:keepNext/>
      <w:keepLines/>
      <w:spacing w:before="40" w:beforeLines="40" w:after="40" w:afterLines="40"/>
      <w:ind w:firstLine="0" w:firstLineChars="0"/>
      <w:jc w:val="left"/>
      <w:outlineLvl w:val="1"/>
    </w:pPr>
    <w:rPr>
      <w:rFonts w:ascii="仿宋" w:hAnsi="仿宋" w:eastAsia="宋体" w:cs="Times New Roman"/>
      <w:b/>
      <w:bCs/>
      <w:sz w:val="32"/>
      <w:szCs w:val="32"/>
    </w:rPr>
  </w:style>
  <w:style w:type="paragraph" w:styleId="5">
    <w:name w:val="heading 3"/>
    <w:basedOn w:val="1"/>
    <w:next w:val="1"/>
    <w:unhideWhenUsed/>
    <w:qFormat/>
    <w:uiPriority w:val="0"/>
    <w:pPr>
      <w:keepNext/>
      <w:keepLines/>
      <w:spacing w:before="120" w:after="120" w:line="360" w:lineRule="auto"/>
      <w:jc w:val="left"/>
      <w:outlineLvl w:val="2"/>
    </w:pPr>
    <w:rPr>
      <w:rFonts w:ascii="Times New Roman" w:hAnsi="Times New Roman" w:cs="Times New Roman"/>
      <w:b/>
      <w:bCs/>
      <w:sz w:val="30"/>
      <w:szCs w:val="32"/>
    </w:rPr>
  </w:style>
  <w:style w:type="character" w:default="1" w:styleId="14">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1"/>
    <w:rPr>
      <w:rFonts w:ascii="仿宋_GB2312" w:hAnsi="仿宋_GB2312" w:eastAsia="仿宋_GB2312" w:cs="仿宋_GB2312"/>
      <w:sz w:val="32"/>
      <w:szCs w:val="32"/>
      <w:lang w:val="zh-CN" w:eastAsia="zh-CN" w:bidi="zh-CN"/>
    </w:rPr>
  </w:style>
  <w:style w:type="paragraph" w:styleId="6">
    <w:name w:val="Plain Text"/>
    <w:basedOn w:val="1"/>
    <w:unhideWhenUsed/>
    <w:qFormat/>
    <w:uiPriority w:val="99"/>
    <w:rPr>
      <w:rFonts w:hAnsi="Courier New" w:cs="Courier New"/>
      <w:szCs w:val="21"/>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toc 1"/>
    <w:basedOn w:val="1"/>
    <w:next w:val="1"/>
    <w:qFormat/>
    <w:uiPriority w:val="39"/>
    <w:pPr>
      <w:spacing w:line="480" w:lineRule="auto"/>
    </w:pPr>
    <w:rPr>
      <w:rFonts w:asciiTheme="minorHAnsi" w:hAnsiTheme="minorHAnsi"/>
      <w:b/>
      <w:sz w:val="36"/>
    </w:rPr>
  </w:style>
  <w:style w:type="paragraph" w:styleId="10">
    <w:name w:val="toc 2"/>
    <w:basedOn w:val="1"/>
    <w:next w:val="1"/>
    <w:qFormat/>
    <w:uiPriority w:val="39"/>
    <w:pPr>
      <w:spacing w:line="320" w:lineRule="exact"/>
      <w:ind w:left="420" w:leftChars="200"/>
    </w:pPr>
    <w:rPr>
      <w:rFonts w:asciiTheme="minorHAnsi" w:hAnsiTheme="minorHAnsi"/>
      <w:sz w:val="24"/>
    </w:rPr>
  </w:style>
  <w:style w:type="paragraph" w:styleId="11">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2">
    <w:name w:val="Body Text First Indent"/>
    <w:basedOn w:val="2"/>
    <w:semiHidden/>
    <w:unhideWhenUsed/>
    <w:qFormat/>
    <w:uiPriority w:val="99"/>
    <w:pPr>
      <w:spacing w:before="100" w:beforeAutospacing="1"/>
      <w:ind w:firstLine="420" w:firstLineChars="100"/>
    </w:pPr>
  </w:style>
  <w:style w:type="character" w:styleId="15">
    <w:name w:val="Hyperlink"/>
    <w:basedOn w:val="14"/>
    <w:unhideWhenUsed/>
    <w:qFormat/>
    <w:uiPriority w:val="99"/>
    <w:rPr>
      <w:color w:val="0563C1" w:themeColor="hyperlink"/>
      <w:u w:val="single"/>
      <w14:textFill>
        <w14:solidFill>
          <w14:schemeClr w14:val="hlink"/>
        </w14:solidFill>
      </w14:textFill>
    </w:rPr>
  </w:style>
  <w:style w:type="paragraph" w:customStyle="1" w:styleId="16">
    <w:name w:val="TOC Heading"/>
    <w:basedOn w:val="3"/>
    <w:next w:val="1"/>
    <w:unhideWhenUsed/>
    <w:qFormat/>
    <w:uiPriority w:val="39"/>
    <w:pPr>
      <w:widowControl/>
      <w:autoSpaceDE/>
      <w:autoSpaceDN/>
      <w:spacing w:before="240" w:line="259" w:lineRule="auto"/>
      <w:ind w:firstLine="0" w:firstLineChars="0"/>
      <w:outlineLvl w:val="9"/>
    </w:pPr>
    <w:rPr>
      <w:rFonts w:asciiTheme="majorHAnsi" w:hAnsiTheme="majorHAnsi" w:cstheme="majorBidi"/>
      <w:color w:val="2E75B6" w:themeColor="accent1" w:themeShade="BF"/>
      <w:kern w:val="0"/>
      <w:szCs w:val="32"/>
      <w:lang w:val="en-US" w:bidi="ar-SA"/>
    </w:rPr>
  </w:style>
  <w:style w:type="character" w:customStyle="1" w:styleId="17">
    <w:name w:val="font11"/>
    <w:basedOn w:val="14"/>
    <w:qFormat/>
    <w:uiPriority w:val="0"/>
    <w:rPr>
      <w:rFonts w:hint="eastAsia" w:ascii="宋体" w:hAnsi="宋体" w:eastAsia="宋体" w:cs="宋体"/>
      <w:color w:val="000000"/>
      <w:sz w:val="22"/>
      <w:szCs w:val="22"/>
      <w:u w:val="none"/>
    </w:rPr>
  </w:style>
  <w:style w:type="character" w:customStyle="1" w:styleId="18">
    <w:name w:val="font31"/>
    <w:basedOn w:val="14"/>
    <w:qFormat/>
    <w:uiPriority w:val="0"/>
    <w:rPr>
      <w:rFonts w:hint="default" w:ascii="Times New Roman" w:hAnsi="Times New Roman" w:cs="Times New Roman"/>
      <w:color w:val="000000"/>
      <w:sz w:val="22"/>
      <w:szCs w:val="22"/>
      <w:u w:val="none"/>
    </w:rPr>
  </w:style>
  <w:style w:type="paragraph" w:customStyle="1" w:styleId="19">
    <w:name w:val="WPSOffice手动目录 2"/>
    <w:qFormat/>
    <w:uiPriority w:val="0"/>
    <w:pPr>
      <w:ind w:leftChars="200"/>
    </w:pPr>
    <w:rPr>
      <w:rFonts w:ascii="Times New Roman" w:hAnsi="Times New Roman" w:eastAsia="宋体" w:cs="Times New Roman"/>
      <w:sz w:val="20"/>
      <w:szCs w:val="20"/>
    </w:rPr>
  </w:style>
  <w:style w:type="paragraph" w:customStyle="1" w:styleId="20">
    <w:name w:val="WPSOffice手动目录 1"/>
    <w:qFormat/>
    <w:uiPriority w:val="0"/>
    <w:pPr>
      <w:ind w:leftChars="0"/>
    </w:pPr>
    <w:rPr>
      <w:rFonts w:ascii="Times New Roman" w:hAnsi="Times New Roman" w:eastAsia="宋体" w:cs="Times New Roman"/>
      <w:sz w:val="20"/>
      <w:szCs w:val="20"/>
    </w:rPr>
  </w:style>
  <w:style w:type="character" w:customStyle="1" w:styleId="21">
    <w:name w:val="font21"/>
    <w:basedOn w:val="14"/>
    <w:qFormat/>
    <w:uiPriority w:val="0"/>
    <w:rPr>
      <w:rFonts w:hint="default" w:ascii="Times New Roman" w:hAnsi="Times New Roman" w:cs="Times New Roman"/>
      <w:color w:val="000000"/>
      <w:sz w:val="22"/>
      <w:szCs w:val="22"/>
      <w:u w:val="none"/>
    </w:rPr>
  </w:style>
  <w:style w:type="paragraph" w:customStyle="1" w:styleId="22">
    <w:name w:val="BodyText"/>
    <w:basedOn w:val="1"/>
    <w:qFormat/>
    <w:uiPriority w:val="0"/>
    <w:pPr>
      <w:spacing w:after="120"/>
      <w:textAlignment w:val="baseline"/>
    </w:pPr>
  </w:style>
  <w:style w:type="paragraph" w:customStyle="1" w:styleId="23">
    <w:name w:val="正文 仿宋国标三号 不加粗"/>
    <w:basedOn w:val="1"/>
    <w:qFormat/>
    <w:uiPriority w:val="0"/>
    <w:pPr>
      <w:spacing w:line="600" w:lineRule="exact"/>
      <w:ind w:firstLine="880" w:firstLineChars="200"/>
    </w:pPr>
    <w:rPr>
      <w:rFonts w:ascii="仿宋_GB2312" w:hAnsi="仿宋_GB2312" w:eastAsia="仿宋_GB2312"/>
      <w:sz w:val="32"/>
      <w:szCs w:val="32"/>
    </w:rPr>
  </w:style>
  <w:style w:type="paragraph" w:customStyle="1" w:styleId="24">
    <w:name w:val="正文文本缩进 31"/>
    <w:basedOn w:val="1"/>
    <w:qFormat/>
    <w:uiPriority w:val="0"/>
    <w:pPr>
      <w:ind w:left="420" w:leftChars="200"/>
    </w:pPr>
    <w:rPr>
      <w:rFonts w:ascii="GWZT-EN" w:hAnsi="Calibri" w:eastAsia="仿宋"/>
      <w:sz w:val="16"/>
      <w:szCs w:val="16"/>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9</Pages>
  <Words>6363</Words>
  <Characters>6838</Characters>
  <Lines>0</Lines>
  <Paragraphs>0</Paragraphs>
  <TotalTime>3</TotalTime>
  <ScaleCrop>false</ScaleCrop>
  <LinksUpToDate>false</LinksUpToDate>
  <CharactersWithSpaces>7059</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2022-04-22T17:50:00Z</dcterms:created>
  <dc:creator>lucky</dc:creator>
  <cp:lastModifiedBy>Administrator</cp:lastModifiedBy>
  <dcterms:modified xsi:type="dcterms:W3CDTF">2026-04-27T06:11:48Z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174B463A40CA437A995CB66C29B734C5_13</vt:lpwstr>
  </property>
  <property fmtid="{D5CDD505-2E9C-101B-9397-08002B2CF9AE}" pid="4" name="commondata">
    <vt:lpwstr>eyJoZGlkIjoiN2YzNjBkOTgyNWQ1YTMxYzM3MzMwNWFiODNmOWIzYWMifQ==</vt:lpwstr>
  </property>
  <property fmtid="{D5CDD505-2E9C-101B-9397-08002B2CF9AE}" pid="5" name="KSOTemplateDocerSaveRecord">
    <vt:lpwstr>eyJoZGlkIjoiMGIwYTczZjI4ODQyNmU4M2UyNjRkNDk5N2RmNTk2Y2QiLCJ1c2VySWQiOiIzODg4ODQwMDkifQ==</vt:lpwstr>
  </property>
  <property fmtid="{D5CDD505-2E9C-101B-9397-08002B2CF9AE}" pid="6" name="woTemplateTypoMode" linkTarget="0">
    <vt:lpwstr>web</vt:lpwstr>
  </property>
  <property fmtid="{D5CDD505-2E9C-101B-9397-08002B2CF9AE}" pid="7" name="woTemplate" linkTarget="0">
    <vt:i4>1</vt:i4>
  </property>
</Properties>
</file>