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EA13E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0"/>
        <w:jc w:val="center"/>
        <w:textAlignment w:val="auto"/>
        <w:rPr>
          <w:rFonts w:hint="eastAsia" w:ascii="方正小标宋简体" w:hAnsi="方正小标宋简体" w:eastAsia="方正小标宋简体" w:cs="方正小标宋简体"/>
          <w:b w:val="0"/>
          <w:bCs w:val="0"/>
          <w:i w:val="0"/>
          <w:iCs w:val="0"/>
          <w:caps w:val="0"/>
          <w:color w:val="000000"/>
          <w:spacing w:val="0"/>
          <w:sz w:val="44"/>
          <w:szCs w:val="44"/>
          <w:bdr w:val="none" w:color="auto" w:sz="0" w:space="0"/>
          <w:shd w:val="clear" w:fill="FFFFFF"/>
          <w:lang w:eastAsia="zh-CN"/>
        </w:rPr>
      </w:pPr>
      <w:r>
        <w:rPr>
          <w:rFonts w:hint="eastAsia" w:ascii="方正小标宋简体" w:hAnsi="方正小标宋简体" w:eastAsia="方正小标宋简体" w:cs="方正小标宋简体"/>
          <w:b w:val="0"/>
          <w:bCs w:val="0"/>
          <w:i w:val="0"/>
          <w:iCs w:val="0"/>
          <w:caps w:val="0"/>
          <w:color w:val="000000"/>
          <w:spacing w:val="0"/>
          <w:sz w:val="44"/>
          <w:szCs w:val="44"/>
          <w:bdr w:val="none" w:color="auto" w:sz="0" w:space="0"/>
          <w:shd w:val="clear" w:fill="FFFFFF"/>
        </w:rPr>
        <w:t>关于公开遴选</w:t>
      </w:r>
      <w:r>
        <w:rPr>
          <w:rFonts w:hint="eastAsia" w:ascii="方正小标宋简体" w:hAnsi="方正小标宋简体" w:eastAsia="方正小标宋简体" w:cs="方正小标宋简体"/>
          <w:b w:val="0"/>
          <w:bCs w:val="0"/>
          <w:i w:val="0"/>
          <w:iCs w:val="0"/>
          <w:caps w:val="0"/>
          <w:color w:val="000000"/>
          <w:spacing w:val="0"/>
          <w:sz w:val="44"/>
          <w:szCs w:val="44"/>
          <w:bdr w:val="none" w:color="auto" w:sz="0" w:space="0"/>
          <w:shd w:val="clear" w:fill="FFFFFF"/>
          <w:lang w:eastAsia="zh-CN"/>
        </w:rPr>
        <w:t>安义县</w:t>
      </w:r>
      <w:r>
        <w:rPr>
          <w:rFonts w:hint="eastAsia" w:ascii="方正小标宋简体" w:hAnsi="方正小标宋简体" w:eastAsia="方正小标宋简体" w:cs="方正小标宋简体"/>
          <w:b w:val="0"/>
          <w:bCs w:val="0"/>
          <w:i w:val="0"/>
          <w:iCs w:val="0"/>
          <w:caps w:val="0"/>
          <w:color w:val="000000"/>
          <w:spacing w:val="0"/>
          <w:sz w:val="44"/>
          <w:szCs w:val="44"/>
          <w:bdr w:val="none" w:color="auto" w:sz="0" w:space="0"/>
          <w:shd w:val="clear" w:fill="FFFFFF"/>
        </w:rPr>
        <w:t>老年人能力评估机构的公告</w:t>
      </w:r>
      <w:r>
        <w:rPr>
          <w:rFonts w:hint="eastAsia" w:ascii="方正小标宋简体" w:hAnsi="方正小标宋简体" w:eastAsia="方正小标宋简体" w:cs="方正小标宋简体"/>
          <w:b w:val="0"/>
          <w:bCs w:val="0"/>
          <w:i w:val="0"/>
          <w:iCs w:val="0"/>
          <w:caps w:val="0"/>
          <w:color w:val="000000"/>
          <w:spacing w:val="0"/>
          <w:sz w:val="44"/>
          <w:szCs w:val="44"/>
          <w:bdr w:val="none" w:color="auto" w:sz="0" w:space="0"/>
          <w:shd w:val="clear" w:fill="FFFFFF"/>
          <w:lang w:eastAsia="zh-CN"/>
        </w:rPr>
        <w:t>（第一批）</w:t>
      </w:r>
    </w:p>
    <w:p w14:paraId="2DA82321">
      <w:pPr>
        <w:rPr>
          <w:rFonts w:hint="eastAsia"/>
        </w:rPr>
      </w:pPr>
    </w:p>
    <w:p w14:paraId="2BEAF4A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6" w:beforeAutospacing="0" w:after="106" w:afterAutospacing="0" w:line="560" w:lineRule="exact"/>
        <w:ind w:right="0" w:firstLine="640" w:firstLineChars="200"/>
        <w:jc w:val="both"/>
        <w:textAlignment w:val="auto"/>
        <w:rPr>
          <w:rFonts w:hint="eastAsia" w:ascii="国标仿宋-GB/T 2312" w:hAnsi="国标仿宋-GB/T 2312" w:eastAsia="国标仿宋-GB/T 2312" w:cs="国标仿宋-GB/T 2312"/>
          <w:sz w:val="32"/>
          <w:szCs w:val="32"/>
        </w:rPr>
      </w:pP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rPr>
        <w:t>为进一步规范我</w:t>
      </w: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lang w:eastAsia="zh-CN"/>
        </w:rPr>
        <w:t>县</w:t>
      </w: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rPr>
        <w:t>老年人评估工作，准确界定老年人能力等级、护理等级及服务内容，保障老年人获得适配的养老服务，决定建立</w:t>
      </w: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lang w:eastAsia="zh-CN"/>
        </w:rPr>
        <w:t>安义县</w:t>
      </w: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rPr>
        <w:t>老年人能力评估机构库。现面向社会公开遴选老年人能力评估机构，相关事宜公告如下：</w:t>
      </w:r>
    </w:p>
    <w:p w14:paraId="0DF610C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6" w:beforeAutospacing="0" w:after="106" w:afterAutospacing="0" w:line="560" w:lineRule="exact"/>
        <w:ind w:right="0" w:firstLine="640" w:firstLineChars="200"/>
        <w:jc w:val="both"/>
        <w:textAlignment w:val="auto"/>
        <w:rPr>
          <w:rFonts w:hint="eastAsia" w:ascii="国标黑体" w:hAnsi="国标黑体" w:eastAsia="国标黑体" w:cs="国标黑体"/>
          <w:sz w:val="32"/>
          <w:szCs w:val="32"/>
        </w:rPr>
      </w:pPr>
      <w:r>
        <w:rPr>
          <w:rFonts w:hint="eastAsia" w:ascii="国标黑体" w:hAnsi="国标黑体" w:eastAsia="国标黑体" w:cs="国标黑体"/>
          <w:i w:val="0"/>
          <w:iCs w:val="0"/>
          <w:caps w:val="0"/>
          <w:color w:val="333333"/>
          <w:spacing w:val="0"/>
          <w:sz w:val="32"/>
          <w:szCs w:val="32"/>
          <w:bdr w:val="none" w:color="auto" w:sz="0" w:space="0"/>
          <w:shd w:val="clear" w:fill="FFFFFF"/>
        </w:rPr>
        <w:t>一、遴选条件</w:t>
      </w:r>
    </w:p>
    <w:p w14:paraId="7EEA022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6" w:beforeAutospacing="0" w:after="106" w:afterAutospacing="0" w:line="560" w:lineRule="exact"/>
        <w:ind w:right="0" w:firstLine="640" w:firstLineChars="200"/>
        <w:jc w:val="both"/>
        <w:textAlignment w:val="auto"/>
        <w:rPr>
          <w:rFonts w:hint="eastAsia" w:ascii="国标仿宋-GB/T 2312" w:hAnsi="国标仿宋-GB/T 2312" w:eastAsia="国标仿宋-GB/T 2312" w:cs="国标仿宋-GB/T 2312"/>
          <w:sz w:val="32"/>
          <w:szCs w:val="32"/>
        </w:rPr>
      </w:pP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rPr>
        <w:t>参加遴选的单位应为依法设立，具备承担本项职能所需的相应条件，符合以下条件的企事业单位或社会组织均可报名参加此次遴选工作。</w:t>
      </w:r>
    </w:p>
    <w:p w14:paraId="7DA7840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6" w:beforeAutospacing="0" w:after="106" w:afterAutospacing="0" w:line="560" w:lineRule="exact"/>
        <w:ind w:left="0" w:right="0" w:firstLine="420"/>
        <w:jc w:val="both"/>
        <w:textAlignment w:val="auto"/>
        <w:rPr>
          <w:rFonts w:hint="eastAsia" w:ascii="国标仿宋-GB/T 2312" w:hAnsi="国标仿宋-GB/T 2312" w:eastAsia="国标仿宋-GB/T 2312" w:cs="国标仿宋-GB/T 2312"/>
          <w:sz w:val="32"/>
          <w:szCs w:val="32"/>
        </w:rPr>
      </w:pP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rPr>
        <w:t>（一）依法办理注册登记，运营时间不少于1年；</w:t>
      </w:r>
    </w:p>
    <w:p w14:paraId="24D987C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6" w:beforeAutospacing="0" w:after="106" w:afterAutospacing="0" w:line="560" w:lineRule="exact"/>
        <w:ind w:left="0" w:right="0" w:firstLine="420"/>
        <w:jc w:val="both"/>
        <w:textAlignment w:val="auto"/>
        <w:rPr>
          <w:rFonts w:hint="eastAsia" w:ascii="国标仿宋-GB/T 2312" w:hAnsi="国标仿宋-GB/T 2312" w:eastAsia="国标仿宋-GB/T 2312" w:cs="国标仿宋-GB/T 2312"/>
          <w:sz w:val="32"/>
          <w:szCs w:val="32"/>
        </w:rPr>
      </w:pP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rPr>
        <w:t>（二）至少配置5名专/兼职评估人员，评估人员应具有全日制高中或中专及以上学历，有5年以上从事医疗护理、健康管理、养老服务、老年社会工作等实务经历之一并具有与实务经历相关的专业背景；</w:t>
      </w:r>
    </w:p>
    <w:p w14:paraId="78086C6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6" w:beforeAutospacing="0" w:after="106" w:afterAutospacing="0" w:line="560" w:lineRule="exact"/>
        <w:ind w:left="0" w:right="0" w:firstLine="420"/>
        <w:jc w:val="both"/>
        <w:textAlignment w:val="auto"/>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rPr>
      </w:pP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rPr>
        <w:t>（三）评估人员应当具备老年人能力评估师资质或通过老年人能力评估培训学业评估，具备从事老年人能力评估的从业经历，理解评估指标内容，掌握评估要求；</w:t>
      </w:r>
    </w:p>
    <w:p w14:paraId="2FB986A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6" w:beforeAutospacing="0" w:after="106" w:afterAutospacing="0" w:line="560" w:lineRule="exact"/>
        <w:ind w:left="0" w:right="0" w:firstLine="420"/>
        <w:jc w:val="both"/>
        <w:textAlignment w:val="auto"/>
        <w:rPr>
          <w:rFonts w:hint="eastAsia" w:ascii="国标仿宋-GB/T 2312" w:hAnsi="国标仿宋-GB/T 2312" w:eastAsia="国标仿宋-GB/T 2312" w:cs="国标仿宋-GB/T 2312"/>
          <w:sz w:val="32"/>
          <w:szCs w:val="32"/>
        </w:rPr>
      </w:pP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rPr>
        <w:t>（四）建立完善的隐私保护制度，确保被评估人员和评估人员的尊严、安全和个人隐私不受侵害；</w:t>
      </w:r>
    </w:p>
    <w:p w14:paraId="5E9EDF3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6" w:beforeAutospacing="0" w:after="106" w:afterAutospacing="0" w:line="560" w:lineRule="exact"/>
        <w:ind w:left="0" w:right="0" w:firstLine="420"/>
        <w:jc w:val="both"/>
        <w:textAlignment w:val="auto"/>
        <w:rPr>
          <w:rFonts w:hint="eastAsia" w:ascii="国标仿宋-GB/T 2312" w:hAnsi="国标仿宋-GB/T 2312" w:eastAsia="国标仿宋-GB/T 2312" w:cs="国标仿宋-GB/T 2312"/>
          <w:sz w:val="32"/>
          <w:szCs w:val="32"/>
        </w:rPr>
      </w:pP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rPr>
        <w:t>（五）机构或评估人员近一年内未被纳入单独或联合失信惩戒名单、未被行政处罚、未被纳入人民法院失信被执行人名单，服务过程中未发生重大安全事故或服务对象群体投诉信访事件；</w:t>
      </w:r>
    </w:p>
    <w:p w14:paraId="6E3FD9F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6" w:beforeAutospacing="0" w:after="106" w:afterAutospacing="0" w:line="560" w:lineRule="exact"/>
        <w:ind w:left="0" w:right="0" w:firstLine="420"/>
        <w:jc w:val="both"/>
        <w:textAlignment w:val="auto"/>
        <w:rPr>
          <w:rFonts w:hint="eastAsia" w:ascii="国标仿宋-GB/T 2312" w:hAnsi="国标仿宋-GB/T 2312" w:eastAsia="国标仿宋-GB/T 2312" w:cs="国标仿宋-GB/T 2312"/>
          <w:sz w:val="32"/>
          <w:szCs w:val="32"/>
        </w:rPr>
      </w:pP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rPr>
        <w:t>（六）在本</w:t>
      </w: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lang w:eastAsia="zh-CN"/>
        </w:rPr>
        <w:t>县</w:t>
      </w: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rPr>
        <w:t>开办养老机构</w:t>
      </w: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lang w:eastAsia="zh-CN"/>
        </w:rPr>
        <w:t>（养老服务机构）</w:t>
      </w: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rPr>
        <w:t>或与本</w:t>
      </w: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lang w:eastAsia="zh-CN"/>
        </w:rPr>
        <w:t>县</w:t>
      </w: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rPr>
        <w:t>养老机构</w:t>
      </w: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lang w:eastAsia="zh-CN"/>
        </w:rPr>
        <w:t>（养老服务机构）</w:t>
      </w: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rPr>
        <w:t>存在直接关联（指股权控制、同一法定代表人、隶属关系等）的单位不得参与本次遴选。</w:t>
      </w:r>
    </w:p>
    <w:p w14:paraId="28B6D38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6" w:beforeAutospacing="0" w:after="106" w:afterAutospacing="0" w:line="560" w:lineRule="exact"/>
        <w:ind w:right="0" w:firstLine="640" w:firstLineChars="200"/>
        <w:jc w:val="both"/>
        <w:textAlignment w:val="auto"/>
        <w:rPr>
          <w:rFonts w:hint="eastAsia" w:ascii="国标黑体" w:hAnsi="国标黑体" w:eastAsia="国标黑体" w:cs="国标黑体"/>
          <w:i w:val="0"/>
          <w:iCs w:val="0"/>
          <w:caps w:val="0"/>
          <w:color w:val="333333"/>
          <w:spacing w:val="0"/>
          <w:sz w:val="32"/>
          <w:szCs w:val="32"/>
          <w:shd w:val="clear" w:fill="FFFFFF"/>
        </w:rPr>
      </w:pPr>
      <w:r>
        <w:rPr>
          <w:rFonts w:hint="eastAsia" w:ascii="国标黑体" w:hAnsi="国标黑体" w:eastAsia="国标黑体" w:cs="国标黑体"/>
          <w:i w:val="0"/>
          <w:iCs w:val="0"/>
          <w:caps w:val="0"/>
          <w:color w:val="333333"/>
          <w:spacing w:val="0"/>
          <w:sz w:val="32"/>
          <w:szCs w:val="32"/>
          <w:shd w:val="clear" w:fill="FFFFFF"/>
        </w:rPr>
        <w:t>二、遴选程序</w:t>
      </w:r>
    </w:p>
    <w:p w14:paraId="63822E0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6" w:beforeAutospacing="0" w:after="106" w:afterAutospacing="0" w:line="560" w:lineRule="exact"/>
        <w:ind w:left="0" w:right="0" w:firstLine="420"/>
        <w:jc w:val="both"/>
        <w:textAlignment w:val="auto"/>
        <w:rPr>
          <w:rFonts w:hint="eastAsia" w:ascii="国标仿宋-GB/T 2312" w:hAnsi="国标仿宋-GB/T 2312" w:eastAsia="国标仿宋-GB/T 2312" w:cs="国标仿宋-GB/T 2312"/>
          <w:sz w:val="32"/>
          <w:szCs w:val="32"/>
        </w:rPr>
      </w:pPr>
      <w:r>
        <w:rPr>
          <w:rFonts w:hint="eastAsia" w:ascii="国标仿宋-GB/T 2312" w:hAnsi="国标仿宋-GB/T 2312" w:eastAsia="国标仿宋-GB/T 2312" w:cs="国标仿宋-GB/T 2312"/>
          <w:b/>
          <w:bCs/>
          <w:i w:val="0"/>
          <w:iCs w:val="0"/>
          <w:caps w:val="0"/>
          <w:color w:val="333333"/>
          <w:spacing w:val="0"/>
          <w:sz w:val="32"/>
          <w:szCs w:val="32"/>
          <w:bdr w:val="none" w:color="auto" w:sz="0" w:space="0"/>
          <w:shd w:val="clear" w:fill="FFFFFF"/>
        </w:rPr>
        <w:t>（一）组织报名。</w:t>
      </w: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rPr>
        <w:t>有意向参加的单位，请于202</w:t>
      </w: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lang w:val="en-US" w:eastAsia="zh-CN"/>
        </w:rPr>
        <w:t>6</w:t>
      </w: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rPr>
        <w:t>年1月</w:t>
      </w: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lang w:val="en-US" w:eastAsia="zh-CN"/>
        </w:rPr>
        <w:t>6</w:t>
      </w: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rPr>
        <w:t>日17：00前将以下材料报送至</w:t>
      </w: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lang w:eastAsia="zh-CN"/>
        </w:rPr>
        <w:t>南昌市安义县</w:t>
      </w: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rPr>
        <w:t>民政局</w:t>
      </w: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lang w:val="en-US" w:eastAsia="zh-CN"/>
        </w:rPr>
        <w:t>311</w:t>
      </w: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rPr>
        <w:t>室，纸质材料需加盖公章，电子版PDF格式同步发送至邮箱：</w:t>
      </w: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lang w:val="en-US" w:eastAsia="zh-CN"/>
        </w:rPr>
        <w:t>904639169@qq.com</w:t>
      </w: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rPr>
        <w:t>。</w:t>
      </w:r>
    </w:p>
    <w:p w14:paraId="32BE847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6" w:beforeAutospacing="0" w:after="106" w:afterAutospacing="0" w:line="560" w:lineRule="exact"/>
        <w:ind w:right="0" w:firstLine="640" w:firstLineChars="200"/>
        <w:jc w:val="both"/>
        <w:textAlignment w:val="auto"/>
        <w:rPr>
          <w:rFonts w:hint="eastAsia" w:ascii="国标仿宋-GB/T 2312" w:hAnsi="国标仿宋-GB/T 2312" w:eastAsia="国标仿宋-GB/T 2312" w:cs="国标仿宋-GB/T 2312"/>
          <w:sz w:val="32"/>
          <w:szCs w:val="32"/>
        </w:rPr>
      </w:pP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rPr>
        <w:t>1.企事业单位或社会组织法人登记材料复印件。</w:t>
      </w:r>
    </w:p>
    <w:p w14:paraId="1F6FC77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6" w:beforeAutospacing="0" w:after="106" w:afterAutospacing="0" w:line="560" w:lineRule="exact"/>
        <w:ind w:right="0" w:firstLine="640" w:firstLineChars="200"/>
        <w:jc w:val="both"/>
        <w:textAlignment w:val="auto"/>
        <w:rPr>
          <w:rFonts w:hint="eastAsia" w:ascii="国标仿宋-GB/T 2312" w:hAnsi="国标仿宋-GB/T 2312" w:eastAsia="国标仿宋-GB/T 2312" w:cs="国标仿宋-GB/T 2312"/>
          <w:sz w:val="32"/>
          <w:szCs w:val="32"/>
        </w:rPr>
      </w:pP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rPr>
        <w:t>2.法定代表人身份证复印件。</w:t>
      </w:r>
    </w:p>
    <w:p w14:paraId="496241C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6" w:beforeAutospacing="0" w:after="106" w:afterAutospacing="0" w:line="560" w:lineRule="exact"/>
        <w:ind w:right="0" w:firstLine="640" w:firstLineChars="200"/>
        <w:jc w:val="both"/>
        <w:textAlignment w:val="auto"/>
        <w:rPr>
          <w:rFonts w:hint="eastAsia" w:ascii="国标仿宋-GB/T 2312" w:hAnsi="国标仿宋-GB/T 2312" w:eastAsia="国标仿宋-GB/T 2312" w:cs="国标仿宋-GB/T 2312"/>
          <w:sz w:val="32"/>
          <w:szCs w:val="32"/>
        </w:rPr>
      </w:pP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rPr>
        <w:t>3.开展老年人能力评估服务人员身份证、学历证明、老年人能力评估师职业技能等级证书或经民政部门组织的老年人能力评估师培训考核合格证书复印件，以及从业经历证明（如劳动合同、服务合同等）。</w:t>
      </w:r>
    </w:p>
    <w:p w14:paraId="5F7AC42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6" w:beforeAutospacing="0" w:after="106" w:afterAutospacing="0" w:line="560" w:lineRule="exact"/>
        <w:ind w:right="0" w:firstLine="640" w:firstLineChars="200"/>
        <w:jc w:val="both"/>
        <w:textAlignment w:val="auto"/>
        <w:rPr>
          <w:rFonts w:hint="eastAsia" w:ascii="国标仿宋-GB/T 2312" w:hAnsi="国标仿宋-GB/T 2312" w:eastAsia="国标仿宋-GB/T 2312" w:cs="国标仿宋-GB/T 2312"/>
          <w:sz w:val="32"/>
          <w:szCs w:val="32"/>
        </w:rPr>
      </w:pP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rPr>
        <w:t>4.评估机构需提供“信用中国”（www.creditchina.gov.cn）《法人和非法人组织公共信用信息报告》，法定代表人需提供“信用中国”（www.creditchina.gov.cn）《个人信用报告》（均打印后加盖公章）。</w:t>
      </w:r>
    </w:p>
    <w:p w14:paraId="76DFE4C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6" w:beforeAutospacing="0" w:after="106" w:afterAutospacing="0" w:line="560" w:lineRule="exact"/>
        <w:ind w:right="0" w:firstLine="640" w:firstLineChars="200"/>
        <w:jc w:val="both"/>
        <w:textAlignment w:val="auto"/>
        <w:rPr>
          <w:rFonts w:hint="eastAsia" w:ascii="国标仿宋-GB/T 2312" w:hAnsi="国标仿宋-GB/T 2312" w:eastAsia="国标仿宋-GB/T 2312" w:cs="国标仿宋-GB/T 2312"/>
          <w:sz w:val="32"/>
          <w:szCs w:val="32"/>
        </w:rPr>
      </w:pP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lang w:val="en-US" w:eastAsia="zh-CN"/>
        </w:rPr>
        <w:t>5</w:t>
      </w: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rPr>
        <w:t>.老年人能力评估机构诚信承诺书。</w:t>
      </w:r>
    </w:p>
    <w:p w14:paraId="3D2F938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6" w:beforeAutospacing="0" w:after="106" w:afterAutospacing="0" w:line="560" w:lineRule="exact"/>
        <w:ind w:left="0" w:right="0" w:firstLine="420"/>
        <w:jc w:val="both"/>
        <w:textAlignment w:val="auto"/>
        <w:rPr>
          <w:rFonts w:hint="eastAsia" w:ascii="国标仿宋-GB/T 2312" w:hAnsi="国标仿宋-GB/T 2312" w:eastAsia="国标仿宋-GB/T 2312" w:cs="国标仿宋-GB/T 2312"/>
          <w:i w:val="0"/>
          <w:iCs w:val="0"/>
          <w:caps w:val="0"/>
          <w:color w:val="333333"/>
          <w:spacing w:val="0"/>
          <w:sz w:val="32"/>
          <w:szCs w:val="32"/>
          <w:shd w:val="clear" w:fill="FFFFFF"/>
        </w:rPr>
      </w:pPr>
      <w:r>
        <w:rPr>
          <w:rFonts w:hint="eastAsia" w:ascii="国标仿宋-GB/T 2312" w:hAnsi="国标仿宋-GB/T 2312" w:eastAsia="国标仿宋-GB/T 2312" w:cs="国标仿宋-GB/T 2312"/>
          <w:b/>
          <w:bCs/>
          <w:i w:val="0"/>
          <w:iCs w:val="0"/>
          <w:caps w:val="0"/>
          <w:color w:val="333333"/>
          <w:spacing w:val="0"/>
          <w:sz w:val="32"/>
          <w:szCs w:val="32"/>
          <w:bdr w:val="none" w:color="auto" w:sz="0" w:space="0"/>
          <w:shd w:val="clear" w:fill="FFFFFF"/>
        </w:rPr>
        <w:t>（二）资质审核</w:t>
      </w: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rPr>
        <w:t>。</w:t>
      </w:r>
      <w:r>
        <w:rPr>
          <w:rFonts w:hint="eastAsia" w:ascii="国标仿宋-GB/T 2312" w:hAnsi="国标仿宋-GB/T 2312" w:eastAsia="国标仿宋-GB/T 2312" w:cs="国标仿宋-GB/T 2312"/>
          <w:i w:val="0"/>
          <w:iCs w:val="0"/>
          <w:caps w:val="0"/>
          <w:color w:val="333333"/>
          <w:spacing w:val="0"/>
          <w:sz w:val="32"/>
          <w:szCs w:val="32"/>
          <w:shd w:val="clear" w:fill="FFFFFF"/>
          <w:lang w:val="en-US" w:eastAsia="zh-CN"/>
        </w:rPr>
        <w:t>安义县民政局组织工作人员对申报材料进行审核。对材料不全或不符合要求的，将一次性告知申报机构限期补正；逾期未补正或补正后仍不符合要求的，取消其遴选资格。</w:t>
      </w:r>
    </w:p>
    <w:p w14:paraId="0EBDD98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6" w:beforeAutospacing="0" w:after="106" w:afterAutospacing="0" w:line="560" w:lineRule="exact"/>
        <w:ind w:left="0" w:right="0" w:firstLine="420"/>
        <w:jc w:val="both"/>
        <w:textAlignment w:val="auto"/>
        <w:rPr>
          <w:rFonts w:hint="eastAsia" w:ascii="国标仿宋-GB/T 2312" w:hAnsi="国标仿宋-GB/T 2312" w:eastAsia="国标仿宋-GB/T 2312" w:cs="国标仿宋-GB/T 2312"/>
          <w:sz w:val="32"/>
          <w:szCs w:val="32"/>
        </w:rPr>
      </w:pPr>
      <w:r>
        <w:rPr>
          <w:rFonts w:hint="eastAsia" w:ascii="国标仿宋-GB/T 2312" w:hAnsi="国标仿宋-GB/T 2312" w:eastAsia="国标仿宋-GB/T 2312" w:cs="国标仿宋-GB/T 2312"/>
          <w:b/>
          <w:bCs/>
          <w:i w:val="0"/>
          <w:iCs w:val="0"/>
          <w:caps w:val="0"/>
          <w:color w:val="333333"/>
          <w:spacing w:val="0"/>
          <w:sz w:val="32"/>
          <w:szCs w:val="32"/>
          <w:bdr w:val="none" w:color="auto" w:sz="0" w:space="0"/>
          <w:shd w:val="clear" w:fill="FFFFFF"/>
        </w:rPr>
        <w:t>（三）确定入选单位名单</w:t>
      </w: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rPr>
        <w:t>。根据评审结果确定入选机构名单，并向社会公示5日，公示无异议的，纳入评估机构库。联系电话：0791-</w:t>
      </w: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lang w:val="en-US" w:eastAsia="zh-CN"/>
        </w:rPr>
        <w:t>83421160</w:t>
      </w: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rPr>
        <w:t>。</w:t>
      </w:r>
    </w:p>
    <w:p w14:paraId="6EBA804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6" w:beforeAutospacing="0" w:after="106" w:afterAutospacing="0" w:line="560" w:lineRule="exact"/>
        <w:ind w:right="0" w:firstLine="640" w:firstLineChars="200"/>
        <w:jc w:val="both"/>
        <w:textAlignment w:val="auto"/>
        <w:rPr>
          <w:rFonts w:hint="eastAsia" w:ascii="国标黑体" w:hAnsi="国标黑体" w:eastAsia="国标黑体" w:cs="国标黑体"/>
          <w:i w:val="0"/>
          <w:iCs w:val="0"/>
          <w:caps w:val="0"/>
          <w:color w:val="333333"/>
          <w:spacing w:val="0"/>
          <w:sz w:val="32"/>
          <w:szCs w:val="32"/>
          <w:shd w:val="clear" w:fill="FFFFFF"/>
        </w:rPr>
      </w:pPr>
      <w:r>
        <w:rPr>
          <w:rFonts w:hint="eastAsia" w:ascii="国标黑体" w:hAnsi="国标黑体" w:eastAsia="国标黑体" w:cs="国标黑体"/>
          <w:i w:val="0"/>
          <w:iCs w:val="0"/>
          <w:caps w:val="0"/>
          <w:color w:val="333333"/>
          <w:spacing w:val="0"/>
          <w:sz w:val="32"/>
          <w:szCs w:val="32"/>
          <w:shd w:val="clear" w:fill="FFFFFF"/>
        </w:rPr>
        <w:t>三、开展评估程序和费用</w:t>
      </w:r>
    </w:p>
    <w:p w14:paraId="583A8C7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6" w:beforeAutospacing="0" w:after="106" w:afterAutospacing="0" w:line="560" w:lineRule="exact"/>
        <w:ind w:right="0" w:firstLine="640" w:firstLineChars="200"/>
        <w:jc w:val="both"/>
        <w:textAlignment w:val="auto"/>
        <w:rPr>
          <w:rFonts w:hint="eastAsia" w:ascii="国标仿宋-GB/T 2312" w:hAnsi="国标仿宋-GB/T 2312" w:eastAsia="国标仿宋-GB/T 2312" w:cs="国标仿宋-GB/T 2312"/>
          <w:sz w:val="32"/>
          <w:szCs w:val="32"/>
        </w:rPr>
      </w:pP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lang w:eastAsia="zh-CN"/>
        </w:rPr>
        <w:t>安义县</w:t>
      </w: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rPr>
        <w:t>民政局</w:t>
      </w: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lang w:eastAsia="zh-CN"/>
        </w:rPr>
        <w:t>根据实际工作需要，</w:t>
      </w: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rPr>
        <w:t>从全</w:t>
      </w: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lang w:eastAsia="zh-CN"/>
        </w:rPr>
        <w:t>县</w:t>
      </w: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rPr>
        <w:t>老年人评估机构库中选取机构承接</w:t>
      </w:r>
      <w:bookmarkStart w:id="0" w:name="_GoBack"/>
      <w:bookmarkEnd w:id="0"/>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rPr>
        <w:t>老年人评估工作，评估机构应</w:t>
      </w: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lang w:eastAsia="zh-CN"/>
        </w:rPr>
        <w:t>在时间要求内</w:t>
      </w: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rPr>
        <w:t>完成评估工作。评估费用单价为：老人评估每人次≤</w:t>
      </w: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lang w:val="en-US" w:eastAsia="zh-CN"/>
        </w:rPr>
        <w:t>10</w:t>
      </w: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rPr>
        <w:t>0元（含一次异议复评），以上费用均为包干价。</w:t>
      </w:r>
    </w:p>
    <w:p w14:paraId="474B277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6" w:beforeAutospacing="0" w:after="106" w:afterAutospacing="0" w:line="560" w:lineRule="exact"/>
        <w:ind w:right="0" w:firstLine="640" w:firstLineChars="200"/>
        <w:jc w:val="both"/>
        <w:textAlignment w:val="auto"/>
        <w:rPr>
          <w:rFonts w:hint="eastAsia" w:ascii="国标黑体" w:hAnsi="国标黑体" w:eastAsia="国标黑体" w:cs="国标黑体"/>
          <w:i w:val="0"/>
          <w:iCs w:val="0"/>
          <w:caps w:val="0"/>
          <w:color w:val="333333"/>
          <w:spacing w:val="0"/>
          <w:sz w:val="32"/>
          <w:szCs w:val="32"/>
          <w:shd w:val="clear" w:fill="FFFFFF"/>
        </w:rPr>
      </w:pPr>
      <w:r>
        <w:rPr>
          <w:rFonts w:hint="eastAsia" w:ascii="国标黑体" w:hAnsi="国标黑体" w:eastAsia="国标黑体" w:cs="国标黑体"/>
          <w:i w:val="0"/>
          <w:iCs w:val="0"/>
          <w:caps w:val="0"/>
          <w:color w:val="333333"/>
          <w:spacing w:val="0"/>
          <w:sz w:val="32"/>
          <w:szCs w:val="32"/>
          <w:shd w:val="clear" w:fill="FFFFFF"/>
        </w:rPr>
        <w:t>四、评估库运用</w:t>
      </w:r>
    </w:p>
    <w:p w14:paraId="4774815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6" w:beforeAutospacing="0" w:after="106" w:afterAutospacing="0" w:line="560" w:lineRule="exact"/>
        <w:ind w:right="0" w:firstLine="640" w:firstLineChars="200"/>
        <w:jc w:val="both"/>
        <w:textAlignment w:val="auto"/>
        <w:rPr>
          <w:rFonts w:hint="eastAsia" w:ascii="国标仿宋-GB/T 2312" w:hAnsi="国标仿宋-GB/T 2312" w:eastAsia="国标仿宋-GB/T 2312" w:cs="国标仿宋-GB/T 2312"/>
          <w:sz w:val="32"/>
          <w:szCs w:val="32"/>
        </w:rPr>
      </w:pP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rPr>
        <w:t>纳入全</w:t>
      </w: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lang w:eastAsia="zh-CN"/>
        </w:rPr>
        <w:t>县</w:t>
      </w: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rPr>
        <w:t>老年人评估机构库的机构，将作为本</w:t>
      </w: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lang w:eastAsia="zh-CN"/>
        </w:rPr>
        <w:t>县</w:t>
      </w: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rPr>
        <w:t>老年人能力评估服务的备选单位，按程序承接</w:t>
      </w: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lang w:eastAsia="zh-CN"/>
        </w:rPr>
        <w:t>安义县</w:t>
      </w: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rPr>
        <w:t>老年人评估服务工作。</w:t>
      </w:r>
    </w:p>
    <w:p w14:paraId="1627653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6" w:beforeAutospacing="0" w:after="106" w:afterAutospacing="0" w:line="560" w:lineRule="exact"/>
        <w:ind w:right="0" w:firstLine="640" w:firstLineChars="200"/>
        <w:jc w:val="both"/>
        <w:textAlignment w:val="auto"/>
        <w:rPr>
          <w:rFonts w:hint="eastAsia" w:ascii="国标黑体" w:hAnsi="国标黑体" w:eastAsia="国标黑体" w:cs="国标黑体"/>
          <w:i w:val="0"/>
          <w:iCs w:val="0"/>
          <w:caps w:val="0"/>
          <w:color w:val="333333"/>
          <w:spacing w:val="0"/>
          <w:sz w:val="32"/>
          <w:szCs w:val="32"/>
          <w:shd w:val="clear" w:fill="FFFFFF"/>
        </w:rPr>
      </w:pPr>
      <w:r>
        <w:rPr>
          <w:rFonts w:hint="eastAsia" w:ascii="国标黑体" w:hAnsi="国标黑体" w:eastAsia="国标黑体" w:cs="国标黑体"/>
          <w:i w:val="0"/>
          <w:iCs w:val="0"/>
          <w:caps w:val="0"/>
          <w:color w:val="333333"/>
          <w:spacing w:val="0"/>
          <w:sz w:val="32"/>
          <w:szCs w:val="32"/>
          <w:shd w:val="clear" w:fill="FFFFFF"/>
        </w:rPr>
        <w:t>五、其他</w:t>
      </w:r>
    </w:p>
    <w:p w14:paraId="6159A69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6" w:beforeAutospacing="0" w:after="106" w:afterAutospacing="0" w:line="560" w:lineRule="exact"/>
        <w:ind w:right="0" w:firstLine="640" w:firstLineChars="200"/>
        <w:jc w:val="both"/>
        <w:textAlignment w:val="auto"/>
        <w:rPr>
          <w:rFonts w:hint="eastAsia" w:ascii="国标仿宋-GB/T 2312" w:hAnsi="国标仿宋-GB/T 2312" w:eastAsia="国标仿宋-GB/T 2312" w:cs="国标仿宋-GB/T 2312"/>
          <w:sz w:val="32"/>
          <w:szCs w:val="32"/>
        </w:rPr>
      </w:pP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rPr>
        <w:t>1</w:t>
      </w: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lang w:val="en-US" w:eastAsia="zh-CN"/>
        </w:rPr>
        <w:t>.</w:t>
      </w: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rPr>
        <w:t>入库机构需遵守本</w:t>
      </w: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lang w:eastAsia="zh-CN"/>
        </w:rPr>
        <w:t>县</w:t>
      </w: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rPr>
        <w:t>养老服务相关规定，接受</w:t>
      </w: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lang w:eastAsia="zh-CN"/>
        </w:rPr>
        <w:t>县</w:t>
      </w: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rPr>
        <w:t>民政局的监督检查。</w:t>
      </w:r>
    </w:p>
    <w:p w14:paraId="1C27214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6" w:beforeAutospacing="0" w:after="106" w:afterAutospacing="0" w:line="560" w:lineRule="exact"/>
        <w:ind w:right="0" w:firstLine="640" w:firstLineChars="200"/>
        <w:jc w:val="both"/>
        <w:textAlignment w:val="auto"/>
        <w:rPr>
          <w:rFonts w:hint="eastAsia" w:ascii="国标仿宋-GB/T 2312" w:hAnsi="国标仿宋-GB/T 2312" w:eastAsia="国标仿宋-GB/T 2312" w:cs="国标仿宋-GB/T 2312"/>
          <w:sz w:val="32"/>
          <w:szCs w:val="32"/>
        </w:rPr>
      </w:pP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rPr>
        <w:t>2</w:t>
      </w: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lang w:val="en-US" w:eastAsia="zh-CN"/>
        </w:rPr>
        <w:t>.</w:t>
      </w: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rPr>
        <w:t>本公告由南昌市</w:t>
      </w: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lang w:eastAsia="zh-CN"/>
        </w:rPr>
        <w:t>安义县</w:t>
      </w: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rPr>
        <w:t>民政局负责解释。</w:t>
      </w:r>
    </w:p>
    <w:p w14:paraId="2A3BB78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6" w:beforeAutospacing="0" w:after="106" w:afterAutospacing="0" w:line="560" w:lineRule="exact"/>
        <w:ind w:right="0" w:firstLine="640" w:firstLineChars="200"/>
        <w:jc w:val="both"/>
        <w:textAlignment w:val="auto"/>
        <w:rPr>
          <w:rFonts w:hint="eastAsia" w:ascii="国标仿宋-GB/T 2312" w:hAnsi="国标仿宋-GB/T 2312" w:eastAsia="国标仿宋-GB/T 2312" w:cs="国标仿宋-GB/T 2312"/>
          <w:sz w:val="32"/>
          <w:szCs w:val="32"/>
        </w:rPr>
      </w:pP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rPr>
        <w:t>3</w:t>
      </w: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lang w:val="en-US" w:eastAsia="zh-CN"/>
        </w:rPr>
        <w:t>.</w:t>
      </w:r>
      <w:r>
        <w:rPr>
          <w:rFonts w:hint="eastAsia" w:ascii="国标仿宋-GB/T 2312" w:hAnsi="国标仿宋-GB/T 2312" w:eastAsia="国标仿宋-GB/T 2312" w:cs="国标仿宋-GB/T 2312"/>
          <w:i w:val="0"/>
          <w:iCs w:val="0"/>
          <w:caps w:val="0"/>
          <w:color w:val="333333"/>
          <w:spacing w:val="0"/>
          <w:sz w:val="32"/>
          <w:szCs w:val="32"/>
          <w:bdr w:val="none" w:color="auto" w:sz="0" w:space="0"/>
          <w:shd w:val="clear" w:fill="FFFFFF"/>
        </w:rPr>
        <w:t>未尽事宜另行通知。</w:t>
      </w:r>
    </w:p>
    <w:p w14:paraId="499FC94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6" w:beforeAutospacing="0" w:after="106" w:afterAutospacing="0" w:line="560" w:lineRule="exact"/>
        <w:ind w:right="0" w:firstLine="640" w:firstLineChars="200"/>
        <w:jc w:val="both"/>
        <w:textAlignment w:val="auto"/>
        <w:rPr>
          <w:rFonts w:hint="eastAsia" w:ascii="国标仿宋-GB/T 2312" w:hAnsi="国标仿宋-GB/T 2312" w:eastAsia="国标仿宋-GB/T 2312" w:cs="国标仿宋-GB/T 2312"/>
          <w:i w:val="0"/>
          <w:iCs w:val="0"/>
          <w:caps w:val="0"/>
          <w:color w:val="333333"/>
          <w:spacing w:val="0"/>
          <w:sz w:val="32"/>
          <w:szCs w:val="32"/>
          <w:u w:val="none"/>
          <w:bdr w:val="none" w:color="auto" w:sz="0" w:space="0"/>
          <w:shd w:val="clear" w:fill="FFFFFF"/>
        </w:rPr>
      </w:pPr>
      <w:r>
        <w:rPr>
          <w:rFonts w:hint="eastAsia" w:ascii="国标仿宋-GB/T 2312" w:hAnsi="国标仿宋-GB/T 2312" w:eastAsia="国标仿宋-GB/T 2312" w:cs="国标仿宋-GB/T 2312"/>
          <w:i w:val="0"/>
          <w:iCs w:val="0"/>
          <w:caps w:val="0"/>
          <w:color w:val="333333"/>
          <w:spacing w:val="0"/>
          <w:sz w:val="32"/>
          <w:szCs w:val="32"/>
          <w:u w:val="none"/>
          <w:bdr w:val="none" w:color="auto" w:sz="0" w:space="0"/>
          <w:shd w:val="clear" w:fill="FFFFFF"/>
        </w:rPr>
        <w:fldChar w:fldCharType="begin"/>
      </w:r>
      <w:r>
        <w:rPr>
          <w:rFonts w:hint="eastAsia" w:ascii="国标仿宋-GB/T 2312" w:hAnsi="国标仿宋-GB/T 2312" w:eastAsia="国标仿宋-GB/T 2312" w:cs="国标仿宋-GB/T 2312"/>
          <w:i w:val="0"/>
          <w:iCs w:val="0"/>
          <w:caps w:val="0"/>
          <w:color w:val="333333"/>
          <w:spacing w:val="0"/>
          <w:sz w:val="32"/>
          <w:szCs w:val="32"/>
          <w:u w:val="none"/>
          <w:bdr w:val="none" w:color="auto" w:sz="0" w:space="0"/>
          <w:shd w:val="clear" w:fill="FFFFFF"/>
        </w:rPr>
        <w:instrText xml:space="preserve"> HYPERLINK "http://ncqsh.nc.gov.cn/ncqsh/tzgg/202512/9cefde9b1b7d43e590a5fdc0edeeb3fb/files/%E9%99%84%E4%BB%B6%EF%BC%9A%E8%80%81%E5%B9%B4%E4%BA%BA%E8%83%BD%E5%8A%9B%E8%AF%84%E4%BC%B0%E6%9C%BA%E6%9E%84%E8%AF%9A%E4%BF%A1%E6%89%BF%E8%AF%BA%E4%B9%A6.docx" \t "/home/user/文档\\x/_blank" </w:instrText>
      </w:r>
      <w:r>
        <w:rPr>
          <w:rFonts w:hint="eastAsia" w:ascii="国标仿宋-GB/T 2312" w:hAnsi="国标仿宋-GB/T 2312" w:eastAsia="国标仿宋-GB/T 2312" w:cs="国标仿宋-GB/T 2312"/>
          <w:i w:val="0"/>
          <w:iCs w:val="0"/>
          <w:caps w:val="0"/>
          <w:color w:val="333333"/>
          <w:spacing w:val="0"/>
          <w:sz w:val="32"/>
          <w:szCs w:val="32"/>
          <w:u w:val="none"/>
          <w:bdr w:val="none" w:color="auto" w:sz="0" w:space="0"/>
          <w:shd w:val="clear" w:fill="FFFFFF"/>
        </w:rPr>
        <w:fldChar w:fldCharType="separate"/>
      </w:r>
      <w:r>
        <w:rPr>
          <w:rStyle w:val="7"/>
          <w:rFonts w:hint="eastAsia" w:ascii="国标仿宋-GB/T 2312" w:hAnsi="国标仿宋-GB/T 2312" w:eastAsia="国标仿宋-GB/T 2312" w:cs="国标仿宋-GB/T 2312"/>
          <w:i w:val="0"/>
          <w:iCs w:val="0"/>
          <w:caps w:val="0"/>
          <w:color w:val="333333"/>
          <w:spacing w:val="0"/>
          <w:sz w:val="32"/>
          <w:szCs w:val="32"/>
          <w:u w:val="none"/>
          <w:bdr w:val="none" w:color="auto" w:sz="0" w:space="0"/>
          <w:shd w:val="clear" w:fill="FFFFFF"/>
        </w:rPr>
        <w:t>附件：老年人能力评估机构诚信承诺书</w:t>
      </w:r>
      <w:r>
        <w:rPr>
          <w:rFonts w:hint="eastAsia" w:ascii="国标仿宋-GB/T 2312" w:hAnsi="国标仿宋-GB/T 2312" w:eastAsia="国标仿宋-GB/T 2312" w:cs="国标仿宋-GB/T 2312"/>
          <w:i w:val="0"/>
          <w:iCs w:val="0"/>
          <w:caps w:val="0"/>
          <w:color w:val="333333"/>
          <w:spacing w:val="0"/>
          <w:sz w:val="32"/>
          <w:szCs w:val="32"/>
          <w:u w:val="none"/>
          <w:bdr w:val="none" w:color="auto" w:sz="0" w:space="0"/>
          <w:shd w:val="clear" w:fill="FFFFFF"/>
        </w:rPr>
        <w:fldChar w:fldCharType="end"/>
      </w:r>
    </w:p>
    <w:p w14:paraId="1D02D02C">
      <w:pPr>
        <w:rPr>
          <w:rFonts w:hint="eastAsia" w:ascii="国标仿宋-GB/T 2312" w:hAnsi="国标仿宋-GB/T 2312" w:eastAsia="国标仿宋-GB/T 2312" w:cs="国标仿宋-GB/T 2312"/>
          <w:i w:val="0"/>
          <w:iCs w:val="0"/>
          <w:caps w:val="0"/>
          <w:color w:val="333333"/>
          <w:spacing w:val="0"/>
          <w:sz w:val="32"/>
          <w:szCs w:val="32"/>
          <w:u w:val="none"/>
          <w:bdr w:val="none" w:color="auto" w:sz="0" w:space="0"/>
          <w:shd w:val="clear" w:fill="FFFFFF"/>
        </w:rPr>
      </w:pPr>
      <w:r>
        <w:rPr>
          <w:rFonts w:hint="eastAsia" w:ascii="国标仿宋-GB/T 2312" w:hAnsi="国标仿宋-GB/T 2312" w:eastAsia="国标仿宋-GB/T 2312" w:cs="国标仿宋-GB/T 2312"/>
          <w:i w:val="0"/>
          <w:iCs w:val="0"/>
          <w:caps w:val="0"/>
          <w:color w:val="333333"/>
          <w:spacing w:val="0"/>
          <w:sz w:val="32"/>
          <w:szCs w:val="32"/>
          <w:u w:val="none"/>
          <w:bdr w:val="none" w:color="auto" w:sz="0" w:space="0"/>
          <w:shd w:val="clear" w:fill="FFFFFF"/>
        </w:rPr>
        <w:br w:type="page"/>
      </w:r>
    </w:p>
    <w:p w14:paraId="62F6F492">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附件</w:t>
      </w:r>
    </w:p>
    <w:p w14:paraId="53C0E3B7">
      <w:pPr>
        <w:keepNext w:val="0"/>
        <w:keepLines w:val="0"/>
        <w:pageBreakBefore w:val="0"/>
        <w:widowControl/>
        <w:suppressLineNumbers w:val="0"/>
        <w:kinsoku/>
        <w:wordWrap/>
        <w:overflowPunct/>
        <w:topLinePunct w:val="0"/>
        <w:autoSpaceDE/>
        <w:autoSpaceDN/>
        <w:bidi w:val="0"/>
        <w:adjustRightInd/>
        <w:snapToGrid/>
        <w:spacing w:line="560" w:lineRule="exact"/>
        <w:ind w:firstLine="880" w:firstLineChars="200"/>
        <w:jc w:val="left"/>
        <w:textAlignment w:val="auto"/>
        <w:rPr>
          <w:rFonts w:hint="eastAsia" w:ascii="方正小标宋简体" w:hAnsi="方正小标宋简体" w:eastAsia="方正小标宋简体" w:cs="方正小标宋简体"/>
          <w:color w:val="000000"/>
          <w:kern w:val="0"/>
          <w:sz w:val="44"/>
          <w:szCs w:val="44"/>
          <w:lang w:val="en-US" w:eastAsia="zh-CN" w:bidi="ar"/>
        </w:rPr>
      </w:pPr>
    </w:p>
    <w:p w14:paraId="25BC797D">
      <w:pPr>
        <w:keepNext w:val="0"/>
        <w:keepLines w:val="0"/>
        <w:pageBreakBefore w:val="0"/>
        <w:widowControl w:val="0"/>
        <w:suppressLineNumbers w:val="0"/>
        <w:kinsoku/>
        <w:wordWrap/>
        <w:overflowPunct/>
        <w:topLinePunct w:val="0"/>
        <w:autoSpaceDE/>
        <w:autoSpaceDN/>
        <w:bidi w:val="0"/>
        <w:adjustRightInd/>
        <w:snapToGrid/>
        <w:spacing w:line="560" w:lineRule="exact"/>
        <w:ind w:firstLine="880" w:firstLineChars="200"/>
        <w:jc w:val="left"/>
        <w:textAlignment w:val="auto"/>
        <w:rPr>
          <w:rFonts w:hint="eastAsia" w:ascii="方正小标宋简体" w:hAnsi="方正小标宋简体" w:eastAsia="方正小标宋简体" w:cs="方正小标宋简体"/>
          <w:color w:val="000000"/>
          <w:kern w:val="0"/>
          <w:sz w:val="44"/>
          <w:szCs w:val="44"/>
          <w:lang w:val="en-US" w:eastAsia="zh-CN" w:bidi="ar"/>
        </w:rPr>
      </w:pPr>
      <w:r>
        <w:rPr>
          <w:rFonts w:hint="eastAsia" w:ascii="方正小标宋简体" w:hAnsi="方正小标宋简体" w:eastAsia="方正小标宋简体" w:cs="方正小标宋简体"/>
          <w:color w:val="000000"/>
          <w:kern w:val="0"/>
          <w:sz w:val="44"/>
          <w:szCs w:val="44"/>
          <w:lang w:val="en-US" w:eastAsia="zh-CN" w:bidi="ar"/>
        </w:rPr>
        <w:t>老年人能力评估机构诚信承诺书</w:t>
      </w:r>
    </w:p>
    <w:p w14:paraId="312F575A">
      <w:pPr>
        <w:keepNext w:val="0"/>
        <w:keepLines w:val="0"/>
        <w:pageBreakBefore w:val="0"/>
        <w:widowControl w:val="0"/>
        <w:suppressLineNumbers w:val="0"/>
        <w:kinsoku/>
        <w:wordWrap/>
        <w:overflowPunct/>
        <w:topLinePunct w:val="0"/>
        <w:autoSpaceDE/>
        <w:autoSpaceDN/>
        <w:bidi w:val="0"/>
        <w:adjustRightInd/>
        <w:snapToGrid/>
        <w:spacing w:line="560" w:lineRule="exact"/>
        <w:ind w:firstLine="620" w:firstLineChars="200"/>
        <w:jc w:val="left"/>
        <w:textAlignment w:val="auto"/>
        <w:rPr>
          <w:rFonts w:ascii="仿宋_GB2312" w:hAnsi="宋体" w:eastAsia="仿宋_GB2312" w:cs="仿宋_GB2312"/>
          <w:color w:val="000000"/>
          <w:kern w:val="0"/>
          <w:sz w:val="31"/>
          <w:szCs w:val="31"/>
          <w:lang w:val="en-US" w:eastAsia="zh-CN" w:bidi="ar"/>
        </w:rPr>
      </w:pPr>
    </w:p>
    <w:p w14:paraId="7B4E4806">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left"/>
        <w:textAlignment w:val="auto"/>
        <w:rPr>
          <w:sz w:val="32"/>
          <w:szCs w:val="32"/>
        </w:rPr>
      </w:pPr>
      <w:r>
        <w:rPr>
          <w:rFonts w:ascii="仿宋_GB2312" w:hAnsi="宋体" w:eastAsia="仿宋_GB2312" w:cs="仿宋_GB2312"/>
          <w:color w:val="000000"/>
          <w:kern w:val="0"/>
          <w:sz w:val="32"/>
          <w:szCs w:val="32"/>
          <w:lang w:val="en-US" w:eastAsia="zh-CN" w:bidi="ar"/>
        </w:rPr>
        <w:t>我机构自愿参与</w:t>
      </w:r>
      <w:r>
        <w:rPr>
          <w:rFonts w:hint="eastAsia" w:ascii="仿宋_GB2312" w:hAnsi="宋体" w:eastAsia="仿宋_GB2312" w:cs="仿宋_GB2312"/>
          <w:color w:val="000000"/>
          <w:kern w:val="0"/>
          <w:sz w:val="32"/>
          <w:szCs w:val="32"/>
          <w:lang w:val="en-US" w:eastAsia="zh-CN" w:bidi="ar"/>
        </w:rPr>
        <w:t xml:space="preserve">安义县老年人评估工作，为保证老年人能力评估结果的真实性、准确性，作出如下承诺： </w:t>
      </w:r>
    </w:p>
    <w:p w14:paraId="5CA28A18">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left"/>
        <w:textAlignment w:val="auto"/>
        <w:rPr>
          <w:sz w:val="32"/>
          <w:szCs w:val="32"/>
        </w:rPr>
      </w:pPr>
      <w:r>
        <w:rPr>
          <w:rFonts w:hint="eastAsia" w:ascii="仿宋_GB2312" w:hAnsi="宋体" w:eastAsia="仿宋_GB2312" w:cs="仿宋_GB2312"/>
          <w:color w:val="000000"/>
          <w:kern w:val="0"/>
          <w:sz w:val="32"/>
          <w:szCs w:val="32"/>
          <w:lang w:val="en-US" w:eastAsia="zh-CN" w:bidi="ar"/>
        </w:rPr>
        <w:t xml:space="preserve">1.严格履行政策规定，按照评估标准开展评估工作，确保评估过程全程可追溯（留存评估影音资料、原始记录等），结果真实可信。不与养老机构（养老服务机构）、老人或家属串通、伪造评估过程或评估结果。杜绝虚假评估、评估结果不准确等情况。 </w:t>
      </w:r>
    </w:p>
    <w:p w14:paraId="48722E8B">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left"/>
        <w:textAlignment w:val="auto"/>
        <w:rPr>
          <w:sz w:val="32"/>
          <w:szCs w:val="32"/>
        </w:rPr>
      </w:pPr>
      <w:r>
        <w:rPr>
          <w:rFonts w:hint="eastAsia" w:ascii="仿宋_GB2312" w:hAnsi="宋体" w:eastAsia="仿宋_GB2312" w:cs="仿宋_GB2312"/>
          <w:color w:val="000000"/>
          <w:kern w:val="0"/>
          <w:sz w:val="32"/>
          <w:szCs w:val="32"/>
          <w:lang w:val="en-US" w:eastAsia="zh-CN" w:bidi="ar"/>
        </w:rPr>
        <w:t xml:space="preserve">2.严格执行法律法规及《老年人能力评估规范》（GB/T </w:t>
      </w:r>
    </w:p>
    <w:p w14:paraId="2EDA4CCF">
      <w:pPr>
        <w:keepNext w:val="0"/>
        <w:keepLines w:val="0"/>
        <w:pageBreakBefore w:val="0"/>
        <w:widowControl w:val="0"/>
        <w:suppressLineNumbers w:val="0"/>
        <w:kinsoku/>
        <w:wordWrap/>
        <w:overflowPunct/>
        <w:topLinePunct w:val="0"/>
        <w:autoSpaceDE/>
        <w:autoSpaceDN/>
        <w:bidi w:val="0"/>
        <w:adjustRightInd/>
        <w:snapToGrid/>
        <w:spacing w:line="560" w:lineRule="exact"/>
        <w:jc w:val="left"/>
        <w:textAlignment w:val="auto"/>
        <w:rPr>
          <w:sz w:val="32"/>
          <w:szCs w:val="32"/>
        </w:rPr>
      </w:pPr>
      <w:r>
        <w:rPr>
          <w:rFonts w:hint="eastAsia" w:ascii="仿宋_GB2312" w:hAnsi="宋体" w:eastAsia="仿宋_GB2312" w:cs="仿宋_GB2312"/>
          <w:color w:val="000000"/>
          <w:kern w:val="0"/>
          <w:sz w:val="32"/>
          <w:szCs w:val="32"/>
          <w:lang w:val="en-US" w:eastAsia="zh-CN" w:bidi="ar"/>
        </w:rPr>
        <w:t xml:space="preserve">42195-2022）国家标准等强制性标准要求。 </w:t>
      </w:r>
    </w:p>
    <w:p w14:paraId="17DA3E4E">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left"/>
        <w:textAlignment w:val="auto"/>
        <w:rPr>
          <w:sz w:val="32"/>
          <w:szCs w:val="32"/>
        </w:rPr>
      </w:pPr>
      <w:r>
        <w:rPr>
          <w:rFonts w:hint="eastAsia" w:ascii="仿宋_GB2312" w:hAnsi="宋体" w:eastAsia="仿宋_GB2312" w:cs="仿宋_GB2312"/>
          <w:color w:val="000000"/>
          <w:kern w:val="0"/>
          <w:sz w:val="32"/>
          <w:szCs w:val="32"/>
          <w:lang w:val="en-US" w:eastAsia="zh-CN" w:bidi="ar"/>
        </w:rPr>
        <w:t xml:space="preserve">3.活动开展前组织对机构评估人员进行集中培训，确保能够正确、及时回答老年人有关评估问题的咨询，熟练操作评估人员移动设备及软件，真实客观对老年人能力状况进行评价，按规定出具评估结果。 </w:t>
      </w:r>
    </w:p>
    <w:p w14:paraId="2528B4AE">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宋体" w:eastAsia="仿宋_GB2312" w:cs="仿宋_GB2312"/>
          <w:color w:val="000000"/>
          <w:kern w:val="0"/>
          <w:sz w:val="32"/>
          <w:szCs w:val="32"/>
          <w:lang w:val="en-US" w:eastAsia="zh-CN" w:bidi="ar"/>
        </w:rPr>
      </w:pPr>
      <w:r>
        <w:rPr>
          <w:rFonts w:hint="eastAsia" w:ascii="仿宋_GB2312" w:hAnsi="宋体" w:eastAsia="仿宋_GB2312" w:cs="仿宋_GB2312"/>
          <w:color w:val="000000"/>
          <w:kern w:val="0"/>
          <w:sz w:val="32"/>
          <w:szCs w:val="32"/>
          <w:lang w:val="en-US" w:eastAsia="zh-CN" w:bidi="ar"/>
        </w:rPr>
        <w:t>4.本机构未在安义县开办养老机构（养老服务机构），与安义县养老机构（养老服务机构）无关联关系或利益关系。</w:t>
      </w:r>
    </w:p>
    <w:p w14:paraId="78165850">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宋体" w:eastAsia="仿宋_GB2312" w:cs="仿宋_GB2312"/>
          <w:color w:val="000000"/>
          <w:kern w:val="0"/>
          <w:sz w:val="32"/>
          <w:szCs w:val="32"/>
          <w:lang w:val="en-US" w:eastAsia="zh-CN" w:bidi="ar"/>
        </w:rPr>
      </w:pPr>
      <w:r>
        <w:rPr>
          <w:rFonts w:hint="eastAsia" w:ascii="仿宋_GB2312" w:hAnsi="宋体" w:eastAsia="仿宋_GB2312" w:cs="仿宋_GB2312"/>
          <w:color w:val="000000"/>
          <w:kern w:val="0"/>
          <w:sz w:val="32"/>
          <w:szCs w:val="32"/>
          <w:lang w:val="en-US" w:eastAsia="zh-CN" w:bidi="ar"/>
        </w:rPr>
        <w:t>5. 严格保守评估活动中知悉的老年人个人隐私、健康信息及家庭情况，不向无关人员泄露，不利用上述信息获取利益。</w:t>
      </w:r>
    </w:p>
    <w:p w14:paraId="4C760486">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宋体" w:eastAsia="仿宋_GB2312" w:cs="仿宋_GB2312"/>
          <w:color w:val="000000"/>
          <w:kern w:val="0"/>
          <w:sz w:val="32"/>
          <w:szCs w:val="32"/>
          <w:lang w:val="en-US" w:eastAsia="zh-CN" w:bidi="ar"/>
        </w:rPr>
      </w:pPr>
      <w:r>
        <w:rPr>
          <w:rFonts w:hint="eastAsia" w:ascii="仿宋_GB2312" w:hAnsi="宋体" w:eastAsia="仿宋_GB2312" w:cs="仿宋_GB2312"/>
          <w:color w:val="000000"/>
          <w:kern w:val="0"/>
          <w:sz w:val="32"/>
          <w:szCs w:val="32"/>
          <w:lang w:val="en-US" w:eastAsia="zh-CN" w:bidi="ar"/>
        </w:rPr>
        <w:t>6.评估人员与被评估老年人或其家属、相关养老机构存在利益关系或其他可能影响公正评估情形的，主动申请回避。</w:t>
      </w:r>
    </w:p>
    <w:p w14:paraId="1D9CD844">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宋体" w:eastAsia="仿宋_GB2312" w:cs="仿宋_GB2312"/>
          <w:color w:val="000000"/>
          <w:kern w:val="0"/>
          <w:sz w:val="32"/>
          <w:szCs w:val="32"/>
          <w:lang w:val="en-US" w:eastAsia="zh-CN" w:bidi="ar"/>
        </w:rPr>
      </w:pPr>
      <w:r>
        <w:rPr>
          <w:rFonts w:hint="eastAsia" w:ascii="仿宋_GB2312" w:hAnsi="宋体" w:eastAsia="仿宋_GB2312" w:cs="仿宋_GB2312"/>
          <w:color w:val="000000"/>
          <w:kern w:val="0"/>
          <w:sz w:val="32"/>
          <w:szCs w:val="32"/>
          <w:lang w:val="en-US" w:eastAsia="zh-CN" w:bidi="ar"/>
        </w:rPr>
        <w:t>7.妥善保管评估材料，确保材料真实、完整，不污损、遗失。</w:t>
      </w:r>
    </w:p>
    <w:p w14:paraId="00EA47E1">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left"/>
        <w:textAlignment w:val="auto"/>
        <w:rPr>
          <w:sz w:val="32"/>
          <w:szCs w:val="32"/>
        </w:rPr>
      </w:pPr>
      <w:r>
        <w:rPr>
          <w:rFonts w:hint="eastAsia" w:ascii="仿宋_GB2312" w:hAnsi="宋体" w:eastAsia="仿宋_GB2312" w:cs="仿宋_GB2312"/>
          <w:color w:val="000000"/>
          <w:kern w:val="0"/>
          <w:sz w:val="32"/>
          <w:szCs w:val="32"/>
          <w:lang w:val="en-US" w:eastAsia="zh-CN" w:bidi="ar"/>
        </w:rPr>
        <w:t xml:space="preserve">本机构若出现违反上述承诺的行为，自愿退出此次活动，由此引起的纠纷由本机构自行处理，由此产生的资金损失由本机构全额承担，且本机构自愿根据有关规定承担相关法律责任。 </w:t>
      </w:r>
    </w:p>
    <w:p w14:paraId="12042C21">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left"/>
        <w:textAlignment w:val="auto"/>
        <w:rPr>
          <w:sz w:val="32"/>
          <w:szCs w:val="32"/>
        </w:rPr>
      </w:pPr>
      <w:r>
        <w:rPr>
          <w:rFonts w:hint="eastAsia" w:ascii="仿宋_GB2312" w:hAnsi="宋体" w:eastAsia="仿宋_GB2312" w:cs="仿宋_GB2312"/>
          <w:color w:val="000000"/>
          <w:kern w:val="0"/>
          <w:sz w:val="32"/>
          <w:szCs w:val="32"/>
          <w:lang w:val="en-US" w:eastAsia="zh-CN" w:bidi="ar"/>
        </w:rPr>
        <w:t xml:space="preserve">特此承诺。 </w:t>
      </w:r>
    </w:p>
    <w:p w14:paraId="605B6C5C">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宋体" w:eastAsia="仿宋_GB2312" w:cs="仿宋_GB2312"/>
          <w:color w:val="000000"/>
          <w:kern w:val="0"/>
          <w:sz w:val="32"/>
          <w:szCs w:val="32"/>
          <w:lang w:val="en-US" w:eastAsia="zh-CN" w:bidi="ar"/>
        </w:rPr>
      </w:pPr>
    </w:p>
    <w:p w14:paraId="7410073F">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宋体" w:eastAsia="仿宋_GB2312" w:cs="仿宋_GB2312"/>
          <w:color w:val="000000"/>
          <w:kern w:val="0"/>
          <w:sz w:val="32"/>
          <w:szCs w:val="32"/>
          <w:lang w:val="en-US" w:eastAsia="zh-CN" w:bidi="ar"/>
        </w:rPr>
      </w:pPr>
    </w:p>
    <w:p w14:paraId="6269E45E">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宋体" w:eastAsia="仿宋_GB2312" w:cs="仿宋_GB2312"/>
          <w:color w:val="000000"/>
          <w:kern w:val="0"/>
          <w:sz w:val="32"/>
          <w:szCs w:val="32"/>
          <w:lang w:val="en-US" w:eastAsia="zh-CN" w:bidi="ar"/>
        </w:rPr>
      </w:pPr>
    </w:p>
    <w:p w14:paraId="411C5904">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宋体" w:eastAsia="仿宋_GB2312" w:cs="仿宋_GB2312"/>
          <w:color w:val="000000"/>
          <w:kern w:val="0"/>
          <w:sz w:val="32"/>
          <w:szCs w:val="32"/>
          <w:lang w:val="en-US" w:eastAsia="zh-CN" w:bidi="ar"/>
        </w:rPr>
      </w:pPr>
      <w:r>
        <w:rPr>
          <w:rFonts w:hint="eastAsia" w:ascii="仿宋_GB2312" w:hAnsi="宋体" w:eastAsia="仿宋_GB2312" w:cs="仿宋_GB2312"/>
          <w:color w:val="000000"/>
          <w:kern w:val="0"/>
          <w:sz w:val="32"/>
          <w:szCs w:val="32"/>
          <w:lang w:val="en-US" w:eastAsia="zh-CN" w:bidi="ar"/>
        </w:rPr>
        <w:t xml:space="preserve">公章： </w:t>
      </w:r>
    </w:p>
    <w:p w14:paraId="0B83DEA0">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宋体" w:eastAsia="仿宋_GB2312" w:cs="仿宋_GB2312"/>
          <w:color w:val="000000"/>
          <w:kern w:val="0"/>
          <w:sz w:val="32"/>
          <w:szCs w:val="32"/>
          <w:lang w:val="en-US" w:eastAsia="zh-CN" w:bidi="ar"/>
        </w:rPr>
      </w:pPr>
    </w:p>
    <w:p w14:paraId="0E50A252">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宋体" w:eastAsia="仿宋_GB2312" w:cs="仿宋_GB2312"/>
          <w:color w:val="000000"/>
          <w:kern w:val="0"/>
          <w:sz w:val="32"/>
          <w:szCs w:val="32"/>
          <w:lang w:val="en-US" w:eastAsia="zh-CN" w:bidi="ar"/>
        </w:rPr>
      </w:pPr>
    </w:p>
    <w:p w14:paraId="13DB684D">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宋体" w:eastAsia="仿宋_GB2312" w:cs="仿宋_GB2312"/>
          <w:color w:val="000000"/>
          <w:kern w:val="0"/>
          <w:sz w:val="32"/>
          <w:szCs w:val="32"/>
          <w:lang w:val="en-US" w:eastAsia="zh-CN" w:bidi="ar"/>
        </w:rPr>
      </w:pPr>
    </w:p>
    <w:p w14:paraId="26257D00">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left"/>
        <w:textAlignment w:val="auto"/>
        <w:rPr>
          <w:sz w:val="32"/>
          <w:szCs w:val="32"/>
        </w:rPr>
      </w:pPr>
      <w:r>
        <w:rPr>
          <w:rFonts w:hint="eastAsia" w:ascii="仿宋_GB2312" w:hAnsi="宋体" w:eastAsia="仿宋_GB2312" w:cs="仿宋_GB2312"/>
          <w:color w:val="000000"/>
          <w:kern w:val="0"/>
          <w:sz w:val="32"/>
          <w:szCs w:val="32"/>
          <w:lang w:val="en-US" w:eastAsia="zh-CN" w:bidi="ar"/>
        </w:rPr>
        <w:t>法定代表人签章：                     年  月  日</w:t>
      </w:r>
    </w:p>
    <w:p w14:paraId="2EFAEA3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6" w:beforeAutospacing="0" w:after="106" w:afterAutospacing="0" w:line="560" w:lineRule="exact"/>
        <w:ind w:right="0" w:firstLine="640" w:firstLineChars="200"/>
        <w:jc w:val="both"/>
        <w:textAlignment w:val="auto"/>
        <w:rPr>
          <w:rFonts w:hint="eastAsia" w:ascii="国标仿宋-GB/T 2312" w:hAnsi="国标仿宋-GB/T 2312" w:eastAsia="国标仿宋-GB/T 2312" w:cs="国标仿宋-GB/T 2312"/>
          <w:i w:val="0"/>
          <w:iCs w:val="0"/>
          <w:caps w:val="0"/>
          <w:color w:val="333333"/>
          <w:spacing w:val="0"/>
          <w:sz w:val="32"/>
          <w:szCs w:val="32"/>
          <w:u w:val="none"/>
          <w:bdr w:val="none" w:color="auto" w:sz="0" w:space="0"/>
          <w:shd w:val="clear" w:fill="FFFFFF"/>
        </w:rPr>
      </w:pPr>
    </w:p>
    <w:p w14:paraId="5CD6F70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Microsoft Yahei">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微软雅黑">
    <w:altName w:val="方正黑体_GBK"/>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国标黑体">
    <w:panose1 w:val="02000500000000000000"/>
    <w:charset w:val="86"/>
    <w:family w:val="auto"/>
    <w:pitch w:val="default"/>
    <w:sig w:usb0="00000001" w:usb1="08000000" w:usb2="00000000" w:usb3="00000000" w:csb0="00040000" w:csb1="00000000"/>
  </w:font>
  <w:font w:name="国标仿宋-GB/T 2312">
    <w:panose1 w:val="02000500000000000000"/>
    <w:charset w:val="86"/>
    <w:family w:val="auto"/>
    <w:pitch w:val="default"/>
    <w:sig w:usb0="800002AF" w:usb1="08476CF8" w:usb2="00000010" w:usb3="00000000" w:csb0="00040000" w:csb1="00000000"/>
  </w:font>
  <w:font w:name="MathJax_Vector">
    <w:panose1 w:val="02000603000000000000"/>
    <w:charset w:val="00"/>
    <w:family w:val="auto"/>
    <w:pitch w:val="default"/>
    <w:sig w:usb0="00000001" w:usb1="00000020" w:usb2="00000000" w:usb3="00000000" w:csb0="00000001" w:csb1="00000000"/>
  </w:font>
  <w:font w:name="仿宋_GB2312">
    <w:altName w:val="方正仿宋_GBK"/>
    <w:panose1 w:val="02010609030101010101"/>
    <w:charset w:val="86"/>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1947CF"/>
    <w:rsid w:val="3BEB23A7"/>
    <w:rsid w:val="4A1947CF"/>
    <w:rsid w:val="6FFFB7D1"/>
    <w:rsid w:val="7B7EA709"/>
    <w:rsid w:val="7FDF486A"/>
    <w:rsid w:val="9BF77BBB"/>
    <w:rsid w:val="F6D69DA6"/>
    <w:rsid w:val="FF3D6AAE"/>
    <w:rsid w:val="FFF78A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Hyperlink"/>
    <w:basedOn w:val="6"/>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1</TotalTime>
  <ScaleCrop>false</ScaleCrop>
  <LinksUpToDate>false</LinksUpToDate>
  <CharactersWithSpaces>0</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2018-07-11T15:11:00Z</dcterms:created>
  <dc:creator>d</dc:creator>
  <cp:lastModifiedBy>周洲粥州舟</cp:lastModifiedBy>
  <dcterms:modified xsi:type="dcterms:W3CDTF">2026-01-04T14:40:26Z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E9A9711668083A2FF4C2596972DE60D9_43</vt:lpwstr>
  </property>
</Properties>
</file>