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11518">
      <w:pPr>
        <w:pStyle w:val="13"/>
        <w:spacing w:line="600" w:lineRule="exact"/>
        <w:jc w:val="center"/>
        <w:rPr>
          <w:rFonts w:ascii="仿宋_GB2312" w:hAnsi="仿宋_GB2312" w:eastAsia="仿宋_GB2312" w:cs="仿宋_GB2312"/>
          <w:color w:val="000000"/>
          <w:sz w:val="32"/>
          <w:szCs w:val="32"/>
        </w:rPr>
      </w:pPr>
    </w:p>
    <w:p w14:paraId="00E7F154">
      <w:pPr>
        <w:pStyle w:val="13"/>
        <w:spacing w:line="600" w:lineRule="exact"/>
        <w:jc w:val="center"/>
        <w:rPr>
          <w:rFonts w:ascii="仿宋_GB2312" w:hAnsi="仿宋_GB2312" w:eastAsia="仿宋_GB2312" w:cs="仿宋_GB2312"/>
          <w:color w:val="000000"/>
          <w:sz w:val="32"/>
          <w:szCs w:val="32"/>
        </w:rPr>
      </w:pPr>
    </w:p>
    <w:p w14:paraId="72C5F474">
      <w:pPr>
        <w:pStyle w:val="13"/>
        <w:spacing w:line="600" w:lineRule="exact"/>
        <w:jc w:val="center"/>
        <w:rPr>
          <w:rFonts w:ascii="仿宋_GB2312" w:hAnsi="仿宋_GB2312" w:eastAsia="仿宋_GB2312" w:cs="仿宋_GB2312"/>
          <w:color w:val="000000"/>
          <w:sz w:val="32"/>
          <w:szCs w:val="32"/>
        </w:rPr>
      </w:pPr>
    </w:p>
    <w:p w14:paraId="596807DE">
      <w:pPr>
        <w:pStyle w:val="13"/>
        <w:spacing w:line="600" w:lineRule="exact"/>
        <w:jc w:val="center"/>
        <w:rPr>
          <w:rFonts w:ascii="仿宋_GB2312" w:hAnsi="仿宋_GB2312" w:eastAsia="仿宋_GB2312" w:cs="仿宋_GB2312"/>
          <w:color w:val="000000"/>
          <w:sz w:val="32"/>
          <w:szCs w:val="32"/>
        </w:rPr>
      </w:pPr>
    </w:p>
    <w:p w14:paraId="6AA584D4">
      <w:pPr>
        <w:pStyle w:val="13"/>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_GB2312" w:hAnsi="仿宋_GB2312" w:eastAsia="仿宋_GB2312" w:cs="仿宋_GB2312"/>
          <w:color w:val="000000"/>
          <w:sz w:val="32"/>
          <w:szCs w:val="32"/>
        </w:rPr>
      </w:pPr>
    </w:p>
    <w:p w14:paraId="7BB9BD53">
      <w:pPr>
        <w:pStyle w:val="1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color w:val="000000"/>
          <w:sz w:val="32"/>
          <w:szCs w:val="32"/>
        </w:rPr>
      </w:pPr>
    </w:p>
    <w:p w14:paraId="76ED49C2">
      <w:pPr>
        <w:pStyle w:val="13"/>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仿宋_GB2312" w:hAnsi="仿宋_GB2312" w:eastAsia="仿宋_GB2312" w:cs="仿宋_GB2312"/>
          <w:color w:val="000000"/>
          <w:sz w:val="32"/>
          <w:szCs w:val="32"/>
        </w:rPr>
      </w:pPr>
    </w:p>
    <w:p w14:paraId="5D283E24">
      <w:pPr>
        <w:pStyle w:val="13"/>
        <w:keepNext w:val="0"/>
        <w:keepLines w:val="0"/>
        <w:pageBreakBefore w:val="0"/>
        <w:widowControl w:val="0"/>
        <w:kinsoku/>
        <w:wordWrap/>
        <w:overflowPunct/>
        <w:topLinePunct w:val="0"/>
        <w:autoSpaceDE/>
        <w:autoSpaceDN/>
        <w:bidi w:val="0"/>
        <w:adjustRightInd/>
        <w:snapToGrid/>
        <w:spacing w:line="960" w:lineRule="exact"/>
        <w:jc w:val="center"/>
        <w:textAlignment w:val="auto"/>
        <w:rPr>
          <w:rFonts w:ascii="仿宋_GB2312" w:hAnsi="仿宋_GB2312" w:eastAsia="仿宋_GB2312" w:cs="仿宋_GB2312"/>
          <w:color w:val="000000"/>
          <w:sz w:val="32"/>
          <w:szCs w:val="32"/>
        </w:rPr>
      </w:pPr>
    </w:p>
    <w:p w14:paraId="026B7DC3">
      <w:pPr>
        <w:pStyle w:val="4"/>
        <w:pageBreakBefore w:val="0"/>
        <w:kinsoku/>
        <w:wordWrap/>
        <w:overflowPunct/>
        <w:topLinePunct w:val="0"/>
        <w:autoSpaceDE/>
        <w:autoSpaceDN/>
        <w:bidi w:val="0"/>
        <w:adjustRightInd/>
        <w:snapToGrid/>
        <w:spacing w:before="0" w:beforeLines="0" w:after="0" w:afterLines="0" w:line="560" w:lineRule="exact"/>
        <w:jc w:val="center"/>
        <w:textAlignment w:val="auto"/>
        <w:rPr>
          <w:rFonts w:hint="eastAsia" w:ascii="方正小标宋简体" w:hAnsi="方正小标宋简体" w:eastAsia="方正小标宋简体" w:cs="方正小标宋简体"/>
          <w:b w:val="0"/>
          <w:bCs/>
          <w:lang w:val="en-US" w:eastAsia="zh-CN"/>
        </w:rPr>
      </w:pPr>
      <w:r>
        <w:rPr>
          <w:rFonts w:hint="eastAsia" w:ascii="方正小标宋简体" w:hAnsi="方正小标宋简体" w:eastAsia="方正小标宋简体" w:cs="方正小标宋简体"/>
          <w:b w:val="0"/>
          <w:bCs/>
          <w:lang w:val="en-US" w:eastAsia="zh-CN"/>
        </w:rPr>
        <w:t>关于安义县民政局2023年法治政府建设工作情况的报告</w:t>
      </w:r>
    </w:p>
    <w:p w14:paraId="6F7FA5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4D3DCDE9">
      <w:pPr>
        <w:pStyle w:val="2"/>
        <w:rPr>
          <w:rFonts w:hint="eastAsia"/>
          <w:lang w:val="en-US" w:eastAsia="zh-CN"/>
        </w:rPr>
      </w:pPr>
      <w:r>
        <w:rPr>
          <w:rFonts w:hint="eastAsia" w:ascii="仿宋_GB2312" w:hAnsi="仿宋_GB2312" w:eastAsia="仿宋_GB2312" w:cs="仿宋_GB2312"/>
          <w:sz w:val="32"/>
          <w:szCs w:val="32"/>
          <w:lang w:val="en-US" w:eastAsia="zh-CN"/>
        </w:rPr>
        <w:t>中共安义县委、安义县人民政府：</w:t>
      </w:r>
    </w:p>
    <w:p w14:paraId="47E6BE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在县委、县政府的正确领导下，我局深入贯彻习近平法治思想，认真落实法治政府建设精神，紧紧围绕《&lt;安义县法治政府建设实施意见(2023-2025年)&gt;重要举措分工方案》和《安义县2023年法治政府建设工作要点》文件要求，深入推进依法行政，全面加强民政法治建设，为推动民政事业高质量发展营造了良好法治环境。现将我局2023年法治政府工作报告如下：</w:t>
      </w:r>
    </w:p>
    <w:p w14:paraId="3E2CB0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一、2023年法治政府建设主要工作情况及成效</w:t>
      </w:r>
    </w:p>
    <w:p w14:paraId="0C0B43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（一）强化法治学习。</w:t>
      </w:r>
      <w:r>
        <w:rPr>
          <w:rFonts w:hint="eastAsia" w:ascii="仿宋_GB2312" w:hAnsi="仿宋_GB2312" w:eastAsia="仿宋_GB2312" w:cs="仿宋_GB2312"/>
          <w:sz w:val="32"/>
          <w:szCs w:val="32"/>
          <w:lang w:val="en-US" w:eastAsia="zh-CN"/>
        </w:rPr>
        <w:t>局党组把学习贯彻党的二十大精神和习近平法治思想作为重大政治任务，把学习习近平法治思想等列入理论学习中心组、机关支部主题党日学习内容，会上及时传达学习习近平总书记关于法治政府建设重要讲话精神。同时，注重加强学习成果的转化运用，组织干部对习近平法治思想进行学习，做到全覆盖培训，深化认识，准确把握，推动学习贯彻习近平法治思想不断走深走实，更加自觉用习近平法治思想指导解决实际工作问题。</w:t>
      </w:r>
    </w:p>
    <w:p w14:paraId="74B936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（二）深化“放管服”改革。</w:t>
      </w:r>
      <w:r>
        <w:rPr>
          <w:rFonts w:hint="eastAsia" w:ascii="仿宋_GB2312" w:hAnsi="仿宋_GB2312" w:eastAsia="仿宋_GB2312" w:cs="仿宋_GB2312"/>
          <w:spacing w:val="-6"/>
          <w:sz w:val="32"/>
          <w:szCs w:val="32"/>
          <w:lang w:val="en-US" w:eastAsia="zh-CN"/>
        </w:rPr>
        <w:t>为有效落实“放管服”改革和实现江西办事“一次不跑，只跑一次”“一件事情，一次办理”目标，全县社会组织注册登记工作均实现了线上办理审批，年检线上办理功能还在完善中，暂时线下办理。全县共有社会团体70家，民办非企业共有38家，其中今年共注册5家社会组织。</w:t>
      </w:r>
    </w:p>
    <w:p w14:paraId="0A355F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（三）优化法治化营商环境。</w:t>
      </w:r>
      <w:r>
        <w:rPr>
          <w:rFonts w:hint="eastAsia" w:ascii="仿宋_GB2312" w:hAnsi="仿宋_GB2312" w:eastAsia="仿宋_GB2312" w:cs="仿宋_GB2312"/>
          <w:sz w:val="32"/>
          <w:szCs w:val="32"/>
          <w:lang w:val="en-US" w:eastAsia="zh-CN"/>
        </w:rPr>
        <w:t>为加强民政窗口工作综合能力，积极打造“一流民政服务窗口”，在今年的“领证小高峰”期间，我局婚姻登记处为满足新人登记需求，在总结以往经验的基础上，做到“及时部署、合理安排”，共办理各类婚姻登记事</w:t>
      </w:r>
      <w:r>
        <w:rPr>
          <w:rFonts w:hint="eastAsia" w:ascii="仿宋_GB2312" w:hAnsi="仿宋_GB2312" w:eastAsia="仿宋_GB2312" w:cs="仿宋_GB2312"/>
          <w:spacing w:val="-6"/>
          <w:sz w:val="32"/>
          <w:szCs w:val="32"/>
          <w:lang w:val="en-US" w:eastAsia="zh-CN"/>
        </w:rPr>
        <w:t>项152对，在大力发展公办养老的同时，注重引导和鼓励社会力量参与发展养老服务事业，积极开展居家和社区基本养老服务提升行动，完成家庭养老床位建设，开展上门居家养老服务，由第三方茗山家护有限公司对我县五类老人及80岁以上老人进行居家上门服务。通过有效引导、整合资源，全县养老产业的发展潜力得到进一步显现，较好地促进了社会化服务水平。</w:t>
      </w:r>
    </w:p>
    <w:p w14:paraId="0805DF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（四）持续推进政务公开。</w:t>
      </w:r>
      <w:r>
        <w:rPr>
          <w:rFonts w:hint="default" w:ascii="仿宋_GB2312" w:hAnsi="仿宋_GB2312" w:eastAsia="仿宋_GB2312" w:cs="仿宋_GB2312"/>
          <w:sz w:val="32"/>
          <w:szCs w:val="32"/>
          <w:lang w:val="en-US" w:eastAsia="zh-CN"/>
        </w:rPr>
        <w:t>严格执行《中华人民共和国政府信息公开条例》，坚持以公开为常态、不公开为例外的原则，及时更新工作动态按时将民政系列惠民政策、办事指南、规章制度等在</w:t>
      </w:r>
      <w:r>
        <w:rPr>
          <w:rFonts w:hint="eastAsia" w:ascii="仿宋_GB2312" w:hAnsi="仿宋_GB2312" w:eastAsia="仿宋_GB2312" w:cs="仿宋_GB2312"/>
          <w:sz w:val="32"/>
          <w:szCs w:val="32"/>
          <w:lang w:val="en-US" w:eastAsia="zh-CN"/>
        </w:rPr>
        <w:t>安义</w:t>
      </w:r>
      <w:r>
        <w:rPr>
          <w:rFonts w:hint="default" w:ascii="仿宋_GB2312" w:hAnsi="仿宋_GB2312" w:eastAsia="仿宋_GB2312" w:cs="仿宋_GB2312"/>
          <w:sz w:val="32"/>
          <w:szCs w:val="32"/>
          <w:lang w:val="en-US" w:eastAsia="zh-CN"/>
        </w:rPr>
        <w:t>县政府网站民政局专栏、微信公众号以及印发宣传资料等媒介及时向社会公布。</w:t>
      </w:r>
    </w:p>
    <w:p w14:paraId="66F87DE2">
      <w:pPr>
        <w:pageBreakBefore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（五）开展全民普法。</w:t>
      </w:r>
      <w:r>
        <w:rPr>
          <w:rFonts w:hint="eastAsia" w:ascii="仿宋_GB2312" w:hAnsi="仿宋_GB2312" w:eastAsia="仿宋_GB2312" w:cs="仿宋_GB2312"/>
          <w:sz w:val="32"/>
          <w:szCs w:val="32"/>
          <w:lang w:val="en-US" w:eastAsia="zh-CN"/>
        </w:rPr>
        <w:t>今年以来，我局结合各个重要时间节点，扎实开展丰富多样的法治宣传活动。</w:t>
      </w:r>
      <w:r>
        <w:rPr>
          <w:rFonts w:hint="eastAsia" w:ascii="仿宋_GB2312" w:hAnsi="仿宋_GB2312" w:eastAsia="仿宋_GB2312" w:cs="仿宋_GB2312"/>
          <w:i w:val="0"/>
          <w:iCs w:val="0"/>
          <w:caps w:val="0"/>
          <w:color w:val="191919"/>
          <w:spacing w:val="0"/>
          <w:sz w:val="32"/>
          <w:szCs w:val="32"/>
          <w:shd w:val="clear" w:fill="FFFFFF"/>
          <w:lang w:val="en-US" w:eastAsia="zh-CN"/>
        </w:rPr>
        <w:t>组织</w:t>
      </w:r>
      <w:r>
        <w:rPr>
          <w:rFonts w:hint="eastAsia" w:ascii="仿宋_GB2312" w:hAnsi="仿宋_GB2312" w:eastAsia="仿宋_GB2312" w:cs="仿宋_GB2312"/>
          <w:i w:val="0"/>
          <w:iCs w:val="0"/>
          <w:caps w:val="0"/>
          <w:color w:val="191919"/>
          <w:spacing w:val="0"/>
          <w:sz w:val="32"/>
          <w:szCs w:val="32"/>
          <w:shd w:val="clear" w:fill="FFFFFF"/>
          <w:lang w:eastAsia="zh-CN"/>
        </w:rPr>
        <w:t>在杨梅头广场开展2023年“美好生活·民法典相伴”集中宣传活动，共发放法治图书、宣传手册</w:t>
      </w:r>
      <w:r>
        <w:rPr>
          <w:rFonts w:hint="eastAsia" w:ascii="仿宋_GB2312" w:hAnsi="仿宋_GB2312" w:eastAsia="仿宋_GB2312" w:cs="仿宋_GB2312"/>
          <w:i w:val="0"/>
          <w:iCs w:val="0"/>
          <w:caps w:val="0"/>
          <w:color w:val="191919"/>
          <w:spacing w:val="0"/>
          <w:sz w:val="32"/>
          <w:szCs w:val="32"/>
          <w:shd w:val="clear" w:fill="FFFFFF"/>
          <w:lang w:val="en-US" w:eastAsia="zh-CN"/>
        </w:rPr>
        <w:t>10</w:t>
      </w:r>
      <w:r>
        <w:rPr>
          <w:rFonts w:hint="eastAsia" w:ascii="仿宋_GB2312" w:hAnsi="仿宋_GB2312" w:eastAsia="仿宋_GB2312" w:cs="仿宋_GB2312"/>
          <w:i w:val="0"/>
          <w:iCs w:val="0"/>
          <w:caps w:val="0"/>
          <w:color w:val="191919"/>
          <w:spacing w:val="0"/>
          <w:sz w:val="32"/>
          <w:szCs w:val="32"/>
          <w:shd w:val="clear" w:fill="FFFFFF"/>
          <w:lang w:eastAsia="zh-CN"/>
        </w:rPr>
        <w:t>0余份，解答法律咨询</w:t>
      </w:r>
      <w:r>
        <w:rPr>
          <w:rFonts w:hint="eastAsia" w:ascii="仿宋_GB2312" w:hAnsi="仿宋_GB2312" w:eastAsia="仿宋_GB2312" w:cs="仿宋_GB2312"/>
          <w:i w:val="0"/>
          <w:iCs w:val="0"/>
          <w:caps w:val="0"/>
          <w:color w:val="191919"/>
          <w:spacing w:val="0"/>
          <w:sz w:val="32"/>
          <w:szCs w:val="32"/>
          <w:shd w:val="clear" w:fill="FFFFFF"/>
          <w:lang w:val="en-US" w:eastAsia="zh-CN"/>
        </w:rPr>
        <w:t>30</w:t>
      </w:r>
      <w:r>
        <w:rPr>
          <w:rFonts w:hint="eastAsia" w:ascii="仿宋_GB2312" w:hAnsi="仿宋_GB2312" w:eastAsia="仿宋_GB2312" w:cs="仿宋_GB2312"/>
          <w:i w:val="0"/>
          <w:iCs w:val="0"/>
          <w:caps w:val="0"/>
          <w:color w:val="191919"/>
          <w:spacing w:val="0"/>
          <w:sz w:val="32"/>
          <w:szCs w:val="32"/>
          <w:shd w:val="clear" w:fill="FFFFFF"/>
          <w:lang w:eastAsia="zh-CN"/>
        </w:rPr>
        <w:t>余人次；</w:t>
      </w:r>
      <w:r>
        <w:rPr>
          <w:rFonts w:hint="eastAsia" w:ascii="仿宋_GB2312" w:hAnsi="仿宋_GB2312" w:eastAsia="仿宋_GB2312" w:cs="仿宋_GB2312"/>
          <w:i w:val="0"/>
          <w:iCs w:val="0"/>
          <w:caps w:val="0"/>
          <w:color w:val="191919"/>
          <w:spacing w:val="0"/>
          <w:sz w:val="32"/>
          <w:szCs w:val="32"/>
          <w:shd w:val="clear" w:fill="FFFFFF"/>
          <w:lang w:val="en-US" w:eastAsia="zh-CN"/>
        </w:rPr>
        <w:t>在帮扶村赤石村开展</w:t>
      </w:r>
      <w:r>
        <w:rPr>
          <w:rFonts w:hint="eastAsia" w:ascii="仿宋_GB2312" w:hAnsi="仿宋_GB2312" w:eastAsia="仿宋_GB2312" w:cs="仿宋_GB2312"/>
          <w:i w:val="0"/>
          <w:iCs w:val="0"/>
          <w:caps w:val="0"/>
          <w:color w:val="191919"/>
          <w:spacing w:val="0"/>
          <w:sz w:val="32"/>
          <w:szCs w:val="32"/>
          <w:shd w:val="clear" w:fill="FFFFFF"/>
        </w:rPr>
        <w:t>普法宣传活动，向村干部和居民群众讲解《宪法》和《</w:t>
      </w:r>
      <w:r>
        <w:rPr>
          <w:rFonts w:hint="eastAsia" w:ascii="仿宋_GB2312" w:hAnsi="仿宋_GB2312" w:eastAsia="仿宋_GB2312" w:cs="仿宋_GB2312"/>
          <w:i w:val="0"/>
          <w:iCs w:val="0"/>
          <w:caps w:val="0"/>
          <w:color w:val="191919"/>
          <w:spacing w:val="0"/>
          <w:sz w:val="32"/>
          <w:szCs w:val="32"/>
          <w:shd w:val="clear" w:fill="FFFFFF"/>
          <w:lang w:val="en-US" w:eastAsia="zh-CN"/>
        </w:rPr>
        <w:t>江西省平安建设条例</w:t>
      </w:r>
      <w:r>
        <w:rPr>
          <w:rFonts w:hint="eastAsia" w:ascii="仿宋_GB2312" w:hAnsi="仿宋_GB2312" w:eastAsia="仿宋_GB2312" w:cs="仿宋_GB2312"/>
          <w:i w:val="0"/>
          <w:iCs w:val="0"/>
          <w:caps w:val="0"/>
          <w:color w:val="191919"/>
          <w:spacing w:val="0"/>
          <w:sz w:val="32"/>
          <w:szCs w:val="32"/>
          <w:shd w:val="clear" w:fill="FFFFFF"/>
        </w:rPr>
        <w:t>》知识，并学习</w:t>
      </w:r>
      <w:r>
        <w:rPr>
          <w:rFonts w:hint="eastAsia" w:ascii="仿宋_GB2312" w:hAnsi="仿宋_GB2312" w:eastAsia="仿宋_GB2312" w:cs="仿宋_GB2312"/>
          <w:i w:val="0"/>
          <w:iCs w:val="0"/>
          <w:caps w:val="0"/>
          <w:color w:val="191919"/>
          <w:spacing w:val="0"/>
          <w:sz w:val="32"/>
          <w:szCs w:val="32"/>
          <w:shd w:val="clear" w:fill="FFFFFF"/>
          <w:lang w:val="en-US" w:eastAsia="zh-CN"/>
        </w:rPr>
        <w:t>反网络电信诈骗、禁毒</w:t>
      </w:r>
      <w:r>
        <w:rPr>
          <w:rFonts w:hint="eastAsia" w:ascii="仿宋_GB2312" w:hAnsi="仿宋_GB2312" w:eastAsia="仿宋_GB2312" w:cs="仿宋_GB2312"/>
          <w:i w:val="0"/>
          <w:iCs w:val="0"/>
          <w:caps w:val="0"/>
          <w:color w:val="191919"/>
          <w:spacing w:val="0"/>
          <w:sz w:val="32"/>
          <w:szCs w:val="32"/>
          <w:shd w:val="clear" w:fill="FFFFFF"/>
        </w:rPr>
        <w:t>等法规政策</w:t>
      </w:r>
      <w:r>
        <w:rPr>
          <w:rFonts w:hint="eastAsia" w:ascii="仿宋_GB2312" w:hAnsi="仿宋_GB2312" w:eastAsia="仿宋_GB2312" w:cs="仿宋_GB2312"/>
          <w:i w:val="0"/>
          <w:iCs w:val="0"/>
          <w:caps w:val="0"/>
          <w:color w:val="191919"/>
          <w:spacing w:val="0"/>
          <w:sz w:val="32"/>
          <w:szCs w:val="32"/>
          <w:shd w:val="clear" w:fill="FFFFFF"/>
          <w:lang w:eastAsia="zh-CN"/>
        </w:rPr>
        <w:t>。</w:t>
      </w:r>
      <w:r>
        <w:rPr>
          <w:rFonts w:hint="eastAsia" w:ascii="仿宋_GB2312" w:hAnsi="仿宋_GB2312" w:eastAsia="仿宋_GB2312" w:cs="仿宋_GB2312"/>
          <w:sz w:val="32"/>
          <w:szCs w:val="32"/>
          <w:lang w:val="en-US" w:eastAsia="zh-CN"/>
        </w:rPr>
        <w:t>持续开展学习强国及学法考试，不断增强民政局党员干部法治意识和法治思维。依托县社工站平台，组织社工针对老年人、未成年人、残疾人等重点群体开展宣传教育，通过发放宣传手册、专题讲座、普法主题活动观看宣传视频等形式，不断提高其依法保障自身权益的能力。同时，利用微信公众号“安义民政”，有针对性的发布对群众较为关切的法律问题所涉及的法律部分进行宣传，让法律真正走到群众身边、走进群众心里。</w:t>
      </w:r>
    </w:p>
    <w:p w14:paraId="64D0F51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（六）加强法治建设工作保障。</w:t>
      </w:r>
      <w:r>
        <w:rPr>
          <w:rFonts w:hint="eastAsia" w:ascii="仿宋_GB2312" w:hAnsi="仿宋_GB2312" w:eastAsia="仿宋_GB2312" w:cs="仿宋_GB2312"/>
          <w:sz w:val="32"/>
          <w:szCs w:val="32"/>
          <w:lang w:val="en-US" w:eastAsia="zh-CN"/>
        </w:rPr>
        <w:t>一是以制度建设为突破口，完备各项工作制度，印发了《安义县民政局“八五”普法规划》，明确了工作任务。二是严格按照议事规则集体讨论决定重大事项，及时公开单位工作例会决议决定及执行、思想建设、干部队伍建设、联系和服务民政对象、党风廉政建设等情况。三是积极推进民政领域执法规范化，加强巡查工作力度，推进执法重心下移，同时加强与县公安局等司法行政部门有机衔接，提升联合执法水平。</w:t>
      </w:r>
    </w:p>
    <w:p w14:paraId="20C8DE3A">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lang w:val="en-US" w:eastAsia="zh-CN"/>
        </w:rPr>
      </w:pPr>
      <w:r>
        <w:rPr>
          <w:rFonts w:hint="eastAsia" w:ascii="黑体" w:hAnsi="黑体" w:eastAsia="黑体" w:cs="黑体"/>
          <w:sz w:val="32"/>
          <w:szCs w:val="32"/>
          <w:lang w:val="en-US" w:eastAsia="zh-CN"/>
        </w:rPr>
        <w:t>二、存在的主要问题</w:t>
      </w:r>
    </w:p>
    <w:p w14:paraId="343583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法治政府建设工作上虽取得明显成效，但也存在一定的差距和不足，主要表现有：个别工作人员对法治政府建设工作重要性的认识有待进一步提高，行政执法工作力量和水平有待进一步加强，法治宣传内容有待进一步丰富。</w:t>
      </w:r>
    </w:p>
    <w:p w14:paraId="404BA7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三、主要负责人履行职责情况</w:t>
      </w:r>
    </w:p>
    <w:p w14:paraId="473CFD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积极带领班子成员认真学习《习近平法治思想学习纲要》,始终坚持党的领导、人民当家作主、依法治国有机统一。把法治建设摆在更加突出的位置,对重点工作亲自部署、重点问题亲自过问、重点环节亲自督办。定期听取法治建设工作情况汇报,及时研究解决有关重大问题,真正把法治建设第一责任人职责履行好、落实好,充分发挥好在法治建设中引领示范作用,以实际行动自觉为全体干部职工作表率。</w:t>
      </w:r>
    </w:p>
    <w:p w14:paraId="3D6C275A">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四、下一步工作安排</w:t>
      </w:r>
    </w:p>
    <w:p w14:paraId="3CC930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加强政治理论学习。认真学习贯彻党的二十大精神和习近平总书记对民政工作作出的重要指示批示，准确把握、全面领会精神实质，迅速统一思想和行动。以习近平法治思想为引领，深入推进法治政府建设，提高全体干部职工运用法治思维和法治方式深化改革、推动发展、化解矛盾、维护稳定、应对风险的能力。</w:t>
      </w:r>
    </w:p>
    <w:p w14:paraId="5143DA2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提升依法行政能力。完善民政权力事项和公共服务清单，定期梳理民政规范性文件，及时修订、废止与现行政策不相符的有关文件和条款。进一步规范行政执法案卷的立卷归档和评查工作，完善“双随机、一公开”抽查，严格落实行政执法“三项制度”。</w:t>
      </w:r>
    </w:p>
    <w:p w14:paraId="4A2B3FA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olor w:val="000000"/>
          <w:sz w:val="32"/>
          <w:szCs w:val="32"/>
          <w:lang w:val="en-US" w:eastAsia="zh-CN"/>
        </w:rPr>
      </w:pP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加大民政领域普法力度。围绕民政工作和重要时间节点，广泛开展“12·4”国家宪法日暨宪法宣传周、国家安全教育日等主题法治宣传，提高群众法治意识。不断推进“谁执法谁普法”普法责任制落实，推行执法普法“清单化”，严格公正文明执法。围绕《中华人民共和国宪法》《民法典》《中华人民共和国未成年人保护法》等法律法规，突出民政重点业务领域，贴近民政机构、民政服务对象开展普法。</w:t>
      </w:r>
    </w:p>
    <w:p w14:paraId="7350B8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olor w:val="000000"/>
          <w:sz w:val="32"/>
          <w:szCs w:val="32"/>
          <w:lang w:val="en-US" w:eastAsia="zh-CN"/>
        </w:rPr>
      </w:pPr>
    </w:p>
    <w:p w14:paraId="420F2E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olor w:val="000000"/>
          <w:sz w:val="32"/>
          <w:szCs w:val="32"/>
          <w:lang w:val="en-US" w:eastAsia="zh-CN"/>
        </w:rPr>
      </w:pPr>
    </w:p>
    <w:p w14:paraId="69B1884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 w:hAnsi="仿宋" w:eastAsia="仿宋"/>
          <w:color w:val="000000"/>
          <w:sz w:val="32"/>
          <w:szCs w:val="32"/>
          <w:lang w:val="en-US" w:eastAsia="zh-CN"/>
        </w:rPr>
        <w:t xml:space="preserve">                           </w:t>
      </w:r>
    </w:p>
    <w:p w14:paraId="679CD231">
      <w:pPr>
        <w:pStyle w:val="2"/>
        <w:rPr>
          <w:rFonts w:hint="eastAsia" w:ascii="仿宋_GB2312" w:hAnsi="仿宋_GB2312" w:eastAsia="仿宋_GB2312" w:cs="仿宋_GB2312"/>
          <w:sz w:val="32"/>
          <w:szCs w:val="32"/>
          <w:lang w:val="en-US" w:eastAsia="zh-CN"/>
        </w:rPr>
      </w:pPr>
    </w:p>
    <w:p w14:paraId="19863471">
      <w:pPr>
        <w:pStyle w:val="3"/>
        <w:rPr>
          <w:rFonts w:hint="eastAsia" w:ascii="仿宋_GB2312" w:hAnsi="仿宋_GB2312" w:eastAsia="仿宋_GB2312" w:cs="仿宋_GB2312"/>
          <w:sz w:val="32"/>
          <w:szCs w:val="32"/>
          <w:lang w:val="en-US" w:eastAsia="zh-CN"/>
        </w:rPr>
      </w:pPr>
    </w:p>
    <w:p w14:paraId="4815534C">
      <w:pPr>
        <w:rPr>
          <w:rFonts w:hint="eastAsia" w:ascii="仿宋_GB2312" w:hAnsi="仿宋_GB2312" w:eastAsia="仿宋_GB2312" w:cs="仿宋_GB2312"/>
          <w:sz w:val="32"/>
          <w:szCs w:val="32"/>
          <w:lang w:val="en-US" w:eastAsia="zh-CN"/>
        </w:rPr>
      </w:pPr>
    </w:p>
    <w:p w14:paraId="7EFB7FC8">
      <w:pPr>
        <w:pStyle w:val="2"/>
        <w:rPr>
          <w:rFonts w:hint="eastAsia" w:ascii="仿宋_GB2312" w:hAnsi="仿宋_GB2312" w:eastAsia="仿宋_GB2312" w:cs="仿宋_GB2312"/>
          <w:sz w:val="32"/>
          <w:szCs w:val="32"/>
          <w:lang w:val="en-US" w:eastAsia="zh-CN"/>
        </w:rPr>
      </w:pPr>
    </w:p>
    <w:p w14:paraId="1585E791">
      <w:pPr>
        <w:pStyle w:val="3"/>
        <w:rPr>
          <w:rFonts w:hint="eastAsia" w:ascii="仿宋_GB2312" w:hAnsi="仿宋_GB2312" w:eastAsia="仿宋_GB2312" w:cs="仿宋_GB2312"/>
          <w:sz w:val="32"/>
          <w:szCs w:val="32"/>
          <w:lang w:val="en-US" w:eastAsia="zh-CN"/>
        </w:rPr>
      </w:pPr>
    </w:p>
    <w:p w14:paraId="5D8961F3">
      <w:pPr>
        <w:rPr>
          <w:rFonts w:hint="eastAsia" w:ascii="仿宋_GB2312" w:hAnsi="仿宋_GB2312" w:eastAsia="仿宋_GB2312" w:cs="仿宋_GB2312"/>
          <w:sz w:val="32"/>
          <w:szCs w:val="32"/>
          <w:lang w:val="en-US" w:eastAsia="zh-CN"/>
        </w:rPr>
      </w:pPr>
    </w:p>
    <w:p w14:paraId="55296B86">
      <w:pPr>
        <w:pStyle w:val="2"/>
        <w:rPr>
          <w:rFonts w:hint="eastAsia" w:ascii="仿宋_GB2312" w:hAnsi="仿宋_GB2312" w:eastAsia="仿宋_GB2312" w:cs="仿宋_GB2312"/>
          <w:sz w:val="32"/>
          <w:szCs w:val="32"/>
          <w:lang w:val="en-US" w:eastAsia="zh-CN"/>
        </w:rPr>
      </w:pPr>
    </w:p>
    <w:p w14:paraId="48C4C171">
      <w:pPr>
        <w:pBdr>
          <w:top w:val="single" w:color="auto" w:sz="4" w:space="1"/>
          <w:bottom w:val="single" w:color="auto" w:sz="4" w:space="1"/>
        </w:pBdr>
        <w:spacing w:line="520" w:lineRule="exact"/>
        <w:rPr>
          <w:rFonts w:hint="default"/>
          <w:lang w:val="en-US" w:eastAsia="zh-CN"/>
        </w:rPr>
      </w:pPr>
    </w:p>
    <w:p w14:paraId="25170C15">
      <w:pPr>
        <w:tabs>
          <w:tab w:val="left" w:pos="1844"/>
        </w:tabs>
        <w:bidi w:val="0"/>
        <w:jc w:val="left"/>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ab/>
      </w:r>
      <w:bookmarkStart w:id="0" w:name="_GoBack"/>
      <w:bookmarkEnd w:id="0"/>
    </w:p>
    <w:sectPr>
      <w:footerReference r:id="rId3" w:type="default"/>
      <w:pgSz w:w="11906" w:h="16838"/>
      <w:pgMar w:top="1701" w:right="1701" w:bottom="1701"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A0FEEA-23A6-4C4D-91BA-A628B71F3D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56C4CD6-3AA3-43CE-B778-226AC1F0F2C3}"/>
  </w:font>
  <w:font w:name="仿宋_GB2312">
    <w:panose1 w:val="02010609030101010101"/>
    <w:charset w:val="86"/>
    <w:family w:val="modern"/>
    <w:pitch w:val="default"/>
    <w:sig w:usb0="00000001" w:usb1="080E0000" w:usb2="00000000" w:usb3="00000000" w:csb0="00040000" w:csb1="00000000"/>
    <w:embedRegular r:id="rId3" w:fontKey="{34ED4BE9-057A-4C69-A407-1E2E099EEAC7}"/>
  </w:font>
  <w:font w:name="方正小标宋简体">
    <w:panose1 w:val="03000509000000000000"/>
    <w:charset w:val="86"/>
    <w:family w:val="auto"/>
    <w:pitch w:val="default"/>
    <w:sig w:usb0="00000001" w:usb1="080E0000" w:usb2="00000000" w:usb3="00000000" w:csb0="00040000" w:csb1="00000000"/>
    <w:embedRegular r:id="rId4" w:fontKey="{D58EC7AE-D5D2-427F-B5B1-20A84A3A2EF2}"/>
  </w:font>
  <w:font w:name="楷体">
    <w:panose1 w:val="02010609060101010101"/>
    <w:charset w:val="86"/>
    <w:family w:val="auto"/>
    <w:pitch w:val="default"/>
    <w:sig w:usb0="800002BF" w:usb1="38CF7CFA" w:usb2="00000016" w:usb3="00000000" w:csb0="00040001" w:csb1="00000000"/>
    <w:embedRegular r:id="rId5" w:fontKey="{CC55EB1C-BA3C-4D48-AEAD-1F553C1348BC}"/>
  </w:font>
  <w:font w:name="仿宋">
    <w:panose1 w:val="02010609060101010101"/>
    <w:charset w:val="86"/>
    <w:family w:val="auto"/>
    <w:pitch w:val="default"/>
    <w:sig w:usb0="800002BF" w:usb1="38CF7CFA" w:usb2="00000016" w:usb3="00000000" w:csb0="00040001" w:csb1="00000000"/>
    <w:embedRegular r:id="rId6" w:fontKey="{92B88DD3-FD79-4C46-8E33-8A34654CF73E}"/>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FA88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5B0F3">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75B0F3">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lODZlZTZkYjMzNzFiNDllZWViNTlkMjI4OGExMTQifQ=="/>
  </w:docVars>
  <w:rsids>
    <w:rsidRoot w:val="776106FA"/>
    <w:rsid w:val="021050C2"/>
    <w:rsid w:val="07E76CFD"/>
    <w:rsid w:val="08F86623"/>
    <w:rsid w:val="0BF00E3C"/>
    <w:rsid w:val="0C45365B"/>
    <w:rsid w:val="0CE06691"/>
    <w:rsid w:val="0DB75CB0"/>
    <w:rsid w:val="0EEC7E92"/>
    <w:rsid w:val="10D57EB9"/>
    <w:rsid w:val="10DA16FD"/>
    <w:rsid w:val="12A219AA"/>
    <w:rsid w:val="1D7A639C"/>
    <w:rsid w:val="1FCF29CF"/>
    <w:rsid w:val="20F8116D"/>
    <w:rsid w:val="230D52B0"/>
    <w:rsid w:val="23BC326A"/>
    <w:rsid w:val="26977FBF"/>
    <w:rsid w:val="29034C10"/>
    <w:rsid w:val="2B675BC2"/>
    <w:rsid w:val="31A33CBC"/>
    <w:rsid w:val="333F17C2"/>
    <w:rsid w:val="34A71D15"/>
    <w:rsid w:val="3E33414A"/>
    <w:rsid w:val="424C7F73"/>
    <w:rsid w:val="44B24A54"/>
    <w:rsid w:val="488F1F7A"/>
    <w:rsid w:val="491B7B42"/>
    <w:rsid w:val="4C6239C4"/>
    <w:rsid w:val="545F4A56"/>
    <w:rsid w:val="571508FA"/>
    <w:rsid w:val="589B5113"/>
    <w:rsid w:val="6750752E"/>
    <w:rsid w:val="68B824DE"/>
    <w:rsid w:val="6BB45FDD"/>
    <w:rsid w:val="6C9D2C99"/>
    <w:rsid w:val="742D734F"/>
    <w:rsid w:val="74FA6D9D"/>
    <w:rsid w:val="759C0F9C"/>
    <w:rsid w:val="776106FA"/>
    <w:rsid w:val="7C505DE5"/>
    <w:rsid w:val="7CF92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Quote"/>
    <w:basedOn w:val="1"/>
    <w:next w:val="1"/>
    <w:autoRedefine/>
    <w:qFormat/>
    <w:uiPriority w:val="0"/>
    <w:pPr>
      <w:widowControl/>
      <w:wordWrap w:val="0"/>
      <w:spacing w:before="200" w:after="160"/>
      <w:ind w:left="864" w:right="864"/>
      <w:jc w:val="center"/>
    </w:pPr>
    <w:rPr>
      <w:i/>
      <w:iCs/>
      <w:kern w:val="0"/>
      <w:szCs w:val="21"/>
    </w:rPr>
  </w:style>
  <w:style w:type="paragraph" w:styleId="5">
    <w:name w:val="Plain Text"/>
    <w:basedOn w:val="1"/>
    <w:autoRedefine/>
    <w:qFormat/>
    <w:uiPriority w:val="0"/>
    <w:pPr>
      <w:spacing w:line="576" w:lineRule="exact"/>
    </w:pPr>
    <w:rPr>
      <w:rFonts w:ascii="宋体" w:hAnsi="Courier New" w:eastAsia="Times New Roman"/>
      <w:kern w:val="0"/>
      <w:szCs w:val="21"/>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page number"/>
    <w:basedOn w:val="9"/>
    <w:autoRedefine/>
    <w:qFormat/>
    <w:uiPriority w:val="0"/>
  </w:style>
  <w:style w:type="character" w:styleId="11">
    <w:name w:val="Hyperlink"/>
    <w:basedOn w:val="9"/>
    <w:autoRedefine/>
    <w:qFormat/>
    <w:uiPriority w:val="0"/>
    <w:rPr>
      <w:color w:val="0000FF"/>
      <w:u w:val="single"/>
    </w:rPr>
  </w:style>
  <w:style w:type="paragraph" w:customStyle="1" w:styleId="12">
    <w:name w:val="p0"/>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3">
    <w:name w:val="Plain Text1"/>
    <w:basedOn w:val="1"/>
    <w:autoRedefine/>
    <w:qFormat/>
    <w:uiPriority w:val="99"/>
    <w:rPr>
      <w:rFonts w:ascii="宋体" w:hAnsi="Courier New" w:cs="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2279</Words>
  <Characters>2319</Characters>
  <Lines>0</Lines>
  <Paragraphs>0</Paragraphs>
  <TotalTime>12</TotalTime>
  <ScaleCrop>false</ScaleCrop>
  <LinksUpToDate>false</LinksUpToDate>
  <CharactersWithSpaces>2357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2021-11-25T08:24:00Z</dcterms:created>
  <dc:creator>suki</dc:creator>
  <cp:lastModifiedBy>半夏微凉、不成殇° 暖冬</cp:lastModifiedBy>
  <cp:lastPrinted>2024-03-26T08:38:00Z</cp:lastPrinted>
  <dcterms:modified xsi:type="dcterms:W3CDTF">2024-08-06T02:46:43Z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9F489880632545AAB5CDE6CEDE350323_13</vt:lpwstr>
  </property>
</Properties>
</file>