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BA420">
      <w:pPr>
        <w:ind w:left="0" w:leftChars="0" w:firstLine="0" w:firstLineChars="0"/>
        <w:rPr>
          <w:rFonts w:hint="default" w:ascii="Times New Roman" w:hAnsi="Times New Roman" w:eastAsia="仿宋_GB2312" w:cs="Times New Roman"/>
          <w:color w:val="auto"/>
          <w:sz w:val="36"/>
          <w:szCs w:val="36"/>
          <w:highlight w:val="none"/>
        </w:rPr>
      </w:pPr>
    </w:p>
    <w:p w14:paraId="246D0A4D">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仿宋_GB2312" w:cs="Times New Roman"/>
          <w:color w:val="auto"/>
          <w:sz w:val="36"/>
          <w:szCs w:val="36"/>
          <w:highlight w:val="none"/>
        </w:rPr>
      </w:pPr>
    </w:p>
    <w:p w14:paraId="216046C8">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仿宋_GB2312" w:cs="Times New Roman"/>
          <w:color w:val="auto"/>
          <w:sz w:val="36"/>
          <w:szCs w:val="36"/>
          <w:highlight w:val="none"/>
        </w:rPr>
      </w:pPr>
    </w:p>
    <w:p w14:paraId="0EE3CDD0">
      <w:pPr>
        <w:keepNext w:val="0"/>
        <w:keepLines w:val="0"/>
        <w:pageBreakBefore w:val="0"/>
        <w:widowControl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仿宋_GB2312" w:cs="Times New Roman"/>
          <w:color w:val="auto"/>
          <w:sz w:val="36"/>
          <w:szCs w:val="36"/>
          <w:highlight w:val="none"/>
        </w:rPr>
      </w:pPr>
    </w:p>
    <w:p w14:paraId="64E2AE9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0"/>
        <w:rPr>
          <w:rFonts w:hint="default" w:ascii="Times New Roman" w:hAnsi="Times New Roman" w:eastAsia="方正小标宋_GBK" w:cs="Times New Roman"/>
          <w:bCs/>
          <w:color w:val="auto"/>
          <w:sz w:val="60"/>
          <w:szCs w:val="60"/>
          <w:highlight w:val="none"/>
        </w:rPr>
      </w:pPr>
      <w:bookmarkStart w:id="0" w:name="_Toc8326"/>
      <w:r>
        <w:rPr>
          <w:rFonts w:hint="default" w:ascii="Times New Roman" w:hAnsi="Times New Roman" w:eastAsia="方正小标宋_GBK" w:cs="Times New Roman"/>
          <w:bCs/>
          <w:color w:val="auto"/>
          <w:sz w:val="60"/>
          <w:szCs w:val="60"/>
          <w:highlight w:val="none"/>
        </w:rPr>
        <w:t>建</w:t>
      </w:r>
      <w:r>
        <w:rPr>
          <w:rFonts w:hint="default" w:ascii="Times New Roman" w:hAnsi="Times New Roman" w:eastAsia="方正小标宋_GBK" w:cs="Times New Roman"/>
          <w:b w:val="0"/>
          <w:bCs/>
          <w:color w:val="auto"/>
          <w:sz w:val="60"/>
          <w:szCs w:val="60"/>
          <w:highlight w:val="none"/>
        </w:rPr>
        <w:t>设项</w:t>
      </w:r>
      <w:r>
        <w:rPr>
          <w:rFonts w:hint="default" w:ascii="Times New Roman" w:hAnsi="Times New Roman" w:eastAsia="方正小标宋_GBK" w:cs="Times New Roman"/>
          <w:bCs/>
          <w:color w:val="auto"/>
          <w:sz w:val="60"/>
          <w:szCs w:val="60"/>
          <w:highlight w:val="none"/>
        </w:rPr>
        <w:t>目</w:t>
      </w:r>
      <w:r>
        <w:rPr>
          <w:rFonts w:hint="eastAsia" w:ascii="Times New Roman" w:hAnsi="Times New Roman" w:eastAsia="方正小标宋_GBK" w:cs="Times New Roman"/>
          <w:bCs/>
          <w:color w:val="auto"/>
          <w:sz w:val="60"/>
          <w:szCs w:val="60"/>
          <w:highlight w:val="none"/>
          <w:lang w:val="en-US" w:eastAsia="zh-CN"/>
        </w:rPr>
        <w:t>生态</w:t>
      </w:r>
      <w:r>
        <w:rPr>
          <w:rFonts w:hint="default" w:ascii="Times New Roman" w:hAnsi="Times New Roman" w:eastAsia="方正小标宋_GBK" w:cs="Times New Roman"/>
          <w:bCs/>
          <w:color w:val="auto"/>
          <w:sz w:val="60"/>
          <w:szCs w:val="60"/>
          <w:highlight w:val="none"/>
        </w:rPr>
        <w:t>环境影响报告表</w:t>
      </w:r>
      <w:bookmarkEnd w:id="0"/>
    </w:p>
    <w:p w14:paraId="3C9DD26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仿宋" w:cs="Times New Roman"/>
          <w:color w:val="auto"/>
          <w:sz w:val="48"/>
          <w:szCs w:val="48"/>
          <w:highlight w:val="none"/>
          <w:lang w:val="en-US" w:eastAsia="zh-CN"/>
        </w:rPr>
      </w:pPr>
      <w:r>
        <w:rPr>
          <w:rFonts w:hint="eastAsia" w:eastAsia="仿宋" w:cs="Times New Roman"/>
          <w:color w:val="auto"/>
          <w:sz w:val="48"/>
          <w:szCs w:val="48"/>
          <w:highlight w:val="none"/>
          <w:lang w:val="en-US" w:eastAsia="zh-CN"/>
        </w:rPr>
        <w:t>（污染影响类）</w:t>
      </w:r>
    </w:p>
    <w:p w14:paraId="1105F4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仿宋" w:cs="Times New Roman"/>
          <w:color w:val="auto"/>
          <w:sz w:val="28"/>
          <w:szCs w:val="28"/>
          <w:highlight w:val="none"/>
          <w:lang w:val="en-US" w:eastAsia="zh-CN"/>
        </w:rPr>
      </w:pPr>
      <w:r>
        <w:rPr>
          <w:rFonts w:hint="eastAsia" w:eastAsia="仿宋" w:cs="Times New Roman"/>
          <w:color w:val="auto"/>
          <w:sz w:val="28"/>
          <w:szCs w:val="28"/>
          <w:highlight w:val="none"/>
          <w:lang w:val="en-US" w:eastAsia="zh-CN"/>
        </w:rPr>
        <w:t>（报批稿）</w:t>
      </w:r>
    </w:p>
    <w:p w14:paraId="5D9FF53B">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仿宋" w:cs="Times New Roman"/>
          <w:color w:val="auto"/>
          <w:sz w:val="52"/>
          <w:szCs w:val="52"/>
          <w:highlight w:val="none"/>
        </w:rPr>
      </w:pPr>
    </w:p>
    <w:p w14:paraId="2C9AF3FC">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仿宋" w:cs="Times New Roman"/>
          <w:color w:val="auto"/>
          <w:sz w:val="44"/>
          <w:szCs w:val="44"/>
          <w:highlight w:val="none"/>
        </w:rPr>
      </w:pPr>
    </w:p>
    <w:p w14:paraId="19D4DAAA">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仿宋" w:cs="Times New Roman"/>
          <w:color w:val="auto"/>
          <w:sz w:val="44"/>
          <w:szCs w:val="44"/>
          <w:highlight w:val="none"/>
        </w:rPr>
      </w:pPr>
    </w:p>
    <w:p w14:paraId="67FF6F3C">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仿宋" w:cs="Times New Roman"/>
          <w:color w:val="auto"/>
          <w:sz w:val="44"/>
          <w:szCs w:val="44"/>
          <w:highlight w:val="none"/>
        </w:rPr>
      </w:pPr>
    </w:p>
    <w:p w14:paraId="0C02C21A">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仿宋" w:cs="Times New Roman"/>
          <w:color w:val="auto"/>
          <w:sz w:val="44"/>
          <w:szCs w:val="44"/>
          <w:highlight w:val="none"/>
        </w:rPr>
      </w:pPr>
    </w:p>
    <w:p w14:paraId="0D229C1A">
      <w:pPr>
        <w:keepNext w:val="0"/>
        <w:keepLines w:val="0"/>
        <w:widowControl w:val="0"/>
        <w:suppressLineNumbers w:val="0"/>
        <w:adjustRightInd w:val="0"/>
        <w:snapToGrid w:val="0"/>
        <w:spacing w:before="0" w:beforeAutospacing="0" w:after="0" w:afterAutospacing="0" w:line="288" w:lineRule="auto"/>
        <w:ind w:left="1800" w:leftChars="0" w:right="0" w:hanging="1800" w:hangingChars="500"/>
        <w:jc w:val="left"/>
        <w:rPr>
          <w:rFonts w:hint="eastAsia" w:eastAsia="仿宋_GB2312" w:cs="Times New Roman"/>
          <w:color w:val="auto"/>
          <w:kern w:val="2"/>
          <w:sz w:val="36"/>
          <w:szCs w:val="36"/>
          <w:highlight w:val="none"/>
          <w:u w:val="single"/>
          <w:lang w:val="en-US" w:eastAsia="zh-CN" w:bidi="ar"/>
        </w:rPr>
      </w:pPr>
      <w:bookmarkStart w:id="1" w:name="_Hlk57884087"/>
      <w:r>
        <w:rPr>
          <w:rFonts w:hint="default" w:ascii="Times New Roman" w:hAnsi="Times New Roman" w:eastAsia="仿宋_GB2312" w:cs="Times New Roman"/>
          <w:color w:val="auto"/>
          <w:kern w:val="2"/>
          <w:sz w:val="36"/>
          <w:szCs w:val="36"/>
          <w:highlight w:val="none"/>
          <w:lang w:val="en-US" w:eastAsia="zh-CN" w:bidi="ar"/>
        </w:rPr>
        <w:t>项目名称：</w:t>
      </w:r>
      <w:r>
        <w:rPr>
          <w:rFonts w:hint="eastAsia" w:eastAsia="仿宋_GB2312" w:cs="Times New Roman"/>
          <w:color w:val="auto"/>
          <w:kern w:val="2"/>
          <w:sz w:val="36"/>
          <w:szCs w:val="36"/>
          <w:highlight w:val="none"/>
          <w:u w:val="single"/>
          <w:lang w:val="en-US" w:eastAsia="zh-CN" w:bidi="ar"/>
        </w:rPr>
        <w:t xml:space="preserve">  奋发科技尼龙隔热条生产线技术改造项目  </w:t>
      </w:r>
    </w:p>
    <w:p w14:paraId="611ECBD7">
      <w:pPr>
        <w:keepNext w:val="0"/>
        <w:keepLines w:val="0"/>
        <w:widowControl w:val="0"/>
        <w:suppressLineNumbers w:val="0"/>
        <w:adjustRightInd w:val="0"/>
        <w:snapToGrid w:val="0"/>
        <w:spacing w:before="0" w:beforeAutospacing="0" w:after="0" w:afterAutospacing="0" w:line="288" w:lineRule="auto"/>
        <w:ind w:left="0" w:leftChars="0" w:right="0" w:firstLine="0" w:firstLineChars="0"/>
        <w:jc w:val="left"/>
        <w:rPr>
          <w:rFonts w:hint="default" w:ascii="Times New Roman" w:hAnsi="Times New Roman" w:eastAsia="仿宋_GB2312" w:cs="Times New Roman"/>
          <w:color w:val="auto"/>
          <w:kern w:val="2"/>
          <w:sz w:val="36"/>
          <w:szCs w:val="36"/>
          <w:highlight w:val="none"/>
          <w:u w:val="single"/>
          <w:lang w:val="en-US"/>
        </w:rPr>
      </w:pPr>
      <w:r>
        <w:rPr>
          <w:rFonts w:hint="default" w:ascii="Times New Roman" w:hAnsi="Times New Roman" w:eastAsia="仿宋_GB2312" w:cs="Times New Roman"/>
          <w:color w:val="auto"/>
          <w:kern w:val="2"/>
          <w:sz w:val="36"/>
          <w:szCs w:val="36"/>
          <w:highlight w:val="none"/>
          <w:lang w:val="en-US" w:eastAsia="zh-CN" w:bidi="ar"/>
        </w:rPr>
        <w:t>建设单位（盖章）：</w:t>
      </w:r>
      <w:r>
        <w:rPr>
          <w:rFonts w:hint="eastAsia" w:eastAsia="仿宋_GB2312" w:cs="Times New Roman"/>
          <w:color w:val="auto"/>
          <w:kern w:val="2"/>
          <w:sz w:val="36"/>
          <w:szCs w:val="36"/>
          <w:highlight w:val="none"/>
          <w:u w:val="single"/>
          <w:lang w:val="en-US" w:eastAsia="zh-CN" w:bidi="ar"/>
        </w:rPr>
        <w:t xml:space="preserve">  江西奋发科技有限公司     </w:t>
      </w:r>
    </w:p>
    <w:p w14:paraId="0280BDD2">
      <w:pPr>
        <w:keepNext w:val="0"/>
        <w:keepLines w:val="0"/>
        <w:widowControl w:val="0"/>
        <w:suppressLineNumbers w:val="0"/>
        <w:spacing w:before="0" w:beforeAutospacing="0" w:after="0" w:afterAutospacing="0"/>
        <w:ind w:left="0" w:leftChars="0" w:right="0" w:firstLine="0" w:firstLineChars="0"/>
        <w:jc w:val="left"/>
        <w:rPr>
          <w:rFonts w:hint="default" w:ascii="Times New Roman" w:hAnsi="Times New Roman" w:cs="Times New Roman"/>
          <w:color w:val="auto"/>
          <w:highlight w:val="none"/>
          <w:lang w:val="en-US"/>
        </w:rPr>
      </w:pPr>
      <w:r>
        <w:rPr>
          <w:rFonts w:hint="default" w:ascii="Times New Roman" w:hAnsi="Times New Roman" w:eastAsia="仿宋_GB2312" w:cs="Times New Roman"/>
          <w:color w:val="auto"/>
          <w:kern w:val="2"/>
          <w:sz w:val="36"/>
          <w:szCs w:val="36"/>
          <w:highlight w:val="none"/>
          <w:lang w:val="en-US" w:eastAsia="zh-CN" w:bidi="ar"/>
        </w:rPr>
        <w:t>编制日期：</w:t>
      </w:r>
      <w:r>
        <w:rPr>
          <w:rFonts w:hint="default" w:ascii="Times New Roman" w:hAnsi="Times New Roman" w:eastAsia="仿宋_GB2312" w:cs="Times New Roman"/>
          <w:color w:val="auto"/>
          <w:kern w:val="2"/>
          <w:sz w:val="36"/>
          <w:szCs w:val="36"/>
          <w:highlight w:val="none"/>
          <w:u w:val="single"/>
          <w:lang w:val="en-US" w:eastAsia="zh-CN" w:bidi="ar"/>
        </w:rPr>
        <w:t xml:space="preserve">       </w:t>
      </w:r>
      <w:r>
        <w:rPr>
          <w:rFonts w:hint="eastAsia" w:eastAsia="仿宋_GB2312" w:cs="Times New Roman"/>
          <w:color w:val="auto"/>
          <w:kern w:val="2"/>
          <w:sz w:val="36"/>
          <w:szCs w:val="36"/>
          <w:highlight w:val="none"/>
          <w:u w:val="single"/>
          <w:lang w:val="en-US" w:eastAsia="zh-CN" w:bidi="ar"/>
        </w:rPr>
        <w:t xml:space="preserve"> </w:t>
      </w:r>
      <w:r>
        <w:rPr>
          <w:rFonts w:hint="default" w:ascii="Times New Roman" w:hAnsi="Times New Roman" w:eastAsia="仿宋_GB2312" w:cs="Times New Roman"/>
          <w:color w:val="auto"/>
          <w:kern w:val="2"/>
          <w:sz w:val="36"/>
          <w:szCs w:val="36"/>
          <w:highlight w:val="none"/>
          <w:u w:val="single"/>
          <w:lang w:val="en-US" w:eastAsia="zh-CN" w:bidi="ar"/>
        </w:rPr>
        <w:t xml:space="preserve">  </w:t>
      </w:r>
      <w:r>
        <w:rPr>
          <w:rFonts w:hint="eastAsia" w:eastAsia="仿宋_GB2312" w:cs="Times New Roman"/>
          <w:color w:val="auto"/>
          <w:kern w:val="2"/>
          <w:sz w:val="36"/>
          <w:szCs w:val="36"/>
          <w:highlight w:val="none"/>
          <w:u w:val="single"/>
          <w:lang w:val="en-US" w:eastAsia="zh-CN" w:bidi="ar"/>
        </w:rPr>
        <w:t xml:space="preserve">   </w:t>
      </w:r>
      <w:r>
        <w:rPr>
          <w:rFonts w:hint="default" w:ascii="Times New Roman" w:hAnsi="Times New Roman" w:eastAsia="仿宋_GB2312" w:cs="Times New Roman"/>
          <w:color w:val="auto"/>
          <w:kern w:val="2"/>
          <w:sz w:val="36"/>
          <w:szCs w:val="36"/>
          <w:highlight w:val="none"/>
          <w:u w:val="single"/>
          <w:lang w:val="en-US" w:eastAsia="zh-CN" w:bidi="ar"/>
        </w:rPr>
        <w:t>202</w:t>
      </w:r>
      <w:r>
        <w:rPr>
          <w:rFonts w:hint="eastAsia" w:eastAsia="仿宋_GB2312" w:cs="Times New Roman"/>
          <w:color w:val="auto"/>
          <w:kern w:val="2"/>
          <w:sz w:val="36"/>
          <w:szCs w:val="36"/>
          <w:highlight w:val="none"/>
          <w:u w:val="single"/>
          <w:lang w:val="en-US" w:eastAsia="zh-CN" w:bidi="ar"/>
        </w:rPr>
        <w:t>6</w:t>
      </w:r>
      <w:r>
        <w:rPr>
          <w:rFonts w:hint="default" w:ascii="Times New Roman" w:hAnsi="Times New Roman" w:eastAsia="仿宋_GB2312" w:cs="Times New Roman"/>
          <w:color w:val="auto"/>
          <w:kern w:val="2"/>
          <w:sz w:val="36"/>
          <w:szCs w:val="36"/>
          <w:highlight w:val="none"/>
          <w:u w:val="single"/>
          <w:lang w:val="en-US" w:eastAsia="zh-CN" w:bidi="ar"/>
        </w:rPr>
        <w:t>年</w:t>
      </w:r>
      <w:r>
        <w:rPr>
          <w:rFonts w:hint="eastAsia" w:eastAsia="仿宋_GB2312" w:cs="Times New Roman"/>
          <w:color w:val="auto"/>
          <w:kern w:val="2"/>
          <w:sz w:val="36"/>
          <w:szCs w:val="36"/>
          <w:highlight w:val="none"/>
          <w:u w:val="single"/>
          <w:lang w:val="en-US" w:eastAsia="zh-CN" w:bidi="ar"/>
        </w:rPr>
        <w:t>9</w:t>
      </w:r>
      <w:r>
        <w:rPr>
          <w:rFonts w:hint="default" w:ascii="Times New Roman" w:hAnsi="Times New Roman" w:eastAsia="仿宋_GB2312" w:cs="Times New Roman"/>
          <w:color w:val="auto"/>
          <w:kern w:val="2"/>
          <w:sz w:val="36"/>
          <w:szCs w:val="36"/>
          <w:highlight w:val="none"/>
          <w:u w:val="single"/>
          <w:lang w:val="en-US" w:eastAsia="zh-CN" w:bidi="ar"/>
        </w:rPr>
        <w:t>月</w:t>
      </w:r>
      <w:r>
        <w:rPr>
          <w:rFonts w:hint="eastAsia" w:eastAsia="仿宋_GB2312" w:cs="Times New Roman"/>
          <w:color w:val="auto"/>
          <w:kern w:val="2"/>
          <w:sz w:val="36"/>
          <w:szCs w:val="36"/>
          <w:highlight w:val="none"/>
          <w:u w:val="single"/>
          <w:lang w:val="en-US" w:eastAsia="zh-CN" w:bidi="ar"/>
        </w:rPr>
        <w:t xml:space="preserve">                </w:t>
      </w:r>
    </w:p>
    <w:p w14:paraId="29E49A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36"/>
          <w:szCs w:val="36"/>
          <w:highlight w:val="none"/>
        </w:rPr>
      </w:pPr>
    </w:p>
    <w:p w14:paraId="41C4EFF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36"/>
          <w:szCs w:val="36"/>
          <w:highlight w:val="none"/>
        </w:rPr>
      </w:pPr>
    </w:p>
    <w:p w14:paraId="3558A3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sz w:val="36"/>
          <w:szCs w:val="36"/>
          <w:highlight w:val="none"/>
        </w:rPr>
      </w:pPr>
    </w:p>
    <w:p w14:paraId="4BFBF323">
      <w:pPr>
        <w:adjustRightInd w:val="0"/>
        <w:snapToGrid w:val="0"/>
        <w:spacing w:line="288" w:lineRule="auto"/>
        <w:ind w:firstLine="1040"/>
        <w:rPr>
          <w:rFonts w:hint="default" w:ascii="Times New Roman" w:hAnsi="Times New Roman" w:eastAsia="仿宋_GB2312" w:cs="Times New Roman"/>
          <w:color w:val="auto"/>
          <w:sz w:val="36"/>
          <w:szCs w:val="36"/>
          <w:highlight w:val="none"/>
        </w:rPr>
      </w:pPr>
    </w:p>
    <w:p w14:paraId="17033641">
      <w:pPr>
        <w:pStyle w:val="51"/>
        <w:ind w:left="0" w:leftChars="0" w:firstLine="0" w:firstLineChars="0"/>
        <w:rPr>
          <w:rFonts w:hint="default" w:ascii="Times New Roman" w:hAnsi="Times New Roman" w:eastAsia="仿宋_GB2312" w:cs="Times New Roman"/>
          <w:color w:val="auto"/>
          <w:sz w:val="36"/>
          <w:szCs w:val="36"/>
          <w:highlight w:val="none"/>
        </w:rPr>
      </w:pPr>
    </w:p>
    <w:p w14:paraId="241A80E2">
      <w:pPr>
        <w:pStyle w:val="51"/>
        <w:rPr>
          <w:rFonts w:hint="default" w:ascii="Times New Roman" w:hAnsi="Times New Roman" w:eastAsia="仿宋_GB2312" w:cs="Times New Roman"/>
          <w:color w:val="auto"/>
          <w:sz w:val="36"/>
          <w:szCs w:val="36"/>
          <w:highlight w:val="none"/>
        </w:rPr>
      </w:pPr>
    </w:p>
    <w:bookmarkEnd w:id="1"/>
    <w:p w14:paraId="2CC0F9C4">
      <w:pPr>
        <w:keepNext w:val="0"/>
        <w:keepLines w:val="0"/>
        <w:pageBreakBefore w:val="0"/>
        <w:widowControl w:val="0"/>
        <w:kinsoku/>
        <w:wordWrap/>
        <w:overflowPunct/>
        <w:topLinePunct w:val="0"/>
        <w:autoSpaceDE/>
        <w:autoSpaceDN/>
        <w:bidi w:val="0"/>
        <w:adjustRightInd w:val="0"/>
        <w:snapToGrid w:val="0"/>
        <w:spacing w:line="288" w:lineRule="auto"/>
        <w:ind w:firstLine="0" w:firstLineChars="0"/>
        <w:jc w:val="center"/>
        <w:textAlignment w:val="auto"/>
        <w:rPr>
          <w:rFonts w:hint="default" w:ascii="Times New Roman" w:hAnsi="Times New Roman" w:eastAsia="楷体_GB2312" w:cs="Times New Roman"/>
          <w:color w:val="auto"/>
          <w:sz w:val="36"/>
          <w:szCs w:val="36"/>
          <w:highlight w:val="none"/>
        </w:rPr>
        <w:sectPr>
          <w:footerReference r:id="rId5" w:type="default"/>
          <w:footerReference r:id="rId6" w:type="even"/>
          <w:pgSz w:w="11906" w:h="16838"/>
          <w:pgMar w:top="1701" w:right="1531" w:bottom="1701" w:left="1531" w:header="851" w:footer="1077" w:gutter="0"/>
          <w:pgBorders>
            <w:top w:val="none" w:sz="0" w:space="0"/>
            <w:left w:val="none" w:sz="0" w:space="0"/>
            <w:bottom w:val="none" w:sz="0" w:space="0"/>
            <w:right w:val="none" w:sz="0" w:space="0"/>
          </w:pgBorders>
          <w:pgNumType w:fmt="decimal" w:start="3"/>
          <w:cols w:space="720" w:num="1"/>
          <w:docGrid w:linePitch="312" w:charSpace="0"/>
        </w:sectPr>
      </w:pPr>
      <w:r>
        <w:rPr>
          <w:rFonts w:hint="default" w:ascii="Times New Roman" w:hAnsi="Times New Roman" w:eastAsia="楷体_GB2312" w:cs="Times New Roman"/>
          <w:color w:val="auto"/>
          <w:sz w:val="36"/>
          <w:szCs w:val="36"/>
          <w:highlight w:val="none"/>
        </w:rPr>
        <w:t>中华人民共和国生态环境部制</w:t>
      </w:r>
    </w:p>
    <w:sdt>
      <w:sdtPr>
        <w:rPr>
          <w:rFonts w:ascii="宋体" w:hAnsi="宋体" w:eastAsia="宋体" w:cs="Times New Roman"/>
          <w:color w:val="auto"/>
          <w:kern w:val="2"/>
          <w:sz w:val="21"/>
          <w:szCs w:val="24"/>
          <w:lang w:val="en-US" w:eastAsia="zh-CN" w:bidi="ar-SA"/>
        </w:rPr>
        <w:id w:val="147479392"/>
        <w15:color w:val="DBDBDB"/>
        <w:docPartObj>
          <w:docPartGallery w:val="Table of Contents"/>
          <w:docPartUnique/>
        </w:docPartObj>
      </w:sdtPr>
      <w:sdtEndPr>
        <w:rPr>
          <w:rFonts w:hint="default" w:ascii="Times New Roman" w:hAnsi="Times New Roman" w:eastAsia="黑体" w:cs="Times New Roman"/>
          <w:snapToGrid w:val="0"/>
          <w:color w:val="auto"/>
          <w:kern w:val="0"/>
          <w:sz w:val="24"/>
          <w:szCs w:val="30"/>
          <w:highlight w:val="none"/>
          <w:lang w:val="en-US" w:eastAsia="zh-CN" w:bidi="ar-SA"/>
        </w:rPr>
      </w:sdtEndPr>
      <w:sdtContent>
        <w:p w14:paraId="74F3BB4E">
          <w:pPr>
            <w:spacing w:before="0" w:beforeLines="0" w:after="0" w:afterLines="0" w:line="240" w:lineRule="auto"/>
            <w:ind w:left="0" w:leftChars="0" w:right="0" w:rightChars="0" w:firstLine="0" w:firstLineChars="0"/>
            <w:jc w:val="center"/>
            <w:rPr>
              <w:b/>
              <w:bCs/>
              <w:color w:val="auto"/>
              <w:sz w:val="28"/>
              <w:szCs w:val="28"/>
            </w:rPr>
          </w:pPr>
          <w:r>
            <w:rPr>
              <w:rFonts w:ascii="宋体" w:hAnsi="宋体" w:eastAsia="宋体"/>
              <w:b/>
              <w:bCs/>
              <w:color w:val="auto"/>
              <w:sz w:val="28"/>
              <w:szCs w:val="28"/>
            </w:rPr>
            <w:t>目录</w:t>
          </w:r>
        </w:p>
        <w:p w14:paraId="1D66BDE6">
          <w:pPr>
            <w:pStyle w:val="24"/>
            <w:tabs>
              <w:tab w:val="right" w:leader="dot" w:pos="8504"/>
            </w:tabs>
            <w:rPr>
              <w:rFonts w:hint="default" w:ascii="Times New Roman" w:hAnsi="Times New Roman" w:eastAsia="宋体" w:cs="Times New Roman"/>
              <w:color w:val="auto"/>
            </w:rPr>
          </w:pPr>
          <w:r>
            <w:rPr>
              <w:rFonts w:hint="default" w:ascii="Times New Roman" w:hAnsi="Times New Roman" w:eastAsia="黑体" w:cs="Times New Roman"/>
              <w:snapToGrid w:val="0"/>
              <w:color w:val="auto"/>
              <w:kern w:val="0"/>
              <w:sz w:val="24"/>
              <w:szCs w:val="30"/>
              <w:highlight w:val="none"/>
              <w:lang w:val="en-US" w:eastAsia="zh-CN" w:bidi="ar-SA"/>
            </w:rPr>
            <w:fldChar w:fldCharType="begin"/>
          </w:r>
          <w:r>
            <w:rPr>
              <w:rFonts w:hint="default" w:ascii="Times New Roman" w:hAnsi="Times New Roman" w:eastAsia="黑体" w:cs="Times New Roman"/>
              <w:snapToGrid w:val="0"/>
              <w:color w:val="auto"/>
              <w:kern w:val="0"/>
              <w:sz w:val="24"/>
              <w:szCs w:val="30"/>
              <w:highlight w:val="none"/>
              <w:lang w:val="en-US" w:eastAsia="zh-CN" w:bidi="ar-SA"/>
            </w:rPr>
            <w:instrText xml:space="preserve">TOC \o "1-1" \h \u </w:instrText>
          </w:r>
          <w:r>
            <w:rPr>
              <w:rFonts w:hint="default" w:ascii="Times New Roman" w:hAnsi="Times New Roman" w:eastAsia="黑体" w:cs="Times New Roman"/>
              <w:snapToGrid w:val="0"/>
              <w:color w:val="auto"/>
              <w:kern w:val="0"/>
              <w:sz w:val="24"/>
              <w:szCs w:val="30"/>
              <w:highlight w:val="none"/>
              <w:lang w:val="en-US" w:eastAsia="zh-CN" w:bidi="ar-SA"/>
            </w:rPr>
            <w:fldChar w:fldCharType="separate"/>
          </w:r>
          <w:r>
            <w:rPr>
              <w:rFonts w:hint="default" w:ascii="Times New Roman" w:hAnsi="Times New Roman" w:eastAsia="宋体" w:cs="Times New Roman"/>
              <w:snapToGrid w:val="0"/>
              <w:color w:val="auto"/>
              <w:kern w:val="0"/>
              <w:szCs w:val="30"/>
              <w:highlight w:val="none"/>
              <w:lang w:val="en-US" w:eastAsia="zh-CN" w:bidi="ar-SA"/>
            </w:rPr>
            <w:fldChar w:fldCharType="begin"/>
          </w:r>
          <w:r>
            <w:rPr>
              <w:rFonts w:hint="default" w:ascii="Times New Roman" w:hAnsi="Times New Roman" w:eastAsia="宋体" w:cs="Times New Roman"/>
              <w:snapToGrid w:val="0"/>
              <w:color w:val="auto"/>
              <w:kern w:val="0"/>
              <w:szCs w:val="30"/>
              <w:highlight w:val="none"/>
              <w:lang w:val="en-US" w:eastAsia="zh-CN" w:bidi="ar-SA"/>
            </w:rPr>
            <w:instrText xml:space="preserve"> HYPERLINK \l _Toc26303 </w:instrText>
          </w:r>
          <w:r>
            <w:rPr>
              <w:rFonts w:hint="default" w:ascii="Times New Roman" w:hAnsi="Times New Roman" w:eastAsia="宋体" w:cs="Times New Roman"/>
              <w:snapToGrid w:val="0"/>
              <w:color w:val="auto"/>
              <w:kern w:val="0"/>
              <w:szCs w:val="30"/>
              <w:highlight w:val="none"/>
              <w:lang w:val="en-US" w:eastAsia="zh-CN" w:bidi="ar-SA"/>
            </w:rPr>
            <w:fldChar w:fldCharType="separate"/>
          </w:r>
          <w:r>
            <w:rPr>
              <w:rFonts w:hint="default" w:ascii="Times New Roman" w:hAnsi="Times New Roman" w:eastAsia="宋体" w:cs="Times New Roman"/>
              <w:snapToGrid w:val="0"/>
              <w:color w:val="auto"/>
              <w:szCs w:val="30"/>
              <w:highlight w:val="none"/>
            </w:rPr>
            <w:t>一、建设项目基本情况</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_Toc26303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w:t>
          </w:r>
          <w:r>
            <w:rPr>
              <w:rFonts w:hint="default" w:ascii="Times New Roman" w:hAnsi="Times New Roman" w:eastAsia="宋体" w:cs="Times New Roman"/>
              <w:color w:val="auto"/>
            </w:rPr>
            <w:fldChar w:fldCharType="end"/>
          </w:r>
          <w:r>
            <w:rPr>
              <w:rFonts w:hint="default" w:ascii="Times New Roman" w:hAnsi="Times New Roman" w:eastAsia="宋体" w:cs="Times New Roman"/>
              <w:snapToGrid w:val="0"/>
              <w:color w:val="auto"/>
              <w:kern w:val="0"/>
              <w:szCs w:val="30"/>
              <w:highlight w:val="none"/>
              <w:lang w:val="en-US" w:eastAsia="zh-CN" w:bidi="ar-SA"/>
            </w:rPr>
            <w:fldChar w:fldCharType="end"/>
          </w:r>
        </w:p>
        <w:p w14:paraId="6E171B58">
          <w:pPr>
            <w:pStyle w:val="24"/>
            <w:tabs>
              <w:tab w:val="right" w:leader="dot" w:pos="8504"/>
            </w:tabs>
            <w:rPr>
              <w:rFonts w:hint="default" w:ascii="Times New Roman" w:hAnsi="Times New Roman" w:eastAsia="宋体" w:cs="Times New Roman"/>
              <w:color w:val="auto"/>
            </w:rPr>
          </w:pPr>
          <w:r>
            <w:rPr>
              <w:rFonts w:hint="default" w:ascii="Times New Roman" w:hAnsi="Times New Roman" w:eastAsia="宋体" w:cs="Times New Roman"/>
              <w:snapToGrid w:val="0"/>
              <w:color w:val="auto"/>
              <w:kern w:val="0"/>
              <w:szCs w:val="30"/>
              <w:highlight w:val="none"/>
              <w:lang w:val="en-US" w:eastAsia="zh-CN" w:bidi="ar-SA"/>
            </w:rPr>
            <w:fldChar w:fldCharType="begin"/>
          </w:r>
          <w:r>
            <w:rPr>
              <w:rFonts w:hint="default" w:ascii="Times New Roman" w:hAnsi="Times New Roman" w:eastAsia="宋体" w:cs="Times New Roman"/>
              <w:snapToGrid w:val="0"/>
              <w:color w:val="auto"/>
              <w:kern w:val="0"/>
              <w:szCs w:val="30"/>
              <w:highlight w:val="none"/>
              <w:lang w:val="en-US" w:eastAsia="zh-CN" w:bidi="ar-SA"/>
            </w:rPr>
            <w:instrText xml:space="preserve"> HYPERLINK \l _Toc32220 </w:instrText>
          </w:r>
          <w:r>
            <w:rPr>
              <w:rFonts w:hint="default" w:ascii="Times New Roman" w:hAnsi="Times New Roman" w:eastAsia="宋体" w:cs="Times New Roman"/>
              <w:snapToGrid w:val="0"/>
              <w:color w:val="auto"/>
              <w:kern w:val="0"/>
              <w:szCs w:val="30"/>
              <w:highlight w:val="none"/>
              <w:lang w:val="en-US" w:eastAsia="zh-CN" w:bidi="ar-SA"/>
            </w:rPr>
            <w:fldChar w:fldCharType="separate"/>
          </w:r>
          <w:r>
            <w:rPr>
              <w:rFonts w:hint="default" w:ascii="Times New Roman" w:hAnsi="Times New Roman" w:eastAsia="宋体" w:cs="Times New Roman"/>
              <w:snapToGrid w:val="0"/>
              <w:color w:val="auto"/>
              <w:szCs w:val="30"/>
              <w:highlight w:val="none"/>
            </w:rPr>
            <w:t>二、建设项目工程分析</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_Toc32220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40</w:t>
          </w:r>
          <w:r>
            <w:rPr>
              <w:rFonts w:hint="default" w:ascii="Times New Roman" w:hAnsi="Times New Roman" w:eastAsia="宋体" w:cs="Times New Roman"/>
              <w:color w:val="auto"/>
            </w:rPr>
            <w:fldChar w:fldCharType="end"/>
          </w:r>
          <w:r>
            <w:rPr>
              <w:rFonts w:hint="default" w:ascii="Times New Roman" w:hAnsi="Times New Roman" w:eastAsia="宋体" w:cs="Times New Roman"/>
              <w:snapToGrid w:val="0"/>
              <w:color w:val="auto"/>
              <w:kern w:val="0"/>
              <w:szCs w:val="30"/>
              <w:highlight w:val="none"/>
              <w:lang w:val="en-US" w:eastAsia="zh-CN" w:bidi="ar-SA"/>
            </w:rPr>
            <w:fldChar w:fldCharType="end"/>
          </w:r>
        </w:p>
        <w:p w14:paraId="224C5A44">
          <w:pPr>
            <w:pStyle w:val="24"/>
            <w:tabs>
              <w:tab w:val="right" w:leader="dot" w:pos="8504"/>
            </w:tabs>
            <w:rPr>
              <w:rFonts w:hint="default" w:ascii="Times New Roman" w:hAnsi="Times New Roman" w:eastAsia="宋体" w:cs="Times New Roman"/>
              <w:color w:val="auto"/>
            </w:rPr>
          </w:pPr>
          <w:r>
            <w:rPr>
              <w:rFonts w:hint="default" w:ascii="Times New Roman" w:hAnsi="Times New Roman" w:eastAsia="宋体" w:cs="Times New Roman"/>
              <w:snapToGrid w:val="0"/>
              <w:color w:val="auto"/>
              <w:kern w:val="0"/>
              <w:szCs w:val="30"/>
              <w:highlight w:val="none"/>
              <w:lang w:val="en-US" w:eastAsia="zh-CN" w:bidi="ar-SA"/>
            </w:rPr>
            <w:fldChar w:fldCharType="begin"/>
          </w:r>
          <w:r>
            <w:rPr>
              <w:rFonts w:hint="default" w:ascii="Times New Roman" w:hAnsi="Times New Roman" w:eastAsia="宋体" w:cs="Times New Roman"/>
              <w:snapToGrid w:val="0"/>
              <w:color w:val="auto"/>
              <w:kern w:val="0"/>
              <w:szCs w:val="30"/>
              <w:highlight w:val="none"/>
              <w:lang w:val="en-US" w:eastAsia="zh-CN" w:bidi="ar-SA"/>
            </w:rPr>
            <w:instrText xml:space="preserve"> HYPERLINK \l _Toc13659 </w:instrText>
          </w:r>
          <w:r>
            <w:rPr>
              <w:rFonts w:hint="default" w:ascii="Times New Roman" w:hAnsi="Times New Roman" w:eastAsia="宋体" w:cs="Times New Roman"/>
              <w:snapToGrid w:val="0"/>
              <w:color w:val="auto"/>
              <w:kern w:val="0"/>
              <w:szCs w:val="30"/>
              <w:highlight w:val="none"/>
              <w:lang w:val="en-US" w:eastAsia="zh-CN" w:bidi="ar-SA"/>
            </w:rPr>
            <w:fldChar w:fldCharType="separate"/>
          </w:r>
          <w:r>
            <w:rPr>
              <w:rFonts w:hint="default" w:ascii="Times New Roman" w:hAnsi="Times New Roman" w:eastAsia="宋体" w:cs="Times New Roman"/>
              <w:snapToGrid w:val="0"/>
              <w:color w:val="auto"/>
              <w:szCs w:val="30"/>
              <w:highlight w:val="none"/>
            </w:rPr>
            <w:t>三、区域环境质量现状、环境保护目标及评价标准</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_Toc13659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69</w:t>
          </w:r>
          <w:r>
            <w:rPr>
              <w:rFonts w:hint="default" w:ascii="Times New Roman" w:hAnsi="Times New Roman" w:eastAsia="宋体" w:cs="Times New Roman"/>
              <w:color w:val="auto"/>
            </w:rPr>
            <w:fldChar w:fldCharType="end"/>
          </w:r>
          <w:r>
            <w:rPr>
              <w:rFonts w:hint="default" w:ascii="Times New Roman" w:hAnsi="Times New Roman" w:eastAsia="宋体" w:cs="Times New Roman"/>
              <w:snapToGrid w:val="0"/>
              <w:color w:val="auto"/>
              <w:kern w:val="0"/>
              <w:szCs w:val="30"/>
              <w:highlight w:val="none"/>
              <w:lang w:val="en-US" w:eastAsia="zh-CN" w:bidi="ar-SA"/>
            </w:rPr>
            <w:fldChar w:fldCharType="end"/>
          </w:r>
        </w:p>
        <w:p w14:paraId="55076971">
          <w:pPr>
            <w:pStyle w:val="24"/>
            <w:tabs>
              <w:tab w:val="right" w:leader="dot" w:pos="8504"/>
            </w:tabs>
            <w:rPr>
              <w:rFonts w:hint="default" w:ascii="Times New Roman" w:hAnsi="Times New Roman" w:eastAsia="宋体" w:cs="Times New Roman"/>
              <w:color w:val="auto"/>
            </w:rPr>
          </w:pPr>
          <w:r>
            <w:rPr>
              <w:rFonts w:hint="default" w:ascii="Times New Roman" w:hAnsi="Times New Roman" w:eastAsia="宋体" w:cs="Times New Roman"/>
              <w:snapToGrid w:val="0"/>
              <w:color w:val="auto"/>
              <w:kern w:val="0"/>
              <w:szCs w:val="30"/>
              <w:highlight w:val="none"/>
              <w:lang w:val="en-US" w:eastAsia="zh-CN" w:bidi="ar-SA"/>
            </w:rPr>
            <w:fldChar w:fldCharType="begin"/>
          </w:r>
          <w:r>
            <w:rPr>
              <w:rFonts w:hint="default" w:ascii="Times New Roman" w:hAnsi="Times New Roman" w:eastAsia="宋体" w:cs="Times New Roman"/>
              <w:snapToGrid w:val="0"/>
              <w:color w:val="auto"/>
              <w:kern w:val="0"/>
              <w:szCs w:val="30"/>
              <w:highlight w:val="none"/>
              <w:lang w:val="en-US" w:eastAsia="zh-CN" w:bidi="ar-SA"/>
            </w:rPr>
            <w:instrText xml:space="preserve"> HYPERLINK \l _Toc10699 </w:instrText>
          </w:r>
          <w:r>
            <w:rPr>
              <w:rFonts w:hint="default" w:ascii="Times New Roman" w:hAnsi="Times New Roman" w:eastAsia="宋体" w:cs="Times New Roman"/>
              <w:snapToGrid w:val="0"/>
              <w:color w:val="auto"/>
              <w:kern w:val="0"/>
              <w:szCs w:val="30"/>
              <w:highlight w:val="none"/>
              <w:lang w:val="en-US" w:eastAsia="zh-CN" w:bidi="ar-SA"/>
            </w:rPr>
            <w:fldChar w:fldCharType="separate"/>
          </w:r>
          <w:r>
            <w:rPr>
              <w:rFonts w:hint="default" w:ascii="Times New Roman" w:hAnsi="Times New Roman" w:eastAsia="宋体" w:cs="Times New Roman"/>
              <w:snapToGrid w:val="0"/>
              <w:color w:val="auto"/>
              <w:szCs w:val="30"/>
              <w:highlight w:val="none"/>
            </w:rPr>
            <w:t>四、主要环境影响和保护措施</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_Toc10699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75</w:t>
          </w:r>
          <w:r>
            <w:rPr>
              <w:rFonts w:hint="default" w:ascii="Times New Roman" w:hAnsi="Times New Roman" w:eastAsia="宋体" w:cs="Times New Roman"/>
              <w:color w:val="auto"/>
            </w:rPr>
            <w:fldChar w:fldCharType="end"/>
          </w:r>
          <w:r>
            <w:rPr>
              <w:rFonts w:hint="default" w:ascii="Times New Roman" w:hAnsi="Times New Roman" w:eastAsia="宋体" w:cs="Times New Roman"/>
              <w:snapToGrid w:val="0"/>
              <w:color w:val="auto"/>
              <w:kern w:val="0"/>
              <w:szCs w:val="30"/>
              <w:highlight w:val="none"/>
              <w:lang w:val="en-US" w:eastAsia="zh-CN" w:bidi="ar-SA"/>
            </w:rPr>
            <w:fldChar w:fldCharType="end"/>
          </w:r>
        </w:p>
        <w:p w14:paraId="16EC4085">
          <w:pPr>
            <w:pStyle w:val="24"/>
            <w:tabs>
              <w:tab w:val="right" w:leader="dot" w:pos="8504"/>
            </w:tabs>
            <w:rPr>
              <w:rFonts w:hint="default" w:ascii="Times New Roman" w:hAnsi="Times New Roman" w:eastAsia="宋体" w:cs="Times New Roman"/>
              <w:color w:val="auto"/>
            </w:rPr>
          </w:pPr>
          <w:r>
            <w:rPr>
              <w:rFonts w:hint="default" w:ascii="Times New Roman" w:hAnsi="Times New Roman" w:eastAsia="宋体" w:cs="Times New Roman"/>
              <w:snapToGrid w:val="0"/>
              <w:color w:val="auto"/>
              <w:kern w:val="0"/>
              <w:szCs w:val="30"/>
              <w:highlight w:val="none"/>
              <w:lang w:val="en-US" w:eastAsia="zh-CN" w:bidi="ar-SA"/>
            </w:rPr>
            <w:fldChar w:fldCharType="begin"/>
          </w:r>
          <w:r>
            <w:rPr>
              <w:rFonts w:hint="default" w:ascii="Times New Roman" w:hAnsi="Times New Roman" w:eastAsia="宋体" w:cs="Times New Roman"/>
              <w:snapToGrid w:val="0"/>
              <w:color w:val="auto"/>
              <w:kern w:val="0"/>
              <w:szCs w:val="30"/>
              <w:highlight w:val="none"/>
              <w:lang w:val="en-US" w:eastAsia="zh-CN" w:bidi="ar-SA"/>
            </w:rPr>
            <w:instrText xml:space="preserve"> HYPERLINK \l _Toc1886 </w:instrText>
          </w:r>
          <w:r>
            <w:rPr>
              <w:rFonts w:hint="default" w:ascii="Times New Roman" w:hAnsi="Times New Roman" w:eastAsia="宋体" w:cs="Times New Roman"/>
              <w:snapToGrid w:val="0"/>
              <w:color w:val="auto"/>
              <w:kern w:val="0"/>
              <w:szCs w:val="30"/>
              <w:highlight w:val="none"/>
              <w:lang w:val="en-US" w:eastAsia="zh-CN" w:bidi="ar-SA"/>
            </w:rPr>
            <w:fldChar w:fldCharType="separate"/>
          </w:r>
          <w:r>
            <w:rPr>
              <w:rFonts w:hint="default" w:ascii="Times New Roman" w:hAnsi="Times New Roman" w:eastAsia="宋体" w:cs="Times New Roman"/>
              <w:snapToGrid w:val="0"/>
              <w:color w:val="auto"/>
              <w:szCs w:val="30"/>
              <w:highlight w:val="none"/>
            </w:rPr>
            <w:t>五、环境保护措施监督检查清单</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_Toc1886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106</w:t>
          </w:r>
          <w:r>
            <w:rPr>
              <w:rFonts w:hint="default" w:ascii="Times New Roman" w:hAnsi="Times New Roman" w:eastAsia="宋体" w:cs="Times New Roman"/>
              <w:color w:val="auto"/>
            </w:rPr>
            <w:fldChar w:fldCharType="end"/>
          </w:r>
          <w:r>
            <w:rPr>
              <w:rFonts w:hint="default" w:ascii="Times New Roman" w:hAnsi="Times New Roman" w:eastAsia="宋体" w:cs="Times New Roman"/>
              <w:snapToGrid w:val="0"/>
              <w:color w:val="auto"/>
              <w:kern w:val="0"/>
              <w:szCs w:val="30"/>
              <w:highlight w:val="none"/>
              <w:lang w:val="en-US" w:eastAsia="zh-CN" w:bidi="ar-SA"/>
            </w:rPr>
            <w:fldChar w:fldCharType="end"/>
          </w:r>
        </w:p>
        <w:p w14:paraId="2B8FA2DD">
          <w:pPr>
            <w:pStyle w:val="24"/>
            <w:tabs>
              <w:tab w:val="right" w:leader="dot" w:pos="8504"/>
            </w:tabs>
            <w:rPr>
              <w:rFonts w:hint="default" w:ascii="Times New Roman" w:hAnsi="Times New Roman" w:eastAsia="宋体" w:cs="Times New Roman"/>
              <w:color w:val="auto"/>
            </w:rPr>
          </w:pPr>
          <w:r>
            <w:rPr>
              <w:rFonts w:hint="default" w:ascii="Times New Roman" w:hAnsi="Times New Roman" w:eastAsia="宋体" w:cs="Times New Roman"/>
              <w:snapToGrid w:val="0"/>
              <w:color w:val="auto"/>
              <w:kern w:val="0"/>
              <w:szCs w:val="30"/>
              <w:highlight w:val="none"/>
              <w:lang w:val="en-US" w:eastAsia="zh-CN" w:bidi="ar-SA"/>
            </w:rPr>
            <w:fldChar w:fldCharType="begin"/>
          </w:r>
          <w:r>
            <w:rPr>
              <w:rFonts w:hint="default" w:ascii="Times New Roman" w:hAnsi="Times New Roman" w:eastAsia="宋体" w:cs="Times New Roman"/>
              <w:snapToGrid w:val="0"/>
              <w:color w:val="auto"/>
              <w:kern w:val="0"/>
              <w:szCs w:val="30"/>
              <w:highlight w:val="none"/>
              <w:lang w:val="en-US" w:eastAsia="zh-CN" w:bidi="ar-SA"/>
            </w:rPr>
            <w:instrText xml:space="preserve"> HYPERLINK \l _Toc23279 </w:instrText>
          </w:r>
          <w:r>
            <w:rPr>
              <w:rFonts w:hint="default" w:ascii="Times New Roman" w:hAnsi="Times New Roman" w:eastAsia="宋体" w:cs="Times New Roman"/>
              <w:snapToGrid w:val="0"/>
              <w:color w:val="auto"/>
              <w:kern w:val="0"/>
              <w:szCs w:val="30"/>
              <w:highlight w:val="none"/>
              <w:lang w:val="en-US" w:eastAsia="zh-CN" w:bidi="ar-SA"/>
            </w:rPr>
            <w:fldChar w:fldCharType="separate"/>
          </w:r>
          <w:r>
            <w:rPr>
              <w:rFonts w:hint="default" w:ascii="Times New Roman" w:hAnsi="Times New Roman" w:eastAsia="宋体" w:cs="Times New Roman"/>
              <w:snapToGrid w:val="0"/>
              <w:color w:val="auto"/>
              <w:szCs w:val="30"/>
              <w:highlight w:val="none"/>
            </w:rPr>
            <w:t>六、结论</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_Toc23279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108</w:t>
          </w:r>
          <w:r>
            <w:rPr>
              <w:rFonts w:hint="default" w:ascii="Times New Roman" w:hAnsi="Times New Roman" w:eastAsia="宋体" w:cs="Times New Roman"/>
              <w:color w:val="auto"/>
            </w:rPr>
            <w:fldChar w:fldCharType="end"/>
          </w:r>
          <w:r>
            <w:rPr>
              <w:rFonts w:hint="default" w:ascii="Times New Roman" w:hAnsi="Times New Roman" w:eastAsia="宋体" w:cs="Times New Roman"/>
              <w:snapToGrid w:val="0"/>
              <w:color w:val="auto"/>
              <w:kern w:val="0"/>
              <w:szCs w:val="30"/>
              <w:highlight w:val="none"/>
              <w:lang w:val="en-US" w:eastAsia="zh-CN" w:bidi="ar-SA"/>
            </w:rPr>
            <w:fldChar w:fldCharType="end"/>
          </w:r>
        </w:p>
        <w:p w14:paraId="202D3CEA">
          <w:pPr>
            <w:pStyle w:val="24"/>
            <w:tabs>
              <w:tab w:val="right" w:leader="dot" w:pos="8504"/>
            </w:tabs>
            <w:rPr>
              <w:color w:val="auto"/>
            </w:rPr>
          </w:pPr>
          <w:r>
            <w:rPr>
              <w:rFonts w:hint="default" w:ascii="Times New Roman" w:hAnsi="Times New Roman" w:eastAsia="宋体" w:cs="Times New Roman"/>
              <w:snapToGrid w:val="0"/>
              <w:color w:val="auto"/>
              <w:kern w:val="0"/>
              <w:szCs w:val="30"/>
              <w:highlight w:val="none"/>
              <w:lang w:val="en-US" w:eastAsia="zh-CN" w:bidi="ar-SA"/>
            </w:rPr>
            <w:fldChar w:fldCharType="begin"/>
          </w:r>
          <w:r>
            <w:rPr>
              <w:rFonts w:hint="default" w:ascii="Times New Roman" w:hAnsi="Times New Roman" w:eastAsia="宋体" w:cs="Times New Roman"/>
              <w:snapToGrid w:val="0"/>
              <w:color w:val="auto"/>
              <w:kern w:val="0"/>
              <w:szCs w:val="30"/>
              <w:highlight w:val="none"/>
              <w:lang w:val="en-US" w:eastAsia="zh-CN" w:bidi="ar-SA"/>
            </w:rPr>
            <w:instrText xml:space="preserve"> HYPERLINK \l _Toc1170 </w:instrText>
          </w:r>
          <w:r>
            <w:rPr>
              <w:rFonts w:hint="default" w:ascii="Times New Roman" w:hAnsi="Times New Roman" w:eastAsia="宋体" w:cs="Times New Roman"/>
              <w:snapToGrid w:val="0"/>
              <w:color w:val="auto"/>
              <w:kern w:val="0"/>
              <w:szCs w:val="30"/>
              <w:highlight w:val="none"/>
              <w:lang w:val="en-US" w:eastAsia="zh-CN" w:bidi="ar-SA"/>
            </w:rPr>
            <w:fldChar w:fldCharType="separate"/>
          </w:r>
          <w:r>
            <w:rPr>
              <w:rFonts w:hint="default" w:ascii="Times New Roman" w:hAnsi="Times New Roman" w:eastAsia="宋体" w:cs="Times New Roman"/>
              <w:bCs/>
              <w:snapToGrid w:val="0"/>
              <w:color w:val="auto"/>
              <w:kern w:val="0"/>
              <w:szCs w:val="32"/>
              <w:highlight w:val="none"/>
              <w:lang w:val="en-US" w:eastAsia="zh-CN" w:bidi="ar-SA"/>
            </w:rPr>
            <w:t>附表</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_Toc1170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109</w:t>
          </w:r>
          <w:r>
            <w:rPr>
              <w:rFonts w:hint="default" w:ascii="Times New Roman" w:hAnsi="Times New Roman" w:eastAsia="宋体" w:cs="Times New Roman"/>
              <w:color w:val="auto"/>
            </w:rPr>
            <w:fldChar w:fldCharType="end"/>
          </w:r>
          <w:r>
            <w:rPr>
              <w:rFonts w:hint="default" w:ascii="Times New Roman" w:hAnsi="Times New Roman" w:eastAsia="宋体" w:cs="Times New Roman"/>
              <w:snapToGrid w:val="0"/>
              <w:color w:val="auto"/>
              <w:kern w:val="0"/>
              <w:szCs w:val="30"/>
              <w:highlight w:val="none"/>
              <w:lang w:val="en-US" w:eastAsia="zh-CN" w:bidi="ar-SA"/>
            </w:rPr>
            <w:fldChar w:fldCharType="end"/>
          </w:r>
        </w:p>
        <w:p w14:paraId="3135492D">
          <w:pPr>
            <w:pStyle w:val="22"/>
            <w:jc w:val="center"/>
            <w:outlineLvl w:val="9"/>
            <w:rPr>
              <w:rFonts w:hint="default" w:ascii="Times New Roman" w:hAnsi="Times New Roman" w:eastAsia="黑体" w:cs="Times New Roman"/>
              <w:snapToGrid w:val="0"/>
              <w:color w:val="auto"/>
              <w:kern w:val="0"/>
              <w:sz w:val="24"/>
              <w:szCs w:val="30"/>
              <w:highlight w:val="none"/>
              <w:lang w:val="en-US" w:eastAsia="zh-CN" w:bidi="ar-SA"/>
            </w:rPr>
          </w:pPr>
          <w:r>
            <w:rPr>
              <w:rFonts w:hint="default" w:ascii="Times New Roman" w:hAnsi="Times New Roman" w:eastAsia="黑体" w:cs="Times New Roman"/>
              <w:snapToGrid w:val="0"/>
              <w:color w:val="auto"/>
              <w:kern w:val="0"/>
              <w:szCs w:val="30"/>
              <w:highlight w:val="none"/>
              <w:lang w:val="en-US" w:eastAsia="zh-CN" w:bidi="ar-SA"/>
            </w:rPr>
            <w:fldChar w:fldCharType="end"/>
          </w:r>
        </w:p>
      </w:sdtContent>
    </w:sdt>
    <w:p w14:paraId="68105057">
      <w:pPr>
        <w:pStyle w:val="22"/>
        <w:jc w:val="center"/>
        <w:outlineLvl w:val="9"/>
        <w:rPr>
          <w:rFonts w:hint="default" w:ascii="Times New Roman" w:hAnsi="Times New Roman" w:eastAsia="黑体" w:cs="Times New Roman"/>
          <w:snapToGrid w:val="0"/>
          <w:color w:val="auto"/>
          <w:kern w:val="0"/>
          <w:sz w:val="24"/>
          <w:szCs w:val="30"/>
          <w:highlight w:val="none"/>
          <w:lang w:val="en-US" w:eastAsia="zh-CN" w:bidi="ar-SA"/>
        </w:rPr>
        <w:sectPr>
          <w:footerReference r:id="rId7" w:type="default"/>
          <w:pgSz w:w="11906" w:h="16838"/>
          <w:pgMar w:top="1701" w:right="1701" w:bottom="1701" w:left="170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480531F4">
      <w:pPr>
        <w:pStyle w:val="22"/>
        <w:adjustRightInd w:val="0"/>
        <w:snapToGrid w:val="0"/>
        <w:spacing w:before="0" w:beforeAutospacing="0" w:after="0" w:afterAutospacing="0" w:line="360" w:lineRule="auto"/>
        <w:jc w:val="both"/>
        <w:textAlignment w:val="baseline"/>
        <w:rPr>
          <w:rFonts w:hint="eastAsia" w:cs="宋体"/>
          <w:color w:val="auto"/>
          <w:sz w:val="21"/>
          <w:szCs w:val="16"/>
        </w:rPr>
        <w:sectPr>
          <w:footerReference r:id="rId8" w:type="default"/>
          <w:type w:val="continuous"/>
          <w:pgSz w:w="11906" w:h="16838"/>
          <w:pgMar w:top="1701" w:right="1701" w:bottom="1701" w:left="1701" w:header="851" w:footer="1077" w:gutter="0"/>
          <w:pgBorders>
            <w:top w:val="none" w:sz="0" w:space="0"/>
            <w:left w:val="none" w:sz="0" w:space="0"/>
            <w:bottom w:val="none" w:sz="0" w:space="0"/>
            <w:right w:val="none" w:sz="0" w:space="0"/>
          </w:pgBorders>
          <w:pgNumType w:fmt="decimal" w:start="1"/>
          <w:cols w:equalWidth="0" w:num="2">
            <w:col w:w="4039" w:space="425"/>
            <w:col w:w="4039"/>
          </w:cols>
          <w:docGrid w:linePitch="312" w:charSpace="0"/>
        </w:sectPr>
      </w:pPr>
    </w:p>
    <w:p w14:paraId="67965DD6">
      <w:pPr>
        <w:pStyle w:val="22"/>
        <w:adjustRightInd w:val="0"/>
        <w:snapToGrid w:val="0"/>
        <w:spacing w:before="0" w:beforeAutospacing="0" w:after="0" w:afterAutospacing="0" w:line="360" w:lineRule="auto"/>
        <w:jc w:val="both"/>
        <w:textAlignment w:val="baseline"/>
        <w:rPr>
          <w:rFonts w:hint="eastAsia" w:cs="宋体"/>
          <w:color w:val="auto"/>
          <w:sz w:val="24"/>
          <w:szCs w:val="20"/>
        </w:rPr>
      </w:pPr>
      <w:r>
        <w:rPr>
          <w:rFonts w:hint="eastAsia" w:cs="宋体"/>
          <w:color w:val="auto"/>
          <w:sz w:val="24"/>
          <w:szCs w:val="20"/>
        </w:rPr>
        <w:t>附图：</w:t>
      </w:r>
    </w:p>
    <w:p w14:paraId="2008205F">
      <w:pPr>
        <w:pStyle w:val="22"/>
        <w:adjustRightInd w:val="0"/>
        <w:snapToGrid w:val="0"/>
        <w:spacing w:before="0" w:beforeAutospacing="0" w:after="0" w:afterAutospacing="0" w:line="360" w:lineRule="auto"/>
        <w:jc w:val="both"/>
        <w:textAlignment w:val="baseline"/>
        <w:rPr>
          <w:rFonts w:ascii="Times New Roman" w:hAnsi="Times New Roman"/>
          <w:color w:val="auto"/>
          <w:sz w:val="24"/>
          <w:szCs w:val="20"/>
        </w:rPr>
      </w:pPr>
      <w:r>
        <w:rPr>
          <w:rFonts w:ascii="Times New Roman" w:hAnsi="Times New Roman"/>
          <w:color w:val="auto"/>
          <w:sz w:val="24"/>
          <w:szCs w:val="20"/>
        </w:rPr>
        <w:t>附图</w:t>
      </w:r>
      <w:r>
        <w:rPr>
          <w:rFonts w:hint="eastAsia" w:ascii="Times New Roman" w:hAnsi="Times New Roman"/>
          <w:color w:val="auto"/>
          <w:sz w:val="24"/>
          <w:szCs w:val="20"/>
          <w:lang w:val="en-US" w:eastAsia="zh-CN"/>
        </w:rPr>
        <w:t>一：项目地理位置图</w:t>
      </w:r>
    </w:p>
    <w:p w14:paraId="226918C5">
      <w:pPr>
        <w:pStyle w:val="22"/>
        <w:adjustRightInd w:val="0"/>
        <w:snapToGrid w:val="0"/>
        <w:spacing w:before="0" w:beforeAutospacing="0" w:after="0" w:afterAutospacing="0" w:line="360" w:lineRule="auto"/>
        <w:jc w:val="both"/>
        <w:textAlignment w:val="baseline"/>
        <w:rPr>
          <w:rFonts w:ascii="Times New Roman" w:hAnsi="Times New Roman"/>
          <w:color w:val="auto"/>
          <w:sz w:val="24"/>
          <w:szCs w:val="20"/>
        </w:rPr>
      </w:pPr>
      <w:r>
        <w:rPr>
          <w:rFonts w:ascii="Times New Roman" w:hAnsi="Times New Roman"/>
          <w:color w:val="auto"/>
          <w:sz w:val="24"/>
          <w:szCs w:val="20"/>
        </w:rPr>
        <w:t>附图</w:t>
      </w:r>
      <w:r>
        <w:rPr>
          <w:rFonts w:hint="eastAsia" w:ascii="Times New Roman" w:hAnsi="Times New Roman"/>
          <w:color w:val="auto"/>
          <w:sz w:val="24"/>
          <w:szCs w:val="20"/>
          <w:lang w:val="en-US" w:eastAsia="zh-CN"/>
        </w:rPr>
        <w:t>二：奋发科技厂区总平面布置示意图</w:t>
      </w:r>
    </w:p>
    <w:p w14:paraId="092CCBDF">
      <w:pPr>
        <w:pStyle w:val="22"/>
        <w:adjustRightInd w:val="0"/>
        <w:snapToGrid w:val="0"/>
        <w:spacing w:before="0" w:beforeAutospacing="0" w:after="0" w:afterAutospacing="0" w:line="360" w:lineRule="auto"/>
        <w:jc w:val="both"/>
        <w:textAlignment w:val="baseline"/>
        <w:rPr>
          <w:rFonts w:ascii="Times New Roman" w:hAnsi="Times New Roman"/>
          <w:color w:val="auto"/>
          <w:sz w:val="24"/>
          <w:szCs w:val="20"/>
        </w:rPr>
      </w:pPr>
      <w:r>
        <w:rPr>
          <w:rFonts w:ascii="Times New Roman" w:hAnsi="Times New Roman"/>
          <w:color w:val="auto"/>
          <w:sz w:val="24"/>
          <w:szCs w:val="20"/>
        </w:rPr>
        <w:t>附图</w:t>
      </w:r>
      <w:r>
        <w:rPr>
          <w:rFonts w:hint="eastAsia" w:ascii="Times New Roman" w:hAnsi="Times New Roman"/>
          <w:color w:val="auto"/>
          <w:sz w:val="24"/>
          <w:szCs w:val="20"/>
          <w:lang w:val="en-US" w:eastAsia="zh-CN"/>
        </w:rPr>
        <w:t>三：本项目车间平面布置示意图</w:t>
      </w:r>
    </w:p>
    <w:p w14:paraId="592283E2">
      <w:pPr>
        <w:pStyle w:val="22"/>
        <w:adjustRightInd w:val="0"/>
        <w:snapToGrid w:val="0"/>
        <w:spacing w:before="0" w:beforeAutospacing="0" w:after="0" w:afterAutospacing="0" w:line="360" w:lineRule="auto"/>
        <w:jc w:val="both"/>
        <w:textAlignment w:val="baseline"/>
        <w:rPr>
          <w:rFonts w:hint="eastAsia" w:ascii="Times New Roman" w:hAnsi="Times New Roman"/>
          <w:color w:val="auto"/>
          <w:sz w:val="24"/>
          <w:szCs w:val="20"/>
          <w:lang w:val="en-US" w:eastAsia="zh-CN"/>
        </w:rPr>
      </w:pPr>
      <w:r>
        <w:rPr>
          <w:rFonts w:hint="eastAsia" w:ascii="Times New Roman" w:hAnsi="Times New Roman"/>
          <w:color w:val="auto"/>
          <w:sz w:val="24"/>
          <w:szCs w:val="20"/>
          <w:lang w:val="en-US" w:eastAsia="zh-CN"/>
        </w:rPr>
        <w:t>附图四：项目周边环境保护敏感目标分布图</w:t>
      </w:r>
    </w:p>
    <w:p w14:paraId="59F6F19E">
      <w:pPr>
        <w:pStyle w:val="22"/>
        <w:adjustRightInd w:val="0"/>
        <w:snapToGrid w:val="0"/>
        <w:spacing w:before="0" w:beforeAutospacing="0" w:after="0" w:afterAutospacing="0" w:line="360" w:lineRule="auto"/>
        <w:jc w:val="both"/>
        <w:textAlignment w:val="baseline"/>
        <w:rPr>
          <w:rFonts w:hint="eastAsia" w:ascii="Times New Roman" w:hAnsi="Times New Roman"/>
          <w:color w:val="auto"/>
          <w:sz w:val="24"/>
          <w:szCs w:val="20"/>
          <w:lang w:val="en-US" w:eastAsia="zh-CN"/>
        </w:rPr>
      </w:pPr>
      <w:r>
        <w:rPr>
          <w:rFonts w:hint="eastAsia" w:ascii="Times New Roman" w:hAnsi="Times New Roman"/>
          <w:color w:val="auto"/>
          <w:sz w:val="24"/>
          <w:szCs w:val="20"/>
          <w:lang w:val="en-US" w:eastAsia="zh-CN"/>
        </w:rPr>
        <w:t>附图五：本项目地下水分区防渗图</w:t>
      </w:r>
    </w:p>
    <w:p w14:paraId="049470D8">
      <w:pPr>
        <w:pStyle w:val="22"/>
        <w:adjustRightInd w:val="0"/>
        <w:snapToGrid w:val="0"/>
        <w:spacing w:before="0" w:beforeAutospacing="0" w:after="0" w:afterAutospacing="0" w:line="360" w:lineRule="auto"/>
        <w:jc w:val="both"/>
        <w:textAlignment w:val="baseline"/>
        <w:rPr>
          <w:rFonts w:hint="eastAsia" w:ascii="Times New Roman" w:hAnsi="Times New Roman"/>
          <w:color w:val="auto"/>
          <w:sz w:val="24"/>
          <w:szCs w:val="20"/>
          <w:lang w:val="en-US" w:eastAsia="zh-CN"/>
        </w:rPr>
      </w:pPr>
      <w:r>
        <w:rPr>
          <w:rFonts w:hint="eastAsia" w:ascii="Times New Roman" w:hAnsi="Times New Roman"/>
          <w:color w:val="auto"/>
          <w:sz w:val="24"/>
          <w:szCs w:val="20"/>
          <w:lang w:val="en-US" w:eastAsia="zh-CN"/>
        </w:rPr>
        <w:t>附图六：江西安义高新技术产业园区产业定位分区图</w:t>
      </w:r>
    </w:p>
    <w:p w14:paraId="4344CDFF">
      <w:pPr>
        <w:pStyle w:val="22"/>
        <w:adjustRightInd w:val="0"/>
        <w:snapToGrid w:val="0"/>
        <w:spacing w:before="0" w:beforeAutospacing="0" w:after="0" w:afterAutospacing="0" w:line="360" w:lineRule="auto"/>
        <w:jc w:val="both"/>
        <w:textAlignment w:val="baseline"/>
        <w:rPr>
          <w:rFonts w:ascii="Times New Roman" w:hAnsi="Times New Roman"/>
          <w:color w:val="auto"/>
          <w:sz w:val="24"/>
          <w:szCs w:val="20"/>
        </w:rPr>
      </w:pPr>
      <w:r>
        <w:rPr>
          <w:rFonts w:ascii="Times New Roman" w:hAnsi="Times New Roman"/>
          <w:color w:val="auto"/>
          <w:sz w:val="24"/>
          <w:szCs w:val="20"/>
        </w:rPr>
        <w:t>附图</w:t>
      </w:r>
      <w:r>
        <w:rPr>
          <w:rFonts w:hint="eastAsia" w:ascii="Times New Roman" w:hAnsi="Times New Roman"/>
          <w:color w:val="auto"/>
          <w:sz w:val="24"/>
          <w:szCs w:val="20"/>
          <w:lang w:val="en-US" w:eastAsia="zh-CN"/>
        </w:rPr>
        <w:t>七</w:t>
      </w:r>
      <w:r>
        <w:rPr>
          <w:rFonts w:hint="eastAsia" w:ascii="Times New Roman" w:hAnsi="Times New Roman"/>
          <w:color w:val="auto"/>
          <w:sz w:val="24"/>
          <w:szCs w:val="20"/>
          <w:lang w:eastAsia="zh-CN"/>
        </w:rPr>
        <w:t>：江西安义高新技术产业园区土地利用规划图</w:t>
      </w:r>
    </w:p>
    <w:p w14:paraId="523562D5">
      <w:pPr>
        <w:pStyle w:val="22"/>
        <w:adjustRightInd w:val="0"/>
        <w:snapToGrid w:val="0"/>
        <w:spacing w:before="0" w:beforeAutospacing="0" w:after="0" w:afterAutospacing="0" w:line="360" w:lineRule="auto"/>
        <w:jc w:val="both"/>
        <w:textAlignment w:val="baseline"/>
        <w:rPr>
          <w:rFonts w:ascii="Times New Roman" w:hAnsi="Times New Roman"/>
          <w:color w:val="auto"/>
          <w:sz w:val="24"/>
          <w:szCs w:val="20"/>
        </w:rPr>
      </w:pPr>
      <w:r>
        <w:rPr>
          <w:rFonts w:hint="eastAsia" w:ascii="Times New Roman" w:hAnsi="Times New Roman"/>
          <w:color w:val="auto"/>
          <w:sz w:val="24"/>
          <w:szCs w:val="20"/>
        </w:rPr>
        <w:t>附图</w:t>
      </w:r>
      <w:r>
        <w:rPr>
          <w:rFonts w:hint="eastAsia" w:ascii="Times New Roman" w:hAnsi="Times New Roman"/>
          <w:color w:val="auto"/>
          <w:sz w:val="24"/>
          <w:szCs w:val="20"/>
          <w:lang w:val="en-US" w:eastAsia="zh-CN"/>
        </w:rPr>
        <w:t>八</w:t>
      </w:r>
      <w:r>
        <w:rPr>
          <w:rFonts w:hint="eastAsia" w:ascii="Times New Roman" w:hAnsi="Times New Roman"/>
          <w:color w:val="auto"/>
          <w:sz w:val="24"/>
          <w:szCs w:val="20"/>
          <w:lang w:eastAsia="zh-CN"/>
        </w:rPr>
        <w:t>：江西安义高新技术产业园区污水管网图</w:t>
      </w:r>
    </w:p>
    <w:p w14:paraId="01C587AF">
      <w:pPr>
        <w:pStyle w:val="22"/>
        <w:adjustRightInd w:val="0"/>
        <w:snapToGrid w:val="0"/>
        <w:spacing w:before="0" w:beforeAutospacing="0" w:after="0" w:afterAutospacing="0" w:line="360" w:lineRule="auto"/>
        <w:jc w:val="both"/>
        <w:textAlignment w:val="baseline"/>
        <w:rPr>
          <w:rFonts w:ascii="Times New Roman" w:hAnsi="Times New Roman"/>
          <w:color w:val="auto"/>
          <w:sz w:val="24"/>
          <w:szCs w:val="20"/>
        </w:rPr>
      </w:pPr>
      <w:r>
        <w:rPr>
          <w:rFonts w:ascii="Times New Roman" w:hAnsi="Times New Roman"/>
          <w:color w:val="auto"/>
          <w:sz w:val="24"/>
          <w:szCs w:val="20"/>
        </w:rPr>
        <w:t>附图</w:t>
      </w:r>
      <w:r>
        <w:rPr>
          <w:rFonts w:hint="eastAsia" w:ascii="Times New Roman" w:hAnsi="Times New Roman"/>
          <w:color w:val="auto"/>
          <w:sz w:val="24"/>
          <w:szCs w:val="20"/>
          <w:lang w:val="en-US" w:eastAsia="zh-CN"/>
        </w:rPr>
        <w:t>九</w:t>
      </w:r>
      <w:r>
        <w:rPr>
          <w:rFonts w:hint="eastAsia" w:ascii="Times New Roman" w:hAnsi="Times New Roman"/>
          <w:color w:val="auto"/>
          <w:sz w:val="24"/>
          <w:szCs w:val="20"/>
          <w:lang w:eastAsia="zh-CN"/>
        </w:rPr>
        <w:t>：项目所在区域水环境功能区划图</w:t>
      </w:r>
    </w:p>
    <w:p w14:paraId="0D656E32">
      <w:pPr>
        <w:pStyle w:val="22"/>
        <w:adjustRightInd w:val="0"/>
        <w:snapToGrid w:val="0"/>
        <w:spacing w:before="0" w:beforeAutospacing="0" w:after="0" w:afterAutospacing="0" w:line="360" w:lineRule="auto"/>
        <w:jc w:val="both"/>
        <w:textAlignment w:val="baseline"/>
        <w:rPr>
          <w:rFonts w:hint="eastAsia" w:ascii="Times New Roman" w:hAnsi="Times New Roman"/>
          <w:color w:val="auto"/>
          <w:sz w:val="24"/>
          <w:szCs w:val="20"/>
          <w:lang w:val="en-US" w:eastAsia="zh-CN"/>
        </w:rPr>
      </w:pPr>
      <w:r>
        <w:rPr>
          <w:rFonts w:hint="eastAsia" w:ascii="Times New Roman" w:hAnsi="Times New Roman"/>
          <w:color w:val="auto"/>
          <w:sz w:val="24"/>
          <w:szCs w:val="20"/>
          <w:lang w:val="en-US" w:eastAsia="zh-CN"/>
        </w:rPr>
        <w:t>附图十：安义县国土空间总体规划图</w:t>
      </w:r>
    </w:p>
    <w:p w14:paraId="7753BE14">
      <w:pPr>
        <w:pStyle w:val="22"/>
        <w:adjustRightInd w:val="0"/>
        <w:snapToGrid w:val="0"/>
        <w:spacing w:before="0" w:beforeAutospacing="0" w:after="0" w:afterAutospacing="0" w:line="360" w:lineRule="auto"/>
        <w:jc w:val="both"/>
        <w:textAlignment w:val="baseline"/>
        <w:rPr>
          <w:rFonts w:ascii="Times New Roman" w:hAnsi="Times New Roman"/>
          <w:color w:val="auto"/>
          <w:sz w:val="24"/>
          <w:szCs w:val="20"/>
        </w:rPr>
      </w:pPr>
      <w:r>
        <w:rPr>
          <w:rFonts w:ascii="Times New Roman" w:hAnsi="Times New Roman"/>
          <w:color w:val="auto"/>
          <w:sz w:val="24"/>
          <w:szCs w:val="20"/>
        </w:rPr>
        <w:t>附图</w:t>
      </w:r>
      <w:r>
        <w:rPr>
          <w:rFonts w:hint="eastAsia" w:ascii="Times New Roman" w:hAnsi="Times New Roman"/>
          <w:color w:val="auto"/>
          <w:sz w:val="24"/>
          <w:szCs w:val="20"/>
          <w:lang w:val="en-US" w:eastAsia="zh-CN"/>
        </w:rPr>
        <w:t>十一</w:t>
      </w:r>
      <w:r>
        <w:rPr>
          <w:rFonts w:hint="eastAsia" w:ascii="Times New Roman" w:hAnsi="Times New Roman"/>
          <w:color w:val="auto"/>
          <w:sz w:val="24"/>
          <w:szCs w:val="20"/>
          <w:lang w:eastAsia="zh-CN"/>
        </w:rPr>
        <w:t>：项目所在地管控单元位置示意图</w:t>
      </w:r>
    </w:p>
    <w:p w14:paraId="00C47BB0">
      <w:pPr>
        <w:pStyle w:val="22"/>
        <w:adjustRightInd w:val="0"/>
        <w:snapToGrid w:val="0"/>
        <w:spacing w:before="0" w:beforeAutospacing="0" w:after="0" w:afterAutospacing="0" w:line="360" w:lineRule="auto"/>
        <w:jc w:val="both"/>
        <w:textAlignment w:val="baseline"/>
        <w:rPr>
          <w:rFonts w:hint="eastAsia" w:ascii="Times New Roman" w:hAnsi="Times New Roman"/>
          <w:color w:val="auto"/>
          <w:sz w:val="24"/>
          <w:szCs w:val="20"/>
          <w:lang w:val="en-US" w:eastAsia="zh-CN"/>
        </w:rPr>
      </w:pPr>
      <w:r>
        <w:rPr>
          <w:rFonts w:hint="eastAsia" w:ascii="Times New Roman" w:hAnsi="Times New Roman"/>
          <w:color w:val="auto"/>
          <w:sz w:val="24"/>
          <w:szCs w:val="20"/>
          <w:lang w:val="en-US" w:eastAsia="zh-CN"/>
        </w:rPr>
        <w:t>附图十二：安义县生态空间保护红线图</w:t>
      </w:r>
    </w:p>
    <w:p w14:paraId="0A155F2A">
      <w:pPr>
        <w:pStyle w:val="22"/>
        <w:adjustRightInd w:val="0"/>
        <w:snapToGrid w:val="0"/>
        <w:spacing w:before="0" w:beforeAutospacing="0" w:after="0" w:afterAutospacing="0" w:line="360" w:lineRule="auto"/>
        <w:jc w:val="both"/>
        <w:textAlignment w:val="baseline"/>
        <w:rPr>
          <w:rFonts w:hint="eastAsia" w:cs="宋体"/>
          <w:color w:val="auto"/>
          <w:sz w:val="24"/>
          <w:szCs w:val="20"/>
        </w:rPr>
      </w:pPr>
      <w:r>
        <w:rPr>
          <w:rFonts w:ascii="Times New Roman" w:hAnsi="Times New Roman"/>
          <w:color w:val="auto"/>
          <w:sz w:val="24"/>
          <w:szCs w:val="20"/>
        </w:rPr>
        <w:t>附图</w:t>
      </w:r>
      <w:r>
        <w:rPr>
          <w:rFonts w:hint="eastAsia" w:ascii="Times New Roman" w:hAnsi="Times New Roman"/>
          <w:color w:val="auto"/>
          <w:sz w:val="24"/>
          <w:szCs w:val="20"/>
          <w:lang w:val="en-US" w:eastAsia="zh-CN"/>
        </w:rPr>
        <w:t>十三</w:t>
      </w:r>
      <w:r>
        <w:rPr>
          <w:rFonts w:hint="eastAsia" w:ascii="Times New Roman" w:hAnsi="Times New Roman"/>
          <w:color w:val="auto"/>
          <w:sz w:val="24"/>
          <w:szCs w:val="20"/>
          <w:lang w:eastAsia="zh-CN"/>
        </w:rPr>
        <w:t>：</w:t>
      </w:r>
      <w:r>
        <w:rPr>
          <w:rFonts w:hint="eastAsia" w:cs="宋体"/>
          <w:color w:val="auto"/>
          <w:sz w:val="24"/>
          <w:szCs w:val="20"/>
        </w:rPr>
        <w:t>项目所在地声功能区划图</w:t>
      </w:r>
    </w:p>
    <w:p w14:paraId="0A11DE66">
      <w:pPr>
        <w:pStyle w:val="22"/>
        <w:adjustRightInd w:val="0"/>
        <w:snapToGrid w:val="0"/>
        <w:spacing w:before="0" w:beforeAutospacing="0" w:after="0" w:afterAutospacing="0" w:line="360" w:lineRule="auto"/>
        <w:jc w:val="both"/>
        <w:textAlignment w:val="baseline"/>
        <w:rPr>
          <w:rFonts w:ascii="Times New Roman" w:hAnsi="Times New Roman"/>
          <w:color w:val="auto"/>
          <w:sz w:val="24"/>
          <w:szCs w:val="20"/>
        </w:rPr>
      </w:pPr>
    </w:p>
    <w:p w14:paraId="499BFAE0">
      <w:pPr>
        <w:pStyle w:val="22"/>
        <w:adjustRightInd w:val="0"/>
        <w:snapToGrid w:val="0"/>
        <w:spacing w:before="0" w:beforeAutospacing="0" w:after="0" w:afterAutospacing="0" w:line="360" w:lineRule="auto"/>
        <w:jc w:val="both"/>
        <w:textAlignment w:val="baseline"/>
        <w:rPr>
          <w:rFonts w:hint="eastAsia" w:cs="宋体"/>
          <w:color w:val="auto"/>
          <w:sz w:val="24"/>
          <w:szCs w:val="24"/>
        </w:rPr>
      </w:pPr>
    </w:p>
    <w:p w14:paraId="20F5F61C">
      <w:pPr>
        <w:pStyle w:val="22"/>
        <w:adjustRightInd w:val="0"/>
        <w:snapToGrid w:val="0"/>
        <w:spacing w:before="0" w:beforeAutospacing="0" w:after="0" w:afterAutospacing="0" w:line="360" w:lineRule="auto"/>
        <w:jc w:val="both"/>
        <w:textAlignment w:val="baseline"/>
        <w:rPr>
          <w:rFonts w:hint="eastAsia" w:cs="宋体"/>
          <w:color w:val="auto"/>
          <w:sz w:val="24"/>
          <w:szCs w:val="24"/>
        </w:rPr>
      </w:pPr>
      <w:r>
        <w:rPr>
          <w:rFonts w:hint="eastAsia" w:cs="宋体"/>
          <w:color w:val="auto"/>
          <w:sz w:val="24"/>
          <w:szCs w:val="24"/>
        </w:rPr>
        <w:t>附件：</w:t>
      </w:r>
    </w:p>
    <w:p w14:paraId="7FE89900">
      <w:pPr>
        <w:pStyle w:val="22"/>
        <w:adjustRightInd w:val="0"/>
        <w:snapToGrid w:val="0"/>
        <w:spacing w:before="0" w:beforeAutospacing="0" w:after="0" w:afterAutospacing="0" w:line="360" w:lineRule="auto"/>
        <w:jc w:val="both"/>
        <w:textAlignment w:val="baseline"/>
        <w:rPr>
          <w:rFonts w:ascii="Times New Roman" w:hAnsi="Times New Roman"/>
          <w:color w:val="auto"/>
          <w:sz w:val="24"/>
          <w:szCs w:val="24"/>
        </w:rPr>
      </w:pPr>
      <w:r>
        <w:rPr>
          <w:rFonts w:ascii="Times New Roman" w:hAnsi="Times New Roman"/>
          <w:color w:val="auto"/>
          <w:sz w:val="24"/>
          <w:szCs w:val="24"/>
        </w:rPr>
        <w:t>附件</w:t>
      </w:r>
      <w:r>
        <w:rPr>
          <w:rFonts w:hint="eastAsia" w:ascii="Times New Roman" w:hAnsi="Times New Roman"/>
          <w:color w:val="auto"/>
          <w:sz w:val="24"/>
          <w:szCs w:val="24"/>
          <w:lang w:val="en-US" w:eastAsia="zh-CN"/>
        </w:rPr>
        <w:t>一</w:t>
      </w:r>
      <w:r>
        <w:rPr>
          <w:rFonts w:hint="eastAsia" w:ascii="Times New Roman" w:hAnsi="Times New Roman"/>
          <w:color w:val="auto"/>
          <w:sz w:val="24"/>
          <w:szCs w:val="24"/>
          <w:lang w:eastAsia="zh-CN"/>
        </w:rPr>
        <w:t>：</w:t>
      </w:r>
      <w:r>
        <w:rPr>
          <w:rFonts w:ascii="Times New Roman" w:hAnsi="Times New Roman"/>
          <w:color w:val="auto"/>
          <w:sz w:val="24"/>
          <w:szCs w:val="24"/>
        </w:rPr>
        <w:t>委托书</w:t>
      </w:r>
    </w:p>
    <w:p w14:paraId="25F7001B">
      <w:pPr>
        <w:pStyle w:val="22"/>
        <w:adjustRightInd w:val="0"/>
        <w:snapToGrid w:val="0"/>
        <w:spacing w:before="0" w:beforeAutospacing="0" w:after="0" w:afterAutospacing="0" w:line="360" w:lineRule="auto"/>
        <w:jc w:val="both"/>
        <w:textAlignment w:val="baseline"/>
        <w:rPr>
          <w:rFonts w:hint="default" w:ascii="Times New Roman" w:hAnsi="Times New Roman" w:eastAsia="宋体"/>
          <w:color w:val="auto"/>
          <w:sz w:val="24"/>
          <w:szCs w:val="24"/>
          <w:lang w:val="en-US" w:eastAsia="zh-CN"/>
        </w:rPr>
      </w:pPr>
      <w:bookmarkStart w:id="2" w:name="_Toc8191"/>
      <w:bookmarkStart w:id="3" w:name="_Toc10152"/>
      <w:r>
        <w:rPr>
          <w:rFonts w:ascii="Times New Roman" w:hAnsi="Times New Roman"/>
          <w:color w:val="auto"/>
          <w:sz w:val="24"/>
          <w:szCs w:val="24"/>
        </w:rPr>
        <w:t>附件</w:t>
      </w:r>
      <w:r>
        <w:rPr>
          <w:rFonts w:hint="eastAsia" w:ascii="Times New Roman" w:hAnsi="Times New Roman"/>
          <w:color w:val="auto"/>
          <w:sz w:val="24"/>
          <w:szCs w:val="24"/>
          <w:lang w:val="en-US" w:eastAsia="zh-CN"/>
        </w:rPr>
        <w:t>二</w:t>
      </w:r>
      <w:r>
        <w:rPr>
          <w:rFonts w:hint="eastAsia" w:ascii="Times New Roman" w:hAnsi="Times New Roman"/>
          <w:color w:val="auto"/>
          <w:sz w:val="24"/>
          <w:szCs w:val="24"/>
          <w:lang w:eastAsia="zh-CN"/>
        </w:rPr>
        <w:t>：</w:t>
      </w:r>
      <w:r>
        <w:rPr>
          <w:rFonts w:hint="eastAsia" w:ascii="Times New Roman" w:hAnsi="Times New Roman"/>
          <w:color w:val="auto"/>
          <w:sz w:val="24"/>
          <w:szCs w:val="24"/>
          <w:lang w:val="en-US" w:eastAsia="zh-CN"/>
        </w:rPr>
        <w:t>备案通知书</w:t>
      </w:r>
    </w:p>
    <w:p w14:paraId="7FA1D850">
      <w:pPr>
        <w:pStyle w:val="22"/>
        <w:adjustRightInd w:val="0"/>
        <w:snapToGrid w:val="0"/>
        <w:spacing w:before="0" w:beforeAutospacing="0" w:after="0" w:afterAutospacing="0" w:line="360" w:lineRule="auto"/>
        <w:jc w:val="both"/>
        <w:textAlignment w:val="baseline"/>
        <w:rPr>
          <w:rFonts w:hint="default" w:ascii="Times New Roman" w:hAnsi="Times New Roman" w:eastAsia="宋体"/>
          <w:color w:val="auto"/>
          <w:sz w:val="24"/>
          <w:szCs w:val="24"/>
          <w:lang w:val="en-US" w:eastAsia="zh-CN"/>
        </w:rPr>
      </w:pPr>
      <w:r>
        <w:rPr>
          <w:rFonts w:ascii="Times New Roman" w:hAnsi="Times New Roman"/>
          <w:color w:val="auto"/>
          <w:sz w:val="24"/>
          <w:szCs w:val="24"/>
        </w:rPr>
        <w:t>附件</w:t>
      </w:r>
      <w:r>
        <w:rPr>
          <w:rFonts w:hint="eastAsia" w:ascii="Times New Roman" w:hAnsi="Times New Roman"/>
          <w:color w:val="auto"/>
          <w:sz w:val="24"/>
          <w:szCs w:val="24"/>
          <w:lang w:val="en-US" w:eastAsia="zh-CN"/>
        </w:rPr>
        <w:t>三</w:t>
      </w:r>
      <w:bookmarkEnd w:id="2"/>
      <w:r>
        <w:rPr>
          <w:rFonts w:hint="eastAsia" w:ascii="Times New Roman" w:hAnsi="Times New Roman"/>
          <w:color w:val="auto"/>
          <w:sz w:val="24"/>
          <w:szCs w:val="24"/>
          <w:lang w:eastAsia="zh-CN"/>
        </w:rPr>
        <w:t>：</w:t>
      </w:r>
      <w:r>
        <w:rPr>
          <w:rFonts w:hint="eastAsia" w:ascii="Times New Roman" w:hAnsi="Times New Roman"/>
          <w:color w:val="auto"/>
          <w:sz w:val="24"/>
          <w:szCs w:val="24"/>
        </w:rPr>
        <w:t>项目用地文件</w:t>
      </w:r>
    </w:p>
    <w:p w14:paraId="2159B756">
      <w:pPr>
        <w:pStyle w:val="22"/>
        <w:adjustRightInd w:val="0"/>
        <w:snapToGrid w:val="0"/>
        <w:spacing w:before="0" w:beforeAutospacing="0" w:after="0" w:afterAutospacing="0" w:line="360" w:lineRule="auto"/>
        <w:jc w:val="both"/>
        <w:textAlignment w:val="baseline"/>
        <w:rPr>
          <w:rFonts w:hint="default" w:ascii="Times New Roman" w:hAnsi="Times New Roman" w:eastAsia="宋体"/>
          <w:color w:val="auto"/>
          <w:sz w:val="24"/>
          <w:szCs w:val="24"/>
          <w:lang w:val="en-US" w:eastAsia="zh-CN"/>
        </w:rPr>
      </w:pPr>
      <w:bookmarkStart w:id="4" w:name="_Toc30038"/>
      <w:bookmarkStart w:id="5" w:name="_Toc30062"/>
      <w:r>
        <w:rPr>
          <w:rFonts w:ascii="Times New Roman" w:hAnsi="Times New Roman"/>
          <w:color w:val="auto"/>
          <w:sz w:val="24"/>
          <w:szCs w:val="24"/>
        </w:rPr>
        <w:t>附件</w:t>
      </w:r>
      <w:r>
        <w:rPr>
          <w:rFonts w:hint="eastAsia" w:ascii="Times New Roman" w:hAnsi="Times New Roman"/>
          <w:color w:val="auto"/>
          <w:sz w:val="24"/>
          <w:szCs w:val="24"/>
          <w:lang w:val="en-US" w:eastAsia="zh-CN"/>
        </w:rPr>
        <w:t>四</w:t>
      </w:r>
      <w:bookmarkEnd w:id="4"/>
      <w:bookmarkEnd w:id="5"/>
      <w:r>
        <w:rPr>
          <w:rFonts w:hint="eastAsia" w:ascii="Times New Roman" w:hAnsi="Times New Roman"/>
          <w:color w:val="auto"/>
          <w:sz w:val="24"/>
          <w:szCs w:val="24"/>
          <w:lang w:eastAsia="zh-CN"/>
        </w:rPr>
        <w:t>：</w:t>
      </w:r>
      <w:r>
        <w:rPr>
          <w:rFonts w:hint="eastAsia" w:ascii="Times New Roman" w:hAnsi="Times New Roman"/>
          <w:color w:val="auto"/>
          <w:sz w:val="24"/>
          <w:szCs w:val="24"/>
          <w:lang w:val="en-US" w:eastAsia="zh-CN"/>
        </w:rPr>
        <w:t>建设单位营业执照</w:t>
      </w:r>
    </w:p>
    <w:p w14:paraId="61A96B39">
      <w:pPr>
        <w:pStyle w:val="22"/>
        <w:adjustRightInd w:val="0"/>
        <w:snapToGrid w:val="0"/>
        <w:spacing w:before="0" w:beforeAutospacing="0" w:after="0" w:afterAutospacing="0" w:line="360" w:lineRule="auto"/>
        <w:jc w:val="both"/>
        <w:textAlignment w:val="baseline"/>
        <w:rPr>
          <w:rFonts w:ascii="Times New Roman" w:hAnsi="Times New Roman"/>
          <w:color w:val="auto"/>
          <w:sz w:val="24"/>
          <w:szCs w:val="24"/>
        </w:rPr>
      </w:pPr>
      <w:bookmarkStart w:id="6" w:name="_Toc30528"/>
      <w:bookmarkStart w:id="7" w:name="_Toc23803"/>
      <w:r>
        <w:rPr>
          <w:rFonts w:ascii="Times New Roman" w:hAnsi="Times New Roman"/>
          <w:color w:val="auto"/>
          <w:sz w:val="24"/>
          <w:szCs w:val="24"/>
        </w:rPr>
        <w:t>附件</w:t>
      </w:r>
      <w:bookmarkEnd w:id="3"/>
      <w:bookmarkEnd w:id="6"/>
      <w:bookmarkEnd w:id="7"/>
      <w:r>
        <w:rPr>
          <w:rFonts w:hint="eastAsia" w:ascii="Times New Roman" w:hAnsi="Times New Roman"/>
          <w:color w:val="auto"/>
          <w:sz w:val="24"/>
          <w:szCs w:val="24"/>
          <w:lang w:val="en-US" w:eastAsia="zh-CN"/>
        </w:rPr>
        <w:t>五</w:t>
      </w:r>
      <w:r>
        <w:rPr>
          <w:rFonts w:hint="eastAsia" w:ascii="Times New Roman" w:hAnsi="Times New Roman"/>
          <w:color w:val="auto"/>
          <w:sz w:val="24"/>
          <w:szCs w:val="24"/>
          <w:lang w:eastAsia="zh-CN"/>
        </w:rPr>
        <w:t>：</w:t>
      </w:r>
      <w:r>
        <w:rPr>
          <w:rFonts w:hint="eastAsia" w:ascii="Times New Roman" w:hAnsi="Times New Roman"/>
          <w:color w:val="auto"/>
          <w:sz w:val="24"/>
          <w:szCs w:val="24"/>
          <w:lang w:val="en-US" w:eastAsia="zh-CN"/>
        </w:rPr>
        <w:t>现有项目环评批复</w:t>
      </w:r>
    </w:p>
    <w:p w14:paraId="09075FE2">
      <w:pPr>
        <w:pStyle w:val="22"/>
        <w:adjustRightInd w:val="0"/>
        <w:snapToGrid w:val="0"/>
        <w:spacing w:before="0" w:beforeAutospacing="0" w:after="0" w:afterAutospacing="0" w:line="360" w:lineRule="auto"/>
        <w:jc w:val="both"/>
        <w:textAlignment w:val="baseline"/>
        <w:rPr>
          <w:rFonts w:hint="eastAsia" w:ascii="Times New Roman" w:hAnsi="Times New Roman" w:eastAsia="宋体"/>
          <w:color w:val="auto"/>
          <w:sz w:val="24"/>
          <w:szCs w:val="24"/>
          <w:lang w:eastAsia="zh-CN"/>
        </w:rPr>
      </w:pPr>
      <w:bookmarkStart w:id="8" w:name="_Toc17136"/>
      <w:bookmarkStart w:id="9" w:name="_Toc8573"/>
      <w:r>
        <w:rPr>
          <w:rFonts w:ascii="Times New Roman" w:hAnsi="Times New Roman"/>
          <w:color w:val="auto"/>
          <w:sz w:val="24"/>
          <w:szCs w:val="24"/>
        </w:rPr>
        <w:t>附件</w:t>
      </w:r>
      <w:bookmarkEnd w:id="8"/>
      <w:bookmarkEnd w:id="9"/>
      <w:r>
        <w:rPr>
          <w:rFonts w:hint="eastAsia" w:ascii="Times New Roman" w:hAnsi="Times New Roman"/>
          <w:color w:val="auto"/>
          <w:sz w:val="24"/>
          <w:szCs w:val="24"/>
          <w:lang w:val="en-US" w:eastAsia="zh-CN"/>
        </w:rPr>
        <w:t>六</w:t>
      </w:r>
      <w:r>
        <w:rPr>
          <w:rFonts w:hint="eastAsia" w:ascii="Times New Roman" w:hAnsi="Times New Roman"/>
          <w:color w:val="auto"/>
          <w:sz w:val="24"/>
          <w:szCs w:val="24"/>
          <w:lang w:eastAsia="zh-CN"/>
        </w:rPr>
        <w:t>：</w:t>
      </w:r>
      <w:r>
        <w:rPr>
          <w:rFonts w:hint="eastAsia" w:ascii="Times New Roman" w:hAnsi="Times New Roman"/>
          <w:color w:val="auto"/>
          <w:sz w:val="24"/>
          <w:szCs w:val="24"/>
          <w:lang w:val="en-US" w:eastAsia="zh-CN"/>
        </w:rPr>
        <w:t>现有项目验收意见的函</w:t>
      </w:r>
    </w:p>
    <w:p w14:paraId="0808AE46">
      <w:pPr>
        <w:pStyle w:val="22"/>
        <w:adjustRightInd w:val="0"/>
        <w:snapToGrid w:val="0"/>
        <w:spacing w:before="0" w:beforeAutospacing="0" w:after="0" w:afterAutospacing="0" w:line="360" w:lineRule="auto"/>
        <w:jc w:val="both"/>
        <w:textAlignment w:val="baseline"/>
        <w:rPr>
          <w:rFonts w:hint="eastAsia" w:ascii="Times New Roman" w:hAnsi="Times New Roman"/>
          <w:b w:val="0"/>
          <w:bCs w:val="0"/>
          <w:color w:val="auto"/>
          <w:sz w:val="24"/>
          <w:szCs w:val="24"/>
          <w:lang w:val="en-US" w:eastAsia="zh-CN"/>
        </w:rPr>
      </w:pPr>
      <w:r>
        <w:rPr>
          <w:rFonts w:hint="eastAsia" w:ascii="Times New Roman" w:hAnsi="Times New Roman"/>
          <w:b w:val="0"/>
          <w:bCs w:val="0"/>
          <w:color w:val="auto"/>
          <w:sz w:val="24"/>
          <w:szCs w:val="24"/>
          <w:lang w:val="en-US" w:eastAsia="zh-CN"/>
        </w:rPr>
        <w:t>附件</w:t>
      </w:r>
      <w:r>
        <w:rPr>
          <w:rFonts w:hint="eastAsia" w:ascii="Times New Roman" w:hAnsi="Times New Roman"/>
          <w:color w:val="auto"/>
          <w:sz w:val="24"/>
          <w:szCs w:val="24"/>
          <w:lang w:val="en-US" w:eastAsia="zh-CN"/>
        </w:rPr>
        <w:t>七</w:t>
      </w:r>
      <w:r>
        <w:rPr>
          <w:rFonts w:hint="eastAsia" w:ascii="Times New Roman" w:hAnsi="Times New Roman"/>
          <w:b w:val="0"/>
          <w:bCs w:val="0"/>
          <w:color w:val="auto"/>
          <w:sz w:val="24"/>
          <w:szCs w:val="24"/>
          <w:lang w:val="en-US" w:eastAsia="zh-CN"/>
        </w:rPr>
        <w:t>：建设单位排污许可证</w:t>
      </w:r>
    </w:p>
    <w:p w14:paraId="2D9269E5">
      <w:pPr>
        <w:pStyle w:val="22"/>
        <w:adjustRightInd w:val="0"/>
        <w:snapToGrid w:val="0"/>
        <w:spacing w:before="0" w:beforeAutospacing="0" w:after="0" w:afterAutospacing="0" w:line="360" w:lineRule="auto"/>
        <w:jc w:val="both"/>
        <w:textAlignment w:val="baseline"/>
        <w:rPr>
          <w:rFonts w:hint="eastAsia" w:ascii="Times New Roman" w:hAnsi="Times New Roman"/>
          <w:color w:val="auto"/>
          <w:sz w:val="24"/>
          <w:szCs w:val="24"/>
          <w:lang w:val="en-US" w:eastAsia="zh-CN"/>
        </w:rPr>
      </w:pPr>
      <w:r>
        <w:rPr>
          <w:rFonts w:hint="eastAsia" w:ascii="Times New Roman" w:hAnsi="Times New Roman"/>
          <w:color w:val="auto"/>
          <w:sz w:val="24"/>
          <w:szCs w:val="24"/>
          <w:lang w:val="en-US" w:eastAsia="zh-CN"/>
        </w:rPr>
        <w:t>附件</w:t>
      </w:r>
      <w:r>
        <w:rPr>
          <w:rFonts w:hint="eastAsia" w:ascii="Times New Roman" w:hAnsi="Times New Roman"/>
          <w:b w:val="0"/>
          <w:bCs w:val="0"/>
          <w:color w:val="auto"/>
          <w:sz w:val="24"/>
          <w:szCs w:val="24"/>
          <w:lang w:val="en-US" w:eastAsia="zh-CN"/>
        </w:rPr>
        <w:t>八</w:t>
      </w:r>
      <w:r>
        <w:rPr>
          <w:rFonts w:hint="eastAsia" w:ascii="Times New Roman" w:hAnsi="Times New Roman"/>
          <w:color w:val="auto"/>
          <w:sz w:val="24"/>
          <w:szCs w:val="24"/>
          <w:lang w:val="en-US" w:eastAsia="zh-CN"/>
        </w:rPr>
        <w:t>：江西安义高新技术产业园区扩区调区规划环境影响报告书审查意见</w:t>
      </w:r>
    </w:p>
    <w:p w14:paraId="005074B9">
      <w:pPr>
        <w:pStyle w:val="22"/>
        <w:adjustRightInd w:val="0"/>
        <w:snapToGrid w:val="0"/>
        <w:spacing w:before="0" w:beforeAutospacing="0" w:after="0" w:afterAutospacing="0" w:line="360" w:lineRule="auto"/>
        <w:jc w:val="both"/>
        <w:textAlignment w:val="baseline"/>
        <w:rPr>
          <w:rFonts w:ascii="Times New Roman" w:hAnsi="Times New Roman"/>
          <w:color w:val="auto"/>
          <w:sz w:val="24"/>
          <w:szCs w:val="24"/>
        </w:rPr>
      </w:pPr>
      <w:r>
        <w:rPr>
          <w:rFonts w:hint="eastAsia" w:ascii="Times New Roman" w:hAnsi="Times New Roman"/>
          <w:color w:val="auto"/>
          <w:sz w:val="24"/>
          <w:szCs w:val="24"/>
        </w:rPr>
        <w:t>附件</w:t>
      </w:r>
      <w:r>
        <w:rPr>
          <w:rFonts w:hint="eastAsia" w:ascii="Times New Roman" w:hAnsi="Times New Roman"/>
          <w:color w:val="auto"/>
          <w:sz w:val="24"/>
          <w:szCs w:val="24"/>
          <w:lang w:val="en-US" w:eastAsia="zh-CN"/>
        </w:rPr>
        <w:t>九</w:t>
      </w:r>
      <w:r>
        <w:rPr>
          <w:rFonts w:hint="eastAsia" w:ascii="Times New Roman" w:hAnsi="Times New Roman"/>
          <w:color w:val="auto"/>
          <w:sz w:val="24"/>
          <w:szCs w:val="24"/>
          <w:lang w:eastAsia="zh-CN"/>
        </w:rPr>
        <w:t>：</w:t>
      </w:r>
      <w:r>
        <w:rPr>
          <w:rFonts w:hint="eastAsia" w:ascii="Times New Roman" w:hAnsi="Times New Roman"/>
          <w:color w:val="auto"/>
          <w:sz w:val="24"/>
          <w:szCs w:val="24"/>
        </w:rPr>
        <w:t>江西省人民政府办公厅关于同意安义工业园、章贡高新技术产业园、武宁工业园扩区和调整区位的函</w:t>
      </w:r>
    </w:p>
    <w:p w14:paraId="2E7B21F8">
      <w:pPr>
        <w:pStyle w:val="22"/>
        <w:adjustRightInd w:val="0"/>
        <w:snapToGrid w:val="0"/>
        <w:spacing w:before="0" w:beforeAutospacing="0" w:after="0" w:afterAutospacing="0" w:line="360" w:lineRule="auto"/>
        <w:jc w:val="both"/>
        <w:textAlignment w:val="baseline"/>
        <w:rPr>
          <w:rFonts w:hint="eastAsia" w:cs="宋体"/>
          <w:color w:val="auto"/>
          <w:sz w:val="24"/>
          <w:szCs w:val="24"/>
        </w:rPr>
        <w:sectPr>
          <w:pgSz w:w="11906" w:h="16838"/>
          <w:pgMar w:top="1701" w:right="1701" w:bottom="1701" w:left="1701" w:header="851" w:footer="1077" w:gutter="0"/>
          <w:pgBorders>
            <w:top w:val="none" w:sz="0" w:space="0"/>
            <w:left w:val="none" w:sz="0" w:space="0"/>
            <w:bottom w:val="none" w:sz="0" w:space="0"/>
            <w:right w:val="none" w:sz="0" w:space="0"/>
          </w:pgBorders>
          <w:pgNumType w:fmt="decimal" w:start="1"/>
          <w:cols w:space="425" w:num="1"/>
          <w:docGrid w:linePitch="312" w:charSpace="0"/>
        </w:sectPr>
      </w:pPr>
      <w:r>
        <w:rPr>
          <w:rFonts w:hint="eastAsia" w:ascii="Times New Roman" w:hAnsi="Times New Roman"/>
          <w:color w:val="auto"/>
          <w:sz w:val="24"/>
          <w:szCs w:val="24"/>
        </w:rPr>
        <w:t>附件</w:t>
      </w:r>
      <w:r>
        <w:rPr>
          <w:rFonts w:hint="eastAsia" w:ascii="Times New Roman" w:hAnsi="Times New Roman"/>
          <w:color w:val="auto"/>
          <w:sz w:val="24"/>
          <w:szCs w:val="24"/>
          <w:lang w:val="en-US" w:eastAsia="zh-CN"/>
        </w:rPr>
        <w:t>十</w:t>
      </w:r>
      <w:r>
        <w:rPr>
          <w:rFonts w:hint="eastAsia" w:ascii="Times New Roman" w:hAnsi="Times New Roman"/>
          <w:color w:val="auto"/>
          <w:sz w:val="24"/>
          <w:szCs w:val="24"/>
          <w:lang w:eastAsia="zh-CN"/>
        </w:rPr>
        <w:t>：</w:t>
      </w:r>
      <w:r>
        <w:rPr>
          <w:rFonts w:hint="eastAsia" w:ascii="Times New Roman" w:hAnsi="Times New Roman"/>
          <w:color w:val="auto"/>
          <w:sz w:val="24"/>
          <w:szCs w:val="24"/>
          <w:lang w:val="en-US" w:eastAsia="zh-CN"/>
        </w:rPr>
        <w:t>现场踏勘表</w:t>
      </w:r>
    </w:p>
    <w:p w14:paraId="3E33FC57">
      <w:pPr>
        <w:pStyle w:val="22"/>
        <w:jc w:val="center"/>
        <w:outlineLvl w:val="0"/>
        <w:rPr>
          <w:rFonts w:hint="default" w:ascii="Times New Roman" w:hAnsi="Times New Roman" w:eastAsia="黑体" w:cs="Times New Roman"/>
          <w:snapToGrid w:val="0"/>
          <w:color w:val="auto"/>
          <w:sz w:val="30"/>
          <w:szCs w:val="30"/>
          <w:highlight w:val="none"/>
        </w:rPr>
      </w:pPr>
      <w:bookmarkStart w:id="10" w:name="_Toc26303"/>
      <w:r>
        <w:rPr>
          <w:rFonts w:hint="default" w:ascii="Times New Roman" w:hAnsi="Times New Roman" w:eastAsia="黑体" w:cs="Times New Roman"/>
          <w:snapToGrid w:val="0"/>
          <w:color w:val="auto"/>
          <w:sz w:val="30"/>
          <w:szCs w:val="30"/>
          <w:highlight w:val="none"/>
        </w:rPr>
        <w:t>一、建设项目基本情况</w:t>
      </w:r>
      <w:bookmarkEnd w:id="10"/>
    </w:p>
    <w:tbl>
      <w:tblPr>
        <w:tblStyle w:val="32"/>
        <w:tblW w:w="853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866"/>
        <w:gridCol w:w="1835"/>
        <w:gridCol w:w="1827"/>
        <w:gridCol w:w="3002"/>
      </w:tblGrid>
      <w:tr w14:paraId="61EEEE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66" w:type="dxa"/>
            <w:tcMar>
              <w:top w:w="16" w:type="dxa"/>
              <w:left w:w="16" w:type="dxa"/>
              <w:right w:w="16" w:type="dxa"/>
            </w:tcMar>
            <w:vAlign w:val="center"/>
          </w:tcPr>
          <w:p w14:paraId="6B3752DA">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建设项目名称</w:t>
            </w:r>
          </w:p>
        </w:tc>
        <w:tc>
          <w:tcPr>
            <w:tcW w:w="6664" w:type="dxa"/>
            <w:gridSpan w:val="3"/>
            <w:vAlign w:val="center"/>
          </w:tcPr>
          <w:p w14:paraId="4A38F319">
            <w:pPr>
              <w:pStyle w:val="69"/>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Autospacing="0" w:line="240" w:lineRule="auto"/>
              <w:ind w:left="0" w:right="0"/>
              <w:jc w:val="center"/>
              <w:textAlignment w:val="auto"/>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奋发科技尼龙隔热条生产线技术改造项目</w:t>
            </w:r>
          </w:p>
        </w:tc>
      </w:tr>
      <w:tr w14:paraId="298597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66" w:type="dxa"/>
            <w:tcMar>
              <w:top w:w="16" w:type="dxa"/>
              <w:left w:w="16" w:type="dxa"/>
              <w:right w:w="16" w:type="dxa"/>
            </w:tcMar>
            <w:vAlign w:val="center"/>
          </w:tcPr>
          <w:p w14:paraId="7317FA2A">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项目代码</w:t>
            </w:r>
          </w:p>
        </w:tc>
        <w:tc>
          <w:tcPr>
            <w:tcW w:w="6664" w:type="dxa"/>
            <w:gridSpan w:val="3"/>
            <w:vAlign w:val="center"/>
          </w:tcPr>
          <w:p w14:paraId="47BD4969">
            <w:pPr>
              <w:pStyle w:val="69"/>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Autospacing="0" w:line="240" w:lineRule="auto"/>
              <w:ind w:left="0" w:right="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2607-360123-07-02-917146</w:t>
            </w:r>
          </w:p>
        </w:tc>
      </w:tr>
      <w:tr w14:paraId="4C54A0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66" w:type="dxa"/>
            <w:tcMar>
              <w:top w:w="16" w:type="dxa"/>
              <w:left w:w="16" w:type="dxa"/>
              <w:right w:w="16" w:type="dxa"/>
            </w:tcMar>
            <w:vAlign w:val="center"/>
          </w:tcPr>
          <w:p w14:paraId="51783E84">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建设单位联系人</w:t>
            </w:r>
          </w:p>
        </w:tc>
        <w:tc>
          <w:tcPr>
            <w:tcW w:w="1835" w:type="dxa"/>
            <w:vAlign w:val="center"/>
          </w:tcPr>
          <w:p w14:paraId="561EC8C4">
            <w:pPr>
              <w:pStyle w:val="61"/>
              <w:keepNext w:val="0"/>
              <w:keepLines w:val="0"/>
              <w:suppressLineNumbers w:val="0"/>
              <w:bidi w:val="0"/>
              <w:spacing w:before="0" w:beforeAutospacing="0" w:after="0" w:afterAutospacing="0" w:line="240" w:lineRule="auto"/>
              <w:ind w:left="0"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高琴</w:t>
            </w:r>
          </w:p>
        </w:tc>
        <w:tc>
          <w:tcPr>
            <w:tcW w:w="1827" w:type="dxa"/>
            <w:vAlign w:val="center"/>
          </w:tcPr>
          <w:p w14:paraId="2B4B71B6">
            <w:pPr>
              <w:pStyle w:val="61"/>
              <w:keepNext w:val="0"/>
              <w:keepLines w:val="0"/>
              <w:suppressLineNumbers w:val="0"/>
              <w:bidi w:val="0"/>
              <w:spacing w:before="0" w:beforeAutospacing="0" w:after="0" w:afterAutospacing="0" w:line="240" w:lineRule="auto"/>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联系方式</w:t>
            </w:r>
          </w:p>
        </w:tc>
        <w:tc>
          <w:tcPr>
            <w:tcW w:w="3002" w:type="dxa"/>
            <w:vAlign w:val="center"/>
          </w:tcPr>
          <w:p w14:paraId="56EA7586">
            <w:pPr>
              <w:pStyle w:val="61"/>
              <w:keepNext w:val="0"/>
              <w:keepLines w:val="0"/>
              <w:suppressLineNumbers w:val="0"/>
              <w:bidi w:val="0"/>
              <w:spacing w:before="0" w:beforeAutospacing="0" w:after="0" w:afterAutospacing="0" w:line="240" w:lineRule="auto"/>
              <w:ind w:left="0"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17770823789</w:t>
            </w:r>
          </w:p>
        </w:tc>
      </w:tr>
      <w:tr w14:paraId="309B3E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66" w:type="dxa"/>
            <w:tcMar>
              <w:top w:w="16" w:type="dxa"/>
              <w:left w:w="16" w:type="dxa"/>
              <w:right w:w="16" w:type="dxa"/>
            </w:tcMar>
            <w:vAlign w:val="center"/>
          </w:tcPr>
          <w:p w14:paraId="6BB0396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建设地点</w:t>
            </w:r>
          </w:p>
        </w:tc>
        <w:tc>
          <w:tcPr>
            <w:tcW w:w="6664" w:type="dxa"/>
            <w:gridSpan w:val="3"/>
            <w:vAlign w:val="center"/>
          </w:tcPr>
          <w:p w14:paraId="4687783F">
            <w:pPr>
              <w:keepNext w:val="0"/>
              <w:keepLines w:val="0"/>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4"/>
                <w:szCs w:val="24"/>
                <w:highlight w:val="none"/>
                <w:lang w:val="en-US" w:eastAsia="zh-CN"/>
              </w:rPr>
            </w:pPr>
            <w:r>
              <w:rPr>
                <w:rFonts w:hint="eastAsia"/>
                <w:color w:val="auto"/>
                <w:sz w:val="24"/>
                <w:highlight w:val="none"/>
                <w:lang w:val="en-US" w:eastAsia="zh-CN"/>
              </w:rPr>
              <w:t>江西安义高新技术产业园区奋发路</w:t>
            </w:r>
          </w:p>
        </w:tc>
      </w:tr>
      <w:tr w14:paraId="501415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66" w:type="dxa"/>
            <w:tcMar>
              <w:top w:w="16" w:type="dxa"/>
              <w:left w:w="16" w:type="dxa"/>
              <w:right w:w="16" w:type="dxa"/>
            </w:tcMar>
            <w:vAlign w:val="center"/>
          </w:tcPr>
          <w:p w14:paraId="0E4314F1">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地理坐标</w:t>
            </w:r>
          </w:p>
        </w:tc>
        <w:tc>
          <w:tcPr>
            <w:tcW w:w="6664" w:type="dxa"/>
            <w:gridSpan w:val="3"/>
            <w:vAlign w:val="center"/>
          </w:tcPr>
          <w:p w14:paraId="6782610D">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4"/>
                <w:szCs w:val="24"/>
                <w:highlight w:val="none"/>
              </w:rPr>
            </w:pPr>
            <w:r>
              <w:rPr>
                <w:rFonts w:hint="eastAsia"/>
                <w:color w:val="auto"/>
                <w:sz w:val="24"/>
                <w:highlight w:val="none"/>
                <w:lang w:val="en-US" w:eastAsia="zh-CN"/>
              </w:rPr>
              <w:t>项目中心点坐标</w:t>
            </w:r>
            <w:r>
              <w:rPr>
                <w:rFonts w:hint="default"/>
                <w:color w:val="auto"/>
                <w:sz w:val="24"/>
                <w:highlight w:val="none"/>
              </w:rPr>
              <w:t>E</w:t>
            </w:r>
            <w:r>
              <w:rPr>
                <w:rFonts w:hint="default" w:ascii="Times New Roman" w:hAnsi="Times New Roman" w:cs="Times New Roman"/>
                <w:color w:val="auto"/>
                <w:sz w:val="24"/>
                <w:highlight w:val="none"/>
              </w:rPr>
              <w:t>115°3</w:t>
            </w:r>
            <w:r>
              <w:rPr>
                <w:rFonts w:hint="eastAsia" w:cs="Times New Roman"/>
                <w:color w:val="auto"/>
                <w:sz w:val="24"/>
                <w:highlight w:val="none"/>
                <w:lang w:val="en-US" w:eastAsia="zh-CN"/>
              </w:rPr>
              <w:t>5</w:t>
            </w: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39.002</w:t>
            </w:r>
            <w:r>
              <w:rPr>
                <w:rFonts w:hint="default" w:ascii="Times New Roman" w:hAnsi="Times New Roman" w:cs="Times New Roman"/>
                <w:color w:val="auto"/>
                <w:sz w:val="24"/>
                <w:highlight w:val="none"/>
              </w:rPr>
              <w:t>″</w:t>
            </w:r>
            <w:r>
              <w:rPr>
                <w:rFonts w:hint="default"/>
                <w:color w:val="auto"/>
                <w:sz w:val="24"/>
                <w:highlight w:val="none"/>
              </w:rPr>
              <w:t>，N</w:t>
            </w:r>
            <w:r>
              <w:rPr>
                <w:rFonts w:hint="default" w:ascii="Times New Roman" w:hAnsi="Times New Roman" w:cs="Times New Roman"/>
                <w:color w:val="auto"/>
                <w:sz w:val="24"/>
                <w:highlight w:val="none"/>
              </w:rPr>
              <w:t>28°5</w:t>
            </w:r>
            <w:r>
              <w:rPr>
                <w:rFonts w:hint="eastAsia" w:cs="Times New Roman"/>
                <w:color w:val="auto"/>
                <w:sz w:val="24"/>
                <w:highlight w:val="none"/>
                <w:lang w:val="en-US" w:eastAsia="zh-CN"/>
              </w:rPr>
              <w:t>2</w:t>
            </w: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26.996</w:t>
            </w:r>
            <w:r>
              <w:rPr>
                <w:rFonts w:hint="default" w:ascii="Times New Roman" w:hAnsi="Times New Roman" w:cs="Times New Roman"/>
                <w:color w:val="auto"/>
                <w:sz w:val="24"/>
                <w:highlight w:val="none"/>
              </w:rPr>
              <w:t>″</w:t>
            </w:r>
          </w:p>
        </w:tc>
      </w:tr>
      <w:tr w14:paraId="2ED2B1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866" w:type="dxa"/>
            <w:tcMar>
              <w:top w:w="16" w:type="dxa"/>
              <w:left w:w="16" w:type="dxa"/>
              <w:right w:w="16" w:type="dxa"/>
            </w:tcMar>
            <w:vAlign w:val="center"/>
          </w:tcPr>
          <w:p w14:paraId="21085AC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国民经济</w:t>
            </w:r>
          </w:p>
          <w:p w14:paraId="2D5F2930">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行业类别</w:t>
            </w:r>
          </w:p>
        </w:tc>
        <w:tc>
          <w:tcPr>
            <w:tcW w:w="1835" w:type="dxa"/>
            <w:vAlign w:val="center"/>
          </w:tcPr>
          <w:p w14:paraId="7AD208B4">
            <w:pPr>
              <w:pStyle w:val="6"/>
              <w:keepNext w:val="0"/>
              <w:keepLines w:val="0"/>
              <w:suppressLineNumbers w:val="0"/>
              <w:bidi w:val="0"/>
              <w:spacing w:before="0" w:beforeAutospacing="0" w:after="0" w:afterAutospacing="0"/>
              <w:ind w:right="0"/>
              <w:jc w:val="center"/>
              <w:rPr>
                <w:rFonts w:hint="default" w:cs="Times New Roman"/>
                <w:color w:val="auto"/>
                <w:sz w:val="24"/>
                <w:szCs w:val="24"/>
                <w:highlight w:val="none"/>
                <w:lang w:val="en-US" w:eastAsia="zh-CN"/>
              </w:rPr>
            </w:pPr>
            <w:r>
              <w:rPr>
                <w:rFonts w:hint="default" w:cs="Times New Roman"/>
                <w:color w:val="auto"/>
                <w:sz w:val="24"/>
                <w:szCs w:val="24"/>
                <w:highlight w:val="none"/>
                <w:lang w:val="en-US" w:eastAsia="zh-CN"/>
              </w:rPr>
              <w:t>C2929塑料零件及其他塑料制品制造</w:t>
            </w:r>
          </w:p>
        </w:tc>
        <w:tc>
          <w:tcPr>
            <w:tcW w:w="1827" w:type="dxa"/>
            <w:vAlign w:val="center"/>
          </w:tcPr>
          <w:p w14:paraId="20411D9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4"/>
                <w:szCs w:val="24"/>
                <w:highlight w:val="none"/>
              </w:rPr>
            </w:pPr>
            <w:bookmarkStart w:id="11" w:name="_Hlk49843745"/>
            <w:r>
              <w:rPr>
                <w:rFonts w:hint="default" w:ascii="Times New Roman" w:hAnsi="Times New Roman" w:eastAsia="宋体" w:cs="Times New Roman"/>
                <w:b/>
                <w:bCs/>
                <w:color w:val="auto"/>
                <w:sz w:val="24"/>
                <w:szCs w:val="24"/>
                <w:highlight w:val="none"/>
              </w:rPr>
              <w:t>建设项目</w:t>
            </w:r>
          </w:p>
          <w:p w14:paraId="0E4220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行业类别</w:t>
            </w:r>
            <w:bookmarkEnd w:id="11"/>
          </w:p>
        </w:tc>
        <w:tc>
          <w:tcPr>
            <w:tcW w:w="3002" w:type="dxa"/>
            <w:vAlign w:val="center"/>
          </w:tcPr>
          <w:p w14:paraId="015D23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二十六、橡胶和塑料制品业 29 塑料制品业 292 其他（年用非溶剂型低VOCs含量涂料10吨以下的除外）</w:t>
            </w:r>
          </w:p>
        </w:tc>
      </w:tr>
      <w:tr w14:paraId="7C3C2B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866" w:type="dxa"/>
            <w:tcMar>
              <w:top w:w="16" w:type="dxa"/>
              <w:left w:w="16" w:type="dxa"/>
              <w:right w:w="16" w:type="dxa"/>
            </w:tcMar>
            <w:vAlign w:val="center"/>
          </w:tcPr>
          <w:p w14:paraId="1683AE08">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建设性质</w:t>
            </w:r>
          </w:p>
        </w:tc>
        <w:tc>
          <w:tcPr>
            <w:tcW w:w="1835" w:type="dxa"/>
            <w:vAlign w:val="center"/>
          </w:tcPr>
          <w:p w14:paraId="71194E1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2" w:char="00A3"/>
            </w:r>
            <w:r>
              <w:rPr>
                <w:rFonts w:hint="default" w:ascii="Times New Roman" w:hAnsi="Times New Roman" w:eastAsia="宋体" w:cs="Times New Roman"/>
                <w:color w:val="auto"/>
                <w:sz w:val="24"/>
                <w:szCs w:val="24"/>
                <w:highlight w:val="none"/>
              </w:rPr>
              <w:t>新建（迁建）</w:t>
            </w:r>
          </w:p>
          <w:p w14:paraId="0BBE87C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2" w:char="00A3"/>
            </w:r>
            <w:r>
              <w:rPr>
                <w:rFonts w:hint="default" w:ascii="Times New Roman" w:hAnsi="Times New Roman" w:eastAsia="宋体" w:cs="Times New Roman"/>
                <w:color w:val="auto"/>
                <w:sz w:val="24"/>
                <w:szCs w:val="24"/>
                <w:highlight w:val="none"/>
              </w:rPr>
              <w:t>改建</w:t>
            </w:r>
          </w:p>
          <w:p w14:paraId="298F514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2" w:char="0052"/>
            </w:r>
            <w:r>
              <w:rPr>
                <w:rFonts w:hint="default" w:ascii="Times New Roman" w:hAnsi="Times New Roman" w:eastAsia="宋体" w:cs="Times New Roman"/>
                <w:color w:val="auto"/>
                <w:sz w:val="24"/>
                <w:szCs w:val="24"/>
                <w:highlight w:val="none"/>
              </w:rPr>
              <w:t>扩建</w:t>
            </w:r>
          </w:p>
          <w:p w14:paraId="7568C4C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2" w:char="00A3"/>
            </w:r>
            <w:r>
              <w:rPr>
                <w:rFonts w:hint="default" w:ascii="Times New Roman" w:hAnsi="Times New Roman" w:eastAsia="宋体" w:cs="Times New Roman"/>
                <w:color w:val="auto"/>
                <w:sz w:val="24"/>
                <w:szCs w:val="24"/>
                <w:highlight w:val="none"/>
              </w:rPr>
              <w:t>技术改造</w:t>
            </w:r>
          </w:p>
        </w:tc>
        <w:tc>
          <w:tcPr>
            <w:tcW w:w="1827" w:type="dxa"/>
            <w:vAlign w:val="center"/>
          </w:tcPr>
          <w:p w14:paraId="41B089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建设项目</w:t>
            </w:r>
          </w:p>
          <w:p w14:paraId="00D1ED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申报情形</w:t>
            </w:r>
          </w:p>
        </w:tc>
        <w:tc>
          <w:tcPr>
            <w:tcW w:w="3002" w:type="dxa"/>
            <w:vAlign w:val="center"/>
          </w:tcPr>
          <w:p w14:paraId="5F3A823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2" w:char="0052"/>
            </w:r>
            <w:r>
              <w:rPr>
                <w:rFonts w:hint="default" w:ascii="Times New Roman" w:hAnsi="Times New Roman" w:eastAsia="宋体" w:cs="Times New Roman"/>
                <w:color w:val="auto"/>
                <w:sz w:val="24"/>
                <w:szCs w:val="24"/>
                <w:highlight w:val="none"/>
              </w:rPr>
              <w:t>首次申报项目</w:t>
            </w:r>
          </w:p>
          <w:p w14:paraId="6D2F399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2" w:char="00A3"/>
            </w:r>
            <w:r>
              <w:rPr>
                <w:rFonts w:hint="default" w:ascii="Times New Roman" w:hAnsi="Times New Roman" w:eastAsia="宋体" w:cs="Times New Roman"/>
                <w:color w:val="auto"/>
                <w:sz w:val="24"/>
                <w:szCs w:val="24"/>
                <w:highlight w:val="none"/>
              </w:rPr>
              <w:t>不予批准后再次申报项目</w:t>
            </w:r>
          </w:p>
          <w:p w14:paraId="687BA26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2" w:char="00A3"/>
            </w:r>
            <w:r>
              <w:rPr>
                <w:rFonts w:hint="default" w:ascii="Times New Roman" w:hAnsi="Times New Roman" w:eastAsia="宋体" w:cs="Times New Roman"/>
                <w:color w:val="auto"/>
                <w:sz w:val="24"/>
                <w:szCs w:val="24"/>
                <w:highlight w:val="none"/>
              </w:rPr>
              <w:t>超五年重新审核项目</w:t>
            </w:r>
          </w:p>
          <w:p w14:paraId="0C4FD60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2" w:char="00A3"/>
            </w:r>
            <w:r>
              <w:rPr>
                <w:rFonts w:hint="default" w:ascii="Times New Roman" w:hAnsi="Times New Roman" w:eastAsia="宋体" w:cs="Times New Roman"/>
                <w:color w:val="auto"/>
                <w:sz w:val="24"/>
                <w:szCs w:val="24"/>
                <w:highlight w:val="none"/>
              </w:rPr>
              <w:t>重大变动重新报批项目</w:t>
            </w:r>
          </w:p>
        </w:tc>
      </w:tr>
      <w:tr w14:paraId="4711FE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866" w:type="dxa"/>
            <w:tcMar>
              <w:top w:w="16" w:type="dxa"/>
              <w:left w:w="16" w:type="dxa"/>
              <w:right w:w="16" w:type="dxa"/>
            </w:tcMar>
            <w:vAlign w:val="center"/>
          </w:tcPr>
          <w:p w14:paraId="39E0600F">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项目审批（核准/</w:t>
            </w:r>
          </w:p>
          <w:p w14:paraId="33B98E69">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备案）部门（选填）</w:t>
            </w:r>
          </w:p>
        </w:tc>
        <w:tc>
          <w:tcPr>
            <w:tcW w:w="1835" w:type="dxa"/>
            <w:vAlign w:val="center"/>
          </w:tcPr>
          <w:p w14:paraId="5ECB6E0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安义县科技和工业信息化局</w:t>
            </w:r>
          </w:p>
        </w:tc>
        <w:tc>
          <w:tcPr>
            <w:tcW w:w="1827" w:type="dxa"/>
            <w:vAlign w:val="center"/>
          </w:tcPr>
          <w:p w14:paraId="01110A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项目审批（核准/</w:t>
            </w:r>
          </w:p>
          <w:p w14:paraId="37A4FA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备案）文号（选填）</w:t>
            </w:r>
          </w:p>
        </w:tc>
        <w:tc>
          <w:tcPr>
            <w:tcW w:w="3002" w:type="dxa"/>
            <w:vAlign w:val="center"/>
          </w:tcPr>
          <w:p w14:paraId="48AD22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r>
      <w:tr w14:paraId="033858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66" w:type="dxa"/>
            <w:tcMar>
              <w:top w:w="16" w:type="dxa"/>
              <w:left w:w="16" w:type="dxa"/>
              <w:right w:w="16" w:type="dxa"/>
            </w:tcMar>
            <w:vAlign w:val="center"/>
          </w:tcPr>
          <w:p w14:paraId="7718F89D">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总投资（万元）</w:t>
            </w:r>
          </w:p>
        </w:tc>
        <w:tc>
          <w:tcPr>
            <w:tcW w:w="1835" w:type="dxa"/>
            <w:vAlign w:val="center"/>
          </w:tcPr>
          <w:p w14:paraId="1C3A27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5000</w:t>
            </w:r>
          </w:p>
        </w:tc>
        <w:tc>
          <w:tcPr>
            <w:tcW w:w="1827" w:type="dxa"/>
            <w:tcMar>
              <w:top w:w="16" w:type="dxa"/>
              <w:left w:w="16" w:type="dxa"/>
              <w:right w:w="16" w:type="dxa"/>
            </w:tcMar>
            <w:vAlign w:val="center"/>
          </w:tcPr>
          <w:p w14:paraId="18FCEA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环保投资（万元）</w:t>
            </w:r>
          </w:p>
        </w:tc>
        <w:tc>
          <w:tcPr>
            <w:tcW w:w="3002" w:type="dxa"/>
            <w:vAlign w:val="center"/>
          </w:tcPr>
          <w:p w14:paraId="79A96E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19</w:t>
            </w:r>
          </w:p>
        </w:tc>
      </w:tr>
      <w:tr w14:paraId="1A5E76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66" w:type="dxa"/>
            <w:tcMar>
              <w:top w:w="16" w:type="dxa"/>
              <w:left w:w="16" w:type="dxa"/>
              <w:right w:w="16" w:type="dxa"/>
            </w:tcMar>
            <w:vAlign w:val="center"/>
          </w:tcPr>
          <w:p w14:paraId="58A8C49B">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环保投资占比（%）</w:t>
            </w:r>
          </w:p>
        </w:tc>
        <w:tc>
          <w:tcPr>
            <w:tcW w:w="1835" w:type="dxa"/>
            <w:vAlign w:val="center"/>
          </w:tcPr>
          <w:p w14:paraId="6DD942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0.38</w:t>
            </w:r>
          </w:p>
        </w:tc>
        <w:tc>
          <w:tcPr>
            <w:tcW w:w="1827" w:type="dxa"/>
            <w:tcMar>
              <w:top w:w="16" w:type="dxa"/>
              <w:left w:w="16" w:type="dxa"/>
              <w:right w:w="16" w:type="dxa"/>
            </w:tcMar>
            <w:vAlign w:val="center"/>
          </w:tcPr>
          <w:p w14:paraId="6D1299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施工工期</w:t>
            </w:r>
          </w:p>
        </w:tc>
        <w:tc>
          <w:tcPr>
            <w:tcW w:w="3002" w:type="dxa"/>
            <w:vAlign w:val="center"/>
          </w:tcPr>
          <w:p w14:paraId="061054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12个月</w:t>
            </w:r>
          </w:p>
        </w:tc>
      </w:tr>
      <w:tr w14:paraId="586293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66" w:type="dxa"/>
            <w:tcMar>
              <w:top w:w="16" w:type="dxa"/>
              <w:left w:w="16" w:type="dxa"/>
              <w:right w:w="16" w:type="dxa"/>
            </w:tcMar>
            <w:vAlign w:val="center"/>
          </w:tcPr>
          <w:p w14:paraId="184FF5E4">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是否开工建设</w:t>
            </w:r>
          </w:p>
        </w:tc>
        <w:tc>
          <w:tcPr>
            <w:tcW w:w="1835" w:type="dxa"/>
            <w:vAlign w:val="center"/>
          </w:tcPr>
          <w:p w14:paraId="3AF6EB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2" w:char="0052"/>
            </w:r>
            <w:r>
              <w:rPr>
                <w:rFonts w:hint="default" w:ascii="Times New Roman" w:hAnsi="Times New Roman" w:eastAsia="宋体" w:cs="Times New Roman"/>
                <w:color w:val="auto"/>
                <w:sz w:val="24"/>
                <w:szCs w:val="24"/>
                <w:highlight w:val="none"/>
              </w:rPr>
              <w:t>否</w:t>
            </w:r>
          </w:p>
          <w:p w14:paraId="77D52E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2" w:char="00A3"/>
            </w:r>
            <w:r>
              <w:rPr>
                <w:rFonts w:hint="default" w:ascii="Times New Roman" w:hAnsi="Times New Roman" w:eastAsia="宋体" w:cs="Times New Roman"/>
                <w:color w:val="auto"/>
                <w:sz w:val="24"/>
                <w:szCs w:val="24"/>
                <w:highlight w:val="none"/>
              </w:rPr>
              <w:t>是</w:t>
            </w:r>
            <w:r>
              <w:rPr>
                <w:rFonts w:hint="eastAsia" w:cs="Times New Roman"/>
                <w:color w:val="auto"/>
                <w:sz w:val="24"/>
                <w:szCs w:val="24"/>
                <w:highlight w:val="none"/>
                <w:lang w:eastAsia="zh-CN"/>
              </w:rPr>
              <w:t>：</w:t>
            </w:r>
            <w:r>
              <w:rPr>
                <w:rFonts w:hint="eastAsia"/>
                <w:color w:val="auto"/>
                <w:sz w:val="24"/>
                <w:highlight w:val="none"/>
                <w:u w:val="single"/>
                <w:lang w:val="en-US" w:eastAsia="zh-CN"/>
              </w:rPr>
              <w:t xml:space="preserve">      </w:t>
            </w:r>
          </w:p>
        </w:tc>
        <w:tc>
          <w:tcPr>
            <w:tcW w:w="1827" w:type="dxa"/>
            <w:tcMar>
              <w:top w:w="16" w:type="dxa"/>
              <w:left w:w="16" w:type="dxa"/>
              <w:right w:w="16" w:type="dxa"/>
            </w:tcMar>
            <w:vAlign w:val="center"/>
          </w:tcPr>
          <w:p w14:paraId="75243B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6"/>
                <w:sz w:val="24"/>
                <w:szCs w:val="24"/>
                <w:highlight w:val="none"/>
              </w:rPr>
            </w:pPr>
            <w:r>
              <w:rPr>
                <w:rFonts w:hint="default" w:ascii="Times New Roman" w:hAnsi="Times New Roman" w:eastAsia="宋体" w:cs="Times New Roman"/>
                <w:b/>
                <w:bCs/>
                <w:color w:val="auto"/>
                <w:spacing w:val="-6"/>
                <w:sz w:val="24"/>
                <w:szCs w:val="24"/>
                <w:highlight w:val="none"/>
              </w:rPr>
              <w:t>用地（用海）</w:t>
            </w:r>
          </w:p>
          <w:p w14:paraId="40AFDF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pacing w:val="-6"/>
                <w:sz w:val="24"/>
                <w:szCs w:val="24"/>
                <w:highlight w:val="none"/>
              </w:rPr>
              <w:t>面积（m</w:t>
            </w:r>
            <w:r>
              <w:rPr>
                <w:rFonts w:hint="default" w:ascii="Times New Roman" w:hAnsi="Times New Roman" w:eastAsia="宋体" w:cs="Times New Roman"/>
                <w:b/>
                <w:bCs/>
                <w:color w:val="auto"/>
                <w:spacing w:val="-6"/>
                <w:sz w:val="24"/>
                <w:szCs w:val="24"/>
                <w:highlight w:val="none"/>
                <w:vertAlign w:val="superscript"/>
              </w:rPr>
              <w:t>2</w:t>
            </w:r>
            <w:r>
              <w:rPr>
                <w:rFonts w:hint="default" w:ascii="Times New Roman" w:hAnsi="Times New Roman" w:eastAsia="宋体" w:cs="Times New Roman"/>
                <w:b/>
                <w:bCs/>
                <w:color w:val="auto"/>
                <w:spacing w:val="-6"/>
                <w:sz w:val="24"/>
                <w:szCs w:val="24"/>
                <w:highlight w:val="none"/>
              </w:rPr>
              <w:t>）</w:t>
            </w:r>
          </w:p>
        </w:tc>
        <w:tc>
          <w:tcPr>
            <w:tcW w:w="3002" w:type="dxa"/>
            <w:vAlign w:val="center"/>
          </w:tcPr>
          <w:p w14:paraId="5E1D10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2552.5</w:t>
            </w:r>
          </w:p>
        </w:tc>
      </w:tr>
      <w:tr w14:paraId="396AC9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866" w:type="dxa"/>
            <w:vAlign w:val="center"/>
          </w:tcPr>
          <w:p w14:paraId="689B336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24"/>
                <w:szCs w:val="24"/>
                <w:highlight w:val="none"/>
              </w:rPr>
            </w:pPr>
            <w:r>
              <w:rPr>
                <w:rFonts w:hint="default" w:ascii="Times New Roman" w:hAnsi="Times New Roman" w:eastAsia="宋体" w:cs="Times New Roman"/>
                <w:b/>
                <w:bCs/>
                <w:color w:val="auto"/>
                <w:kern w:val="0"/>
                <w:sz w:val="24"/>
                <w:szCs w:val="24"/>
                <w:highlight w:val="none"/>
              </w:rPr>
              <w:t>专项评价</w:t>
            </w:r>
          </w:p>
          <w:p w14:paraId="7DFF81F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24"/>
                <w:szCs w:val="24"/>
                <w:highlight w:val="none"/>
              </w:rPr>
            </w:pPr>
            <w:r>
              <w:rPr>
                <w:rFonts w:hint="default" w:ascii="Times New Roman" w:hAnsi="Times New Roman" w:eastAsia="宋体" w:cs="Times New Roman"/>
                <w:b/>
                <w:bCs/>
                <w:color w:val="auto"/>
                <w:kern w:val="0"/>
                <w:sz w:val="24"/>
                <w:szCs w:val="24"/>
                <w:highlight w:val="none"/>
              </w:rPr>
              <w:t>设置情况</w:t>
            </w:r>
          </w:p>
        </w:tc>
        <w:tc>
          <w:tcPr>
            <w:tcW w:w="6664" w:type="dxa"/>
            <w:gridSpan w:val="3"/>
            <w:vAlign w:val="center"/>
          </w:tcPr>
          <w:p w14:paraId="2304E8D4">
            <w:pPr>
              <w:pStyle w:val="7"/>
              <w:keepNext w:val="0"/>
              <w:keepLines w:val="0"/>
              <w:suppressLineNumbers w:val="0"/>
              <w:bidi w:val="0"/>
              <w:spacing w:before="0" w:beforeAutospacing="0" w:after="0" w:afterAutospacing="0"/>
              <w:ind w:left="0" w:right="0"/>
              <w:jc w:val="center"/>
              <w:rPr>
                <w:rFonts w:hint="eastAsia"/>
                <w:b/>
                <w:bCs/>
                <w:color w:val="auto"/>
                <w:highlight w:val="none"/>
                <w:lang w:val="en-US" w:eastAsia="zh-CN"/>
              </w:rPr>
            </w:pPr>
            <w:r>
              <w:rPr>
                <w:rFonts w:hint="eastAsia"/>
                <w:b/>
                <w:bCs/>
                <w:color w:val="auto"/>
                <w:highlight w:val="none"/>
                <w:lang w:val="en-US" w:eastAsia="zh-CN"/>
              </w:rPr>
              <w:t>表1-1   专项评价设置判定表</w:t>
            </w:r>
          </w:p>
          <w:tbl>
            <w:tblPr>
              <w:tblStyle w:val="32"/>
              <w:tblW w:w="644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59"/>
              <w:gridCol w:w="2525"/>
              <w:gridCol w:w="2836"/>
              <w:gridCol w:w="528"/>
            </w:tblGrid>
            <w:tr w14:paraId="4405DA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559" w:type="dxa"/>
                  <w:tcBorders>
                    <w:bottom w:val="single" w:color="auto" w:sz="12" w:space="0"/>
                  </w:tcBorders>
                  <w:vAlign w:val="center"/>
                </w:tcPr>
                <w:p w14:paraId="398DDD4D">
                  <w:pPr>
                    <w:pStyle w:val="7"/>
                    <w:keepNext w:val="0"/>
                    <w:keepLines w:val="0"/>
                    <w:suppressLineNumbers w:val="0"/>
                    <w:bidi w:val="0"/>
                    <w:spacing w:before="0" w:beforeAutospacing="0" w:after="0" w:afterAutospacing="0"/>
                    <w:ind w:left="0" w:right="0"/>
                    <w:jc w:val="center"/>
                    <w:rPr>
                      <w:rFonts w:hint="eastAsia"/>
                      <w:b/>
                      <w:bCs/>
                      <w:color w:val="auto"/>
                      <w:highlight w:val="none"/>
                      <w:lang w:val="en-US" w:eastAsia="zh-CN"/>
                    </w:rPr>
                  </w:pPr>
                  <w:r>
                    <w:rPr>
                      <w:rFonts w:hint="eastAsia"/>
                      <w:b/>
                      <w:bCs/>
                      <w:color w:val="auto"/>
                      <w:highlight w:val="none"/>
                      <w:lang w:val="en-US" w:eastAsia="zh-CN"/>
                    </w:rPr>
                    <w:t>要素</w:t>
                  </w:r>
                </w:p>
              </w:tc>
              <w:tc>
                <w:tcPr>
                  <w:tcW w:w="2525" w:type="dxa"/>
                  <w:tcBorders>
                    <w:bottom w:val="single" w:color="auto" w:sz="12" w:space="0"/>
                  </w:tcBorders>
                  <w:vAlign w:val="center"/>
                </w:tcPr>
                <w:p w14:paraId="34BC7AFD">
                  <w:pPr>
                    <w:pStyle w:val="7"/>
                    <w:keepNext w:val="0"/>
                    <w:keepLines w:val="0"/>
                    <w:suppressLineNumbers w:val="0"/>
                    <w:bidi w:val="0"/>
                    <w:spacing w:before="0" w:beforeAutospacing="0" w:after="0" w:afterAutospacing="0"/>
                    <w:ind w:left="0" w:right="0"/>
                    <w:jc w:val="center"/>
                    <w:rPr>
                      <w:rFonts w:hint="eastAsia"/>
                      <w:b/>
                      <w:bCs/>
                      <w:color w:val="auto"/>
                      <w:highlight w:val="none"/>
                      <w:lang w:val="en-US" w:eastAsia="zh-CN"/>
                    </w:rPr>
                  </w:pPr>
                  <w:r>
                    <w:rPr>
                      <w:rFonts w:hint="eastAsia"/>
                      <w:b/>
                      <w:bCs/>
                      <w:color w:val="auto"/>
                      <w:highlight w:val="none"/>
                      <w:lang w:val="en-US" w:eastAsia="zh-CN"/>
                    </w:rPr>
                    <w:t>判定依据</w:t>
                  </w:r>
                </w:p>
              </w:tc>
              <w:tc>
                <w:tcPr>
                  <w:tcW w:w="2836" w:type="dxa"/>
                  <w:tcBorders>
                    <w:bottom w:val="single" w:color="auto" w:sz="12" w:space="0"/>
                  </w:tcBorders>
                  <w:vAlign w:val="center"/>
                </w:tcPr>
                <w:p w14:paraId="42F1BE22">
                  <w:pPr>
                    <w:pStyle w:val="7"/>
                    <w:keepNext w:val="0"/>
                    <w:keepLines w:val="0"/>
                    <w:suppressLineNumbers w:val="0"/>
                    <w:bidi w:val="0"/>
                    <w:spacing w:before="0" w:beforeAutospacing="0" w:after="0" w:afterAutospacing="0"/>
                    <w:ind w:left="0" w:right="0"/>
                    <w:jc w:val="center"/>
                    <w:rPr>
                      <w:rFonts w:hint="eastAsia"/>
                      <w:b/>
                      <w:bCs/>
                      <w:color w:val="auto"/>
                      <w:highlight w:val="none"/>
                      <w:lang w:val="en-US" w:eastAsia="zh-CN"/>
                    </w:rPr>
                  </w:pPr>
                  <w:r>
                    <w:rPr>
                      <w:rFonts w:hint="eastAsia"/>
                      <w:b/>
                      <w:bCs/>
                      <w:color w:val="auto"/>
                      <w:highlight w:val="none"/>
                      <w:lang w:val="en-US" w:eastAsia="zh-CN"/>
                    </w:rPr>
                    <w:t>判定过程</w:t>
                  </w:r>
                </w:p>
              </w:tc>
              <w:tc>
                <w:tcPr>
                  <w:tcW w:w="528" w:type="dxa"/>
                  <w:tcBorders>
                    <w:bottom w:val="single" w:color="auto" w:sz="12" w:space="0"/>
                  </w:tcBorders>
                  <w:vAlign w:val="center"/>
                </w:tcPr>
                <w:p w14:paraId="3F626724">
                  <w:pPr>
                    <w:pStyle w:val="7"/>
                    <w:keepNext w:val="0"/>
                    <w:keepLines w:val="0"/>
                    <w:suppressLineNumbers w:val="0"/>
                    <w:bidi w:val="0"/>
                    <w:spacing w:before="0" w:beforeAutospacing="0" w:after="0" w:afterAutospacing="0"/>
                    <w:ind w:left="0" w:right="0"/>
                    <w:jc w:val="center"/>
                    <w:rPr>
                      <w:rFonts w:hint="eastAsia"/>
                      <w:b/>
                      <w:bCs/>
                      <w:color w:val="auto"/>
                      <w:highlight w:val="none"/>
                      <w:lang w:val="en-US" w:eastAsia="zh-CN"/>
                    </w:rPr>
                  </w:pPr>
                  <w:r>
                    <w:rPr>
                      <w:rFonts w:hint="eastAsia"/>
                      <w:b/>
                      <w:bCs/>
                      <w:color w:val="auto"/>
                      <w:highlight w:val="none"/>
                      <w:lang w:val="en-US" w:eastAsia="zh-CN"/>
                    </w:rPr>
                    <w:t>判定结果</w:t>
                  </w:r>
                </w:p>
              </w:tc>
            </w:tr>
            <w:tr w14:paraId="09C654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559" w:type="dxa"/>
                  <w:tcBorders>
                    <w:top w:val="single" w:color="auto" w:sz="12" w:space="0"/>
                    <w:tl2br w:val="nil"/>
                    <w:tr2bl w:val="nil"/>
                  </w:tcBorders>
                  <w:vAlign w:val="center"/>
                </w:tcPr>
                <w:p w14:paraId="140C6368">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大气环境</w:t>
                  </w:r>
                </w:p>
              </w:tc>
              <w:tc>
                <w:tcPr>
                  <w:tcW w:w="2525" w:type="dxa"/>
                  <w:tcBorders>
                    <w:top w:val="single" w:color="auto" w:sz="12" w:space="0"/>
                    <w:tl2br w:val="nil"/>
                    <w:tr2bl w:val="nil"/>
                  </w:tcBorders>
                  <w:vAlign w:val="center"/>
                </w:tcPr>
                <w:p w14:paraId="27881237">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eastAsia"/>
                      <w:color w:val="auto"/>
                      <w:highlight w:val="none"/>
                      <w:lang w:val="en-US" w:eastAsia="zh-CN"/>
                    </w:rPr>
                    <w:t>排放废气含有毒有害污染物、二噁英、苯并[ a ]芘、氰化物、氯气且厂界外500米范围内有环境空气保护目标的建设项目。</w:t>
                  </w:r>
                </w:p>
              </w:tc>
              <w:tc>
                <w:tcPr>
                  <w:tcW w:w="2836" w:type="dxa"/>
                  <w:tcBorders>
                    <w:top w:val="single" w:color="auto" w:sz="12" w:space="0"/>
                    <w:tl2br w:val="nil"/>
                    <w:tr2bl w:val="nil"/>
                  </w:tcBorders>
                  <w:vAlign w:val="center"/>
                </w:tcPr>
                <w:p w14:paraId="09AD3569">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本项目排放废气不涉及二噁英、苯并[ a ]芘、氰化物、氯气及《有毒有害大气污染物名录》中污染物。</w:t>
                  </w:r>
                </w:p>
              </w:tc>
              <w:tc>
                <w:tcPr>
                  <w:tcW w:w="528" w:type="dxa"/>
                  <w:tcBorders>
                    <w:top w:val="single" w:color="auto" w:sz="12" w:space="0"/>
                    <w:tl2br w:val="nil"/>
                    <w:tr2bl w:val="nil"/>
                  </w:tcBorders>
                  <w:vAlign w:val="center"/>
                </w:tcPr>
                <w:p w14:paraId="2F31DAEE">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无需设置</w:t>
                  </w:r>
                </w:p>
              </w:tc>
            </w:tr>
            <w:tr w14:paraId="7653DE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559" w:type="dxa"/>
                  <w:tcBorders>
                    <w:tl2br w:val="nil"/>
                    <w:tr2bl w:val="nil"/>
                  </w:tcBorders>
                  <w:vAlign w:val="center"/>
                </w:tcPr>
                <w:p w14:paraId="428B388D">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地表水环境</w:t>
                  </w:r>
                </w:p>
              </w:tc>
              <w:tc>
                <w:tcPr>
                  <w:tcW w:w="2525" w:type="dxa"/>
                  <w:tcBorders>
                    <w:tl2br w:val="nil"/>
                    <w:tr2bl w:val="nil"/>
                  </w:tcBorders>
                  <w:vAlign w:val="center"/>
                </w:tcPr>
                <w:p w14:paraId="76418FF1">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新增工业废水直排建设项目（槽罐车外送污水处理厂的除外）；新增废水直排的污水集中处理厂。</w:t>
                  </w:r>
                </w:p>
              </w:tc>
              <w:tc>
                <w:tcPr>
                  <w:tcW w:w="2836" w:type="dxa"/>
                  <w:tcBorders>
                    <w:tl2br w:val="nil"/>
                    <w:tr2bl w:val="nil"/>
                  </w:tcBorders>
                  <w:vAlign w:val="center"/>
                </w:tcPr>
                <w:p w14:paraId="73ECB35F">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本项目无生产废水外排，且本项目不属于污水集中处理厂。</w:t>
                  </w:r>
                </w:p>
              </w:tc>
              <w:tc>
                <w:tcPr>
                  <w:tcW w:w="528" w:type="dxa"/>
                  <w:tcBorders>
                    <w:tl2br w:val="nil"/>
                    <w:tr2bl w:val="nil"/>
                  </w:tcBorders>
                  <w:vAlign w:val="center"/>
                </w:tcPr>
                <w:p w14:paraId="16CB3273">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无需设置</w:t>
                  </w:r>
                </w:p>
              </w:tc>
            </w:tr>
            <w:tr w14:paraId="35AD14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59" w:type="dxa"/>
                  <w:tcBorders>
                    <w:tl2br w:val="nil"/>
                    <w:tr2bl w:val="nil"/>
                  </w:tcBorders>
                  <w:vAlign w:val="center"/>
                </w:tcPr>
                <w:p w14:paraId="08855FB9">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地下水环境</w:t>
                  </w:r>
                </w:p>
              </w:tc>
              <w:tc>
                <w:tcPr>
                  <w:tcW w:w="2525" w:type="dxa"/>
                  <w:tcBorders>
                    <w:tl2br w:val="nil"/>
                    <w:tr2bl w:val="nil"/>
                  </w:tcBorders>
                  <w:vAlign w:val="center"/>
                </w:tcPr>
                <w:p w14:paraId="3D22365A">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涉及集中式饮用水水源和热水、矿泉水、温泉等特殊地下水资源保护区。</w:t>
                  </w:r>
                </w:p>
              </w:tc>
              <w:tc>
                <w:tcPr>
                  <w:tcW w:w="2836" w:type="dxa"/>
                  <w:tcBorders>
                    <w:tl2br w:val="nil"/>
                    <w:tr2bl w:val="nil"/>
                  </w:tcBorders>
                  <w:vAlign w:val="center"/>
                </w:tcPr>
                <w:p w14:paraId="2AE82FBB">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本项目不涉及集中式饮用水水源和热水、矿泉水、温泉等特殊地下水资源保护区。</w:t>
                  </w:r>
                </w:p>
              </w:tc>
              <w:tc>
                <w:tcPr>
                  <w:tcW w:w="528" w:type="dxa"/>
                  <w:tcBorders>
                    <w:tl2br w:val="nil"/>
                    <w:tr2bl w:val="nil"/>
                  </w:tcBorders>
                  <w:vAlign w:val="center"/>
                </w:tcPr>
                <w:p w14:paraId="1E7356EA">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无需设置</w:t>
                  </w:r>
                </w:p>
              </w:tc>
            </w:tr>
            <w:tr w14:paraId="6F0F44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559" w:type="dxa"/>
                  <w:tcBorders>
                    <w:tl2br w:val="nil"/>
                    <w:tr2bl w:val="nil"/>
                  </w:tcBorders>
                  <w:vAlign w:val="center"/>
                </w:tcPr>
                <w:p w14:paraId="24B5CCD8">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生态环境</w:t>
                  </w:r>
                </w:p>
              </w:tc>
              <w:tc>
                <w:tcPr>
                  <w:tcW w:w="2525" w:type="dxa"/>
                  <w:tcBorders>
                    <w:tl2br w:val="nil"/>
                    <w:tr2bl w:val="nil"/>
                  </w:tcBorders>
                  <w:vAlign w:val="center"/>
                </w:tcPr>
                <w:p w14:paraId="1AC7A9D6">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取水口下游500米范围内有重要水生生物的自然产卵场、索饵场、越冬场和洄游通道的新增河道取水的污染类建设项目。</w:t>
                  </w:r>
                </w:p>
              </w:tc>
              <w:tc>
                <w:tcPr>
                  <w:tcW w:w="2836" w:type="dxa"/>
                  <w:tcBorders>
                    <w:tl2br w:val="nil"/>
                    <w:tr2bl w:val="nil"/>
                  </w:tcBorders>
                  <w:vAlign w:val="center"/>
                </w:tcPr>
                <w:p w14:paraId="55CEB36F">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本项目不设置取水口</w:t>
                  </w:r>
                </w:p>
              </w:tc>
              <w:tc>
                <w:tcPr>
                  <w:tcW w:w="528" w:type="dxa"/>
                  <w:tcBorders>
                    <w:tl2br w:val="nil"/>
                    <w:tr2bl w:val="nil"/>
                  </w:tcBorders>
                  <w:vAlign w:val="center"/>
                </w:tcPr>
                <w:p w14:paraId="35EB4931">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无需设置</w:t>
                  </w:r>
                </w:p>
              </w:tc>
            </w:tr>
            <w:tr w14:paraId="35AC88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559" w:type="dxa"/>
                  <w:tcBorders>
                    <w:tl2br w:val="nil"/>
                    <w:tr2bl w:val="nil"/>
                  </w:tcBorders>
                  <w:vAlign w:val="center"/>
                </w:tcPr>
                <w:p w14:paraId="12D78682">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环境风险</w:t>
                  </w:r>
                </w:p>
              </w:tc>
              <w:tc>
                <w:tcPr>
                  <w:tcW w:w="2525" w:type="dxa"/>
                  <w:tcBorders>
                    <w:tl2br w:val="nil"/>
                    <w:tr2bl w:val="nil"/>
                  </w:tcBorders>
                  <w:vAlign w:val="center"/>
                </w:tcPr>
                <w:p w14:paraId="51805EF9">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有毒有害和易燃易爆危险物质存储量超过临界量的建设项目。</w:t>
                  </w:r>
                </w:p>
              </w:tc>
              <w:tc>
                <w:tcPr>
                  <w:tcW w:w="2836" w:type="dxa"/>
                  <w:tcBorders>
                    <w:tl2br w:val="nil"/>
                    <w:tr2bl w:val="nil"/>
                  </w:tcBorders>
                  <w:vAlign w:val="center"/>
                </w:tcPr>
                <w:p w14:paraId="000AAE3A">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项目Q</w:t>
                  </w:r>
                  <w:r>
                    <w:rPr>
                      <w:rFonts w:hint="eastAsia" w:ascii="Times New Roman" w:hAnsi="Times New Roman" w:cs="Times New Roman"/>
                      <w:color w:val="auto"/>
                      <w:highlight w:val="none"/>
                      <w:lang w:val="en-US" w:eastAsia="zh-CN"/>
                    </w:rPr>
                    <w:t>&lt;</w:t>
                  </w:r>
                  <w:r>
                    <w:rPr>
                      <w:rFonts w:hint="eastAsia"/>
                      <w:color w:val="auto"/>
                      <w:highlight w:val="none"/>
                      <w:lang w:val="en-US" w:eastAsia="zh-CN"/>
                    </w:rPr>
                    <w:t>1，详见项目环境风险分析章节。</w:t>
                  </w:r>
                </w:p>
              </w:tc>
              <w:tc>
                <w:tcPr>
                  <w:tcW w:w="528" w:type="dxa"/>
                  <w:tcBorders>
                    <w:tl2br w:val="nil"/>
                    <w:tr2bl w:val="nil"/>
                  </w:tcBorders>
                  <w:vAlign w:val="center"/>
                </w:tcPr>
                <w:p w14:paraId="69A61506">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无需设置</w:t>
                  </w:r>
                </w:p>
              </w:tc>
            </w:tr>
          </w:tbl>
          <w:p w14:paraId="71D6D2E6">
            <w:pPr>
              <w:pStyle w:val="44"/>
              <w:keepNext w:val="0"/>
              <w:keepLines w:val="0"/>
              <w:suppressLineNumbers w:val="0"/>
              <w:spacing w:before="0" w:beforeAutospacing="0" w:after="0" w:afterAutospacing="0"/>
              <w:ind w:left="0" w:leftChars="0" w:right="0" w:firstLine="0" w:firstLineChars="0"/>
              <w:rPr>
                <w:rFonts w:hint="default"/>
                <w:color w:val="auto"/>
                <w:highlight w:val="none"/>
                <w:lang w:val="en-US" w:eastAsia="zh-CN"/>
              </w:rPr>
            </w:pPr>
          </w:p>
        </w:tc>
      </w:tr>
      <w:tr w14:paraId="6FB0DF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40" w:hRule="atLeast"/>
          <w:jc w:val="center"/>
        </w:trPr>
        <w:tc>
          <w:tcPr>
            <w:tcW w:w="1866" w:type="dxa"/>
            <w:vAlign w:val="center"/>
          </w:tcPr>
          <w:p w14:paraId="70B4327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szCs w:val="21"/>
                <w:highlight w:val="none"/>
              </w:rPr>
              <w:t>规划情况</w:t>
            </w:r>
          </w:p>
        </w:tc>
        <w:tc>
          <w:tcPr>
            <w:tcW w:w="6664" w:type="dxa"/>
            <w:gridSpan w:val="3"/>
            <w:vAlign w:val="center"/>
          </w:tcPr>
          <w:p w14:paraId="2D4602D1">
            <w:pPr>
              <w:keepNext w:val="0"/>
              <w:keepLines w:val="0"/>
              <w:suppressLineNumbers w:val="0"/>
              <w:bidi w:val="0"/>
              <w:spacing w:before="0" w:beforeAutospacing="0" w:after="0" w:afterAutospacing="0"/>
              <w:ind w:left="0" w:right="0"/>
              <w:rPr>
                <w:rFonts w:hint="default" w:ascii="Times New Roman" w:hAnsi="Times New Roman" w:cs="Times New Roman"/>
                <w:color w:val="auto"/>
                <w:kern w:val="0"/>
                <w:szCs w:val="21"/>
                <w:highlight w:val="none"/>
                <w:lang w:val="en-US" w:eastAsia="zh-CN"/>
              </w:rPr>
            </w:pPr>
            <w:r>
              <w:rPr>
                <w:rFonts w:hint="eastAsia"/>
                <w:color w:val="auto"/>
                <w:highlight w:val="none"/>
              </w:rPr>
              <w:t>规划名称：</w:t>
            </w:r>
            <w:r>
              <w:rPr>
                <w:rFonts w:hint="default" w:ascii="Times New Roman" w:hAnsi="Times New Roman" w:cs="Times New Roman"/>
                <w:color w:val="auto"/>
                <w:kern w:val="0"/>
                <w:szCs w:val="21"/>
                <w:highlight w:val="none"/>
                <w:lang w:val="en-US" w:eastAsia="zh-CN"/>
              </w:rPr>
              <w:t>《江西安义工业园区扩区调区规划》</w:t>
            </w:r>
            <w:r>
              <w:rPr>
                <w:rFonts w:hint="eastAsia" w:cs="Times New Roman"/>
                <w:color w:val="auto"/>
                <w:kern w:val="0"/>
                <w:szCs w:val="21"/>
                <w:highlight w:val="none"/>
                <w:lang w:val="en-US" w:eastAsia="zh-CN"/>
              </w:rPr>
              <w:t>。</w:t>
            </w:r>
          </w:p>
          <w:p w14:paraId="37CEE63D">
            <w:pPr>
              <w:keepNext w:val="0"/>
              <w:keepLines w:val="0"/>
              <w:suppressLineNumbers w:val="0"/>
              <w:bidi w:val="0"/>
              <w:spacing w:before="0" w:beforeAutospacing="0" w:after="0" w:afterAutospacing="0"/>
              <w:ind w:left="0" w:right="0"/>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审查机关：江西省人民政府</w:t>
            </w:r>
            <w:r>
              <w:rPr>
                <w:rFonts w:hint="eastAsia" w:cs="Times New Roman"/>
                <w:color w:val="auto"/>
                <w:kern w:val="0"/>
                <w:szCs w:val="21"/>
                <w:highlight w:val="none"/>
                <w:lang w:val="en-US" w:eastAsia="zh-CN"/>
              </w:rPr>
              <w:t>。</w:t>
            </w:r>
          </w:p>
          <w:p w14:paraId="5DF5B8F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0" w:right="0" w:rightChars="0" w:firstLine="480" w:firstLineChars="200"/>
              <w:jc w:val="left"/>
              <w:textAlignment w:val="auto"/>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审批文件名称及文号</w:t>
            </w:r>
            <w:r>
              <w:rPr>
                <w:rFonts w:hint="eastAsia" w:cs="Times New Roman"/>
                <w:color w:val="auto"/>
                <w:kern w:val="0"/>
                <w:szCs w:val="21"/>
                <w:highlight w:val="none"/>
                <w:lang w:val="en-US" w:eastAsia="zh-CN"/>
              </w:rPr>
              <w:t>：</w:t>
            </w:r>
            <w:r>
              <w:rPr>
                <w:rFonts w:hint="default" w:ascii="Times New Roman" w:hAnsi="Times New Roman" w:cs="Times New Roman"/>
                <w:color w:val="auto"/>
                <w:kern w:val="0"/>
                <w:szCs w:val="21"/>
                <w:highlight w:val="none"/>
                <w:lang w:val="en-US" w:eastAsia="zh-CN"/>
              </w:rPr>
              <w:t>《江西省人民政府办公厅关于同意安义工业园</w:t>
            </w:r>
            <w:r>
              <w:rPr>
                <w:rFonts w:hint="eastAsia" w:cs="Times New Roman"/>
                <w:color w:val="auto"/>
                <w:kern w:val="0"/>
                <w:szCs w:val="21"/>
                <w:highlight w:val="none"/>
                <w:lang w:val="en-US" w:eastAsia="zh-CN"/>
              </w:rPr>
              <w:t>、</w:t>
            </w:r>
            <w:r>
              <w:rPr>
                <w:rFonts w:hint="default" w:ascii="Times New Roman" w:hAnsi="Times New Roman" w:cs="Times New Roman"/>
                <w:color w:val="auto"/>
                <w:kern w:val="0"/>
                <w:szCs w:val="21"/>
                <w:highlight w:val="none"/>
                <w:lang w:val="en-US" w:eastAsia="zh-CN"/>
              </w:rPr>
              <w:t>章贡高新技术产业园、武宁工业园扩区和调整区位的函》</w:t>
            </w:r>
            <w:r>
              <w:rPr>
                <w:rFonts w:hint="eastAsia" w:cs="Times New Roman"/>
                <w:color w:val="auto"/>
                <w:kern w:val="0"/>
                <w:szCs w:val="21"/>
                <w:highlight w:val="none"/>
                <w:lang w:val="en-US" w:eastAsia="zh-CN"/>
              </w:rPr>
              <w:t>（</w:t>
            </w:r>
            <w:r>
              <w:rPr>
                <w:rFonts w:hint="default" w:ascii="Times New Roman" w:hAnsi="Times New Roman" w:cs="Times New Roman"/>
                <w:color w:val="auto"/>
                <w:kern w:val="0"/>
                <w:szCs w:val="21"/>
                <w:highlight w:val="none"/>
                <w:lang w:val="en-US" w:eastAsia="zh-CN"/>
              </w:rPr>
              <w:t>赣府厅字〔202</w:t>
            </w:r>
            <w:r>
              <w:rPr>
                <w:rFonts w:hint="eastAsia" w:cs="Times New Roman"/>
                <w:color w:val="auto"/>
                <w:kern w:val="0"/>
                <w:szCs w:val="21"/>
                <w:highlight w:val="none"/>
                <w:lang w:val="en-US" w:eastAsia="zh-CN"/>
              </w:rPr>
              <w:t>0</w:t>
            </w:r>
            <w:r>
              <w:rPr>
                <w:rFonts w:hint="default" w:ascii="Times New Roman" w:hAnsi="Times New Roman" w:cs="Times New Roman"/>
                <w:color w:val="auto"/>
                <w:kern w:val="0"/>
                <w:szCs w:val="21"/>
                <w:highlight w:val="none"/>
                <w:lang w:val="en-US" w:eastAsia="zh-CN"/>
              </w:rPr>
              <w:t>〕50号</w:t>
            </w:r>
            <w:r>
              <w:rPr>
                <w:rFonts w:hint="eastAsia" w:cs="Times New Roman"/>
                <w:color w:val="auto"/>
                <w:kern w:val="0"/>
                <w:szCs w:val="21"/>
                <w:highlight w:val="none"/>
                <w:lang w:val="en-US" w:eastAsia="zh-CN"/>
              </w:rPr>
              <w:t>）</w:t>
            </w:r>
            <w:r>
              <w:rPr>
                <w:rFonts w:hint="default" w:ascii="Times New Roman" w:hAnsi="Times New Roman" w:cs="Times New Roman"/>
                <w:color w:val="auto"/>
                <w:kern w:val="0"/>
                <w:szCs w:val="21"/>
                <w:highlight w:val="none"/>
                <w:lang w:val="en-US" w:eastAsia="zh-CN"/>
              </w:rPr>
              <w:t>。</w:t>
            </w:r>
          </w:p>
          <w:p w14:paraId="6C857FA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根据《江西省人民政府关于同意江西省安义高新技术产业园区、江西上高工业园区更名的批复》</w:t>
            </w:r>
            <w:r>
              <w:rPr>
                <w:rFonts w:hint="eastAsia" w:cs="Times New Roman"/>
                <w:color w:val="auto"/>
                <w:kern w:val="0"/>
                <w:szCs w:val="21"/>
                <w:highlight w:val="none"/>
                <w:lang w:val="en-US" w:eastAsia="zh-CN"/>
              </w:rPr>
              <w:t>（</w:t>
            </w:r>
            <w:r>
              <w:rPr>
                <w:rFonts w:hint="default" w:ascii="Times New Roman" w:hAnsi="Times New Roman" w:cs="Times New Roman"/>
                <w:color w:val="auto"/>
                <w:kern w:val="0"/>
                <w:szCs w:val="21"/>
                <w:highlight w:val="none"/>
                <w:lang w:val="en-US" w:eastAsia="zh-CN"/>
              </w:rPr>
              <w:t>赣府字〔202</w:t>
            </w:r>
            <w:r>
              <w:rPr>
                <w:rFonts w:hint="eastAsia" w:cs="Times New Roman"/>
                <w:color w:val="auto"/>
                <w:kern w:val="0"/>
                <w:szCs w:val="21"/>
                <w:highlight w:val="none"/>
                <w:lang w:val="en-US" w:eastAsia="zh-CN"/>
              </w:rPr>
              <w:t>2</w:t>
            </w:r>
            <w:r>
              <w:rPr>
                <w:rFonts w:hint="default" w:ascii="Times New Roman" w:hAnsi="Times New Roman" w:cs="Times New Roman"/>
                <w:color w:val="auto"/>
                <w:kern w:val="0"/>
                <w:szCs w:val="21"/>
                <w:highlight w:val="none"/>
                <w:lang w:val="en-US" w:eastAsia="zh-CN"/>
              </w:rPr>
              <w:t>〕6号</w:t>
            </w:r>
            <w:r>
              <w:rPr>
                <w:rFonts w:hint="eastAsia" w:cs="Times New Roman"/>
                <w:color w:val="auto"/>
                <w:kern w:val="0"/>
                <w:szCs w:val="21"/>
                <w:highlight w:val="none"/>
                <w:lang w:val="en-US" w:eastAsia="zh-CN"/>
              </w:rPr>
              <w:t>）</w:t>
            </w:r>
            <w:r>
              <w:rPr>
                <w:rFonts w:hint="default" w:ascii="Times New Roman" w:hAnsi="Times New Roman" w:cs="Times New Roman"/>
                <w:color w:val="auto"/>
                <w:kern w:val="0"/>
                <w:szCs w:val="21"/>
                <w:highlight w:val="none"/>
                <w:lang w:val="en-US" w:eastAsia="zh-CN"/>
              </w:rPr>
              <w:t>，江西安义工业园区已更名为江西安义高新技术产业园区。</w:t>
            </w:r>
          </w:p>
        </w:tc>
      </w:tr>
      <w:tr w14:paraId="52B7A2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866" w:type="dxa"/>
            <w:vAlign w:val="center"/>
          </w:tcPr>
          <w:p w14:paraId="6F993F5B">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szCs w:val="21"/>
                <w:highlight w:val="none"/>
              </w:rPr>
              <w:t>规划环境影响评价情况</w:t>
            </w:r>
          </w:p>
        </w:tc>
        <w:tc>
          <w:tcPr>
            <w:tcW w:w="6664" w:type="dxa"/>
            <w:gridSpan w:val="3"/>
            <w:vAlign w:val="center"/>
          </w:tcPr>
          <w:p w14:paraId="04364568">
            <w:pPr>
              <w:keepNext w:val="0"/>
              <w:keepLines w:val="0"/>
              <w:suppressLineNumbers w:val="0"/>
              <w:bidi w:val="0"/>
              <w:spacing w:before="0" w:beforeAutospacing="0" w:after="0" w:afterAutospacing="0"/>
              <w:ind w:left="0" w:right="0"/>
              <w:rPr>
                <w:rFonts w:hint="eastAsia" w:eastAsia="宋体"/>
                <w:color w:val="auto"/>
                <w:highlight w:val="none"/>
                <w:lang w:eastAsia="zh-CN"/>
              </w:rPr>
            </w:pPr>
            <w:r>
              <w:rPr>
                <w:rFonts w:hint="eastAsia"/>
                <w:color w:val="auto"/>
                <w:highlight w:val="none"/>
              </w:rPr>
              <w:t>规划环评名称：《江西安义工业园区扩区调区规划环境影响报告书》</w:t>
            </w:r>
            <w:r>
              <w:rPr>
                <w:rFonts w:hint="eastAsia"/>
                <w:color w:val="auto"/>
                <w:highlight w:val="none"/>
                <w:lang w:eastAsia="zh-CN"/>
              </w:rPr>
              <w:t>。</w:t>
            </w:r>
          </w:p>
          <w:p w14:paraId="5C6FCEE4">
            <w:pPr>
              <w:keepNext w:val="0"/>
              <w:keepLines w:val="0"/>
              <w:suppressLineNumbers w:val="0"/>
              <w:bidi w:val="0"/>
              <w:spacing w:before="0" w:beforeAutospacing="0" w:after="0" w:afterAutospacing="0"/>
              <w:ind w:left="0" w:right="0"/>
              <w:rPr>
                <w:rFonts w:hint="eastAsia" w:eastAsia="宋体"/>
                <w:color w:val="auto"/>
                <w:highlight w:val="none"/>
                <w:lang w:eastAsia="zh-CN"/>
              </w:rPr>
            </w:pPr>
            <w:r>
              <w:rPr>
                <w:rFonts w:hint="eastAsia"/>
                <w:color w:val="auto"/>
                <w:highlight w:val="none"/>
              </w:rPr>
              <w:t>审查机关：江西省生态环境厅</w:t>
            </w:r>
            <w:r>
              <w:rPr>
                <w:rFonts w:hint="eastAsia"/>
                <w:color w:val="auto"/>
                <w:highlight w:val="none"/>
                <w:lang w:eastAsia="zh-CN"/>
              </w:rPr>
              <w:t>。</w:t>
            </w:r>
          </w:p>
          <w:p w14:paraId="24B17406">
            <w:pPr>
              <w:keepNext w:val="0"/>
              <w:keepLines w:val="0"/>
              <w:suppressLineNumbers w:val="0"/>
              <w:bidi w:val="0"/>
              <w:spacing w:before="0" w:beforeAutospacing="0" w:after="0" w:afterAutospacing="0"/>
              <w:ind w:left="0" w:right="0"/>
              <w:rPr>
                <w:rFonts w:hint="eastAsia" w:ascii="Times New Roman" w:hAnsi="Times New Roman" w:eastAsia="宋体" w:cs="Times New Roman"/>
                <w:color w:val="auto"/>
                <w:kern w:val="0"/>
                <w:szCs w:val="21"/>
                <w:highlight w:val="none"/>
                <w:lang w:eastAsia="zh-CN"/>
              </w:rPr>
            </w:pPr>
            <w:r>
              <w:rPr>
                <w:rFonts w:hint="eastAsia"/>
                <w:color w:val="auto"/>
                <w:highlight w:val="none"/>
              </w:rPr>
              <w:t>审查文件名称及文号：《关于江西安义工业园扩区调区规划环境影响报告书审查意见的函》（赣环环评函〔20</w:t>
            </w:r>
            <w:r>
              <w:rPr>
                <w:rFonts w:hint="eastAsia"/>
                <w:color w:val="auto"/>
                <w:highlight w:val="none"/>
                <w:lang w:val="en-US" w:eastAsia="zh-CN"/>
              </w:rPr>
              <w:t>20</w:t>
            </w:r>
            <w:r>
              <w:rPr>
                <w:rFonts w:hint="eastAsia"/>
                <w:color w:val="auto"/>
                <w:highlight w:val="none"/>
              </w:rPr>
              <w:t>〕</w:t>
            </w:r>
            <w:r>
              <w:rPr>
                <w:rFonts w:hint="eastAsia"/>
                <w:color w:val="auto"/>
                <w:highlight w:val="none"/>
                <w:lang w:val="en-US" w:eastAsia="zh-CN"/>
              </w:rPr>
              <w:t>37</w:t>
            </w:r>
            <w:r>
              <w:rPr>
                <w:rFonts w:hint="eastAsia"/>
                <w:color w:val="auto"/>
                <w:highlight w:val="none"/>
              </w:rPr>
              <w:t>号）</w:t>
            </w:r>
            <w:r>
              <w:rPr>
                <w:rFonts w:hint="eastAsia"/>
                <w:color w:val="auto"/>
                <w:highlight w:val="none"/>
                <w:lang w:eastAsia="zh-CN"/>
              </w:rPr>
              <w:t>。</w:t>
            </w:r>
          </w:p>
        </w:tc>
      </w:tr>
      <w:tr w14:paraId="11A245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1866" w:type="dxa"/>
            <w:vAlign w:val="center"/>
          </w:tcPr>
          <w:p w14:paraId="028DB54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规划及规划环境影响评价符合性分析</w:t>
            </w:r>
          </w:p>
        </w:tc>
        <w:tc>
          <w:tcPr>
            <w:tcW w:w="6664" w:type="dxa"/>
            <w:gridSpan w:val="3"/>
            <w:vAlign w:val="center"/>
          </w:tcPr>
          <w:p w14:paraId="1F3C211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color w:val="auto"/>
                <w:spacing w:val="0"/>
                <w:sz w:val="24"/>
                <w:szCs w:val="24"/>
                <w:highlight w:val="none"/>
              </w:rPr>
            </w:pPr>
            <w:r>
              <w:rPr>
                <w:rFonts w:hint="eastAsia"/>
                <w:b/>
                <w:bCs/>
                <w:color w:val="auto"/>
                <w:highlight w:val="none"/>
                <w:lang w:val="en-US" w:eastAsia="zh-CN"/>
              </w:rPr>
              <w:t>与</w:t>
            </w:r>
            <w:r>
              <w:rPr>
                <w:rFonts w:hint="default"/>
                <w:b/>
                <w:bCs/>
                <w:color w:val="auto"/>
                <w:highlight w:val="none"/>
              </w:rPr>
              <w:t>规划符合性分析</w:t>
            </w:r>
            <w:r>
              <w:rPr>
                <w:rFonts w:hint="default"/>
                <w:color w:val="auto"/>
                <w:highlight w:val="none"/>
              </w:rPr>
              <w:t>：</w:t>
            </w:r>
            <w:r>
              <w:rPr>
                <w:rFonts w:hint="default" w:ascii="Times New Roman" w:hAnsi="Times New Roman" w:eastAsia="宋体" w:cs="Times New Roman"/>
                <w:color w:val="auto"/>
                <w:spacing w:val="0"/>
                <w:sz w:val="24"/>
                <w:szCs w:val="24"/>
                <w:highlight w:val="none"/>
              </w:rPr>
              <w:t>安义县城镇体系空间结构规划在空间上将优化土地利用结构，重点发展以龙津（鼎湖）为中心的城镇及工业园，以</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一心，两轴，三纵横，四区，六产业，八组团</w:t>
            </w:r>
            <w:r>
              <w:rPr>
                <w:rFonts w:hint="eastAsia" w:ascii="宋体" w:hAnsi="宋体" w:eastAsia="宋体" w:cs="宋体"/>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结构形态为基础，对园区进行扩张、升级，发展壮大建材、纺织服装、精细化工、食品加工、磨具磨料、电子、新材料等产业集群。规划期内，合理安排工矿用地，重点保障工业园用地，引导独立工矿用地向工业园集中，主要布局在东阳镇、万埠镇及万埠垦殖场。至2010年，</w:t>
            </w:r>
            <w:r>
              <w:rPr>
                <w:rFonts w:hint="eastAsia" w:ascii="Times New Roman" w:hAnsi="Times New Roman" w:eastAsia="宋体" w:cs="Times New Roman"/>
                <w:color w:val="auto"/>
                <w:spacing w:val="0"/>
                <w:sz w:val="24"/>
                <w:szCs w:val="24"/>
                <w:highlight w:val="none"/>
                <w:lang w:eastAsia="zh-CN"/>
              </w:rPr>
              <w:t>安义高新技术产业园</w:t>
            </w:r>
            <w:r>
              <w:rPr>
                <w:rFonts w:hint="default" w:ascii="Times New Roman" w:hAnsi="Times New Roman" w:eastAsia="宋体" w:cs="Times New Roman"/>
                <w:color w:val="auto"/>
                <w:spacing w:val="0"/>
                <w:sz w:val="24"/>
                <w:szCs w:val="24"/>
                <w:highlight w:val="none"/>
              </w:rPr>
              <w:t>规划建设为</w:t>
            </w:r>
            <w:r>
              <w:rPr>
                <w:rFonts w:hint="eastAsia" w:ascii="宋体" w:hAnsi="宋体" w:eastAsia="宋体" w:cs="宋体"/>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一心（园区服务中心），两轴（南安一级公路、安义大道），三纵横（凤凰东路、凤凰中路、凤凰西路），四区（企业生产区、经营区、服务区、生活区），六产业（建材、纺织、化工、食品加工、电子、高新科技），八组团（纺织园、食品园、建材园、精细化工园、创业园、磨具园、高新园、起步园）</w:t>
            </w:r>
            <w:r>
              <w:rPr>
                <w:rFonts w:hint="eastAsia"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的产业布局。至2020年，将对园区进行扩张、升级，发展壮大建材、纺织服装、精细化工、食品加工、磨具磨料、电子、新材料等产业集群。凤凰山工业区、万场工业区和万埠工业区均属于安义县规划中主要开发地带。</w:t>
            </w:r>
          </w:p>
          <w:p w14:paraId="4765055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auto"/>
                <w:spacing w:val="0"/>
                <w:sz w:val="24"/>
                <w:szCs w:val="24"/>
                <w:highlight w:val="none"/>
                <w:lang w:val="en-US" w:eastAsia="zh-CN"/>
              </w:rPr>
            </w:pPr>
            <w:r>
              <w:rPr>
                <w:rFonts w:hint="eastAsia" w:ascii="Times New Roman" w:hAnsi="Times New Roman" w:eastAsia="宋体" w:cs="Times New Roman"/>
                <w:color w:val="auto"/>
                <w:spacing w:val="0"/>
                <w:sz w:val="24"/>
                <w:szCs w:val="24"/>
                <w:highlight w:val="none"/>
                <w:lang w:val="en-US" w:eastAsia="zh-CN"/>
              </w:rPr>
              <w:t>产业定位：园区规划以发展新型建材、精细化工、新材料为主导。凤凰山片区规划主导产业定位为新型建材、精细化工和服装纺织；万场片区规划主导产业定位为新型建材、精细化工和纺织印染、新材料、新能源；万埠片区规划主导产业为锆化工。</w:t>
            </w:r>
          </w:p>
          <w:p w14:paraId="0DAF09FC">
            <w:pPr>
              <w:pStyle w:val="131"/>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ind w:left="0" w:right="0" w:firstLine="480"/>
              <w:textAlignment w:val="auto"/>
              <w:rPr>
                <w:rFonts w:hint="eastAsia" w:ascii="Times New Roman" w:hAnsi="Times New Roman" w:eastAsia="宋体" w:cs="Times New Roman"/>
                <w:color w:val="auto"/>
                <w:spacing w:val="0"/>
                <w:sz w:val="24"/>
                <w:szCs w:val="24"/>
                <w:highlight w:val="none"/>
                <w:lang w:val="en-US" w:eastAsia="zh-CN"/>
              </w:rPr>
            </w:pPr>
            <w:r>
              <w:rPr>
                <w:rFonts w:hint="eastAsia" w:ascii="Times New Roman" w:hAnsi="Times New Roman" w:eastAsia="宋体" w:cs="Times New Roman"/>
                <w:color w:val="auto"/>
                <w:spacing w:val="0"/>
                <w:sz w:val="24"/>
                <w:szCs w:val="24"/>
                <w:highlight w:val="none"/>
                <w:lang w:val="en-US" w:eastAsia="zh-CN"/>
              </w:rPr>
              <w:t>本</w:t>
            </w:r>
            <w:r>
              <w:rPr>
                <w:rFonts w:hint="default" w:ascii="Times New Roman" w:hAnsi="Times New Roman" w:eastAsia="宋体" w:cs="Times New Roman"/>
                <w:color w:val="auto"/>
                <w:spacing w:val="0"/>
                <w:sz w:val="24"/>
                <w:szCs w:val="24"/>
                <w:highlight w:val="none"/>
              </w:rPr>
              <w:t>项目位于</w:t>
            </w:r>
            <w:r>
              <w:rPr>
                <w:rFonts w:hint="default" w:ascii="Times New Roman" w:hAnsi="Times New Roman" w:eastAsia="宋体" w:cs="Times New Roman"/>
                <w:color w:val="auto"/>
                <w:spacing w:val="0"/>
                <w:sz w:val="24"/>
                <w:szCs w:val="24"/>
                <w:highlight w:val="none"/>
                <w:lang w:val="en-US" w:eastAsia="zh-CN"/>
              </w:rPr>
              <w:t>江西安义高新技术产业园</w:t>
            </w:r>
            <w:r>
              <w:rPr>
                <w:rFonts w:hint="eastAsia" w:ascii="Times New Roman" w:hAnsi="Times New Roman" w:eastAsia="宋体" w:cs="Times New Roman"/>
                <w:color w:val="auto"/>
                <w:spacing w:val="0"/>
                <w:sz w:val="24"/>
                <w:szCs w:val="24"/>
                <w:highlight w:val="none"/>
                <w:lang w:val="en-US" w:eastAsia="zh-CN"/>
              </w:rPr>
              <w:t>区凤凰山片区</w:t>
            </w:r>
            <w:r>
              <w:rPr>
                <w:rFonts w:hint="default" w:ascii="Times New Roman" w:hAnsi="Times New Roman" w:eastAsia="宋体" w:cs="Times New Roman"/>
                <w:color w:val="auto"/>
                <w:spacing w:val="0"/>
                <w:sz w:val="24"/>
                <w:szCs w:val="24"/>
                <w:highlight w:val="none"/>
              </w:rPr>
              <w:t>。</w:t>
            </w:r>
            <w:r>
              <w:rPr>
                <w:rFonts w:hint="eastAsia" w:ascii="Times New Roman" w:hAnsi="Times New Roman" w:eastAsia="宋体" w:cs="Times New Roman"/>
                <w:color w:val="auto"/>
                <w:spacing w:val="0"/>
                <w:sz w:val="24"/>
                <w:szCs w:val="24"/>
                <w:highlight w:val="none"/>
                <w:lang w:val="en-US" w:eastAsia="zh-CN"/>
              </w:rPr>
              <w:t>项目主要生产尼龙隔热条，产品主要用于</w:t>
            </w:r>
            <w:r>
              <w:rPr>
                <w:rFonts w:hint="eastAsia" w:cs="Times New Roman"/>
                <w:color w:val="auto"/>
                <w:spacing w:val="0"/>
                <w:sz w:val="24"/>
                <w:szCs w:val="24"/>
                <w:highlight w:val="none"/>
                <w:lang w:val="en-US" w:eastAsia="zh-CN"/>
              </w:rPr>
              <w:t>建筑门窗</w:t>
            </w:r>
            <w:r>
              <w:rPr>
                <w:rFonts w:hint="eastAsia" w:ascii="Times New Roman" w:hAnsi="Times New Roman" w:eastAsia="宋体" w:cs="Times New Roman"/>
                <w:color w:val="auto"/>
                <w:spacing w:val="0"/>
                <w:sz w:val="24"/>
                <w:szCs w:val="24"/>
                <w:highlight w:val="none"/>
                <w:lang w:val="en-US" w:eastAsia="zh-CN"/>
              </w:rPr>
              <w:t>，为建材行业配套产业，</w:t>
            </w:r>
            <w:r>
              <w:rPr>
                <w:rFonts w:hint="eastAsia" w:cs="Times New Roman"/>
                <w:color w:val="auto"/>
                <w:spacing w:val="0"/>
                <w:sz w:val="24"/>
                <w:szCs w:val="24"/>
                <w:highlight w:val="none"/>
                <w:lang w:val="en-US" w:eastAsia="zh-CN"/>
              </w:rPr>
              <w:t>项目建设有助于园区主导产业的形成</w:t>
            </w:r>
            <w:r>
              <w:rPr>
                <w:rFonts w:hint="eastAsia" w:ascii="Times New Roman" w:hAnsi="Times New Roman" w:eastAsia="宋体" w:cs="Times New Roman"/>
                <w:color w:val="auto"/>
                <w:spacing w:val="0"/>
                <w:sz w:val="24"/>
                <w:szCs w:val="24"/>
                <w:highlight w:val="none"/>
                <w:lang w:val="en-US" w:eastAsia="zh-CN"/>
              </w:rPr>
              <w:t>。对照园区用地规划图，本项目所在地规划用地性质为工业用地，符合园区土地利用规划。</w:t>
            </w:r>
          </w:p>
          <w:p w14:paraId="5C067A82">
            <w:pPr>
              <w:pStyle w:val="131"/>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ind w:left="0" w:right="0" w:firstLine="480"/>
              <w:textAlignment w:val="auto"/>
              <w:rPr>
                <w:rFonts w:hint="eastAsia" w:ascii="Times New Roman" w:hAnsi="Times New Roman" w:eastAsia="宋体" w:cs="Times New Roman"/>
                <w:color w:val="auto"/>
                <w:spacing w:val="0"/>
                <w:sz w:val="24"/>
                <w:szCs w:val="24"/>
                <w:highlight w:val="none"/>
                <w:lang w:val="en-US" w:eastAsia="zh-CN"/>
              </w:rPr>
            </w:pPr>
            <w:r>
              <w:rPr>
                <w:rFonts w:hint="eastAsia" w:ascii="Times New Roman" w:hAnsi="Times New Roman" w:eastAsia="宋体" w:cs="Times New Roman"/>
                <w:color w:val="auto"/>
                <w:spacing w:val="0"/>
                <w:sz w:val="24"/>
                <w:szCs w:val="24"/>
                <w:highlight w:val="none"/>
                <w:lang w:val="en-US" w:eastAsia="zh-CN"/>
              </w:rPr>
              <w:t>对照园区产业定位分区图</w:t>
            </w:r>
            <w:r>
              <w:rPr>
                <w:rFonts w:hint="eastAsia" w:cs="Times New Roman"/>
                <w:color w:val="auto"/>
                <w:spacing w:val="0"/>
                <w:sz w:val="24"/>
                <w:szCs w:val="24"/>
                <w:highlight w:val="none"/>
                <w:lang w:val="en-US" w:eastAsia="zh-CN"/>
              </w:rPr>
              <w:t>（详见</w:t>
            </w:r>
            <w:r>
              <w:rPr>
                <w:rFonts w:hint="eastAsia" w:ascii="Times New Roman" w:hAnsi="Times New Roman" w:eastAsia="宋体" w:cs="Times New Roman"/>
                <w:color w:val="auto"/>
                <w:spacing w:val="0"/>
                <w:sz w:val="24"/>
                <w:szCs w:val="24"/>
                <w:highlight w:val="none"/>
                <w:lang w:val="en-US" w:eastAsia="zh-CN"/>
              </w:rPr>
              <w:t>附图六</w:t>
            </w:r>
            <w:r>
              <w:rPr>
                <w:rFonts w:hint="eastAsia" w:cs="Times New Roman"/>
                <w:color w:val="auto"/>
                <w:spacing w:val="0"/>
                <w:sz w:val="24"/>
                <w:szCs w:val="24"/>
                <w:highlight w:val="none"/>
                <w:lang w:val="en-US" w:eastAsia="zh-CN"/>
              </w:rPr>
              <w:t>）</w:t>
            </w:r>
            <w:r>
              <w:rPr>
                <w:rFonts w:hint="eastAsia" w:ascii="Times New Roman" w:hAnsi="Times New Roman" w:eastAsia="宋体" w:cs="Times New Roman"/>
                <w:color w:val="auto"/>
                <w:spacing w:val="0"/>
                <w:sz w:val="24"/>
                <w:szCs w:val="24"/>
                <w:highlight w:val="none"/>
                <w:lang w:val="en-US" w:eastAsia="zh-CN"/>
              </w:rPr>
              <w:t>，本扩建项目用地为化工用地，不属于新型建材用地。现有已批项目为硅酮密封胶</w:t>
            </w:r>
            <w:r>
              <w:rPr>
                <w:rFonts w:hint="eastAsia" w:cs="Times New Roman"/>
                <w:color w:val="auto"/>
                <w:spacing w:val="0"/>
                <w:sz w:val="24"/>
                <w:szCs w:val="24"/>
                <w:highlight w:val="none"/>
                <w:lang w:val="en-US" w:eastAsia="zh-CN"/>
              </w:rPr>
              <w:t>、三元乙丙密封胶条</w:t>
            </w:r>
            <w:r>
              <w:rPr>
                <w:rFonts w:hint="eastAsia" w:ascii="Times New Roman" w:hAnsi="Times New Roman" w:eastAsia="宋体" w:cs="Times New Roman"/>
                <w:color w:val="auto"/>
                <w:spacing w:val="0"/>
                <w:sz w:val="24"/>
                <w:szCs w:val="24"/>
                <w:highlight w:val="none"/>
                <w:lang w:val="en-US" w:eastAsia="zh-CN"/>
              </w:rPr>
              <w:t>生产</w:t>
            </w:r>
            <w:r>
              <w:rPr>
                <w:rFonts w:hint="eastAsia" w:cs="Times New Roman"/>
                <w:color w:val="auto"/>
                <w:spacing w:val="0"/>
                <w:sz w:val="24"/>
                <w:szCs w:val="24"/>
                <w:highlight w:val="none"/>
                <w:lang w:val="en-US" w:eastAsia="zh-CN"/>
              </w:rPr>
              <w:t>项目</w:t>
            </w:r>
            <w:r>
              <w:rPr>
                <w:rFonts w:hint="eastAsia" w:ascii="Times New Roman" w:hAnsi="Times New Roman" w:eastAsia="宋体" w:cs="Times New Roman"/>
                <w:color w:val="auto"/>
                <w:spacing w:val="0"/>
                <w:sz w:val="24"/>
                <w:szCs w:val="24"/>
                <w:highlight w:val="none"/>
                <w:lang w:val="en-US" w:eastAsia="zh-CN"/>
              </w:rPr>
              <w:t>，属于化工类项目，为本地块已合规落地的存量化工主体。本次扩建尼龙隔热条生产，行业类别为C2929塑料零件及其他塑料制品制造，采用外购PA66</w:t>
            </w:r>
            <w:r>
              <w:rPr>
                <w:rFonts w:hint="eastAsia" w:cs="Times New Roman"/>
                <w:color w:val="auto"/>
                <w:spacing w:val="0"/>
                <w:sz w:val="24"/>
                <w:szCs w:val="24"/>
                <w:highlight w:val="none"/>
                <w:lang w:val="en-US" w:eastAsia="zh-CN"/>
              </w:rPr>
              <w:t>颗粒</w:t>
            </w:r>
            <w:r>
              <w:rPr>
                <w:rFonts w:hint="eastAsia" w:ascii="Times New Roman" w:hAnsi="Times New Roman" w:eastAsia="宋体" w:cs="Times New Roman"/>
                <w:color w:val="auto"/>
                <w:spacing w:val="0"/>
                <w:sz w:val="24"/>
                <w:szCs w:val="24"/>
                <w:highlight w:val="none"/>
                <w:lang w:val="en-US" w:eastAsia="zh-CN"/>
              </w:rPr>
              <w:t>经</w:t>
            </w:r>
            <w:r>
              <w:rPr>
                <w:rFonts w:hint="eastAsia" w:cs="Times New Roman"/>
                <w:color w:val="auto"/>
                <w:spacing w:val="0"/>
                <w:sz w:val="24"/>
                <w:szCs w:val="24"/>
                <w:highlight w:val="none"/>
                <w:lang w:val="en-US" w:eastAsia="zh-CN"/>
              </w:rPr>
              <w:t>加热</w:t>
            </w:r>
            <w:r>
              <w:rPr>
                <w:rFonts w:hint="eastAsia" w:ascii="Times New Roman" w:hAnsi="Times New Roman" w:eastAsia="宋体" w:cs="Times New Roman"/>
                <w:color w:val="auto"/>
                <w:spacing w:val="0"/>
                <w:sz w:val="24"/>
                <w:szCs w:val="24"/>
                <w:highlight w:val="none"/>
                <w:lang w:val="en-US" w:eastAsia="zh-CN"/>
              </w:rPr>
              <w:t>挤出、</w:t>
            </w:r>
            <w:r>
              <w:rPr>
                <w:rFonts w:hint="eastAsia" w:cs="Times New Roman"/>
                <w:color w:val="auto"/>
                <w:spacing w:val="0"/>
                <w:sz w:val="24"/>
                <w:szCs w:val="24"/>
                <w:highlight w:val="none"/>
                <w:lang w:val="en-US" w:eastAsia="zh-CN"/>
              </w:rPr>
              <w:t>冷却、切条</w:t>
            </w:r>
            <w:r>
              <w:rPr>
                <w:rFonts w:hint="eastAsia" w:ascii="Times New Roman" w:hAnsi="Times New Roman" w:eastAsia="宋体" w:cs="Times New Roman"/>
                <w:color w:val="auto"/>
                <w:spacing w:val="0"/>
                <w:sz w:val="24"/>
                <w:szCs w:val="24"/>
                <w:highlight w:val="none"/>
                <w:lang w:val="en-US" w:eastAsia="zh-CN"/>
              </w:rPr>
              <w:t>加工，仅物理成型，无聚合、合成等化工反应工序，不涉及危化品生产，不属于化工项目。</w:t>
            </w:r>
          </w:p>
          <w:p w14:paraId="0A09FA58">
            <w:pPr>
              <w:pStyle w:val="131"/>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ind w:left="0" w:right="0" w:firstLine="480"/>
              <w:textAlignment w:val="auto"/>
              <w:rPr>
                <w:rFonts w:hint="eastAsia" w:ascii="Times New Roman" w:hAnsi="Times New Roman" w:eastAsia="宋体" w:cs="Times New Roman"/>
                <w:color w:val="auto"/>
                <w:spacing w:val="0"/>
                <w:sz w:val="24"/>
                <w:szCs w:val="24"/>
                <w:highlight w:val="none"/>
                <w:lang w:val="en-US" w:eastAsia="zh-CN"/>
              </w:rPr>
            </w:pPr>
            <w:r>
              <w:rPr>
                <w:rFonts w:hint="eastAsia" w:ascii="Times New Roman" w:hAnsi="Times New Roman" w:eastAsia="宋体" w:cs="Times New Roman"/>
                <w:color w:val="auto"/>
                <w:spacing w:val="0"/>
                <w:sz w:val="24"/>
                <w:szCs w:val="24"/>
                <w:highlight w:val="none"/>
                <w:lang w:val="en-US" w:eastAsia="zh-CN"/>
              </w:rPr>
              <w:t>规划环评及审查意见管控要求主要为禁止新引入独立无关非化工企业入驻精细化工区块。本项目为现有精细化工企业在自有厂区内实施的产业链配套延伸扩建，不新征用地、不设立独立法人、不分割地块，硅酮密封胶</w:t>
            </w:r>
            <w:r>
              <w:rPr>
                <w:rFonts w:hint="eastAsia" w:cs="Times New Roman"/>
                <w:color w:val="auto"/>
                <w:spacing w:val="0"/>
                <w:sz w:val="24"/>
                <w:szCs w:val="24"/>
                <w:highlight w:val="none"/>
                <w:lang w:val="en-US" w:eastAsia="zh-CN"/>
              </w:rPr>
              <w:t>、三元乙丙密封胶条</w:t>
            </w:r>
            <w:r>
              <w:rPr>
                <w:rFonts w:hint="eastAsia" w:ascii="Times New Roman" w:hAnsi="Times New Roman" w:eastAsia="宋体" w:cs="Times New Roman"/>
                <w:color w:val="auto"/>
                <w:spacing w:val="0"/>
                <w:sz w:val="24"/>
                <w:szCs w:val="24"/>
                <w:highlight w:val="none"/>
                <w:lang w:val="en-US" w:eastAsia="zh-CN"/>
              </w:rPr>
              <w:t>与尼龙隔热条同为门窗幕墙系统核心配套建筑新材料，下游应用场景高度协同，属于组团精细化工、化工新材料及建筑功能材料产业延伸范畴，产业导向兼容。</w:t>
            </w:r>
          </w:p>
          <w:p w14:paraId="7A8D53B3">
            <w:pPr>
              <w:pStyle w:val="131"/>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ind w:left="0" w:right="0" w:firstLine="480"/>
              <w:textAlignment w:val="auto"/>
              <w:rPr>
                <w:rFonts w:hint="eastAsia" w:ascii="Times New Roman" w:hAnsi="Times New Roman" w:eastAsia="宋体" w:cs="Times New Roman"/>
                <w:color w:val="auto"/>
                <w:spacing w:val="0"/>
                <w:sz w:val="24"/>
                <w:szCs w:val="24"/>
                <w:highlight w:val="none"/>
                <w:lang w:val="en-US" w:eastAsia="zh-CN"/>
              </w:rPr>
            </w:pPr>
            <w:r>
              <w:rPr>
                <w:rFonts w:hint="eastAsia" w:ascii="Times New Roman" w:hAnsi="Times New Roman" w:eastAsia="宋体" w:cs="Times New Roman"/>
                <w:color w:val="auto"/>
                <w:spacing w:val="0"/>
                <w:sz w:val="24"/>
                <w:szCs w:val="24"/>
                <w:highlight w:val="none"/>
                <w:lang w:val="en-US" w:eastAsia="zh-CN"/>
              </w:rPr>
              <w:t>项目生产过程污染物产排水平较低，环境风险总体低于现有硅酮密封胶工程，可不改变地块原有环境风险管控属性，不突破规划环评空间准入、总量及风险防护管控底线。本次扩建不新增化工反应类工序，不对外开展非化工主体招商，符合园区规划及规划环评审查意见相关要求。</w:t>
            </w:r>
          </w:p>
          <w:p w14:paraId="1834FBB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cs="Times New Roman"/>
                <w:color w:val="auto"/>
                <w:sz w:val="24"/>
                <w:shd w:val="clear" w:color="auto" w:fill="FFFFFF"/>
              </w:rPr>
            </w:pPr>
            <w:r>
              <w:rPr>
                <w:rFonts w:hint="eastAsia"/>
                <w:b/>
                <w:bCs/>
                <w:color w:val="auto"/>
                <w:highlight w:val="none"/>
                <w:lang w:val="en-US" w:eastAsia="zh-CN"/>
              </w:rPr>
              <w:t>与</w:t>
            </w:r>
            <w:r>
              <w:rPr>
                <w:rFonts w:hint="default"/>
                <w:b/>
                <w:bCs/>
                <w:color w:val="auto"/>
                <w:highlight w:val="none"/>
              </w:rPr>
              <w:t>规划环评符合性分析</w:t>
            </w:r>
            <w:r>
              <w:rPr>
                <w:rFonts w:hint="default"/>
                <w:color w:val="auto"/>
                <w:highlight w:val="none"/>
              </w:rPr>
              <w:t>：</w:t>
            </w:r>
            <w:r>
              <w:rPr>
                <w:rFonts w:hint="default" w:ascii="Times New Roman" w:hAnsi="Times New Roman" w:cs="Times New Roman"/>
                <w:b w:val="0"/>
                <w:bCs w:val="0"/>
                <w:color w:val="auto"/>
                <w:sz w:val="24"/>
                <w:shd w:val="clear" w:color="auto" w:fill="FFFFFF"/>
              </w:rPr>
              <w:t>根据《江西安义工业园区扩区调区规划环境影响报告书》</w:t>
            </w:r>
            <w:r>
              <w:rPr>
                <w:rFonts w:hint="eastAsia"/>
                <w:color w:val="auto"/>
                <w:highlight w:val="none"/>
                <w:lang w:val="en-US" w:eastAsia="zh-CN"/>
              </w:rPr>
              <w:t>及</w:t>
            </w:r>
            <w:r>
              <w:rPr>
                <w:rFonts w:hint="default" w:ascii="Times New Roman" w:hAnsi="Times New Roman" w:cs="Times New Roman"/>
                <w:color w:val="auto"/>
                <w:kern w:val="0"/>
                <w:sz w:val="24"/>
                <w:highlight w:val="none"/>
                <w:lang w:val="en-US" w:eastAsia="zh-CN"/>
              </w:rPr>
              <w:t>《江西安义工业园区扩区调区规划环境影响报告书审查意见的函》（赣环评函</w:t>
            </w:r>
            <w:r>
              <w:rPr>
                <w:rFonts w:hint="eastAsia"/>
                <w:color w:val="auto"/>
                <w:highlight w:val="none"/>
              </w:rPr>
              <w:t>〔20</w:t>
            </w:r>
            <w:r>
              <w:rPr>
                <w:rFonts w:hint="eastAsia"/>
                <w:color w:val="auto"/>
                <w:highlight w:val="none"/>
                <w:lang w:val="en-US" w:eastAsia="zh-CN"/>
              </w:rPr>
              <w:t>20</w:t>
            </w:r>
            <w:r>
              <w:rPr>
                <w:rFonts w:hint="eastAsia"/>
                <w:color w:val="auto"/>
                <w:highlight w:val="none"/>
              </w:rPr>
              <w:t>〕</w:t>
            </w:r>
            <w:r>
              <w:rPr>
                <w:rFonts w:hint="default" w:ascii="Times New Roman" w:hAnsi="Times New Roman" w:cs="Times New Roman"/>
                <w:color w:val="auto"/>
                <w:kern w:val="0"/>
                <w:sz w:val="24"/>
                <w:highlight w:val="none"/>
                <w:lang w:val="en-US" w:eastAsia="zh-CN"/>
              </w:rPr>
              <w:t>37号</w:t>
            </w:r>
            <w:r>
              <w:rPr>
                <w:rFonts w:hint="eastAsia" w:ascii="Times New Roman" w:hAnsi="Times New Roman" w:cs="Times New Roman"/>
                <w:color w:val="auto"/>
                <w:kern w:val="0"/>
                <w:sz w:val="24"/>
                <w:highlight w:val="none"/>
                <w:lang w:val="en-US" w:eastAsia="zh-CN"/>
              </w:rPr>
              <w:t>）</w:t>
            </w:r>
            <w:r>
              <w:rPr>
                <w:rFonts w:hint="default" w:ascii="Times New Roman" w:hAnsi="Times New Roman" w:cs="Times New Roman"/>
                <w:b w:val="0"/>
                <w:bCs w:val="0"/>
                <w:color w:val="auto"/>
                <w:sz w:val="24"/>
                <w:shd w:val="clear" w:color="auto" w:fill="FFFFFF"/>
              </w:rPr>
              <w:t>，工业园扩区调区后由凤凰山片区、万场片区以及万埠片区三个片区组成。</w:t>
            </w:r>
            <w:r>
              <w:rPr>
                <w:rFonts w:hint="default" w:ascii="Times New Roman" w:hAnsi="Times New Roman" w:eastAsia="宋体" w:cs="Times New Roman"/>
                <w:color w:val="auto"/>
                <w:spacing w:val="0"/>
                <w:sz w:val="24"/>
                <w:szCs w:val="24"/>
                <w:highlight w:val="none"/>
                <w:lang w:val="en-US" w:eastAsia="zh-CN"/>
              </w:rPr>
              <w:t>本项目位于</w:t>
            </w:r>
            <w:r>
              <w:rPr>
                <w:rFonts w:hint="eastAsia" w:ascii="Times New Roman" w:hAnsi="Times New Roman" w:eastAsia="宋体" w:cs="Times New Roman"/>
                <w:color w:val="auto"/>
                <w:spacing w:val="0"/>
                <w:sz w:val="24"/>
                <w:szCs w:val="24"/>
                <w:highlight w:val="none"/>
                <w:lang w:val="en-US" w:eastAsia="zh-CN"/>
              </w:rPr>
              <w:t>凤凰山</w:t>
            </w:r>
            <w:r>
              <w:rPr>
                <w:rFonts w:hint="default" w:ascii="Times New Roman" w:hAnsi="Times New Roman" w:eastAsia="宋体" w:cs="Times New Roman"/>
                <w:color w:val="auto"/>
                <w:spacing w:val="0"/>
                <w:sz w:val="24"/>
                <w:szCs w:val="24"/>
                <w:highlight w:val="none"/>
                <w:lang w:val="en-US" w:eastAsia="zh-CN"/>
              </w:rPr>
              <w:t>片区，</w:t>
            </w:r>
            <w:r>
              <w:rPr>
                <w:rFonts w:hint="eastAsia" w:ascii="Times New Roman" w:hAnsi="Times New Roman" w:eastAsia="宋体" w:cs="Times New Roman"/>
                <w:color w:val="auto"/>
                <w:spacing w:val="0"/>
                <w:sz w:val="24"/>
                <w:szCs w:val="24"/>
                <w:highlight w:val="none"/>
                <w:lang w:val="en-US" w:eastAsia="zh-CN"/>
              </w:rPr>
              <w:t>凤凰山</w:t>
            </w:r>
            <w:r>
              <w:rPr>
                <w:rFonts w:hint="default" w:ascii="Times New Roman" w:hAnsi="Times New Roman" w:eastAsia="宋体" w:cs="Times New Roman"/>
                <w:color w:val="auto"/>
                <w:spacing w:val="0"/>
                <w:sz w:val="24"/>
                <w:szCs w:val="24"/>
                <w:highlight w:val="none"/>
                <w:lang w:val="en-US" w:eastAsia="zh-CN"/>
              </w:rPr>
              <w:t>片区规划主导产业定位为新型建材、精细化工、服装纺织</w:t>
            </w:r>
            <w:r>
              <w:rPr>
                <w:rFonts w:hint="default"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本项目主要</w:t>
            </w:r>
            <w:r>
              <w:rPr>
                <w:rFonts w:hint="default" w:ascii="Times New Roman" w:hAnsi="Times New Roman" w:eastAsia="宋体" w:cs="Times New Roman"/>
                <w:color w:val="auto"/>
                <w:spacing w:val="0"/>
                <w:sz w:val="24"/>
                <w:szCs w:val="24"/>
                <w:highlight w:val="none"/>
                <w:lang w:val="en-US" w:eastAsia="zh-CN"/>
              </w:rPr>
              <w:t>生产</w:t>
            </w:r>
            <w:r>
              <w:rPr>
                <w:rFonts w:hint="eastAsia" w:ascii="Times New Roman" w:hAnsi="Times New Roman" w:eastAsia="宋体" w:cs="Times New Roman"/>
                <w:color w:val="auto"/>
                <w:spacing w:val="0"/>
                <w:sz w:val="24"/>
                <w:szCs w:val="24"/>
                <w:highlight w:val="none"/>
                <w:lang w:val="en-US" w:eastAsia="zh-CN"/>
              </w:rPr>
              <w:t>尼龙隔热条，</w:t>
            </w:r>
            <w:r>
              <w:rPr>
                <w:rFonts w:hint="default" w:ascii="Times New Roman" w:hAnsi="Times New Roman" w:eastAsia="宋体" w:cs="Times New Roman"/>
                <w:color w:val="auto"/>
                <w:spacing w:val="0"/>
                <w:sz w:val="24"/>
                <w:szCs w:val="24"/>
                <w:highlight w:val="none"/>
                <w:lang w:val="en-US" w:eastAsia="zh-CN"/>
              </w:rPr>
              <w:t>属于</w:t>
            </w:r>
            <w:r>
              <w:rPr>
                <w:rFonts w:hint="eastAsia" w:ascii="Times New Roman" w:hAnsi="Times New Roman" w:eastAsia="宋体" w:cs="Times New Roman"/>
                <w:color w:val="auto"/>
                <w:spacing w:val="0"/>
                <w:sz w:val="24"/>
                <w:szCs w:val="24"/>
                <w:highlight w:val="none"/>
                <w:lang w:val="en-US" w:eastAsia="zh-CN"/>
              </w:rPr>
              <w:t>建材行业</w:t>
            </w:r>
            <w:r>
              <w:rPr>
                <w:rFonts w:hint="eastAsia" w:cs="Times New Roman"/>
                <w:color w:val="auto"/>
                <w:lang w:val="en-US" w:eastAsia="zh-CN"/>
              </w:rPr>
              <w:t>配套产业</w:t>
            </w:r>
            <w:r>
              <w:rPr>
                <w:rFonts w:hint="default"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rPr>
              <w:t>不属于园区禁止引入行业类别，与</w:t>
            </w:r>
            <w:r>
              <w:rPr>
                <w:rFonts w:hint="default" w:ascii="Times New Roman" w:hAnsi="Times New Roman" w:eastAsia="宋体" w:cs="Times New Roman"/>
                <w:color w:val="auto"/>
                <w:spacing w:val="0"/>
                <w:sz w:val="24"/>
                <w:szCs w:val="24"/>
                <w:highlight w:val="none"/>
                <w:lang w:val="en-US" w:eastAsia="zh-CN"/>
              </w:rPr>
              <w:t>园区规划环评相符</w:t>
            </w:r>
            <w:r>
              <w:rPr>
                <w:rFonts w:hint="default" w:ascii="Times New Roman" w:hAnsi="Times New Roman" w:eastAsia="宋体" w:cs="Times New Roman"/>
                <w:color w:val="auto"/>
                <w:spacing w:val="0"/>
                <w:sz w:val="24"/>
                <w:szCs w:val="24"/>
                <w:highlight w:val="none"/>
              </w:rPr>
              <w:t>。</w:t>
            </w:r>
          </w:p>
          <w:p w14:paraId="4CCC5FDB">
            <w:pPr>
              <w:keepNext w:val="0"/>
              <w:keepLines w:val="0"/>
              <w:suppressLineNumbers w:val="0"/>
              <w:bidi w:val="0"/>
              <w:spacing w:before="0" w:beforeAutospacing="0" w:after="0" w:afterAutospacing="0"/>
              <w:ind w:left="0" w:right="0"/>
              <w:rPr>
                <w:rFonts w:hint="eastAsia" w:eastAsia="宋体"/>
                <w:b w:val="0"/>
                <w:bCs w:val="0"/>
                <w:color w:val="auto"/>
                <w:highlight w:val="none"/>
                <w:lang w:eastAsia="zh-CN"/>
              </w:rPr>
            </w:pPr>
            <w:r>
              <w:rPr>
                <w:rFonts w:hint="default"/>
                <w:b w:val="0"/>
                <w:bCs w:val="0"/>
                <w:color w:val="auto"/>
                <w:highlight w:val="none"/>
              </w:rPr>
              <w:t>根据《江西安义工业园区扩区调区规划环境影响报告书》，</w:t>
            </w:r>
            <w:r>
              <w:rPr>
                <w:rFonts w:hint="eastAsia"/>
                <w:b w:val="0"/>
                <w:bCs w:val="0"/>
                <w:color w:val="auto"/>
                <w:highlight w:val="none"/>
                <w:lang w:val="en-US" w:eastAsia="zh-CN"/>
              </w:rPr>
              <w:t>项目与江西安义高新技术产业园区</w:t>
            </w:r>
            <w:r>
              <w:rPr>
                <w:rFonts w:hint="default"/>
                <w:b w:val="0"/>
                <w:bCs w:val="0"/>
                <w:color w:val="auto"/>
                <w:highlight w:val="none"/>
                <w:lang w:val="zh-CN"/>
              </w:rPr>
              <w:t>产业</w:t>
            </w:r>
            <w:r>
              <w:rPr>
                <w:rFonts w:hint="eastAsia"/>
                <w:b w:val="0"/>
                <w:bCs w:val="0"/>
                <w:color w:val="auto"/>
                <w:highlight w:val="none"/>
                <w:lang w:val="en-US" w:eastAsia="zh-CN"/>
              </w:rPr>
              <w:t>准入</w:t>
            </w:r>
            <w:r>
              <w:rPr>
                <w:rFonts w:hint="default"/>
                <w:b w:val="0"/>
                <w:bCs w:val="0"/>
                <w:color w:val="auto"/>
                <w:highlight w:val="none"/>
              </w:rPr>
              <w:t>清单</w:t>
            </w:r>
            <w:r>
              <w:rPr>
                <w:rFonts w:hint="eastAsia"/>
                <w:b w:val="0"/>
                <w:bCs w:val="0"/>
                <w:color w:val="auto"/>
                <w:highlight w:val="none"/>
                <w:lang w:val="en-US" w:eastAsia="zh-CN"/>
              </w:rPr>
              <w:t>相符性分析见表1-2。</w:t>
            </w:r>
          </w:p>
          <w:p w14:paraId="152DA96A">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表1-</w:t>
            </w:r>
            <w:r>
              <w:rPr>
                <w:rFonts w:hint="eastAsia" w:ascii="Times New Roman" w:hAnsi="Times New Roman" w:eastAsia="宋体" w:cs="Times New Roman"/>
                <w:b/>
                <w:bCs/>
                <w:color w:val="auto"/>
                <w:highlight w:val="none"/>
                <w:lang w:val="en-US" w:eastAsia="zh-CN"/>
              </w:rPr>
              <w:t>2</w:t>
            </w:r>
            <w:r>
              <w:rPr>
                <w:rFonts w:hint="default" w:ascii="Times New Roman" w:hAnsi="Times New Roman" w:eastAsia="宋体" w:cs="Times New Roman"/>
                <w:b/>
                <w:bCs/>
                <w:color w:val="auto"/>
                <w:highlight w:val="none"/>
                <w:lang w:val="en-US" w:eastAsia="zh-CN"/>
              </w:rPr>
              <w:t xml:space="preserve"> 工业园主导产业准入清单相符性分析一览表</w:t>
            </w:r>
          </w:p>
          <w:tbl>
            <w:tblPr>
              <w:tblStyle w:val="32"/>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15"/>
              <w:gridCol w:w="2282"/>
              <w:gridCol w:w="2219"/>
              <w:gridCol w:w="931"/>
            </w:tblGrid>
            <w:tr w14:paraId="7C47DF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tblHeader/>
              </w:trPr>
              <w:tc>
                <w:tcPr>
                  <w:tcW w:w="2556" w:type="pct"/>
                  <w:gridSpan w:val="2"/>
                  <w:tcBorders>
                    <w:tl2br w:val="nil"/>
                    <w:tr2bl w:val="nil"/>
                  </w:tcBorders>
                  <w:noWrap w:val="0"/>
                  <w:vAlign w:val="center"/>
                </w:tcPr>
                <w:p w14:paraId="3C7E3DC6">
                  <w:pPr>
                    <w:keepNext w:val="0"/>
                    <w:keepLines w:val="0"/>
                    <w:pageBreakBefore w:val="0"/>
                    <w:suppressLineNumbers w:val="0"/>
                    <w:kinsoku/>
                    <w:wordWrap/>
                    <w:overflowPunct/>
                    <w:topLinePunct w:val="0"/>
                    <w:bidi w:val="0"/>
                    <w:spacing w:before="0" w:beforeAutospacing="0" w:after="0" w:afterAutospacing="0" w:line="240" w:lineRule="auto"/>
                    <w:ind w:left="0" w:right="0" w:firstLine="0" w:firstLineChars="0"/>
                    <w:jc w:val="center"/>
                    <w:textAlignment w:val="auto"/>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lang w:val="en-US" w:eastAsia="zh-CN"/>
                    </w:rPr>
                    <w:t>园区准入</w:t>
                  </w:r>
                  <w:r>
                    <w:rPr>
                      <w:rFonts w:hint="default" w:ascii="Times New Roman" w:hAnsi="Times New Roman" w:cs="Times New Roman"/>
                      <w:b/>
                      <w:color w:val="auto"/>
                      <w:sz w:val="21"/>
                      <w:szCs w:val="21"/>
                      <w:highlight w:val="none"/>
                    </w:rPr>
                    <w:t>清单</w:t>
                  </w:r>
                </w:p>
              </w:tc>
              <w:tc>
                <w:tcPr>
                  <w:tcW w:w="1720" w:type="pct"/>
                  <w:tcBorders>
                    <w:tl2br w:val="nil"/>
                    <w:tr2bl w:val="nil"/>
                  </w:tcBorders>
                  <w:noWrap w:val="0"/>
                  <w:vAlign w:val="center"/>
                </w:tcPr>
                <w:p w14:paraId="16F08BD2">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b/>
                      <w:color w:val="auto"/>
                      <w:sz w:val="21"/>
                      <w:szCs w:val="21"/>
                      <w:highlight w:val="none"/>
                      <w:lang w:val="en-US" w:eastAsia="zh-CN"/>
                    </w:rPr>
                  </w:pPr>
                  <w:r>
                    <w:rPr>
                      <w:rFonts w:hint="default" w:ascii="Times New Roman" w:hAnsi="Times New Roman" w:eastAsia="宋体" w:cs="Times New Roman"/>
                      <w:b/>
                      <w:bCs/>
                      <w:color w:val="auto"/>
                      <w:highlight w:val="none"/>
                    </w:rPr>
                    <w:t>本</w:t>
                  </w:r>
                  <w:r>
                    <w:rPr>
                      <w:rFonts w:hint="eastAsia" w:ascii="Times New Roman" w:hAnsi="Times New Roman" w:cs="Times New Roman"/>
                      <w:b/>
                      <w:bCs/>
                      <w:color w:val="auto"/>
                      <w:highlight w:val="none"/>
                      <w:lang w:val="en-US" w:eastAsia="zh-CN"/>
                    </w:rPr>
                    <w:t>项目</w:t>
                  </w:r>
                </w:p>
              </w:tc>
              <w:tc>
                <w:tcPr>
                  <w:tcW w:w="722" w:type="pct"/>
                  <w:tcBorders>
                    <w:tl2br w:val="nil"/>
                    <w:tr2bl w:val="nil"/>
                  </w:tcBorders>
                  <w:noWrap w:val="0"/>
                  <w:vAlign w:val="center"/>
                </w:tcPr>
                <w:p w14:paraId="1763365A">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cs="Times New Roman"/>
                      <w:b/>
                      <w:color w:val="auto"/>
                      <w:sz w:val="21"/>
                      <w:szCs w:val="21"/>
                      <w:highlight w:val="none"/>
                      <w:lang w:val="en-US" w:eastAsia="zh-CN"/>
                    </w:rPr>
                  </w:pPr>
                  <w:r>
                    <w:rPr>
                      <w:rFonts w:hint="default" w:ascii="Times New Roman" w:hAnsi="Times New Roman" w:eastAsia="宋体" w:cs="Times New Roman"/>
                      <w:b/>
                      <w:bCs/>
                      <w:color w:val="auto"/>
                      <w:highlight w:val="none"/>
                    </w:rPr>
                    <w:t>符合性</w:t>
                  </w:r>
                </w:p>
              </w:tc>
            </w:tr>
            <w:tr w14:paraId="6C7333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787" w:type="pct"/>
                  <w:tcBorders>
                    <w:tl2br w:val="nil"/>
                    <w:tr2bl w:val="nil"/>
                  </w:tcBorders>
                  <w:noWrap w:val="0"/>
                  <w:vAlign w:val="center"/>
                </w:tcPr>
                <w:p w14:paraId="180E800D">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鼓励</w:t>
                  </w:r>
                  <w:r>
                    <w:rPr>
                      <w:rFonts w:hint="default" w:ascii="Times New Roman" w:hAnsi="Times New Roman" w:cs="Times New Roman"/>
                      <w:color w:val="auto"/>
                      <w:sz w:val="21"/>
                      <w:szCs w:val="21"/>
                      <w:highlight w:val="none"/>
                      <w:lang w:val="en-US" w:eastAsia="zh-CN"/>
                    </w:rPr>
                    <w:t>入驻项目</w:t>
                  </w:r>
                </w:p>
              </w:tc>
              <w:tc>
                <w:tcPr>
                  <w:tcW w:w="1769" w:type="pct"/>
                  <w:tcBorders>
                    <w:tl2br w:val="nil"/>
                    <w:tr2bl w:val="nil"/>
                  </w:tcBorders>
                  <w:noWrap w:val="0"/>
                  <w:vAlign w:val="center"/>
                </w:tcPr>
                <w:p w14:paraId="139D4C04">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鼓励入区项目主要考虑以下几个方面：</w:t>
                  </w:r>
                </w:p>
                <w:p w14:paraId="3DA4E5A6">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以规划的主导产业为主，有助于园区主导产业的形成；</w:t>
                  </w:r>
                </w:p>
                <w:p w14:paraId="75F83DE9">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《产业结构调整指导目录(2019年本)》中鼓励类项目；</w:t>
                  </w:r>
                </w:p>
                <w:p w14:paraId="4A612E38">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《鼓励外商投资产业目录(2019年版)》</w:t>
                  </w:r>
                  <w:r>
                    <w:rPr>
                      <w:rFonts w:hint="eastAsia" w:ascii="Times New Roman" w:hAnsi="Times New Roman" w:cs="Times New Roman"/>
                      <w:color w:val="auto"/>
                      <w:sz w:val="21"/>
                      <w:szCs w:val="21"/>
                      <w:highlight w:val="none"/>
                      <w:lang w:eastAsia="zh-CN"/>
                    </w:rPr>
                    <w:t>。</w:t>
                  </w:r>
                </w:p>
              </w:tc>
              <w:tc>
                <w:tcPr>
                  <w:tcW w:w="1720" w:type="pct"/>
                  <w:tcBorders>
                    <w:tl2br w:val="nil"/>
                    <w:tr2bl w:val="nil"/>
                  </w:tcBorders>
                  <w:noWrap w:val="0"/>
                  <w:vAlign w:val="center"/>
                </w:tcPr>
                <w:p w14:paraId="51547569">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本项目为</w:t>
                  </w:r>
                  <w:r>
                    <w:rPr>
                      <w:rFonts w:hint="eastAsia" w:cs="Times New Roman"/>
                      <w:color w:val="auto"/>
                      <w:sz w:val="21"/>
                      <w:szCs w:val="21"/>
                      <w:highlight w:val="none"/>
                      <w:lang w:val="en-US" w:eastAsia="zh-CN"/>
                    </w:rPr>
                    <w:t>尼龙隔热条生产</w:t>
                  </w:r>
                  <w:r>
                    <w:rPr>
                      <w:rFonts w:hint="default" w:ascii="Times New Roman" w:hAnsi="Times New Roman" w:cs="Times New Roman"/>
                      <w:color w:val="auto"/>
                      <w:sz w:val="21"/>
                      <w:szCs w:val="21"/>
                      <w:highlight w:val="none"/>
                      <w:lang w:val="en-US" w:eastAsia="zh-CN"/>
                    </w:rPr>
                    <w:t>项目，属于园区新型建材产业配套产业</w:t>
                  </w:r>
                  <w:r>
                    <w:rPr>
                      <w:rFonts w:hint="default" w:ascii="Times New Roman" w:hAnsi="Times New Roman" w:cs="Times New Roman"/>
                      <w:color w:val="auto"/>
                      <w:sz w:val="21"/>
                      <w:szCs w:val="21"/>
                      <w:highlight w:val="none"/>
                    </w:rPr>
                    <w:t>，</w:t>
                  </w:r>
                  <w:r>
                    <w:rPr>
                      <w:rFonts w:hint="eastAsia" w:cs="Times New Roman"/>
                      <w:color w:val="auto"/>
                      <w:sz w:val="21"/>
                      <w:szCs w:val="21"/>
                      <w:highlight w:val="none"/>
                      <w:lang w:val="en-US" w:eastAsia="zh-CN"/>
                    </w:rPr>
                    <w:t>有助于园区主导产业的形成</w:t>
                  </w:r>
                  <w:r>
                    <w:rPr>
                      <w:rFonts w:hint="eastAsia" w:ascii="Times New Roman" w:hAnsi="Times New Roman" w:cs="Times New Roman"/>
                      <w:color w:val="auto"/>
                      <w:sz w:val="21"/>
                      <w:szCs w:val="21"/>
                      <w:highlight w:val="none"/>
                      <w:lang w:eastAsia="zh-CN"/>
                    </w:rPr>
                    <w:t>。</w:t>
                  </w:r>
                </w:p>
              </w:tc>
              <w:tc>
                <w:tcPr>
                  <w:tcW w:w="722" w:type="pct"/>
                  <w:tcBorders>
                    <w:tl2br w:val="nil"/>
                    <w:tr2bl w:val="nil"/>
                  </w:tcBorders>
                  <w:noWrap w:val="0"/>
                  <w:vAlign w:val="center"/>
                </w:tcPr>
                <w:p w14:paraId="7B0FE117">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6B8FD7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787" w:type="pct"/>
                  <w:tcBorders>
                    <w:tl2br w:val="nil"/>
                    <w:tr2bl w:val="nil"/>
                  </w:tcBorders>
                  <w:noWrap w:val="0"/>
                  <w:vAlign w:val="center"/>
                </w:tcPr>
                <w:p w14:paraId="1694E765">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限制入驻项目</w:t>
                  </w:r>
                </w:p>
              </w:tc>
              <w:tc>
                <w:tcPr>
                  <w:tcW w:w="1769" w:type="pct"/>
                  <w:tcBorders>
                    <w:tl2br w:val="nil"/>
                    <w:tr2bl w:val="nil"/>
                  </w:tcBorders>
                  <w:noWrap w:val="0"/>
                  <w:vAlign w:val="center"/>
                </w:tcPr>
                <w:p w14:paraId="082F9F8C">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不符合主导产业定位，且投入产出或万元工业增加值污染物指标低于准入标准的项目。</w:t>
                  </w:r>
                </w:p>
              </w:tc>
              <w:tc>
                <w:tcPr>
                  <w:tcW w:w="1720" w:type="pct"/>
                  <w:tcBorders>
                    <w:tl2br w:val="nil"/>
                    <w:tr2bl w:val="nil"/>
                  </w:tcBorders>
                  <w:noWrap w:val="0"/>
                  <w:vAlign w:val="center"/>
                </w:tcPr>
                <w:p w14:paraId="0C2FCB09">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本项目为</w:t>
                  </w:r>
                  <w:r>
                    <w:rPr>
                      <w:rFonts w:hint="eastAsia" w:cs="Times New Roman"/>
                      <w:color w:val="auto"/>
                      <w:sz w:val="21"/>
                      <w:szCs w:val="21"/>
                      <w:highlight w:val="none"/>
                      <w:lang w:val="en-US" w:eastAsia="zh-CN"/>
                    </w:rPr>
                    <w:t>尼龙隔热条生产</w:t>
                  </w:r>
                  <w:r>
                    <w:rPr>
                      <w:rFonts w:hint="default" w:ascii="Times New Roman" w:hAnsi="Times New Roman" w:cs="Times New Roman"/>
                      <w:color w:val="auto"/>
                      <w:sz w:val="21"/>
                      <w:szCs w:val="21"/>
                      <w:highlight w:val="none"/>
                      <w:lang w:val="en-US" w:eastAsia="zh-CN"/>
                    </w:rPr>
                    <w:t>项目，属于园区新型建材产业配套产业</w:t>
                  </w:r>
                  <w:r>
                    <w:rPr>
                      <w:rFonts w:hint="default" w:ascii="Times New Roman" w:hAnsi="Times New Roman" w:cs="Times New Roman"/>
                      <w:color w:val="auto"/>
                      <w:sz w:val="21"/>
                      <w:szCs w:val="21"/>
                      <w:highlight w:val="none"/>
                    </w:rPr>
                    <w:t>，符合规划的主导产业</w:t>
                  </w:r>
                  <w:r>
                    <w:rPr>
                      <w:rFonts w:hint="eastAsia" w:cs="Times New Roman"/>
                      <w:color w:val="auto"/>
                      <w:sz w:val="21"/>
                      <w:szCs w:val="21"/>
                      <w:highlight w:val="none"/>
                      <w:lang w:val="en-US" w:eastAsia="zh-CN"/>
                    </w:rPr>
                    <w:t>定位</w:t>
                  </w:r>
                  <w:r>
                    <w:rPr>
                      <w:rFonts w:hint="default" w:ascii="Times New Roman" w:hAnsi="Times New Roman" w:cs="Times New Roman"/>
                      <w:color w:val="auto"/>
                      <w:sz w:val="21"/>
                      <w:szCs w:val="21"/>
                      <w:highlight w:val="none"/>
                    </w:rPr>
                    <w:t>。</w:t>
                  </w:r>
                </w:p>
              </w:tc>
              <w:tc>
                <w:tcPr>
                  <w:tcW w:w="722" w:type="pct"/>
                  <w:tcBorders>
                    <w:tl2br w:val="nil"/>
                    <w:tr2bl w:val="nil"/>
                  </w:tcBorders>
                  <w:noWrap w:val="0"/>
                  <w:vAlign w:val="center"/>
                </w:tcPr>
                <w:p w14:paraId="7839ABBF">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64BA9E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787" w:type="pct"/>
                  <w:vMerge w:val="restart"/>
                  <w:tcBorders>
                    <w:tl2br w:val="nil"/>
                    <w:tr2bl w:val="nil"/>
                  </w:tcBorders>
                  <w:noWrap w:val="0"/>
                  <w:vAlign w:val="center"/>
                </w:tcPr>
                <w:p w14:paraId="78BDF5D3">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禁止入驻项目</w:t>
                  </w:r>
                </w:p>
              </w:tc>
              <w:tc>
                <w:tcPr>
                  <w:tcW w:w="1769" w:type="pct"/>
                  <w:tcBorders>
                    <w:tl2br w:val="nil"/>
                    <w:tr2bl w:val="nil"/>
                  </w:tcBorders>
                  <w:noWrap w:val="0"/>
                  <w:vAlign w:val="center"/>
                </w:tcPr>
                <w:p w14:paraId="48366EA3">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《产业结构调整指导目录(2019年本)》中的限制、淘汰类项目</w:t>
                  </w:r>
                  <w:r>
                    <w:rPr>
                      <w:rFonts w:hint="eastAsia" w:ascii="Times New Roman" w:hAnsi="Times New Roman" w:cs="Times New Roman"/>
                      <w:color w:val="auto"/>
                      <w:sz w:val="21"/>
                      <w:szCs w:val="21"/>
                      <w:highlight w:val="none"/>
                      <w:lang w:val="en-US" w:eastAsia="zh-CN"/>
                    </w:rPr>
                    <w:t>。</w:t>
                  </w:r>
                </w:p>
              </w:tc>
              <w:tc>
                <w:tcPr>
                  <w:tcW w:w="1720" w:type="pct"/>
                  <w:tcBorders>
                    <w:tl2br w:val="nil"/>
                    <w:tr2bl w:val="nil"/>
                  </w:tcBorders>
                  <w:noWrap w:val="0"/>
                  <w:vAlign w:val="center"/>
                </w:tcPr>
                <w:p w14:paraId="2DD42338">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本项目不属于《产业结构调整指导目录(20</w:t>
                  </w:r>
                  <w:r>
                    <w:rPr>
                      <w:rFonts w:hint="eastAsia" w:cs="Times New Roman"/>
                      <w:color w:val="auto"/>
                      <w:sz w:val="21"/>
                      <w:szCs w:val="21"/>
                      <w:highlight w:val="none"/>
                      <w:lang w:val="en-US" w:eastAsia="zh-CN"/>
                    </w:rPr>
                    <w:t>24</w:t>
                  </w:r>
                  <w:r>
                    <w:rPr>
                      <w:rFonts w:hint="eastAsia" w:ascii="Times New Roman" w:hAnsi="Times New Roman" w:cs="Times New Roman"/>
                      <w:color w:val="auto"/>
                      <w:sz w:val="21"/>
                      <w:szCs w:val="21"/>
                      <w:highlight w:val="none"/>
                      <w:lang w:val="en-US" w:eastAsia="zh-CN"/>
                    </w:rPr>
                    <w:t>年本)》中的限制、淘汰类项目。</w:t>
                  </w:r>
                </w:p>
              </w:tc>
              <w:tc>
                <w:tcPr>
                  <w:tcW w:w="722" w:type="pct"/>
                  <w:tcBorders>
                    <w:tl2br w:val="nil"/>
                    <w:tr2bl w:val="nil"/>
                  </w:tcBorders>
                  <w:noWrap w:val="0"/>
                  <w:vAlign w:val="center"/>
                </w:tcPr>
                <w:p w14:paraId="627F9921">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rPr>
                    <w:t>符合</w:t>
                  </w:r>
                </w:p>
              </w:tc>
            </w:tr>
            <w:tr w14:paraId="0A218A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787" w:type="pct"/>
                  <w:vMerge w:val="continue"/>
                  <w:tcBorders>
                    <w:tl2br w:val="nil"/>
                    <w:tr2bl w:val="nil"/>
                  </w:tcBorders>
                  <w:noWrap w:val="0"/>
                  <w:vAlign w:val="center"/>
                </w:tcPr>
                <w:p w14:paraId="60D8DA2F">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p>
              </w:tc>
              <w:tc>
                <w:tcPr>
                  <w:tcW w:w="1769" w:type="pct"/>
                  <w:tcBorders>
                    <w:tl2br w:val="nil"/>
                    <w:tr2bl w:val="nil"/>
                  </w:tcBorders>
                  <w:noWrap w:val="0"/>
                  <w:vAlign w:val="center"/>
                </w:tcPr>
                <w:p w14:paraId="45F483E7">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《江西省产业结构调整及工业园区产业发展导向目录》中的限制、淘汰类项目</w:t>
                  </w:r>
                  <w:r>
                    <w:rPr>
                      <w:rFonts w:hint="eastAsia" w:ascii="Times New Roman" w:hAnsi="Times New Roman" w:cs="Times New Roman"/>
                      <w:color w:val="auto"/>
                      <w:sz w:val="21"/>
                      <w:szCs w:val="21"/>
                      <w:highlight w:val="none"/>
                      <w:lang w:val="en-US" w:eastAsia="zh-CN"/>
                    </w:rPr>
                    <w:t>。</w:t>
                  </w:r>
                </w:p>
              </w:tc>
              <w:tc>
                <w:tcPr>
                  <w:tcW w:w="1720" w:type="pct"/>
                  <w:tcBorders>
                    <w:tl2br w:val="nil"/>
                    <w:tr2bl w:val="nil"/>
                  </w:tcBorders>
                  <w:noWrap w:val="0"/>
                  <w:vAlign w:val="center"/>
                </w:tcPr>
                <w:p w14:paraId="58259498">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本项目不属于</w:t>
                  </w:r>
                  <w:r>
                    <w:rPr>
                      <w:rFonts w:hint="default" w:ascii="Times New Roman" w:hAnsi="Times New Roman" w:cs="Times New Roman"/>
                      <w:color w:val="auto"/>
                      <w:sz w:val="21"/>
                      <w:szCs w:val="21"/>
                      <w:highlight w:val="none"/>
                      <w:lang w:val="en-US" w:eastAsia="zh-CN"/>
                    </w:rPr>
                    <w:t>《江西省产业结构调整及工业园区产业发展导向目录》中的限制、淘汰类项目</w:t>
                  </w:r>
                  <w:r>
                    <w:rPr>
                      <w:rFonts w:hint="eastAsia" w:ascii="Times New Roman" w:hAnsi="Times New Roman" w:cs="Times New Roman"/>
                      <w:color w:val="auto"/>
                      <w:sz w:val="21"/>
                      <w:szCs w:val="21"/>
                      <w:highlight w:val="none"/>
                      <w:lang w:val="en-US" w:eastAsia="zh-CN"/>
                    </w:rPr>
                    <w:t>。</w:t>
                  </w:r>
                </w:p>
              </w:tc>
              <w:tc>
                <w:tcPr>
                  <w:tcW w:w="722" w:type="pct"/>
                  <w:tcBorders>
                    <w:tl2br w:val="nil"/>
                    <w:tr2bl w:val="nil"/>
                  </w:tcBorders>
                  <w:noWrap w:val="0"/>
                  <w:vAlign w:val="center"/>
                </w:tcPr>
                <w:p w14:paraId="14C4E5D6">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rPr>
                    <w:t>符合</w:t>
                  </w:r>
                </w:p>
              </w:tc>
            </w:tr>
            <w:tr w14:paraId="4828DA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787" w:type="pct"/>
                  <w:vMerge w:val="continue"/>
                  <w:tcBorders>
                    <w:tl2br w:val="nil"/>
                    <w:tr2bl w:val="nil"/>
                  </w:tcBorders>
                  <w:noWrap w:val="0"/>
                  <w:vAlign w:val="center"/>
                </w:tcPr>
                <w:p w14:paraId="748CE80A">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p>
              </w:tc>
              <w:tc>
                <w:tcPr>
                  <w:tcW w:w="1769" w:type="pct"/>
                  <w:tcBorders>
                    <w:tl2br w:val="nil"/>
                    <w:tr2bl w:val="nil"/>
                  </w:tcBorders>
                  <w:noWrap w:val="0"/>
                  <w:vAlign w:val="center"/>
                </w:tcPr>
                <w:p w14:paraId="3EF12454">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国土资源部、国家发展改革委《限制用地项目目录（2012年本）》和《禁止用地项目目录（2012年本）》中的项目</w:t>
                  </w:r>
                  <w:r>
                    <w:rPr>
                      <w:rFonts w:hint="eastAsia" w:ascii="Times New Roman" w:hAnsi="Times New Roman" w:cs="Times New Roman"/>
                      <w:color w:val="auto"/>
                      <w:sz w:val="21"/>
                      <w:szCs w:val="21"/>
                      <w:highlight w:val="none"/>
                      <w:lang w:val="en-US" w:eastAsia="zh-CN"/>
                    </w:rPr>
                    <w:t>。</w:t>
                  </w:r>
                </w:p>
              </w:tc>
              <w:tc>
                <w:tcPr>
                  <w:tcW w:w="1720" w:type="pct"/>
                  <w:tcBorders>
                    <w:tl2br w:val="nil"/>
                    <w:tr2bl w:val="nil"/>
                  </w:tcBorders>
                  <w:noWrap w:val="0"/>
                  <w:vAlign w:val="center"/>
                </w:tcPr>
                <w:p w14:paraId="6868B583">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《限制用地项目目录（2012年本）》</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《禁止用地</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项目目录（2012年本）》</w:t>
                  </w:r>
                  <w:r>
                    <w:rPr>
                      <w:rFonts w:hint="eastAsia" w:cs="Times New Roman"/>
                      <w:color w:val="000000" w:themeColor="text1"/>
                      <w:sz w:val="21"/>
                      <w:szCs w:val="21"/>
                      <w:highlight w:val="none"/>
                      <w:lang w:val="en-US" w:eastAsia="zh-CN"/>
                      <w14:textFill>
                        <w14:solidFill>
                          <w14:schemeClr w14:val="tx1"/>
                        </w14:solidFill>
                      </w14:textFill>
                    </w:rPr>
                    <w:t>已废止，本项目利用现有用地进行建设，符合《自然资源要素支撑产业高质量发展指导目录》（2024年本）</w:t>
                  </w:r>
                  <w:r>
                    <w:rPr>
                      <w:rFonts w:hint="eastAsia"/>
                      <w:color w:val="000000" w:themeColor="text1"/>
                      <w:sz w:val="21"/>
                      <w:szCs w:val="21"/>
                      <w:lang w:val="en-US" w:eastAsia="zh-CN"/>
                      <w14:textFill>
                        <w14:solidFill>
                          <w14:schemeClr w14:val="tx1"/>
                        </w14:solidFill>
                      </w14:textFill>
                    </w:rPr>
                    <w:t>要求</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p>
              </w:tc>
              <w:tc>
                <w:tcPr>
                  <w:tcW w:w="722" w:type="pct"/>
                  <w:tcBorders>
                    <w:tl2br w:val="nil"/>
                    <w:tr2bl w:val="nil"/>
                  </w:tcBorders>
                  <w:noWrap w:val="0"/>
                  <w:vAlign w:val="center"/>
                </w:tcPr>
                <w:p w14:paraId="1E8FE2DE">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rPr>
                    <w:t>符合</w:t>
                  </w:r>
                </w:p>
              </w:tc>
            </w:tr>
            <w:tr w14:paraId="3BA651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787" w:type="pct"/>
                  <w:vMerge w:val="continue"/>
                  <w:tcBorders>
                    <w:tl2br w:val="nil"/>
                    <w:tr2bl w:val="nil"/>
                  </w:tcBorders>
                  <w:noWrap w:val="0"/>
                  <w:vAlign w:val="center"/>
                </w:tcPr>
                <w:p w14:paraId="7CBE5945">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p>
              </w:tc>
              <w:tc>
                <w:tcPr>
                  <w:tcW w:w="1769" w:type="pct"/>
                  <w:tcBorders>
                    <w:tl2br w:val="nil"/>
                    <w:tr2bl w:val="nil"/>
                  </w:tcBorders>
                  <w:noWrap w:val="0"/>
                  <w:vAlign w:val="center"/>
                </w:tcPr>
                <w:p w14:paraId="25A8280E">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与国务院大气、水、土壤污染防治十条措施相违背的项目</w:t>
                  </w:r>
                  <w:r>
                    <w:rPr>
                      <w:rFonts w:hint="eastAsia" w:ascii="Times New Roman" w:hAnsi="Times New Roman" w:cs="Times New Roman"/>
                      <w:color w:val="auto"/>
                      <w:sz w:val="21"/>
                      <w:szCs w:val="21"/>
                      <w:highlight w:val="none"/>
                      <w:lang w:val="en-US" w:eastAsia="zh-CN"/>
                    </w:rPr>
                    <w:t>。</w:t>
                  </w:r>
                </w:p>
              </w:tc>
              <w:tc>
                <w:tcPr>
                  <w:tcW w:w="1720" w:type="pct"/>
                  <w:tcBorders>
                    <w:tl2br w:val="nil"/>
                    <w:tr2bl w:val="nil"/>
                  </w:tcBorders>
                  <w:noWrap w:val="0"/>
                  <w:vAlign w:val="center"/>
                </w:tcPr>
                <w:p w14:paraId="512E8ACF">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本项目的建设未违背</w:t>
                  </w:r>
                  <w:r>
                    <w:rPr>
                      <w:rFonts w:hint="default" w:ascii="Times New Roman" w:hAnsi="Times New Roman" w:cs="Times New Roman"/>
                      <w:color w:val="auto"/>
                      <w:sz w:val="21"/>
                      <w:szCs w:val="21"/>
                      <w:highlight w:val="none"/>
                      <w:lang w:val="en-US" w:eastAsia="zh-CN"/>
                    </w:rPr>
                    <w:t>国务院大气、水、土壤污染防治十条措施</w:t>
                  </w:r>
                  <w:r>
                    <w:rPr>
                      <w:rFonts w:hint="eastAsia" w:ascii="Times New Roman" w:hAnsi="Times New Roman" w:cs="Times New Roman"/>
                      <w:color w:val="auto"/>
                      <w:sz w:val="21"/>
                      <w:szCs w:val="21"/>
                      <w:highlight w:val="none"/>
                      <w:lang w:val="en-US" w:eastAsia="zh-CN"/>
                    </w:rPr>
                    <w:t>。</w:t>
                  </w:r>
                </w:p>
              </w:tc>
              <w:tc>
                <w:tcPr>
                  <w:tcW w:w="722" w:type="pct"/>
                  <w:tcBorders>
                    <w:tl2br w:val="nil"/>
                    <w:tr2bl w:val="nil"/>
                  </w:tcBorders>
                  <w:noWrap w:val="0"/>
                  <w:vAlign w:val="center"/>
                </w:tcPr>
                <w:p w14:paraId="1AF08726">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rPr>
                    <w:t>符合</w:t>
                  </w:r>
                </w:p>
              </w:tc>
            </w:tr>
            <w:tr w14:paraId="6E5D30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787" w:type="pct"/>
                  <w:vMerge w:val="continue"/>
                  <w:tcBorders>
                    <w:tl2br w:val="nil"/>
                    <w:tr2bl w:val="nil"/>
                  </w:tcBorders>
                  <w:noWrap w:val="0"/>
                  <w:vAlign w:val="center"/>
                </w:tcPr>
                <w:p w14:paraId="70949B91">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p>
              </w:tc>
              <w:tc>
                <w:tcPr>
                  <w:tcW w:w="1769" w:type="pct"/>
                  <w:tcBorders>
                    <w:tl2br w:val="nil"/>
                    <w:tr2bl w:val="nil"/>
                  </w:tcBorders>
                  <w:noWrap w:val="0"/>
                  <w:vAlign w:val="center"/>
                </w:tcPr>
                <w:p w14:paraId="4B17D865">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其他类型项目：</w:t>
                  </w:r>
                </w:p>
                <w:p w14:paraId="33446E51">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1、畜禽养殖项目。</w:t>
                  </w:r>
                </w:p>
                <w:p w14:paraId="47ECFC03">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2、排放高盐废水或高浓度有机废水，且不能有效处置的项目。</w:t>
                  </w:r>
                </w:p>
                <w:p w14:paraId="464FD6BC">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3、排放异味或高浓度有机废气，且不能有效处置的项目。</w:t>
                  </w:r>
                </w:p>
                <w:p w14:paraId="79775671">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4、染料、染料中间体、有机染料、印染助剂生产项目。</w:t>
                  </w:r>
                </w:p>
                <w:p w14:paraId="0ACAC4B6">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5、燃煤、重油、渣油及直接燃用生物质锅炉项目：（一）集中供热范围内的新建锅炉；（二）20蒸吨/小时以下的锅炉。</w:t>
                  </w:r>
                </w:p>
                <w:p w14:paraId="588A9E27">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6、高环境风险的危险废物综合利用及处置项目（园区配套项目除外）。</w:t>
                  </w:r>
                </w:p>
                <w:p w14:paraId="46F11469">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7、涉及五类重金属排放的电镀加工项目。</w:t>
                  </w:r>
                </w:p>
                <w:p w14:paraId="35C90B62">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8、与园区周边文教区和生活区较近、不满足防护距离要求的项目</w:t>
                  </w:r>
                  <w:r>
                    <w:rPr>
                      <w:rFonts w:hint="eastAsia" w:ascii="Times New Roman" w:hAnsi="Times New Roman" w:cs="Times New Roman"/>
                      <w:color w:val="auto"/>
                      <w:sz w:val="21"/>
                      <w:szCs w:val="21"/>
                      <w:highlight w:val="none"/>
                      <w:lang w:val="en-US" w:eastAsia="zh-CN"/>
                    </w:rPr>
                    <w:t>。</w:t>
                  </w:r>
                </w:p>
              </w:tc>
              <w:tc>
                <w:tcPr>
                  <w:tcW w:w="1720" w:type="pct"/>
                  <w:tcBorders>
                    <w:tl2br w:val="nil"/>
                    <w:tr2bl w:val="nil"/>
                  </w:tcBorders>
                  <w:noWrap w:val="0"/>
                  <w:vAlign w:val="center"/>
                </w:tcPr>
                <w:p w14:paraId="6DD8E201">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1、本项目不属于</w:t>
                  </w:r>
                  <w:r>
                    <w:rPr>
                      <w:rFonts w:hint="default" w:ascii="Times New Roman" w:hAnsi="Times New Roman" w:cs="Times New Roman"/>
                      <w:color w:val="auto"/>
                      <w:sz w:val="21"/>
                      <w:szCs w:val="21"/>
                      <w:highlight w:val="none"/>
                      <w:lang w:val="en-US" w:eastAsia="zh-CN"/>
                    </w:rPr>
                    <w:t>畜禽养殖项目。</w:t>
                  </w:r>
                </w:p>
                <w:p w14:paraId="1885F2B9">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w:t>
                  </w:r>
                  <w:r>
                    <w:rPr>
                      <w:rFonts w:hint="eastAsia" w:ascii="Times New Roman" w:hAnsi="Times New Roman" w:cs="Times New Roman"/>
                      <w:color w:val="auto"/>
                      <w:sz w:val="21"/>
                      <w:szCs w:val="21"/>
                      <w:highlight w:val="none"/>
                      <w:lang w:val="en-US" w:eastAsia="zh-CN"/>
                    </w:rPr>
                    <w:t>本项目</w:t>
                  </w:r>
                  <w:r>
                    <w:rPr>
                      <w:rFonts w:hint="default" w:ascii="Times New Roman" w:hAnsi="Times New Roman" w:cs="Times New Roman"/>
                      <w:color w:val="auto"/>
                      <w:sz w:val="21"/>
                      <w:szCs w:val="21"/>
                      <w:highlight w:val="none"/>
                      <w:lang w:val="en-US" w:eastAsia="zh-CN"/>
                    </w:rPr>
                    <w:t>排放</w:t>
                  </w:r>
                  <w:r>
                    <w:rPr>
                      <w:rFonts w:hint="eastAsia" w:ascii="Times New Roman" w:hAnsi="Times New Roman" w:cs="Times New Roman"/>
                      <w:color w:val="auto"/>
                      <w:sz w:val="21"/>
                      <w:szCs w:val="21"/>
                      <w:highlight w:val="none"/>
                      <w:lang w:val="en-US" w:eastAsia="zh-CN"/>
                    </w:rPr>
                    <w:t>废水不属于</w:t>
                  </w:r>
                  <w:r>
                    <w:rPr>
                      <w:rFonts w:hint="default" w:ascii="Times New Roman" w:hAnsi="Times New Roman" w:cs="Times New Roman"/>
                      <w:color w:val="auto"/>
                      <w:sz w:val="21"/>
                      <w:szCs w:val="21"/>
                      <w:highlight w:val="none"/>
                      <w:lang w:val="en-US" w:eastAsia="zh-CN"/>
                    </w:rPr>
                    <w:t>高盐废水或高浓度有机废水。</w:t>
                  </w:r>
                </w:p>
                <w:p w14:paraId="3811391D">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w:t>
                  </w:r>
                  <w:r>
                    <w:rPr>
                      <w:rFonts w:hint="eastAsia" w:ascii="Times New Roman" w:hAnsi="Times New Roman" w:cs="Times New Roman"/>
                      <w:color w:val="auto"/>
                      <w:sz w:val="21"/>
                      <w:szCs w:val="21"/>
                      <w:highlight w:val="none"/>
                      <w:lang w:val="en-US" w:eastAsia="zh-CN"/>
                    </w:rPr>
                    <w:t>本项目排放有机废气通过活性炭吸附装置可得到有效治理</w:t>
                  </w:r>
                  <w:r>
                    <w:rPr>
                      <w:rFonts w:hint="default" w:ascii="Times New Roman" w:hAnsi="Times New Roman" w:cs="Times New Roman"/>
                      <w:color w:val="auto"/>
                      <w:sz w:val="21"/>
                      <w:szCs w:val="21"/>
                      <w:highlight w:val="none"/>
                      <w:lang w:val="en-US" w:eastAsia="zh-CN"/>
                    </w:rPr>
                    <w:t>。</w:t>
                  </w:r>
                </w:p>
                <w:p w14:paraId="6825BF19">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w:t>
                  </w:r>
                  <w:r>
                    <w:rPr>
                      <w:rFonts w:hint="eastAsia" w:ascii="Times New Roman" w:hAnsi="Times New Roman" w:cs="Times New Roman"/>
                      <w:color w:val="auto"/>
                      <w:sz w:val="21"/>
                      <w:szCs w:val="21"/>
                      <w:highlight w:val="none"/>
                      <w:lang w:val="en-US" w:eastAsia="zh-CN"/>
                    </w:rPr>
                    <w:t>本项目不生产</w:t>
                  </w:r>
                  <w:r>
                    <w:rPr>
                      <w:rFonts w:hint="default" w:ascii="Times New Roman" w:hAnsi="Times New Roman" w:cs="Times New Roman"/>
                      <w:color w:val="auto"/>
                      <w:sz w:val="21"/>
                      <w:szCs w:val="21"/>
                      <w:highlight w:val="none"/>
                      <w:lang w:val="en-US" w:eastAsia="zh-CN"/>
                    </w:rPr>
                    <w:t>染料、染料中间体、有机染料、印染助剂。</w:t>
                  </w:r>
                </w:p>
                <w:p w14:paraId="30CA80CB">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w:t>
                  </w:r>
                  <w:r>
                    <w:rPr>
                      <w:rFonts w:hint="eastAsia" w:ascii="Times New Roman" w:hAnsi="Times New Roman" w:cs="Times New Roman"/>
                      <w:color w:val="auto"/>
                      <w:sz w:val="21"/>
                      <w:szCs w:val="21"/>
                      <w:highlight w:val="none"/>
                      <w:lang w:val="en-US" w:eastAsia="zh-CN"/>
                    </w:rPr>
                    <w:t>本项目不使用</w:t>
                  </w:r>
                  <w:r>
                    <w:rPr>
                      <w:rFonts w:hint="default" w:ascii="Times New Roman" w:hAnsi="Times New Roman" w:cs="Times New Roman"/>
                      <w:color w:val="auto"/>
                      <w:sz w:val="21"/>
                      <w:szCs w:val="21"/>
                      <w:highlight w:val="none"/>
                      <w:lang w:val="en-US" w:eastAsia="zh-CN"/>
                    </w:rPr>
                    <w:t>燃煤、重油、渣油及直接燃用生物质锅炉。</w:t>
                  </w:r>
                </w:p>
                <w:p w14:paraId="4939280E">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6、</w:t>
                  </w:r>
                  <w:r>
                    <w:rPr>
                      <w:rFonts w:hint="eastAsia" w:ascii="Times New Roman" w:hAnsi="Times New Roman" w:cs="Times New Roman"/>
                      <w:color w:val="auto"/>
                      <w:sz w:val="21"/>
                      <w:szCs w:val="21"/>
                      <w:highlight w:val="none"/>
                      <w:lang w:val="en-US" w:eastAsia="zh-CN"/>
                    </w:rPr>
                    <w:t>本项目不属于</w:t>
                  </w:r>
                  <w:r>
                    <w:rPr>
                      <w:rFonts w:hint="default" w:ascii="Times New Roman" w:hAnsi="Times New Roman" w:cs="Times New Roman"/>
                      <w:color w:val="auto"/>
                      <w:sz w:val="21"/>
                      <w:szCs w:val="21"/>
                      <w:highlight w:val="none"/>
                      <w:lang w:val="en-US" w:eastAsia="zh-CN"/>
                    </w:rPr>
                    <w:t>高环境风险的危险废物综合利用及处置项目。</w:t>
                  </w:r>
                </w:p>
                <w:p w14:paraId="4C53DF1A">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7、</w:t>
                  </w:r>
                  <w:r>
                    <w:rPr>
                      <w:rFonts w:hint="eastAsia" w:ascii="Times New Roman" w:hAnsi="Times New Roman" w:cs="Times New Roman"/>
                      <w:color w:val="auto"/>
                      <w:sz w:val="21"/>
                      <w:szCs w:val="21"/>
                      <w:highlight w:val="none"/>
                      <w:lang w:val="en-US" w:eastAsia="zh-CN"/>
                    </w:rPr>
                    <w:t>本项目不</w:t>
                  </w:r>
                  <w:r>
                    <w:rPr>
                      <w:rFonts w:hint="default" w:ascii="Times New Roman" w:hAnsi="Times New Roman" w:cs="Times New Roman"/>
                      <w:color w:val="auto"/>
                      <w:sz w:val="21"/>
                      <w:szCs w:val="21"/>
                      <w:highlight w:val="none"/>
                      <w:lang w:val="en-US" w:eastAsia="zh-CN"/>
                    </w:rPr>
                    <w:t>涉及五类重金属排放的电镀加工。</w:t>
                  </w:r>
                </w:p>
                <w:p w14:paraId="2159756A">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8、</w:t>
                  </w:r>
                  <w:r>
                    <w:rPr>
                      <w:rFonts w:hint="eastAsia" w:ascii="Times New Roman" w:hAnsi="Times New Roman" w:cs="Times New Roman"/>
                      <w:color w:val="auto"/>
                      <w:sz w:val="21"/>
                      <w:szCs w:val="21"/>
                      <w:highlight w:val="none"/>
                      <w:lang w:val="en-US" w:eastAsia="zh-CN"/>
                    </w:rPr>
                    <w:t>本项目</w:t>
                  </w:r>
                  <w:r>
                    <w:rPr>
                      <w:rFonts w:hint="default" w:ascii="Times New Roman" w:hAnsi="Times New Roman" w:cs="Times New Roman"/>
                      <w:color w:val="auto"/>
                      <w:sz w:val="21"/>
                      <w:szCs w:val="21"/>
                      <w:highlight w:val="none"/>
                      <w:lang w:val="en-US" w:eastAsia="zh-CN"/>
                    </w:rPr>
                    <w:t>与园区周边文教区和生活区较</w:t>
                  </w:r>
                  <w:r>
                    <w:rPr>
                      <w:rFonts w:hint="eastAsia" w:ascii="Times New Roman" w:hAnsi="Times New Roman" w:cs="Times New Roman"/>
                      <w:color w:val="auto"/>
                      <w:sz w:val="21"/>
                      <w:szCs w:val="21"/>
                      <w:highlight w:val="none"/>
                      <w:lang w:val="en-US" w:eastAsia="zh-CN"/>
                    </w:rPr>
                    <w:t>远。</w:t>
                  </w:r>
                </w:p>
              </w:tc>
              <w:tc>
                <w:tcPr>
                  <w:tcW w:w="722" w:type="pct"/>
                  <w:tcBorders>
                    <w:tl2br w:val="nil"/>
                    <w:tr2bl w:val="nil"/>
                  </w:tcBorders>
                  <w:noWrap w:val="0"/>
                  <w:vAlign w:val="center"/>
                </w:tcPr>
                <w:p w14:paraId="25101A86">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rPr>
                    <w:t>符合</w:t>
                  </w:r>
                </w:p>
              </w:tc>
            </w:tr>
          </w:tbl>
          <w:p w14:paraId="1E7700AC">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b w:val="0"/>
                <w:bCs w:val="0"/>
                <w:color w:val="auto"/>
                <w:spacing w:val="0"/>
                <w:sz w:val="21"/>
                <w:highlight w:val="none"/>
                <w:lang w:val="en-US" w:eastAsia="zh-CN"/>
              </w:rPr>
            </w:pPr>
            <w:r>
              <w:rPr>
                <w:rFonts w:hint="eastAsia" w:ascii="Times New Roman" w:hAnsi="Times New Roman" w:eastAsia="宋体" w:cs="Times New Roman"/>
                <w:color w:val="auto"/>
                <w:spacing w:val="0"/>
                <w:kern w:val="0"/>
                <w:sz w:val="24"/>
                <w:highlight w:val="none"/>
                <w:lang w:val="en-US" w:eastAsia="zh-CN"/>
              </w:rPr>
              <w:t>本项目与凤凰山片区</w:t>
            </w:r>
            <w:r>
              <w:rPr>
                <w:rFonts w:hint="default" w:ascii="Times New Roman" w:hAnsi="Times New Roman" w:eastAsia="宋体" w:cs="Times New Roman"/>
                <w:color w:val="auto"/>
                <w:spacing w:val="0"/>
                <w:kern w:val="0"/>
                <w:sz w:val="24"/>
                <w:highlight w:val="none"/>
                <w:lang w:val="en-US" w:eastAsia="zh-CN"/>
              </w:rPr>
              <w:t>负面清单</w:t>
            </w:r>
            <w:r>
              <w:rPr>
                <w:rFonts w:hint="eastAsia" w:ascii="Times New Roman" w:hAnsi="Times New Roman" w:eastAsia="宋体" w:cs="Times New Roman"/>
                <w:color w:val="auto"/>
                <w:spacing w:val="0"/>
                <w:kern w:val="0"/>
                <w:sz w:val="24"/>
                <w:highlight w:val="none"/>
                <w:lang w:val="en-US" w:eastAsia="zh-CN"/>
              </w:rPr>
              <w:t>相符性分析见表1-3。</w:t>
            </w:r>
          </w:p>
          <w:p w14:paraId="70CBCAE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422" w:firstLineChars="200"/>
              <w:jc w:val="center"/>
              <w:textAlignment w:val="auto"/>
              <w:rPr>
                <w:rFonts w:hint="default" w:ascii="Times New Roman" w:hAnsi="Times New Roman" w:eastAsia="宋体" w:cs="Times New Roman"/>
                <w:b/>
                <w:bCs/>
                <w:color w:val="auto"/>
                <w:spacing w:val="0"/>
                <w:sz w:val="21"/>
                <w:szCs w:val="21"/>
                <w:highlight w:val="none"/>
              </w:rPr>
            </w:pPr>
            <w:r>
              <w:rPr>
                <w:rFonts w:hint="default" w:ascii="Times New Roman" w:hAnsi="Times New Roman" w:eastAsia="宋体" w:cs="Times New Roman"/>
                <w:b/>
                <w:bCs/>
                <w:color w:val="auto"/>
                <w:spacing w:val="0"/>
                <w:sz w:val="21"/>
                <w:highlight w:val="none"/>
                <w:lang w:val="en-US" w:eastAsia="zh-CN"/>
              </w:rPr>
              <w:t>表1-</w:t>
            </w:r>
            <w:r>
              <w:rPr>
                <w:rFonts w:hint="eastAsia" w:ascii="Times New Roman" w:hAnsi="Times New Roman" w:eastAsia="宋体" w:cs="Times New Roman"/>
                <w:b/>
                <w:bCs/>
                <w:color w:val="auto"/>
                <w:spacing w:val="0"/>
                <w:sz w:val="21"/>
                <w:highlight w:val="none"/>
                <w:lang w:val="en-US" w:eastAsia="zh-CN"/>
              </w:rPr>
              <w:t>3</w:t>
            </w:r>
            <w:r>
              <w:rPr>
                <w:rFonts w:hint="default" w:ascii="Times New Roman" w:hAnsi="Times New Roman" w:eastAsia="宋体" w:cs="Times New Roman"/>
                <w:b/>
                <w:bCs/>
                <w:color w:val="auto"/>
                <w:spacing w:val="0"/>
                <w:sz w:val="21"/>
                <w:highlight w:val="none"/>
                <w:lang w:val="en-US" w:eastAsia="zh-CN"/>
              </w:rPr>
              <w:t xml:space="preserve"> 项目与工业园区</w:t>
            </w:r>
            <w:r>
              <w:rPr>
                <w:rFonts w:hint="eastAsia" w:ascii="Times New Roman" w:hAnsi="Times New Roman" w:eastAsia="宋体" w:cs="Times New Roman"/>
                <w:b/>
                <w:bCs/>
                <w:color w:val="auto"/>
                <w:spacing w:val="0"/>
                <w:sz w:val="21"/>
                <w:highlight w:val="none"/>
                <w:lang w:val="en-US" w:eastAsia="zh-CN"/>
              </w:rPr>
              <w:t>凤凰山</w:t>
            </w:r>
            <w:r>
              <w:rPr>
                <w:rFonts w:hint="default" w:ascii="Times New Roman" w:hAnsi="Times New Roman" w:eastAsia="宋体" w:cs="Times New Roman"/>
                <w:b/>
                <w:bCs/>
                <w:color w:val="auto"/>
                <w:spacing w:val="0"/>
                <w:sz w:val="21"/>
                <w:highlight w:val="none"/>
                <w:lang w:val="en-US" w:eastAsia="zh-CN"/>
              </w:rPr>
              <w:t>片区负面清单相符性分析一览表</w:t>
            </w:r>
          </w:p>
          <w:tbl>
            <w:tblPr>
              <w:tblStyle w:val="32"/>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85"/>
              <w:gridCol w:w="690"/>
              <w:gridCol w:w="1261"/>
              <w:gridCol w:w="1965"/>
              <w:gridCol w:w="1228"/>
              <w:gridCol w:w="914"/>
            </w:tblGrid>
            <w:tr w14:paraId="693079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0" w:hRule="atLeast"/>
                <w:tblHeader/>
              </w:trPr>
              <w:tc>
                <w:tcPr>
                  <w:tcW w:w="299" w:type="pct"/>
                  <w:tcBorders>
                    <w:tl2br w:val="nil"/>
                    <w:tr2bl w:val="nil"/>
                  </w:tcBorders>
                  <w:noWrap w:val="0"/>
                  <w:vAlign w:val="center"/>
                </w:tcPr>
                <w:p w14:paraId="05DFC640">
                  <w:pPr>
                    <w:keepNext w:val="0"/>
                    <w:keepLines w:val="0"/>
                    <w:pageBreakBefore w:val="0"/>
                    <w:suppressLineNumbers w:val="0"/>
                    <w:kinsoku/>
                    <w:wordWrap/>
                    <w:overflowPunct/>
                    <w:topLinePunct w:val="0"/>
                    <w:bidi w:val="0"/>
                    <w:spacing w:before="0" w:beforeAutospacing="0" w:after="0" w:afterAutospacing="0" w:line="240" w:lineRule="auto"/>
                    <w:ind w:left="0" w:right="0" w:firstLine="0" w:firstLineChars="0"/>
                    <w:jc w:val="center"/>
                    <w:textAlignment w:val="auto"/>
                    <w:rPr>
                      <w:rFonts w:hint="default" w:ascii="宋体" w:hAnsi="宋体" w:eastAsia="宋体" w:cs="Times New Roman"/>
                      <w:b/>
                      <w:color w:val="auto"/>
                      <w:sz w:val="21"/>
                      <w:szCs w:val="21"/>
                      <w:highlight w:val="none"/>
                    </w:rPr>
                  </w:pPr>
                  <w:r>
                    <w:rPr>
                      <w:rFonts w:hint="eastAsia" w:ascii="宋体" w:hAnsi="宋体" w:eastAsia="宋体" w:cs="Times New Roman"/>
                      <w:b/>
                      <w:color w:val="auto"/>
                      <w:sz w:val="21"/>
                      <w:szCs w:val="21"/>
                      <w:highlight w:val="none"/>
                    </w:rPr>
                    <w:t>片区</w:t>
                  </w:r>
                </w:p>
              </w:tc>
              <w:tc>
                <w:tcPr>
                  <w:tcW w:w="535" w:type="pct"/>
                  <w:tcBorders>
                    <w:tl2br w:val="nil"/>
                    <w:tr2bl w:val="nil"/>
                  </w:tcBorders>
                  <w:noWrap w:val="0"/>
                  <w:vAlign w:val="center"/>
                </w:tcPr>
                <w:p w14:paraId="471A8402">
                  <w:pPr>
                    <w:keepNext w:val="0"/>
                    <w:keepLines w:val="0"/>
                    <w:pageBreakBefore w:val="0"/>
                    <w:suppressLineNumbers w:val="0"/>
                    <w:kinsoku/>
                    <w:wordWrap/>
                    <w:overflowPunct/>
                    <w:topLinePunct w:val="0"/>
                    <w:bidi w:val="0"/>
                    <w:spacing w:before="0" w:beforeAutospacing="0" w:after="0" w:afterAutospacing="0" w:line="240" w:lineRule="auto"/>
                    <w:ind w:left="0" w:right="0" w:firstLine="0" w:firstLineChars="0"/>
                    <w:jc w:val="center"/>
                    <w:textAlignment w:val="auto"/>
                    <w:rPr>
                      <w:rFonts w:hint="default" w:ascii="宋体" w:hAnsi="宋体" w:eastAsia="宋体" w:cs="Times New Roman"/>
                      <w:b/>
                      <w:color w:val="auto"/>
                      <w:sz w:val="21"/>
                      <w:szCs w:val="21"/>
                      <w:highlight w:val="none"/>
                    </w:rPr>
                  </w:pPr>
                  <w:r>
                    <w:rPr>
                      <w:rFonts w:hint="eastAsia" w:ascii="宋体" w:hAnsi="宋体" w:eastAsia="宋体" w:cs="Times New Roman"/>
                      <w:b/>
                      <w:color w:val="auto"/>
                      <w:sz w:val="21"/>
                      <w:szCs w:val="21"/>
                      <w:highlight w:val="none"/>
                    </w:rPr>
                    <w:t>规划</w:t>
                  </w:r>
                  <w:r>
                    <w:rPr>
                      <w:rFonts w:hint="default" w:ascii="宋体" w:hAnsi="宋体" w:eastAsia="宋体" w:cs="Times New Roman"/>
                      <w:b/>
                      <w:color w:val="auto"/>
                      <w:sz w:val="21"/>
                      <w:szCs w:val="21"/>
                      <w:highlight w:val="none"/>
                    </w:rPr>
                    <w:t>产业</w:t>
                  </w:r>
                </w:p>
              </w:tc>
              <w:tc>
                <w:tcPr>
                  <w:tcW w:w="978" w:type="pct"/>
                  <w:tcBorders>
                    <w:tl2br w:val="nil"/>
                    <w:tr2bl w:val="nil"/>
                  </w:tcBorders>
                  <w:noWrap w:val="0"/>
                  <w:vAlign w:val="center"/>
                </w:tcPr>
                <w:p w14:paraId="7EDC06CC">
                  <w:pPr>
                    <w:keepNext w:val="0"/>
                    <w:keepLines w:val="0"/>
                    <w:pageBreakBefore w:val="0"/>
                    <w:suppressLineNumbers w:val="0"/>
                    <w:kinsoku/>
                    <w:wordWrap/>
                    <w:overflowPunct/>
                    <w:topLinePunct w:val="0"/>
                    <w:bidi w:val="0"/>
                    <w:spacing w:before="0" w:beforeAutospacing="0" w:after="0" w:afterAutospacing="0" w:line="240" w:lineRule="auto"/>
                    <w:ind w:left="0" w:right="0" w:firstLine="0" w:firstLineChars="0"/>
                    <w:jc w:val="center"/>
                    <w:textAlignment w:val="auto"/>
                    <w:rPr>
                      <w:rFonts w:hint="default" w:ascii="宋体" w:hAnsi="宋体" w:eastAsia="宋体" w:cs="Times New Roman"/>
                      <w:b/>
                      <w:color w:val="auto"/>
                      <w:sz w:val="21"/>
                      <w:szCs w:val="21"/>
                      <w:highlight w:val="none"/>
                    </w:rPr>
                  </w:pPr>
                  <w:r>
                    <w:rPr>
                      <w:rFonts w:hint="eastAsia" w:ascii="宋体" w:hAnsi="宋体" w:eastAsia="宋体" w:cs="Times New Roman"/>
                      <w:b/>
                      <w:color w:val="auto"/>
                      <w:sz w:val="21"/>
                      <w:szCs w:val="21"/>
                      <w:highlight w:val="none"/>
                    </w:rPr>
                    <w:t>负面清单</w:t>
                  </w:r>
                </w:p>
              </w:tc>
              <w:tc>
                <w:tcPr>
                  <w:tcW w:w="1524" w:type="pct"/>
                  <w:tcBorders>
                    <w:tl2br w:val="nil"/>
                    <w:tr2bl w:val="nil"/>
                  </w:tcBorders>
                  <w:noWrap w:val="0"/>
                  <w:vAlign w:val="center"/>
                </w:tcPr>
                <w:p w14:paraId="690C647A">
                  <w:pPr>
                    <w:keepNext w:val="0"/>
                    <w:keepLines w:val="0"/>
                    <w:pageBreakBefore w:val="0"/>
                    <w:suppressLineNumbers w:val="0"/>
                    <w:kinsoku/>
                    <w:wordWrap/>
                    <w:overflowPunct/>
                    <w:topLinePunct w:val="0"/>
                    <w:bidi w:val="0"/>
                    <w:spacing w:before="0" w:beforeAutospacing="0" w:after="0" w:afterAutospacing="0" w:line="240" w:lineRule="auto"/>
                    <w:ind w:left="0" w:right="0" w:firstLine="0" w:firstLineChars="0"/>
                    <w:jc w:val="center"/>
                    <w:textAlignment w:val="auto"/>
                    <w:rPr>
                      <w:rFonts w:hint="default" w:ascii="宋体" w:hAnsi="宋体" w:eastAsia="宋体" w:cs="Times New Roman"/>
                      <w:b/>
                      <w:color w:val="auto"/>
                      <w:sz w:val="21"/>
                      <w:szCs w:val="21"/>
                      <w:highlight w:val="none"/>
                    </w:rPr>
                  </w:pPr>
                  <w:r>
                    <w:rPr>
                      <w:rFonts w:hint="eastAsia" w:ascii="宋体" w:hAnsi="宋体" w:eastAsia="宋体" w:cs="Times New Roman"/>
                      <w:b/>
                      <w:color w:val="auto"/>
                      <w:sz w:val="21"/>
                      <w:szCs w:val="21"/>
                      <w:highlight w:val="none"/>
                    </w:rPr>
                    <w:t>入园企业环境</w:t>
                  </w:r>
                  <w:r>
                    <w:rPr>
                      <w:rFonts w:hint="default" w:ascii="宋体" w:hAnsi="宋体" w:eastAsia="宋体" w:cs="Times New Roman"/>
                      <w:b/>
                      <w:color w:val="auto"/>
                      <w:sz w:val="21"/>
                      <w:szCs w:val="21"/>
                      <w:highlight w:val="none"/>
                    </w:rPr>
                    <w:t>准入条件</w:t>
                  </w:r>
                </w:p>
              </w:tc>
              <w:tc>
                <w:tcPr>
                  <w:tcW w:w="952" w:type="pct"/>
                  <w:tcBorders>
                    <w:tl2br w:val="nil"/>
                    <w:tr2bl w:val="nil"/>
                  </w:tcBorders>
                  <w:noWrap w:val="0"/>
                  <w:vAlign w:val="center"/>
                </w:tcPr>
                <w:p w14:paraId="22A945B6">
                  <w:pPr>
                    <w:keepNext w:val="0"/>
                    <w:keepLines w:val="0"/>
                    <w:pageBreakBefore w:val="0"/>
                    <w:suppressLineNumbers w:val="0"/>
                    <w:kinsoku/>
                    <w:wordWrap/>
                    <w:overflowPunct/>
                    <w:topLinePunct w:val="0"/>
                    <w:bidi w:val="0"/>
                    <w:spacing w:before="0" w:beforeAutospacing="0" w:after="0" w:afterAutospacing="0" w:line="240" w:lineRule="auto"/>
                    <w:ind w:left="0" w:right="0" w:firstLine="0" w:firstLineChars="0"/>
                    <w:jc w:val="center"/>
                    <w:textAlignment w:val="auto"/>
                    <w:rPr>
                      <w:rFonts w:hint="eastAsia" w:ascii="宋体" w:hAnsi="宋体" w:eastAsia="宋体" w:cs="Times New Roman"/>
                      <w:b/>
                      <w:color w:val="auto"/>
                      <w:sz w:val="21"/>
                      <w:szCs w:val="21"/>
                      <w:highlight w:val="none"/>
                      <w:lang w:val="en-US" w:eastAsia="zh-CN"/>
                    </w:rPr>
                  </w:pPr>
                  <w:r>
                    <w:rPr>
                      <w:rFonts w:hint="eastAsia" w:ascii="宋体" w:hAnsi="宋体" w:eastAsia="宋体" w:cs="Times New Roman"/>
                      <w:b/>
                      <w:color w:val="auto"/>
                      <w:sz w:val="21"/>
                      <w:szCs w:val="21"/>
                      <w:highlight w:val="none"/>
                      <w:lang w:val="en-US" w:eastAsia="zh-CN"/>
                    </w:rPr>
                    <w:t>本项目</w:t>
                  </w:r>
                </w:p>
              </w:tc>
              <w:tc>
                <w:tcPr>
                  <w:tcW w:w="709" w:type="pct"/>
                  <w:tcBorders>
                    <w:tl2br w:val="nil"/>
                    <w:tr2bl w:val="nil"/>
                  </w:tcBorders>
                  <w:noWrap w:val="0"/>
                  <w:vAlign w:val="center"/>
                </w:tcPr>
                <w:p w14:paraId="222E54BB">
                  <w:pPr>
                    <w:keepNext w:val="0"/>
                    <w:keepLines w:val="0"/>
                    <w:widowControl w:val="0"/>
                    <w:suppressLineNumbers w:val="0"/>
                    <w:bidi w:val="0"/>
                    <w:adjustRightIn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Times New Roman"/>
                      <w:b/>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符合性</w:t>
                  </w:r>
                </w:p>
              </w:tc>
            </w:tr>
            <w:tr w14:paraId="296F66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299" w:type="pct"/>
                  <w:vMerge w:val="restart"/>
                  <w:tcBorders>
                    <w:tl2br w:val="nil"/>
                    <w:tr2bl w:val="nil"/>
                  </w:tcBorders>
                  <w:noWrap w:val="0"/>
                  <w:vAlign w:val="center"/>
                </w:tcPr>
                <w:p w14:paraId="43F5C7CF">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凤凰工业区</w:t>
                  </w:r>
                </w:p>
              </w:tc>
              <w:tc>
                <w:tcPr>
                  <w:tcW w:w="535" w:type="pct"/>
                  <w:tcBorders>
                    <w:tl2br w:val="nil"/>
                    <w:tr2bl w:val="nil"/>
                  </w:tcBorders>
                  <w:noWrap w:val="0"/>
                  <w:vAlign w:val="center"/>
                </w:tcPr>
                <w:p w14:paraId="08F1ED4C">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新型建材</w:t>
                  </w:r>
                </w:p>
              </w:tc>
              <w:tc>
                <w:tcPr>
                  <w:tcW w:w="978" w:type="pct"/>
                  <w:tcBorders>
                    <w:tl2br w:val="nil"/>
                    <w:tr2bl w:val="nil"/>
                  </w:tcBorders>
                  <w:noWrap w:val="0"/>
                  <w:vAlign w:val="center"/>
                </w:tcPr>
                <w:p w14:paraId="1F6097DA">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524" w:type="pct"/>
                  <w:vMerge w:val="restart"/>
                  <w:tcBorders>
                    <w:tl2br w:val="nil"/>
                    <w:tr2bl w:val="nil"/>
                  </w:tcBorders>
                  <w:noWrap w:val="0"/>
                  <w:vAlign w:val="center"/>
                </w:tcPr>
                <w:p w14:paraId="51664D08">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1、工业项目应符合产业政策，不得采用国家淘汰的或禁止使用的工艺、技术和设备，不得建设污染防治技术不成熟的项目。</w:t>
                  </w:r>
                </w:p>
                <w:p w14:paraId="4DB150AD">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2、对于耗水量太大、污水处理难度大的企业项目予以坚决限制，对于节能、环保及在现有规模以上企业产品的延伸加工或包装，以及深化园区产业链的企业或废弃资源综合利用项目（不含危废）予以鼓励。</w:t>
                  </w:r>
                </w:p>
                <w:p w14:paraId="3FF4CD6F">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3.新增主要污染物排放量的工业项目必须取得排污指标，不得影响污染物总量减排计划的完成。未按要求完成污染物总量削减任务的企业，不得建设新增相应污染物排放量的工业项目。</w:t>
                  </w:r>
                </w:p>
                <w:p w14:paraId="62FBC4DA">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4.禁止建设存在重大环境风险隐患的工业项目。工业项目排放污染物必须达到国家和地方规定的污染物排放标准。</w:t>
                  </w:r>
                </w:p>
              </w:tc>
              <w:tc>
                <w:tcPr>
                  <w:tcW w:w="952" w:type="pct"/>
                  <w:vMerge w:val="restart"/>
                  <w:tcBorders>
                    <w:tl2br w:val="nil"/>
                    <w:tr2bl w:val="nil"/>
                  </w:tcBorders>
                  <w:noWrap w:val="0"/>
                  <w:vAlign w:val="center"/>
                </w:tcPr>
                <w:p w14:paraId="0EA55404">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本项目属</w:t>
                  </w:r>
                  <w:r>
                    <w:rPr>
                      <w:rFonts w:hint="eastAsia" w:cs="Times New Roman"/>
                      <w:color w:val="auto"/>
                      <w:sz w:val="21"/>
                      <w:szCs w:val="21"/>
                      <w:highlight w:val="none"/>
                      <w:lang w:val="en-US" w:eastAsia="zh-CN"/>
                    </w:rPr>
                    <w:t>于</w:t>
                  </w:r>
                  <w:r>
                    <w:rPr>
                      <w:rFonts w:hint="eastAsia" w:ascii="Times New Roman" w:hAnsi="Times New Roman" w:eastAsia="宋体" w:cs="Times New Roman"/>
                      <w:color w:val="auto"/>
                      <w:sz w:val="21"/>
                      <w:szCs w:val="21"/>
                      <w:highlight w:val="none"/>
                      <w:lang w:val="en-US" w:eastAsia="zh-CN"/>
                    </w:rPr>
                    <w:t>新型</w:t>
                  </w:r>
                  <w:r>
                    <w:rPr>
                      <w:rFonts w:hint="default" w:ascii="Times New Roman" w:hAnsi="Times New Roman" w:eastAsia="宋体" w:cs="Times New Roman"/>
                      <w:color w:val="auto"/>
                      <w:sz w:val="21"/>
                      <w:szCs w:val="21"/>
                      <w:highlight w:val="none"/>
                      <w:lang w:val="en-US" w:eastAsia="zh-CN"/>
                    </w:rPr>
                    <w:t>建材行业</w:t>
                  </w:r>
                  <w:r>
                    <w:rPr>
                      <w:rFonts w:hint="eastAsia" w:ascii="Times New Roman" w:hAnsi="Times New Roman" w:eastAsia="宋体" w:cs="Times New Roman"/>
                      <w:color w:val="auto"/>
                      <w:sz w:val="21"/>
                      <w:szCs w:val="21"/>
                      <w:highlight w:val="none"/>
                      <w:lang w:val="en-US" w:eastAsia="zh-CN"/>
                    </w:rPr>
                    <w:t>配套产业。项目符合国家产业政策，未采用国家淘汰的或禁止使用的工艺、技术和设备，不属于污染防治技术不成熟的项目；不属于耗水量太大、污水处理难度大的企业；本项目主要水污染排放量纳入江西安义高新技术产业园区污水处理厂总量；本项目不属于存在重大环境风险隐患的工业项目，排放污染物均达到国家和地方规定的污染物排放标准。</w:t>
                  </w:r>
                </w:p>
              </w:tc>
              <w:tc>
                <w:tcPr>
                  <w:tcW w:w="709" w:type="pct"/>
                  <w:vMerge w:val="restart"/>
                  <w:tcBorders>
                    <w:tl2br w:val="nil"/>
                    <w:tr2bl w:val="nil"/>
                  </w:tcBorders>
                  <w:noWrap w:val="0"/>
                  <w:vAlign w:val="center"/>
                </w:tcPr>
                <w:p w14:paraId="22076F01">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符合</w:t>
                  </w:r>
                </w:p>
              </w:tc>
            </w:tr>
            <w:tr w14:paraId="3CB907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9" w:hRule="atLeast"/>
              </w:trPr>
              <w:tc>
                <w:tcPr>
                  <w:tcW w:w="299" w:type="pct"/>
                  <w:vMerge w:val="continue"/>
                  <w:tcBorders>
                    <w:tl2br w:val="nil"/>
                    <w:tr2bl w:val="nil"/>
                  </w:tcBorders>
                  <w:noWrap w:val="0"/>
                  <w:vAlign w:val="center"/>
                </w:tcPr>
                <w:p w14:paraId="1DFAC925">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535" w:type="pct"/>
                  <w:tcBorders>
                    <w:tl2br w:val="nil"/>
                    <w:tr2bl w:val="nil"/>
                  </w:tcBorders>
                  <w:noWrap w:val="0"/>
                  <w:vAlign w:val="center"/>
                </w:tcPr>
                <w:p w14:paraId="2A863EE9">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精细化工</w:t>
                  </w:r>
                </w:p>
              </w:tc>
              <w:tc>
                <w:tcPr>
                  <w:tcW w:w="978" w:type="pct"/>
                  <w:tcBorders>
                    <w:tl2br w:val="nil"/>
                    <w:tr2bl w:val="nil"/>
                  </w:tcBorders>
                  <w:noWrap w:val="0"/>
                  <w:vAlign w:val="center"/>
                </w:tcPr>
                <w:p w14:paraId="342524E6">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化学合成肥料、农药原药、传统油性涂料以及排放高盐废水或高浓度有机废水，且不能有效处置的项目、排放恶臭异味或高浓度有机废气，且不能有效处置的项目，高环境风险的危险废物综合利用及处置项目（园区配套项目除外）。</w:t>
                  </w:r>
                </w:p>
              </w:tc>
              <w:tc>
                <w:tcPr>
                  <w:tcW w:w="1524" w:type="pct"/>
                  <w:vMerge w:val="continue"/>
                  <w:tcBorders>
                    <w:tl2br w:val="nil"/>
                    <w:tr2bl w:val="nil"/>
                  </w:tcBorders>
                  <w:noWrap w:val="0"/>
                  <w:vAlign w:val="center"/>
                </w:tcPr>
                <w:p w14:paraId="30C88639">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952" w:type="pct"/>
                  <w:vMerge w:val="continue"/>
                  <w:tcBorders>
                    <w:tl2br w:val="nil"/>
                    <w:tr2bl w:val="nil"/>
                  </w:tcBorders>
                  <w:noWrap w:val="0"/>
                  <w:vAlign w:val="center"/>
                </w:tcPr>
                <w:p w14:paraId="449FA367">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709" w:type="pct"/>
                  <w:vMerge w:val="continue"/>
                  <w:tcBorders>
                    <w:tl2br w:val="nil"/>
                    <w:tr2bl w:val="nil"/>
                  </w:tcBorders>
                  <w:noWrap w:val="0"/>
                  <w:vAlign w:val="center"/>
                </w:tcPr>
                <w:p w14:paraId="76D85AD1">
                  <w:pPr>
                    <w:keepNext w:val="0"/>
                    <w:keepLines w:val="0"/>
                    <w:widowControl w:val="0"/>
                    <w:suppressLineNumbers w:val="0"/>
                    <w:bidi w:val="0"/>
                    <w:adjustRightIn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auto"/>
                      <w:kern w:val="2"/>
                      <w:sz w:val="21"/>
                      <w:szCs w:val="21"/>
                      <w:highlight w:val="none"/>
                      <w:lang w:val="en-US" w:eastAsia="zh-CN" w:bidi="ar-SA"/>
                    </w:rPr>
                  </w:pPr>
                </w:p>
              </w:tc>
            </w:tr>
            <w:tr w14:paraId="5CB0DD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299" w:type="pct"/>
                  <w:vMerge w:val="continue"/>
                  <w:tcBorders>
                    <w:tl2br w:val="nil"/>
                    <w:tr2bl w:val="nil"/>
                  </w:tcBorders>
                  <w:noWrap w:val="0"/>
                  <w:vAlign w:val="center"/>
                </w:tcPr>
                <w:p w14:paraId="37F035CF">
                  <w:pPr>
                    <w:keepNext w:val="0"/>
                    <w:keepLines w:val="0"/>
                    <w:pageBreakBefore w:val="0"/>
                    <w:suppressLineNumbers w:val="0"/>
                    <w:kinsoku/>
                    <w:wordWrap/>
                    <w:overflowPunct/>
                    <w:topLinePunct w:val="0"/>
                    <w:bidi w:val="0"/>
                    <w:spacing w:before="0" w:beforeAutospacing="0" w:after="0" w:afterAutospacing="0" w:line="240" w:lineRule="auto"/>
                    <w:ind w:left="0" w:right="0" w:firstLine="0" w:firstLineChars="0"/>
                    <w:jc w:val="center"/>
                    <w:textAlignment w:val="auto"/>
                    <w:rPr>
                      <w:rFonts w:hint="eastAsia" w:ascii="宋体" w:hAnsi="宋体" w:eastAsia="宋体" w:cs="Times New Roman"/>
                      <w:b/>
                      <w:color w:val="auto"/>
                      <w:sz w:val="21"/>
                      <w:szCs w:val="21"/>
                      <w:highlight w:val="none"/>
                    </w:rPr>
                  </w:pPr>
                </w:p>
              </w:tc>
              <w:tc>
                <w:tcPr>
                  <w:tcW w:w="535" w:type="pct"/>
                  <w:tcBorders>
                    <w:tl2br w:val="nil"/>
                    <w:tr2bl w:val="nil"/>
                  </w:tcBorders>
                  <w:noWrap w:val="0"/>
                  <w:vAlign w:val="center"/>
                </w:tcPr>
                <w:p w14:paraId="1D6DD00A">
                  <w:pPr>
                    <w:keepNext w:val="0"/>
                    <w:keepLines w:val="0"/>
                    <w:pageBreakBefore w:val="0"/>
                    <w:suppressLineNumbers w:val="0"/>
                    <w:kinsoku/>
                    <w:wordWrap/>
                    <w:overflowPunct/>
                    <w:topLinePunct w:val="0"/>
                    <w:bidi w:val="0"/>
                    <w:spacing w:before="0" w:beforeAutospacing="0" w:after="0" w:afterAutospacing="0" w:line="240" w:lineRule="auto"/>
                    <w:ind w:left="0" w:right="0" w:firstLine="0" w:firstLineChars="0"/>
                    <w:jc w:val="center"/>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服装纺织</w:t>
                  </w:r>
                </w:p>
              </w:tc>
              <w:tc>
                <w:tcPr>
                  <w:tcW w:w="978" w:type="pct"/>
                  <w:tcBorders>
                    <w:tl2br w:val="nil"/>
                    <w:tr2bl w:val="nil"/>
                  </w:tcBorders>
                  <w:noWrap w:val="0"/>
                  <w:vAlign w:val="center"/>
                </w:tcPr>
                <w:p w14:paraId="59471815">
                  <w:pPr>
                    <w:keepNext w:val="0"/>
                    <w:keepLines w:val="0"/>
                    <w:pageBreakBefore w:val="0"/>
                    <w:widowControl/>
                    <w:suppressLineNumbers w:val="0"/>
                    <w:kinsoku/>
                    <w:wordWrap/>
                    <w:overflowPunct/>
                    <w:topLinePunct w:val="0"/>
                    <w:bidi w:val="0"/>
                    <w:spacing w:before="0" w:beforeAutospacing="1" w:after="0" w:afterAutospacing="1" w:line="240" w:lineRule="auto"/>
                    <w:ind w:left="0" w:right="0" w:firstLine="0" w:firstLineChars="0"/>
                    <w:jc w:val="both"/>
                    <w:textAlignment w:val="auto"/>
                    <w:rPr>
                      <w:rFonts w:hint="eastAsia" w:ascii="宋体" w:hAnsi="宋体" w:eastAsia="宋体" w:cs="宋体"/>
                      <w:b/>
                      <w:color w:val="auto"/>
                      <w:kern w:val="0"/>
                      <w:sz w:val="21"/>
                      <w:szCs w:val="21"/>
                      <w:highlight w:val="none"/>
                      <w:lang w:val="en-US" w:eastAsia="zh-CN" w:bidi="ar"/>
                    </w:rPr>
                  </w:pPr>
                  <w:r>
                    <w:rPr>
                      <w:rFonts w:hint="eastAsia" w:ascii="宋体" w:hAnsi="宋体" w:eastAsia="宋体" w:cs="Times New Roman"/>
                      <w:color w:val="auto"/>
                      <w:kern w:val="0"/>
                      <w:sz w:val="21"/>
                      <w:szCs w:val="21"/>
                      <w:highlight w:val="none"/>
                      <w:lang w:val="en-US" w:eastAsia="zh-CN" w:bidi="ar-SA"/>
                    </w:rPr>
                    <w:t>新增棉印染加工、毛染整精加工、麻染整精加工、丝印染精加工、化纤织物染整精加工、针织或钩针编织物印染精加工等印染项目。</w:t>
                  </w:r>
                </w:p>
              </w:tc>
              <w:tc>
                <w:tcPr>
                  <w:tcW w:w="1524" w:type="pct"/>
                  <w:vMerge w:val="continue"/>
                  <w:tcBorders>
                    <w:tl2br w:val="nil"/>
                    <w:tr2bl w:val="nil"/>
                  </w:tcBorders>
                  <w:noWrap w:val="0"/>
                  <w:vAlign w:val="center"/>
                </w:tcPr>
                <w:p w14:paraId="446490B5">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宋体" w:hAnsi="宋体" w:eastAsia="宋体" w:cs="Times New Roman"/>
                      <w:color w:val="auto"/>
                      <w:sz w:val="21"/>
                      <w:szCs w:val="21"/>
                      <w:highlight w:val="none"/>
                    </w:rPr>
                  </w:pPr>
                </w:p>
              </w:tc>
              <w:tc>
                <w:tcPr>
                  <w:tcW w:w="952" w:type="pct"/>
                  <w:vMerge w:val="continue"/>
                  <w:tcBorders>
                    <w:tl2br w:val="nil"/>
                    <w:tr2bl w:val="nil"/>
                  </w:tcBorders>
                  <w:noWrap w:val="0"/>
                  <w:vAlign w:val="center"/>
                </w:tcPr>
                <w:p w14:paraId="6743E996">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宋体" w:hAnsi="宋体" w:eastAsia="宋体" w:cs="Times New Roman"/>
                      <w:color w:val="auto"/>
                      <w:sz w:val="21"/>
                      <w:szCs w:val="21"/>
                      <w:highlight w:val="none"/>
                    </w:rPr>
                  </w:pPr>
                </w:p>
              </w:tc>
              <w:tc>
                <w:tcPr>
                  <w:tcW w:w="709" w:type="pct"/>
                  <w:vMerge w:val="continue"/>
                  <w:tcBorders>
                    <w:tl2br w:val="nil"/>
                    <w:tr2bl w:val="nil"/>
                  </w:tcBorders>
                  <w:noWrap w:val="0"/>
                  <w:vAlign w:val="center"/>
                </w:tcPr>
                <w:p w14:paraId="0DADC98F">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宋体" w:hAnsi="宋体" w:eastAsia="宋体" w:cs="Times New Roman"/>
                      <w:color w:val="auto"/>
                      <w:sz w:val="21"/>
                      <w:szCs w:val="21"/>
                      <w:highlight w:val="none"/>
                    </w:rPr>
                  </w:pPr>
                </w:p>
              </w:tc>
            </w:tr>
          </w:tbl>
          <w:p w14:paraId="37B05BD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rPr>
              <w:t>审查意见要求</w:t>
            </w:r>
            <w:r>
              <w:rPr>
                <w:rFonts w:hint="eastAsia" w:ascii="Times New Roman" w:hAnsi="Times New Roman" w:eastAsia="宋体" w:cs="Times New Roman"/>
                <w:color w:val="auto"/>
                <w:spacing w:val="0"/>
                <w:sz w:val="24"/>
                <w:szCs w:val="24"/>
                <w:highlight w:val="none"/>
                <w:lang w:val="en-US" w:eastAsia="zh-CN"/>
              </w:rPr>
              <w:t>凤凰山</w:t>
            </w:r>
            <w:r>
              <w:rPr>
                <w:rFonts w:hint="default" w:ascii="Times New Roman" w:hAnsi="Times New Roman" w:eastAsia="宋体" w:cs="Times New Roman"/>
                <w:color w:val="auto"/>
                <w:spacing w:val="0"/>
                <w:sz w:val="24"/>
                <w:szCs w:val="24"/>
                <w:highlight w:val="none"/>
              </w:rPr>
              <w:t>片区不宜引进化学合成肥料、农药原药、传统油性涂料等大气污染特征明显的项目。本项目</w:t>
            </w:r>
            <w:r>
              <w:rPr>
                <w:rFonts w:hint="default" w:ascii="Times New Roman" w:hAnsi="Times New Roman" w:eastAsia="宋体" w:cs="Times New Roman"/>
                <w:color w:val="auto"/>
                <w:spacing w:val="0"/>
                <w:sz w:val="24"/>
                <w:szCs w:val="24"/>
                <w:highlight w:val="none"/>
                <w:lang w:val="en-US" w:eastAsia="zh-CN"/>
              </w:rPr>
              <w:t>不属于</w:t>
            </w:r>
            <w:r>
              <w:rPr>
                <w:rFonts w:hint="default" w:ascii="Times New Roman" w:hAnsi="Times New Roman" w:eastAsia="宋体" w:cs="Times New Roman"/>
                <w:color w:val="auto"/>
                <w:spacing w:val="0"/>
                <w:sz w:val="24"/>
                <w:szCs w:val="24"/>
                <w:highlight w:val="none"/>
              </w:rPr>
              <w:t>化学合成肥料、农药原药、传统油性涂料等大气污染特征明显的项目，不属于规划环评审查意见中列入的不宜引进项目之列</w:t>
            </w:r>
            <w:r>
              <w:rPr>
                <w:rFonts w:hint="default"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因此，项目建设与规划环评的相关要求相符。</w:t>
            </w:r>
          </w:p>
          <w:p w14:paraId="066231E2">
            <w:pPr>
              <w:keepNext w:val="0"/>
              <w:keepLines w:val="0"/>
              <w:pageBreakBefore w:val="0"/>
              <w:widowControl w:val="0"/>
              <w:suppressLineNumbers w:val="0"/>
              <w:kinsoku/>
              <w:wordWrap/>
              <w:overflowPunct/>
              <w:topLinePunct w:val="0"/>
              <w:bidi w:val="0"/>
              <w:adjustRightInd w:val="0"/>
              <w:spacing w:before="0" w:beforeAutospacing="0" w:after="0" w:afterAutospacing="0" w:line="360" w:lineRule="auto"/>
              <w:ind w:left="0" w:right="0" w:firstLine="0" w:firstLineChars="0"/>
              <w:jc w:val="center"/>
              <w:textAlignment w:val="baseline"/>
              <w:rPr>
                <w:rFonts w:hint="default" w:ascii="Times New Roman" w:hAnsi="Times New Roman" w:eastAsia="宋体" w:cs="Times New Roman"/>
                <w:color w:val="auto"/>
                <w:spacing w:val="0"/>
                <w:kern w:val="2"/>
                <w:sz w:val="24"/>
                <w:szCs w:val="24"/>
                <w:highlight w:val="none"/>
                <w:lang w:val="en-US" w:eastAsia="zh-CN" w:bidi="ar-SA"/>
              </w:rPr>
            </w:pPr>
            <w:r>
              <w:rPr>
                <w:rFonts w:hint="default" w:ascii="Times New Roman" w:hAnsi="Times New Roman" w:eastAsia="宋体" w:cs="Times New Roman"/>
                <w:color w:val="auto"/>
                <w:spacing w:val="0"/>
                <w:kern w:val="2"/>
                <w:sz w:val="24"/>
                <w:szCs w:val="24"/>
                <w:highlight w:val="none"/>
                <w:lang w:val="en-US" w:eastAsia="zh-CN" w:bidi="ar-SA"/>
              </w:rPr>
              <w:t>本项目与规划环评审查意见相符性分析详见表1-4。</w:t>
            </w:r>
          </w:p>
          <w:p w14:paraId="3041B394">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color w:val="auto"/>
                <w:spacing w:val="0"/>
                <w:kern w:val="2"/>
                <w:sz w:val="21"/>
                <w:szCs w:val="21"/>
                <w:highlight w:val="none"/>
                <w:lang w:val="en-US" w:eastAsia="zh-CN" w:bidi="ar-SA"/>
              </w:rPr>
            </w:pPr>
            <w:r>
              <w:rPr>
                <w:rFonts w:hint="default" w:ascii="Times New Roman" w:hAnsi="Times New Roman" w:eastAsia="宋体" w:cs="Times New Roman"/>
                <w:b/>
                <w:bCs/>
                <w:color w:val="auto"/>
                <w:spacing w:val="0"/>
                <w:kern w:val="2"/>
                <w:sz w:val="21"/>
                <w:szCs w:val="21"/>
                <w:highlight w:val="none"/>
                <w:lang w:val="en-US" w:eastAsia="zh-CN" w:bidi="ar-SA"/>
              </w:rPr>
              <w:t>表1-</w:t>
            </w:r>
            <w:r>
              <w:rPr>
                <w:rFonts w:hint="eastAsia" w:ascii="Times New Roman" w:hAnsi="Times New Roman" w:eastAsia="宋体" w:cs="Times New Roman"/>
                <w:b/>
                <w:bCs/>
                <w:color w:val="auto"/>
                <w:spacing w:val="0"/>
                <w:kern w:val="2"/>
                <w:sz w:val="21"/>
                <w:szCs w:val="21"/>
                <w:highlight w:val="none"/>
                <w:lang w:val="en-US" w:eastAsia="zh-CN" w:bidi="ar-SA"/>
              </w:rPr>
              <w:t>4</w:t>
            </w:r>
            <w:r>
              <w:rPr>
                <w:rFonts w:hint="default" w:ascii="Times New Roman" w:hAnsi="Times New Roman" w:eastAsia="宋体" w:cs="Times New Roman"/>
                <w:b/>
                <w:bCs/>
                <w:color w:val="auto"/>
                <w:spacing w:val="0"/>
                <w:kern w:val="2"/>
                <w:sz w:val="21"/>
                <w:szCs w:val="21"/>
                <w:highlight w:val="none"/>
                <w:lang w:val="en-US" w:eastAsia="zh-CN" w:bidi="ar-SA"/>
              </w:rPr>
              <w:t xml:space="preserve"> </w:t>
            </w:r>
            <w:r>
              <w:rPr>
                <w:rFonts w:hint="eastAsia" w:ascii="Times New Roman" w:hAnsi="Times New Roman" w:eastAsia="宋体" w:cs="Times New Roman"/>
                <w:b/>
                <w:bCs/>
                <w:color w:val="auto"/>
                <w:spacing w:val="0"/>
                <w:kern w:val="2"/>
                <w:sz w:val="21"/>
                <w:szCs w:val="21"/>
                <w:highlight w:val="none"/>
                <w:lang w:val="en-US" w:eastAsia="zh-CN" w:bidi="ar-SA"/>
              </w:rPr>
              <w:t xml:space="preserve">  本项目</w:t>
            </w:r>
            <w:r>
              <w:rPr>
                <w:rFonts w:hint="default" w:ascii="Times New Roman" w:hAnsi="Times New Roman" w:eastAsia="宋体" w:cs="Times New Roman"/>
                <w:b/>
                <w:bCs/>
                <w:color w:val="auto"/>
                <w:spacing w:val="0"/>
                <w:kern w:val="2"/>
                <w:sz w:val="21"/>
                <w:szCs w:val="21"/>
                <w:highlight w:val="none"/>
                <w:lang w:val="en-US" w:eastAsia="zh-CN" w:bidi="ar-SA"/>
              </w:rPr>
              <w:t>与规划环评审查意见相符性</w:t>
            </w:r>
            <w:r>
              <w:rPr>
                <w:rFonts w:hint="eastAsia" w:ascii="Times New Roman" w:hAnsi="Times New Roman" w:eastAsia="宋体" w:cs="Times New Roman"/>
                <w:b/>
                <w:bCs/>
                <w:color w:val="auto"/>
                <w:spacing w:val="0"/>
                <w:kern w:val="2"/>
                <w:sz w:val="21"/>
                <w:szCs w:val="21"/>
                <w:highlight w:val="none"/>
                <w:lang w:val="en-US" w:eastAsia="zh-CN" w:bidi="ar-SA"/>
              </w:rPr>
              <w:t>分析</w:t>
            </w:r>
          </w:p>
          <w:tbl>
            <w:tblPr>
              <w:tblStyle w:val="32"/>
              <w:tblW w:w="644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278"/>
              <w:gridCol w:w="2457"/>
              <w:gridCol w:w="709"/>
            </w:tblGrid>
            <w:tr w14:paraId="59E81A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78" w:type="dxa"/>
                  <w:tcBorders>
                    <w:bottom w:val="single" w:color="auto" w:sz="12" w:space="0"/>
                  </w:tcBorders>
                  <w:noWrap w:val="0"/>
                  <w:vAlign w:val="center"/>
                </w:tcPr>
                <w:p w14:paraId="06054B59">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color w:val="auto"/>
                      <w:spacing w:val="0"/>
                      <w:kern w:val="2"/>
                      <w:sz w:val="21"/>
                      <w:szCs w:val="21"/>
                      <w:highlight w:val="none"/>
                      <w:lang w:val="en-US" w:eastAsia="zh-CN" w:bidi="ar-SA"/>
                    </w:rPr>
                  </w:pPr>
                  <w:r>
                    <w:rPr>
                      <w:rFonts w:hint="default" w:ascii="Times New Roman" w:hAnsi="Times New Roman" w:eastAsia="宋体" w:cs="Times New Roman"/>
                      <w:b/>
                      <w:bCs/>
                      <w:color w:val="auto"/>
                      <w:spacing w:val="0"/>
                      <w:kern w:val="2"/>
                      <w:sz w:val="21"/>
                      <w:szCs w:val="21"/>
                      <w:highlight w:val="none"/>
                      <w:lang w:val="en-US" w:eastAsia="zh-CN" w:bidi="ar-SA"/>
                    </w:rPr>
                    <w:t>审查意见</w:t>
                  </w:r>
                </w:p>
              </w:tc>
              <w:tc>
                <w:tcPr>
                  <w:tcW w:w="2457" w:type="dxa"/>
                  <w:tcBorders>
                    <w:bottom w:val="single" w:color="auto" w:sz="12" w:space="0"/>
                  </w:tcBorders>
                  <w:noWrap w:val="0"/>
                  <w:vAlign w:val="center"/>
                </w:tcPr>
                <w:p w14:paraId="6EB7244C">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color w:val="auto"/>
                      <w:spacing w:val="0"/>
                      <w:kern w:val="2"/>
                      <w:sz w:val="21"/>
                      <w:szCs w:val="21"/>
                      <w:highlight w:val="none"/>
                      <w:lang w:val="en-US" w:eastAsia="zh-CN" w:bidi="ar-SA"/>
                    </w:rPr>
                  </w:pPr>
                  <w:r>
                    <w:rPr>
                      <w:rFonts w:hint="default" w:ascii="Times New Roman" w:hAnsi="Times New Roman" w:eastAsia="宋体" w:cs="Times New Roman"/>
                      <w:b/>
                      <w:bCs/>
                      <w:color w:val="auto"/>
                      <w:spacing w:val="0"/>
                      <w:kern w:val="2"/>
                      <w:sz w:val="21"/>
                      <w:szCs w:val="21"/>
                      <w:highlight w:val="none"/>
                      <w:lang w:val="en-US" w:eastAsia="zh-CN" w:bidi="ar-SA"/>
                    </w:rPr>
                    <w:t>本项目情况</w:t>
                  </w:r>
                </w:p>
              </w:tc>
              <w:tc>
                <w:tcPr>
                  <w:tcW w:w="709" w:type="dxa"/>
                  <w:tcBorders>
                    <w:bottom w:val="single" w:color="auto" w:sz="12" w:space="0"/>
                  </w:tcBorders>
                  <w:noWrap w:val="0"/>
                  <w:vAlign w:val="center"/>
                </w:tcPr>
                <w:p w14:paraId="2F57C946">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color w:val="auto"/>
                      <w:spacing w:val="0"/>
                      <w:kern w:val="2"/>
                      <w:sz w:val="21"/>
                      <w:szCs w:val="21"/>
                      <w:highlight w:val="none"/>
                      <w:lang w:val="en-US" w:eastAsia="zh-CN" w:bidi="ar-SA"/>
                    </w:rPr>
                  </w:pPr>
                  <w:r>
                    <w:rPr>
                      <w:rFonts w:hint="default" w:ascii="Times New Roman" w:hAnsi="Times New Roman" w:eastAsia="宋体" w:cs="Times New Roman"/>
                      <w:b/>
                      <w:bCs/>
                      <w:color w:val="auto"/>
                      <w:spacing w:val="0"/>
                      <w:kern w:val="2"/>
                      <w:sz w:val="21"/>
                      <w:szCs w:val="21"/>
                      <w:highlight w:val="none"/>
                      <w:lang w:val="en-US" w:eastAsia="zh-CN" w:bidi="ar-SA"/>
                    </w:rPr>
                    <w:t>符合性</w:t>
                  </w:r>
                </w:p>
              </w:tc>
            </w:tr>
            <w:tr w14:paraId="496380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78" w:type="dxa"/>
                  <w:tcBorders>
                    <w:top w:val="single" w:color="auto" w:sz="12" w:space="0"/>
                    <w:tl2br w:val="nil"/>
                    <w:tr2bl w:val="nil"/>
                  </w:tcBorders>
                  <w:noWrap w:val="0"/>
                  <w:vAlign w:val="center"/>
                </w:tcPr>
                <w:p w14:paraId="498D5141">
                  <w:pPr>
                    <w:keepNext w:val="0"/>
                    <w:keepLines w:val="0"/>
                    <w:widowControl w:val="0"/>
                    <w:suppressLineNumbers w:val="0"/>
                    <w:bidi w:val="0"/>
                    <w:adjustRightInd w:val="0"/>
                    <w:spacing w:before="0" w:beforeAutospacing="0" w:after="0" w:afterAutospacing="0" w:line="240" w:lineRule="auto"/>
                    <w:ind w:left="0" w:right="0" w:firstLine="0" w:firstLineChars="0"/>
                    <w:jc w:val="both"/>
                    <w:textAlignment w:val="baseline"/>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凤凰山片区的西南地块紧邻安义县城主城区，万场片区的东北地块处于规划居住用地常年主导风上风向，以上两个区域不宜引进化学合成肥料、农药原药、传统油性涂料等大气污染特征明显的项目。</w:t>
                  </w:r>
                </w:p>
              </w:tc>
              <w:tc>
                <w:tcPr>
                  <w:tcW w:w="2457" w:type="dxa"/>
                  <w:tcBorders>
                    <w:top w:val="single" w:color="auto" w:sz="12" w:space="0"/>
                    <w:tl2br w:val="nil"/>
                    <w:tr2bl w:val="nil"/>
                  </w:tcBorders>
                  <w:noWrap w:val="0"/>
                  <w:vAlign w:val="center"/>
                </w:tcPr>
                <w:p w14:paraId="7C2A7CC2">
                  <w:pPr>
                    <w:keepNext w:val="0"/>
                    <w:keepLines w:val="0"/>
                    <w:widowControl w:val="0"/>
                    <w:suppressLineNumbers w:val="0"/>
                    <w:bidi w:val="0"/>
                    <w:adjustRightInd w:val="0"/>
                    <w:spacing w:before="0" w:beforeAutospacing="0" w:after="0" w:afterAutospacing="0" w:line="240" w:lineRule="auto"/>
                    <w:ind w:left="0" w:right="0" w:firstLine="0" w:firstLineChars="0"/>
                    <w:jc w:val="both"/>
                    <w:textAlignment w:val="baseline"/>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本项目位于</w:t>
                  </w:r>
                  <w:r>
                    <w:rPr>
                      <w:rFonts w:hint="eastAsia" w:ascii="Times New Roman" w:hAnsi="Times New Roman" w:eastAsia="宋体" w:cs="Times New Roman"/>
                      <w:color w:val="auto"/>
                      <w:spacing w:val="0"/>
                      <w:kern w:val="2"/>
                      <w:sz w:val="21"/>
                      <w:szCs w:val="21"/>
                      <w:highlight w:val="none"/>
                      <w:lang w:val="en-US" w:eastAsia="zh-CN" w:bidi="ar-SA"/>
                    </w:rPr>
                    <w:t>凤凰山</w:t>
                  </w:r>
                  <w:r>
                    <w:rPr>
                      <w:rFonts w:hint="default" w:ascii="Times New Roman" w:hAnsi="Times New Roman" w:eastAsia="宋体" w:cs="Times New Roman"/>
                      <w:color w:val="auto"/>
                      <w:spacing w:val="0"/>
                      <w:kern w:val="2"/>
                      <w:sz w:val="21"/>
                      <w:szCs w:val="21"/>
                      <w:highlight w:val="none"/>
                      <w:lang w:val="en-US" w:eastAsia="zh-CN" w:bidi="ar-SA"/>
                    </w:rPr>
                    <w:t>片区，主要生产</w:t>
                  </w:r>
                  <w:r>
                    <w:rPr>
                      <w:rFonts w:hint="eastAsia" w:ascii="Times New Roman" w:hAnsi="Times New Roman" w:eastAsia="宋体" w:cs="Times New Roman"/>
                      <w:color w:val="auto"/>
                      <w:spacing w:val="0"/>
                      <w:kern w:val="2"/>
                      <w:sz w:val="21"/>
                      <w:szCs w:val="21"/>
                      <w:highlight w:val="none"/>
                      <w:lang w:val="en-US" w:eastAsia="zh-CN" w:bidi="ar-SA"/>
                    </w:rPr>
                    <w:t>尼龙隔热条</w:t>
                  </w:r>
                  <w:r>
                    <w:rPr>
                      <w:rFonts w:hint="default" w:ascii="Times New Roman" w:hAnsi="Times New Roman" w:eastAsia="宋体" w:cs="Times New Roman"/>
                      <w:color w:val="auto"/>
                      <w:spacing w:val="0"/>
                      <w:kern w:val="2"/>
                      <w:sz w:val="21"/>
                      <w:szCs w:val="21"/>
                      <w:highlight w:val="none"/>
                      <w:lang w:val="en-US" w:eastAsia="zh-CN" w:bidi="ar-SA"/>
                    </w:rPr>
                    <w:t>，不属于化学合成肥料、农药原药、传统油性涂料等项目。</w:t>
                  </w:r>
                </w:p>
              </w:tc>
              <w:tc>
                <w:tcPr>
                  <w:tcW w:w="709" w:type="dxa"/>
                  <w:tcBorders>
                    <w:top w:val="single" w:color="auto" w:sz="12" w:space="0"/>
                    <w:tl2br w:val="nil"/>
                    <w:tr2bl w:val="nil"/>
                  </w:tcBorders>
                  <w:noWrap w:val="0"/>
                  <w:vAlign w:val="center"/>
                </w:tcPr>
                <w:p w14:paraId="6E4F9127">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符合</w:t>
                  </w:r>
                </w:p>
              </w:tc>
            </w:tr>
            <w:tr w14:paraId="68F060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78" w:type="dxa"/>
                  <w:tcBorders>
                    <w:tl2br w:val="nil"/>
                    <w:tr2bl w:val="nil"/>
                  </w:tcBorders>
                  <w:noWrap w:val="0"/>
                  <w:vAlign w:val="center"/>
                </w:tcPr>
                <w:p w14:paraId="586FE11A">
                  <w:pPr>
                    <w:keepNext w:val="0"/>
                    <w:keepLines w:val="0"/>
                    <w:widowControl w:val="0"/>
                    <w:suppressLineNumbers w:val="0"/>
                    <w:bidi w:val="0"/>
                    <w:adjustRightInd w:val="0"/>
                    <w:spacing w:before="0" w:beforeAutospacing="0" w:after="0" w:afterAutospacing="0" w:line="240" w:lineRule="auto"/>
                    <w:ind w:left="0" w:right="0" w:firstLine="0" w:firstLineChars="0"/>
                    <w:jc w:val="both"/>
                    <w:textAlignment w:val="baseline"/>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靠近潦河用地应优先规划废水产生量小、环境风险小的产业；建议设置截污渠，完善潦河水环境风险防范措施。</w:t>
                  </w:r>
                </w:p>
              </w:tc>
              <w:tc>
                <w:tcPr>
                  <w:tcW w:w="2457" w:type="dxa"/>
                  <w:tcBorders>
                    <w:tl2br w:val="nil"/>
                    <w:tr2bl w:val="nil"/>
                  </w:tcBorders>
                  <w:noWrap w:val="0"/>
                  <w:vAlign w:val="center"/>
                </w:tcPr>
                <w:p w14:paraId="691EB831">
                  <w:pPr>
                    <w:keepNext w:val="0"/>
                    <w:keepLines w:val="0"/>
                    <w:widowControl w:val="0"/>
                    <w:suppressLineNumbers w:val="0"/>
                    <w:bidi w:val="0"/>
                    <w:adjustRightInd w:val="0"/>
                    <w:spacing w:before="0" w:beforeAutospacing="0" w:after="0" w:afterAutospacing="0" w:line="240" w:lineRule="auto"/>
                    <w:ind w:left="0" w:right="0" w:firstLine="0" w:firstLineChars="0"/>
                    <w:jc w:val="both"/>
                    <w:textAlignment w:val="baseline"/>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项目外排废水</w:t>
                  </w:r>
                  <w:r>
                    <w:rPr>
                      <w:rFonts w:hint="eastAsia" w:ascii="Times New Roman" w:hAnsi="Times New Roman" w:eastAsia="宋体" w:cs="Times New Roman"/>
                      <w:color w:val="auto"/>
                      <w:spacing w:val="0"/>
                      <w:kern w:val="2"/>
                      <w:sz w:val="21"/>
                      <w:szCs w:val="21"/>
                      <w:highlight w:val="none"/>
                      <w:lang w:val="en-US" w:eastAsia="zh-CN" w:bidi="ar-SA"/>
                    </w:rPr>
                    <w:t>主要为生活污水</w:t>
                  </w:r>
                  <w:r>
                    <w:rPr>
                      <w:rFonts w:hint="eastAsia" w:cs="Times New Roman"/>
                      <w:color w:val="auto"/>
                      <w:spacing w:val="0"/>
                      <w:kern w:val="2"/>
                      <w:sz w:val="21"/>
                      <w:szCs w:val="21"/>
                      <w:highlight w:val="none"/>
                      <w:lang w:val="en-US" w:eastAsia="zh-CN" w:bidi="ar-SA"/>
                    </w:rPr>
                    <w:t>和冷却水定排水</w:t>
                  </w:r>
                  <w:r>
                    <w:rPr>
                      <w:rFonts w:hint="eastAsia" w:ascii="Times New Roman" w:hAnsi="Times New Roman" w:eastAsia="宋体" w:cs="Times New Roman"/>
                      <w:color w:val="auto"/>
                      <w:spacing w:val="0"/>
                      <w:kern w:val="2"/>
                      <w:sz w:val="21"/>
                      <w:szCs w:val="21"/>
                      <w:highlight w:val="none"/>
                      <w:lang w:val="en-US" w:eastAsia="zh-CN" w:bidi="ar-SA"/>
                    </w:rPr>
                    <w:t>，</w:t>
                  </w:r>
                  <w:r>
                    <w:rPr>
                      <w:rFonts w:hint="default" w:ascii="Times New Roman" w:hAnsi="Times New Roman" w:eastAsia="宋体" w:cs="Times New Roman"/>
                      <w:color w:val="auto"/>
                      <w:spacing w:val="0"/>
                      <w:kern w:val="2"/>
                      <w:sz w:val="21"/>
                      <w:szCs w:val="21"/>
                      <w:highlight w:val="none"/>
                      <w:lang w:val="en-US" w:eastAsia="zh-CN" w:bidi="ar-SA"/>
                    </w:rPr>
                    <w:t>排放量较少</w:t>
                  </w:r>
                  <w:r>
                    <w:rPr>
                      <w:rFonts w:hint="eastAsia" w:ascii="Times New Roman" w:hAnsi="Times New Roman" w:eastAsia="宋体" w:cs="Times New Roman"/>
                      <w:color w:val="auto"/>
                      <w:spacing w:val="0"/>
                      <w:kern w:val="2"/>
                      <w:sz w:val="21"/>
                      <w:szCs w:val="21"/>
                      <w:highlight w:val="none"/>
                      <w:lang w:val="en-US" w:eastAsia="zh-CN" w:bidi="ar-SA"/>
                    </w:rPr>
                    <w:t>，采取污水治理措施后对环境影响较小</w:t>
                  </w:r>
                  <w:r>
                    <w:rPr>
                      <w:rFonts w:hint="default" w:ascii="Times New Roman" w:hAnsi="Times New Roman" w:eastAsia="宋体" w:cs="Times New Roman"/>
                      <w:color w:val="auto"/>
                      <w:spacing w:val="0"/>
                      <w:kern w:val="2"/>
                      <w:sz w:val="21"/>
                      <w:szCs w:val="21"/>
                      <w:highlight w:val="none"/>
                      <w:lang w:val="en-US" w:eastAsia="zh-CN" w:bidi="ar-SA"/>
                    </w:rPr>
                    <w:t>。</w:t>
                  </w:r>
                </w:p>
              </w:tc>
              <w:tc>
                <w:tcPr>
                  <w:tcW w:w="709" w:type="dxa"/>
                  <w:tcBorders>
                    <w:tl2br w:val="nil"/>
                    <w:tr2bl w:val="nil"/>
                  </w:tcBorders>
                  <w:noWrap w:val="0"/>
                  <w:vAlign w:val="center"/>
                </w:tcPr>
                <w:p w14:paraId="1D88D98C">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符合</w:t>
                  </w:r>
                </w:p>
              </w:tc>
            </w:tr>
            <w:tr w14:paraId="7CACCF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78" w:type="dxa"/>
                  <w:tcBorders>
                    <w:tl2br w:val="nil"/>
                    <w:tr2bl w:val="nil"/>
                  </w:tcBorders>
                  <w:noWrap w:val="0"/>
                  <w:vAlign w:val="center"/>
                </w:tcPr>
                <w:p w14:paraId="124FEE22">
                  <w:pPr>
                    <w:keepNext w:val="0"/>
                    <w:keepLines w:val="0"/>
                    <w:widowControl w:val="0"/>
                    <w:suppressLineNumbers w:val="0"/>
                    <w:bidi w:val="0"/>
                    <w:adjustRightInd w:val="0"/>
                    <w:spacing w:before="0" w:beforeAutospacing="0" w:after="0" w:afterAutospacing="0" w:line="240" w:lineRule="auto"/>
                    <w:ind w:left="0" w:right="0" w:firstLine="0" w:firstLineChars="0"/>
                    <w:jc w:val="both"/>
                    <w:textAlignment w:val="baseline"/>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综合考虑产业之间的环境相容性、行业准入条件和防护距离要求，采取设置合理的绿化隔离带等措施，避免对相邻企业以及周边居住商业等人群集中区的影响，积极实施生态工业园战略。</w:t>
                  </w:r>
                </w:p>
              </w:tc>
              <w:tc>
                <w:tcPr>
                  <w:tcW w:w="2457" w:type="dxa"/>
                  <w:tcBorders>
                    <w:tl2br w:val="nil"/>
                    <w:tr2bl w:val="nil"/>
                  </w:tcBorders>
                  <w:noWrap w:val="0"/>
                  <w:vAlign w:val="center"/>
                </w:tcPr>
                <w:p w14:paraId="74D13877">
                  <w:pPr>
                    <w:keepNext w:val="0"/>
                    <w:keepLines w:val="0"/>
                    <w:widowControl w:val="0"/>
                    <w:suppressLineNumbers w:val="0"/>
                    <w:bidi w:val="0"/>
                    <w:adjustRightInd w:val="0"/>
                    <w:spacing w:before="0" w:beforeAutospacing="0" w:after="0" w:afterAutospacing="0" w:line="240" w:lineRule="auto"/>
                    <w:ind w:left="0" w:right="0" w:firstLine="0" w:firstLineChars="0"/>
                    <w:jc w:val="both"/>
                    <w:textAlignment w:val="baseline"/>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离本项目厂界最近敏感点为北侧245m的石下，对周边居住区的影响较小。</w:t>
                  </w:r>
                </w:p>
              </w:tc>
              <w:tc>
                <w:tcPr>
                  <w:tcW w:w="709" w:type="dxa"/>
                  <w:tcBorders>
                    <w:tl2br w:val="nil"/>
                    <w:tr2bl w:val="nil"/>
                  </w:tcBorders>
                  <w:noWrap w:val="0"/>
                  <w:vAlign w:val="center"/>
                </w:tcPr>
                <w:p w14:paraId="36EFC1D2">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符合</w:t>
                  </w:r>
                </w:p>
              </w:tc>
            </w:tr>
          </w:tbl>
          <w:p w14:paraId="721C2781">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color w:val="auto"/>
                <w:highlight w:val="none"/>
                <w:lang w:val="en-US" w:eastAsia="zh-CN"/>
              </w:rPr>
            </w:pPr>
            <w:r>
              <w:rPr>
                <w:rFonts w:hint="default" w:ascii="Times New Roman" w:hAnsi="Times New Roman" w:eastAsia="宋体" w:cs="Times New Roman"/>
                <w:color w:val="auto"/>
                <w:spacing w:val="0"/>
                <w:sz w:val="24"/>
                <w:szCs w:val="24"/>
                <w:highlight w:val="none"/>
              </w:rPr>
              <w:t>综上，本项目满足园区规划环评</w:t>
            </w:r>
            <w:r>
              <w:rPr>
                <w:rFonts w:hint="default" w:ascii="Times New Roman" w:hAnsi="Times New Roman" w:eastAsia="宋体" w:cs="Times New Roman"/>
                <w:color w:val="auto"/>
                <w:spacing w:val="0"/>
                <w:sz w:val="24"/>
                <w:szCs w:val="24"/>
                <w:highlight w:val="none"/>
                <w:lang w:val="en-US" w:eastAsia="zh-CN"/>
              </w:rPr>
              <w:t>及</w:t>
            </w:r>
            <w:r>
              <w:rPr>
                <w:rFonts w:hint="default" w:ascii="Times New Roman" w:hAnsi="Times New Roman" w:eastAsia="宋体" w:cs="Times New Roman"/>
                <w:color w:val="auto"/>
                <w:spacing w:val="0"/>
                <w:sz w:val="24"/>
                <w:szCs w:val="24"/>
                <w:highlight w:val="none"/>
              </w:rPr>
              <w:t>审查意见</w:t>
            </w:r>
            <w:r>
              <w:rPr>
                <w:rFonts w:hint="default" w:ascii="Times New Roman" w:hAnsi="Times New Roman" w:eastAsia="宋体" w:cs="Times New Roman"/>
                <w:color w:val="auto"/>
                <w:spacing w:val="0"/>
                <w:sz w:val="24"/>
                <w:szCs w:val="24"/>
                <w:highlight w:val="none"/>
                <w:lang w:eastAsia="zh-CN"/>
              </w:rPr>
              <w:t>的</w:t>
            </w:r>
            <w:r>
              <w:rPr>
                <w:rFonts w:hint="default" w:ascii="Times New Roman" w:hAnsi="Times New Roman" w:eastAsia="宋体" w:cs="Times New Roman"/>
                <w:color w:val="auto"/>
                <w:spacing w:val="0"/>
                <w:sz w:val="24"/>
                <w:szCs w:val="24"/>
                <w:highlight w:val="none"/>
                <w:lang w:val="en-US" w:eastAsia="zh-CN"/>
              </w:rPr>
              <w:t>准入</w:t>
            </w:r>
            <w:r>
              <w:rPr>
                <w:rFonts w:hint="default" w:ascii="Times New Roman" w:hAnsi="Times New Roman" w:eastAsia="宋体" w:cs="Times New Roman"/>
                <w:color w:val="auto"/>
                <w:spacing w:val="0"/>
                <w:sz w:val="24"/>
                <w:szCs w:val="24"/>
                <w:highlight w:val="none"/>
              </w:rPr>
              <w:t>要求</w:t>
            </w:r>
            <w:r>
              <w:rPr>
                <w:rFonts w:hint="default"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lang w:val="en-US" w:eastAsia="zh-CN"/>
              </w:rPr>
              <w:t>不在规划环评确定的负面清单之列</w:t>
            </w:r>
            <w:r>
              <w:rPr>
                <w:rFonts w:hint="default" w:ascii="Times New Roman" w:hAnsi="Times New Roman" w:eastAsia="宋体" w:cs="Times New Roman"/>
                <w:color w:val="auto"/>
                <w:spacing w:val="0"/>
                <w:sz w:val="24"/>
                <w:szCs w:val="24"/>
                <w:highlight w:val="none"/>
              </w:rPr>
              <w:t>。</w:t>
            </w:r>
          </w:p>
        </w:tc>
      </w:tr>
      <w:tr w14:paraId="09A2C5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40" w:hRule="atLeast"/>
          <w:jc w:val="center"/>
        </w:trPr>
        <w:tc>
          <w:tcPr>
            <w:tcW w:w="1866" w:type="dxa"/>
            <w:vAlign w:val="center"/>
          </w:tcPr>
          <w:p w14:paraId="5F14653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其他符合性分析</w:t>
            </w:r>
          </w:p>
        </w:tc>
        <w:tc>
          <w:tcPr>
            <w:tcW w:w="6664" w:type="dxa"/>
            <w:gridSpan w:val="3"/>
            <w:vAlign w:val="center"/>
          </w:tcPr>
          <w:p w14:paraId="4D3AEBD0">
            <w:pPr>
              <w:keepNext w:val="0"/>
              <w:keepLines w:val="0"/>
              <w:suppressLineNumbers w:val="0"/>
              <w:bidi w:val="0"/>
              <w:spacing w:before="0" w:beforeAutospacing="0" w:after="0" w:afterAutospacing="0"/>
              <w:ind w:left="0" w:right="0"/>
              <w:rPr>
                <w:rFonts w:hint="eastAsia"/>
                <w:b/>
                <w:bCs/>
                <w:color w:val="auto"/>
                <w:highlight w:val="none"/>
                <w:lang w:val="en-US" w:eastAsia="zh-CN"/>
              </w:rPr>
            </w:pPr>
            <w:r>
              <w:rPr>
                <w:rFonts w:hint="eastAsia"/>
                <w:b/>
                <w:bCs/>
                <w:color w:val="auto"/>
                <w:highlight w:val="none"/>
                <w:lang w:val="en-US" w:eastAsia="zh-CN"/>
              </w:rPr>
              <w:t>1、</w:t>
            </w:r>
            <w:r>
              <w:rPr>
                <w:rFonts w:hint="default"/>
                <w:b/>
                <w:bCs/>
                <w:color w:val="auto"/>
                <w:highlight w:val="none"/>
              </w:rPr>
              <w:t>产业政策相符性</w:t>
            </w:r>
            <w:r>
              <w:rPr>
                <w:rFonts w:hint="eastAsia"/>
                <w:b/>
                <w:bCs/>
                <w:color w:val="auto"/>
                <w:highlight w:val="none"/>
                <w:lang w:val="en-US" w:eastAsia="zh-CN"/>
              </w:rPr>
              <w:t>分析</w:t>
            </w:r>
          </w:p>
          <w:p w14:paraId="644BEB18">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本项目为C2929塑料零件及其他塑料制品制造，根据对比《产业结构调整指导目录（2024年本）》，本项目的产品、产能、工艺、设备均不属于目录中的鼓励类、限制类和禁止类，同时本项目已在安义县科技和工业信息化局备案（统一项目代码：</w:t>
            </w:r>
            <w:r>
              <w:rPr>
                <w:rFonts w:hint="default" w:ascii="Times New Roman" w:hAnsi="Times New Roman" w:eastAsia="宋体" w:cs="Times New Roman"/>
                <w:color w:val="auto"/>
                <w:sz w:val="24"/>
                <w:szCs w:val="24"/>
                <w:highlight w:val="none"/>
                <w:lang w:val="en-US" w:eastAsia="zh-CN"/>
              </w:rPr>
              <w:t>2607-360123-07-02-917146</w:t>
            </w:r>
            <w:r>
              <w:rPr>
                <w:rFonts w:hint="eastAsia"/>
                <w:color w:val="auto"/>
                <w:highlight w:val="none"/>
                <w:lang w:val="en-US" w:eastAsia="zh-CN"/>
              </w:rPr>
              <w:t>）。因此，本项目建设符合国家及地方的相关产业政策要求。</w:t>
            </w:r>
          </w:p>
          <w:p w14:paraId="4D40CC7F">
            <w:pPr>
              <w:keepNext w:val="0"/>
              <w:keepLines w:val="0"/>
              <w:suppressLineNumbers w:val="0"/>
              <w:bidi w:val="0"/>
              <w:spacing w:before="0" w:beforeAutospacing="0" w:after="0" w:afterAutospacing="0"/>
              <w:ind w:left="0" w:right="0"/>
              <w:rPr>
                <w:rFonts w:hint="default"/>
                <w:b/>
                <w:bCs/>
                <w:color w:val="auto"/>
                <w:highlight w:val="none"/>
              </w:rPr>
            </w:pPr>
            <w:r>
              <w:rPr>
                <w:rFonts w:hint="default"/>
                <w:b/>
                <w:bCs/>
                <w:color w:val="auto"/>
                <w:highlight w:val="none"/>
              </w:rPr>
              <w:t>2、</w:t>
            </w:r>
            <w:r>
              <w:rPr>
                <w:rFonts w:hint="eastAsia" w:ascii="Times New Roman" w:hAnsi="Times New Roman"/>
                <w:b/>
                <w:bCs w:val="0"/>
                <w:color w:val="auto"/>
                <w:sz w:val="24"/>
                <w:lang w:val="en-US" w:eastAsia="zh-CN"/>
              </w:rPr>
              <w:t>环境相容性</w:t>
            </w:r>
            <w:r>
              <w:rPr>
                <w:rFonts w:hint="default"/>
                <w:b/>
                <w:bCs/>
                <w:color w:val="auto"/>
                <w:highlight w:val="none"/>
              </w:rPr>
              <w:t>分析</w:t>
            </w:r>
          </w:p>
          <w:p w14:paraId="76137576">
            <w:pPr>
              <w:pStyle w:val="155"/>
              <w:keepNext w:val="0"/>
              <w:keepLines w:val="0"/>
              <w:suppressLineNumbers w:val="0"/>
              <w:spacing w:before="0" w:beforeAutospacing="0" w:after="0" w:afterAutospacing="0" w:line="360" w:lineRule="auto"/>
              <w:ind w:left="0" w:right="0" w:firstLine="480"/>
              <w:rPr>
                <w:rFonts w:hint="default" w:ascii="Times New Roman" w:hAnsi="Times New Roman"/>
                <w:bCs/>
                <w:color w:val="auto"/>
                <w:sz w:val="24"/>
              </w:rPr>
            </w:pPr>
            <w:r>
              <w:rPr>
                <w:rFonts w:hint="eastAsia" w:ascii="Times New Roman" w:hAnsi="Times New Roman" w:cs="Times New Roman"/>
                <w:color w:val="auto"/>
                <w:sz w:val="24"/>
              </w:rPr>
              <w:t>江西安义高新技术产业园区</w:t>
            </w:r>
            <w:r>
              <w:rPr>
                <w:rFonts w:hint="default" w:ascii="Times New Roman" w:hAnsi="Times New Roman" w:cs="Times New Roman"/>
                <w:color w:val="auto"/>
                <w:sz w:val="24"/>
              </w:rPr>
              <w:t>位于安义县城的东面，交通便利，南安一级公路纵贯东西，与昌北国际机场、京九铁路、昌九高速公路紧密相连，已融入</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南昌半小时经济圈</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空港经济圈</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，具有年100万吨的货物发运能力，能够满足原材料进厂和产品发出的需要。市场辐射面广，交通方便，地理位置优越。</w:t>
            </w:r>
          </w:p>
          <w:p w14:paraId="737ED3C6">
            <w:pPr>
              <w:pStyle w:val="155"/>
              <w:keepNext w:val="0"/>
              <w:keepLines w:val="0"/>
              <w:suppressLineNumbers w:val="0"/>
              <w:adjustRightInd w:val="0"/>
              <w:spacing w:before="0" w:beforeAutospacing="0" w:after="0" w:afterAutospacing="0" w:line="360" w:lineRule="auto"/>
              <w:ind w:left="0" w:right="0" w:firstLine="480"/>
              <w:rPr>
                <w:rFonts w:hint="eastAsia" w:ascii="Times New Roman" w:hAnsi="Times New Roman"/>
                <w:bCs/>
                <w:color w:val="auto"/>
                <w:sz w:val="24"/>
                <w:lang w:eastAsia="zh-CN"/>
              </w:rPr>
            </w:pPr>
            <w:r>
              <w:rPr>
                <w:rFonts w:hint="eastAsia" w:ascii="Times New Roman" w:hAnsi="Times New Roman"/>
                <w:bCs/>
                <w:color w:val="auto"/>
                <w:sz w:val="24"/>
                <w:lang w:eastAsia="zh-CN"/>
              </w:rPr>
              <w:t>本扩建项目选址于江西安义高新技术产业园区内江西奋发科技有限公司5#备用车间。项目东侧为空地；南侧为本企业现有三元乙丙密封胶条仓库，主要贮存三元乙丙密封胶条；西侧隔奋发路为江西辉煌铝业有限公司，主营铝型材生产，主要污染物为颗粒物、挥发性有机物、碱雾、氮氧化物、二氧化硫、林格曼黑度、硫酸雾等；北侧为企业外租车间，由中铁十九局集团南昌万沃鑫材料科技有限公司租赁使用，生产过程主要产生颗粒物等污染物。</w:t>
            </w:r>
          </w:p>
          <w:p w14:paraId="45E749E8">
            <w:pPr>
              <w:pStyle w:val="155"/>
              <w:keepNext w:val="0"/>
              <w:keepLines w:val="0"/>
              <w:suppressLineNumbers w:val="0"/>
              <w:adjustRightInd w:val="0"/>
              <w:spacing w:before="0" w:beforeAutospacing="0" w:after="0" w:afterAutospacing="0" w:line="360" w:lineRule="auto"/>
              <w:ind w:left="0" w:right="0" w:firstLine="480"/>
              <w:rPr>
                <w:rFonts w:hint="eastAsia" w:ascii="Times New Roman" w:hAnsi="Times New Roman"/>
                <w:bCs/>
                <w:color w:val="auto"/>
                <w:sz w:val="24"/>
                <w:lang w:eastAsia="zh-CN"/>
              </w:rPr>
            </w:pPr>
            <w:r>
              <w:rPr>
                <w:rFonts w:hint="eastAsia" w:ascii="Times New Roman" w:hAnsi="Times New Roman"/>
                <w:bCs/>
                <w:color w:val="auto"/>
                <w:sz w:val="24"/>
                <w:lang w:eastAsia="zh-CN"/>
              </w:rPr>
              <w:t>本项目以尼龙隔热条物理挤出成型为主，主要污染物为少量挥发性有机物、噪声等，与西侧、北侧企业的污染类型相近，区域污染特征匹配，产业布局相容性较好。项目周边无食品加工等环境敏感类企业，周边各企业污染物均配套相应治理设施，可实现有效管控。本项目建成运营后，各类污染物经配套设施处理后可达标排放，对周边企业环境影响较小，因此本项目与周边企业环境相容性良好。</w:t>
            </w:r>
          </w:p>
          <w:p w14:paraId="2C47D2F4">
            <w:pPr>
              <w:pStyle w:val="155"/>
              <w:keepNext w:val="0"/>
              <w:keepLines w:val="0"/>
              <w:suppressLineNumbers w:val="0"/>
              <w:adjustRightInd w:val="0"/>
              <w:spacing w:before="0" w:beforeAutospacing="0" w:after="0" w:afterAutospacing="0" w:line="360" w:lineRule="auto"/>
              <w:ind w:left="0" w:right="0" w:firstLine="480"/>
              <w:rPr>
                <w:rFonts w:hint="default" w:ascii="Times New Roman" w:hAnsi="Times New Roman" w:eastAsia="宋体"/>
                <w:bCs/>
                <w:color w:val="auto"/>
                <w:sz w:val="24"/>
                <w:lang w:val="en-US" w:eastAsia="zh-CN"/>
              </w:rPr>
            </w:pPr>
            <w:r>
              <w:rPr>
                <w:rFonts w:hint="eastAsia" w:ascii="Times New Roman" w:hAnsi="Times New Roman"/>
                <w:bCs/>
                <w:color w:val="auto"/>
                <w:sz w:val="24"/>
                <w:lang w:eastAsia="zh-CN"/>
              </w:rPr>
              <w:t>（</w:t>
            </w:r>
            <w:r>
              <w:rPr>
                <w:rFonts w:hint="eastAsia" w:ascii="Times New Roman" w:hAnsi="Times New Roman"/>
                <w:bCs/>
                <w:color w:val="auto"/>
                <w:sz w:val="24"/>
                <w:lang w:val="en-US" w:eastAsia="zh-CN"/>
              </w:rPr>
              <w:t>1</w:t>
            </w:r>
            <w:r>
              <w:rPr>
                <w:rFonts w:hint="eastAsia" w:ascii="Times New Roman" w:hAnsi="Times New Roman"/>
                <w:bCs/>
                <w:color w:val="auto"/>
                <w:sz w:val="24"/>
                <w:lang w:eastAsia="zh-CN"/>
              </w:rPr>
              <w:t>）</w:t>
            </w:r>
            <w:r>
              <w:rPr>
                <w:rFonts w:hint="eastAsia" w:ascii="Times New Roman" w:hAnsi="Times New Roman"/>
                <w:bCs/>
                <w:color w:val="auto"/>
                <w:sz w:val="24"/>
                <w:lang w:val="en-US" w:eastAsia="zh-CN"/>
              </w:rPr>
              <w:t>本项目位于工业园区，</w:t>
            </w:r>
            <w:r>
              <w:rPr>
                <w:rFonts w:hint="default" w:ascii="Times New Roman" w:hAnsi="Times New Roman" w:cs="Times New Roman"/>
                <w:color w:val="auto"/>
                <w:sz w:val="24"/>
                <w:highlight w:val="none"/>
                <w:lang w:val="zh-CN"/>
              </w:rPr>
              <w:t>用地属于工业用地</w:t>
            </w:r>
            <w:r>
              <w:rPr>
                <w:rFonts w:hint="eastAsia" w:ascii="Times New Roman" w:hAnsi="Times New Roman" w:cs="Times New Roman"/>
                <w:color w:val="auto"/>
                <w:sz w:val="24"/>
                <w:highlight w:val="none"/>
                <w:lang w:val="zh-CN"/>
              </w:rPr>
              <w:t>（</w:t>
            </w:r>
            <w:r>
              <w:rPr>
                <w:rFonts w:hint="eastAsia" w:cs="Times New Roman"/>
                <w:color w:val="auto"/>
                <w:sz w:val="24"/>
                <w:highlight w:val="none"/>
                <w:lang w:val="en-US" w:eastAsia="zh-CN"/>
              </w:rPr>
              <w:t>见</w:t>
            </w:r>
            <w:r>
              <w:rPr>
                <w:rFonts w:hint="eastAsia" w:ascii="Times New Roman" w:hAnsi="Times New Roman" w:cs="Times New Roman"/>
                <w:color w:val="auto"/>
                <w:sz w:val="24"/>
                <w:highlight w:val="none"/>
                <w:lang w:val="en-US" w:eastAsia="zh-CN"/>
              </w:rPr>
              <w:t>附图七</w:t>
            </w:r>
            <w:r>
              <w:rPr>
                <w:rFonts w:hint="default" w:ascii="Times New Roman" w:hAnsi="Times New Roman" w:cs="Times New Roman"/>
                <w:color w:val="auto"/>
                <w:sz w:val="24"/>
                <w:highlight w:val="none"/>
                <w:lang w:val="zh-CN"/>
              </w:rPr>
              <w:t>），</w:t>
            </w:r>
            <w:r>
              <w:rPr>
                <w:rFonts w:hint="default" w:ascii="Times New Roman" w:hAnsi="Times New Roman" w:cs="Times New Roman"/>
                <w:color w:val="auto"/>
                <w:sz w:val="24"/>
                <w:highlight w:val="none"/>
                <w:lang w:val="en-US" w:eastAsia="zh-CN"/>
              </w:rPr>
              <w:t>且</w:t>
            </w:r>
            <w:r>
              <w:rPr>
                <w:rFonts w:hint="eastAsia" w:ascii="Times New Roman" w:hAnsi="Times New Roman" w:cs="Times New Roman"/>
                <w:color w:val="auto"/>
                <w:sz w:val="24"/>
                <w:highlight w:val="none"/>
                <w:lang w:val="en-US" w:eastAsia="zh-CN"/>
              </w:rPr>
              <w:t>本</w:t>
            </w:r>
            <w:r>
              <w:rPr>
                <w:rFonts w:hint="eastAsia" w:ascii="Times New Roman" w:hAnsi="Times New Roman" w:eastAsia="宋体" w:cs="Times New Roman"/>
                <w:color w:val="auto"/>
                <w:spacing w:val="0"/>
                <w:sz w:val="24"/>
                <w:szCs w:val="24"/>
                <w:highlight w:val="none"/>
                <w:lang w:val="en-US" w:eastAsia="zh-CN"/>
              </w:rPr>
              <w:t>项目主要生产尼龙隔热条，产品主要用于建材行业，为建材行业配套产业，与园区产业定位不相违背</w:t>
            </w:r>
            <w:r>
              <w:rPr>
                <w:rFonts w:hint="default" w:ascii="Times New Roman" w:hAnsi="Times New Roman" w:cs="Times New Roman"/>
                <w:color w:val="auto"/>
                <w:sz w:val="24"/>
                <w:shd w:val="clear" w:color="auto" w:fill="FFFFFF"/>
              </w:rPr>
              <w:t>，</w:t>
            </w:r>
            <w:r>
              <w:rPr>
                <w:rFonts w:hint="eastAsia" w:ascii="Times New Roman" w:hAnsi="Times New Roman" w:cs="Times New Roman"/>
                <w:color w:val="auto"/>
                <w:sz w:val="24"/>
                <w:highlight w:val="none"/>
                <w:lang w:val="en-US" w:eastAsia="zh-CN"/>
              </w:rPr>
              <w:t>因此项目选址可行；</w:t>
            </w:r>
          </w:p>
          <w:p w14:paraId="0FD4B416">
            <w:pPr>
              <w:pStyle w:val="155"/>
              <w:keepNext w:val="0"/>
              <w:keepLines w:val="0"/>
              <w:suppressLineNumbers w:val="0"/>
              <w:adjustRightInd w:val="0"/>
              <w:spacing w:before="0" w:beforeAutospacing="0" w:after="0" w:afterAutospacing="0" w:line="360" w:lineRule="auto"/>
              <w:ind w:left="0" w:right="0" w:firstLine="480"/>
              <w:rPr>
                <w:rFonts w:hint="default" w:ascii="Times New Roman" w:hAnsi="Times New Roman"/>
                <w:bCs/>
                <w:color w:val="auto"/>
                <w:sz w:val="24"/>
              </w:rPr>
            </w:pPr>
            <w:r>
              <w:rPr>
                <w:rFonts w:hint="default" w:ascii="Times New Roman" w:hAnsi="Times New Roman"/>
                <w:bCs/>
                <w:color w:val="auto"/>
                <w:sz w:val="24"/>
              </w:rPr>
              <w:t>（</w:t>
            </w:r>
            <w:r>
              <w:rPr>
                <w:rFonts w:hint="eastAsia" w:ascii="Times New Roman" w:hAnsi="Times New Roman"/>
                <w:bCs/>
                <w:color w:val="auto"/>
                <w:sz w:val="24"/>
                <w:lang w:val="en-US" w:eastAsia="zh-CN"/>
              </w:rPr>
              <w:t>2</w:t>
            </w:r>
            <w:r>
              <w:rPr>
                <w:rFonts w:hint="default" w:ascii="Times New Roman" w:hAnsi="Times New Roman"/>
                <w:bCs/>
                <w:color w:val="auto"/>
                <w:sz w:val="24"/>
              </w:rPr>
              <w:t>）厂区周围无风景名胜区、文物保护单位、自然保护区、生态功能保护区和生活饮用水水源地保护区等环境敏感区，周边企业相容性较好；</w:t>
            </w:r>
          </w:p>
          <w:p w14:paraId="0AF3F6A6">
            <w:pPr>
              <w:keepNext w:val="0"/>
              <w:keepLines w:val="0"/>
              <w:widowControl/>
              <w:suppressLineNumbers w:val="0"/>
              <w:adjustRightInd w:val="0"/>
              <w:snapToGrid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w:t>
            </w:r>
            <w:r>
              <w:rPr>
                <w:rFonts w:hint="eastAsia" w:cs="Times New Roman"/>
                <w:color w:val="auto"/>
                <w:sz w:val="24"/>
                <w:lang w:val="en-US" w:eastAsia="zh-CN"/>
              </w:rPr>
              <w:t>3</w:t>
            </w:r>
            <w:r>
              <w:rPr>
                <w:rFonts w:hint="default" w:ascii="Times New Roman" w:hAnsi="Times New Roman" w:cs="Times New Roman"/>
                <w:color w:val="auto"/>
                <w:sz w:val="24"/>
              </w:rPr>
              <w:t>）由环境质量现状</w:t>
            </w:r>
            <w:r>
              <w:rPr>
                <w:rFonts w:hint="eastAsia" w:cs="Times New Roman"/>
                <w:color w:val="auto"/>
                <w:sz w:val="24"/>
                <w:lang w:val="en-US" w:eastAsia="zh-CN"/>
              </w:rPr>
              <w:t>分析</w:t>
            </w:r>
            <w:r>
              <w:rPr>
                <w:rFonts w:hint="default" w:ascii="Times New Roman" w:hAnsi="Times New Roman" w:cs="Times New Roman"/>
                <w:color w:val="auto"/>
                <w:sz w:val="24"/>
              </w:rPr>
              <w:t>可知，项目所在地环境空气、地表水环境、地下水环境、声环境及土壤环境质量现状均较好；</w:t>
            </w:r>
          </w:p>
          <w:p w14:paraId="640375FC">
            <w:pPr>
              <w:pStyle w:val="155"/>
              <w:keepNext w:val="0"/>
              <w:keepLines w:val="0"/>
              <w:suppressLineNumbers w:val="0"/>
              <w:spacing w:before="0" w:beforeAutospacing="0" w:after="0" w:afterAutospacing="0" w:line="360" w:lineRule="auto"/>
              <w:ind w:left="0" w:right="0" w:firstLine="480"/>
              <w:rPr>
                <w:rFonts w:hint="default" w:ascii="Times New Roman" w:hAnsi="Times New Roman"/>
                <w:color w:val="auto"/>
                <w:spacing w:val="-2"/>
                <w:sz w:val="24"/>
              </w:rPr>
            </w:pP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4</w:t>
            </w:r>
            <w:r>
              <w:rPr>
                <w:rFonts w:hint="default" w:ascii="Times New Roman" w:hAnsi="Times New Roman" w:cs="Times New Roman"/>
                <w:color w:val="auto"/>
                <w:sz w:val="24"/>
              </w:rPr>
              <w:t>）由环境影响分析可知，项目产生的废气、废水、噪声及固废均得到有效处理，对周边环境影响较小。</w:t>
            </w:r>
          </w:p>
          <w:p w14:paraId="4DCA7F14">
            <w:pPr>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综上所述，</w:t>
            </w:r>
            <w:r>
              <w:rPr>
                <w:rFonts w:hint="eastAsia"/>
                <w:color w:val="auto"/>
                <w:highlight w:val="none"/>
              </w:rPr>
              <w:t>本项目</w:t>
            </w:r>
            <w:r>
              <w:rPr>
                <w:rFonts w:hint="eastAsia"/>
                <w:color w:val="auto"/>
                <w:highlight w:val="none"/>
                <w:lang w:val="en-US" w:eastAsia="zh-CN"/>
              </w:rPr>
              <w:t>环境相容性较好</w:t>
            </w:r>
            <w:r>
              <w:rPr>
                <w:rFonts w:hint="default"/>
                <w:color w:val="auto"/>
                <w:highlight w:val="none"/>
              </w:rPr>
              <w:t>。</w:t>
            </w:r>
          </w:p>
          <w:p w14:paraId="43011CB1">
            <w:pPr>
              <w:keepNext w:val="0"/>
              <w:keepLines w:val="0"/>
              <w:suppressLineNumbers w:val="0"/>
              <w:bidi w:val="0"/>
              <w:spacing w:before="0" w:beforeAutospacing="0" w:after="0" w:afterAutospacing="0"/>
              <w:ind w:left="0" w:right="0"/>
              <w:rPr>
                <w:rFonts w:hint="default"/>
                <w:b/>
                <w:bCs/>
                <w:color w:val="auto"/>
                <w:highlight w:val="none"/>
                <w:lang w:val="en-US" w:eastAsia="zh-CN"/>
              </w:rPr>
            </w:pPr>
            <w:r>
              <w:rPr>
                <w:rFonts w:hint="eastAsia"/>
                <w:b/>
                <w:bCs/>
                <w:color w:val="auto"/>
                <w:highlight w:val="none"/>
                <w:lang w:val="en-US" w:eastAsia="zh-CN"/>
              </w:rPr>
              <w:t>3</w:t>
            </w:r>
            <w:r>
              <w:rPr>
                <w:rFonts w:hint="default"/>
                <w:b/>
                <w:bCs/>
                <w:color w:val="auto"/>
                <w:highlight w:val="none"/>
                <w:lang w:val="en-US" w:eastAsia="zh-CN"/>
              </w:rPr>
              <w:t>、与</w:t>
            </w:r>
            <w:r>
              <w:rPr>
                <w:rFonts w:hint="eastAsia"/>
                <w:b/>
                <w:bCs/>
                <w:color w:val="auto"/>
                <w:highlight w:val="none"/>
                <w:lang w:val="en-US" w:eastAsia="zh-CN"/>
              </w:rPr>
              <w:t>南昌</w:t>
            </w:r>
            <w:r>
              <w:rPr>
                <w:rFonts w:hint="default"/>
                <w:b/>
                <w:bCs/>
                <w:color w:val="auto"/>
                <w:highlight w:val="none"/>
                <w:lang w:val="en-US" w:eastAsia="zh-CN"/>
              </w:rPr>
              <w:t>市生态环境分区管控要求相符性分析</w:t>
            </w:r>
          </w:p>
          <w:p w14:paraId="75298097">
            <w:pPr>
              <w:keepNext w:val="0"/>
              <w:keepLines w:val="0"/>
              <w:suppressLineNumbers w:val="0"/>
              <w:bidi w:val="0"/>
              <w:spacing w:before="0" w:beforeAutospacing="0" w:after="0" w:afterAutospacing="0"/>
              <w:ind w:left="0" w:right="0"/>
              <w:rPr>
                <w:rFonts w:hint="default"/>
                <w:color w:val="auto"/>
                <w:highlight w:val="none"/>
                <w:lang w:val="zh-CN"/>
              </w:rPr>
            </w:pPr>
            <w:r>
              <w:rPr>
                <w:rFonts w:hint="eastAsia"/>
                <w:color w:val="auto"/>
                <w:highlight w:val="none"/>
                <w:lang w:val="zh-CN"/>
              </w:rPr>
              <w:t>（</w:t>
            </w:r>
            <w:r>
              <w:rPr>
                <w:rFonts w:hint="eastAsia"/>
                <w:color w:val="auto"/>
                <w:highlight w:val="none"/>
              </w:rPr>
              <w:t>1</w:t>
            </w:r>
            <w:r>
              <w:rPr>
                <w:rFonts w:hint="eastAsia"/>
                <w:color w:val="auto"/>
                <w:highlight w:val="none"/>
                <w:lang w:val="zh-CN"/>
              </w:rPr>
              <w:t>）</w:t>
            </w:r>
            <w:r>
              <w:rPr>
                <w:rFonts w:hint="default"/>
                <w:color w:val="auto"/>
                <w:highlight w:val="none"/>
                <w:lang w:val="zh-CN"/>
              </w:rPr>
              <w:t>生态保护红线：本项目位于</w:t>
            </w:r>
            <w:r>
              <w:rPr>
                <w:rFonts w:hint="eastAsia"/>
                <w:color w:val="auto"/>
                <w:highlight w:val="none"/>
                <w:lang w:val="en-US" w:eastAsia="zh-CN"/>
              </w:rPr>
              <w:t>江西安义</w:t>
            </w:r>
            <w:r>
              <w:rPr>
                <w:rFonts w:hint="eastAsia"/>
                <w:color w:val="auto"/>
                <w:highlight w:val="none"/>
                <w:lang w:val="zh-CN"/>
              </w:rPr>
              <w:t>高新技术产业园区</w:t>
            </w:r>
            <w:r>
              <w:rPr>
                <w:rFonts w:hint="default"/>
                <w:color w:val="auto"/>
                <w:highlight w:val="none"/>
                <w:lang w:val="zh-CN"/>
              </w:rPr>
              <w:t>，不</w:t>
            </w:r>
            <w:r>
              <w:rPr>
                <w:rFonts w:hint="eastAsia"/>
                <w:color w:val="auto"/>
                <w:highlight w:val="none"/>
              </w:rPr>
              <w:t>在</w:t>
            </w:r>
            <w:r>
              <w:rPr>
                <w:rFonts w:hint="eastAsia"/>
                <w:color w:val="auto"/>
                <w:highlight w:val="none"/>
                <w:lang w:val="en-US" w:eastAsia="zh-CN"/>
              </w:rPr>
              <w:t>安义</w:t>
            </w:r>
            <w:r>
              <w:rPr>
                <w:rFonts w:hint="eastAsia"/>
                <w:color w:val="auto"/>
                <w:highlight w:val="none"/>
              </w:rPr>
              <w:t>县</w:t>
            </w:r>
            <w:r>
              <w:rPr>
                <w:rFonts w:hint="default"/>
                <w:color w:val="auto"/>
                <w:highlight w:val="none"/>
                <w:lang w:val="zh-CN"/>
              </w:rPr>
              <w:t>生态</w:t>
            </w:r>
            <w:r>
              <w:rPr>
                <w:rFonts w:hint="eastAsia"/>
                <w:color w:val="auto"/>
                <w:highlight w:val="none"/>
              </w:rPr>
              <w:t>保护</w:t>
            </w:r>
            <w:r>
              <w:rPr>
                <w:rFonts w:hint="default"/>
                <w:color w:val="auto"/>
                <w:highlight w:val="none"/>
                <w:lang w:val="zh-CN"/>
              </w:rPr>
              <w:t>红线</w:t>
            </w:r>
            <w:r>
              <w:rPr>
                <w:rFonts w:hint="eastAsia"/>
                <w:color w:val="auto"/>
                <w:highlight w:val="none"/>
              </w:rPr>
              <w:t>范围内</w:t>
            </w:r>
            <w:r>
              <w:rPr>
                <w:rFonts w:hint="default"/>
                <w:color w:val="auto"/>
                <w:highlight w:val="none"/>
                <w:lang w:val="zh-CN"/>
              </w:rPr>
              <w:t>，</w:t>
            </w:r>
            <w:r>
              <w:rPr>
                <w:rFonts w:hint="eastAsia"/>
                <w:color w:val="auto"/>
                <w:highlight w:val="none"/>
                <w:lang w:val="en-US" w:eastAsia="zh-CN"/>
              </w:rPr>
              <w:t>本项目建设与</w:t>
            </w:r>
            <w:r>
              <w:rPr>
                <w:rFonts w:hint="default"/>
                <w:color w:val="auto"/>
                <w:highlight w:val="none"/>
                <w:lang w:val="zh-CN"/>
              </w:rPr>
              <w:t>生态保护红线的要求</w:t>
            </w:r>
            <w:r>
              <w:rPr>
                <w:rFonts w:hint="eastAsia"/>
                <w:color w:val="auto"/>
                <w:highlight w:val="none"/>
                <w:lang w:val="en-US" w:eastAsia="zh-CN"/>
              </w:rPr>
              <w:t>相符</w:t>
            </w:r>
            <w:r>
              <w:rPr>
                <w:rFonts w:hint="default"/>
                <w:color w:val="auto"/>
                <w:highlight w:val="none"/>
                <w:lang w:val="zh-CN"/>
              </w:rPr>
              <w:t>。</w:t>
            </w:r>
          </w:p>
          <w:p w14:paraId="482CBB5D">
            <w:pPr>
              <w:keepNext w:val="0"/>
              <w:keepLines w:val="0"/>
              <w:suppressLineNumbers w:val="0"/>
              <w:bidi w:val="0"/>
              <w:spacing w:before="0" w:beforeAutospacing="0" w:after="0" w:afterAutospacing="0"/>
              <w:ind w:left="0" w:right="0"/>
              <w:rPr>
                <w:rFonts w:hint="eastAsia"/>
                <w:color w:val="auto"/>
                <w:highlight w:val="none"/>
              </w:rPr>
            </w:pPr>
            <w:r>
              <w:rPr>
                <w:rFonts w:hint="eastAsia"/>
                <w:color w:val="auto"/>
                <w:highlight w:val="none"/>
                <w:lang w:val="zh-CN"/>
              </w:rPr>
              <w:t>（</w:t>
            </w:r>
            <w:r>
              <w:rPr>
                <w:rFonts w:hint="eastAsia"/>
                <w:color w:val="auto"/>
                <w:highlight w:val="none"/>
              </w:rPr>
              <w:t>2</w:t>
            </w:r>
            <w:r>
              <w:rPr>
                <w:rFonts w:hint="eastAsia"/>
                <w:color w:val="auto"/>
                <w:highlight w:val="none"/>
                <w:lang w:val="zh-CN"/>
              </w:rPr>
              <w:t>）</w:t>
            </w:r>
            <w:r>
              <w:rPr>
                <w:rFonts w:hint="default"/>
                <w:color w:val="auto"/>
                <w:highlight w:val="none"/>
                <w:lang w:val="zh-CN"/>
              </w:rPr>
              <w:t>环境质量底线：根据环境质量分析，</w:t>
            </w:r>
            <w:r>
              <w:rPr>
                <w:rFonts w:hint="eastAsia"/>
                <w:color w:val="auto"/>
                <w:highlight w:val="none"/>
                <w:lang w:val="zh-CN"/>
              </w:rPr>
              <w:t>本项目所在区域的环境空气质量</w:t>
            </w:r>
            <w:r>
              <w:rPr>
                <w:rFonts w:hint="eastAsia"/>
                <w:color w:val="auto"/>
                <w:highlight w:val="none"/>
                <w:lang w:val="en-US" w:eastAsia="zh-CN"/>
              </w:rPr>
              <w:t>可达到</w:t>
            </w:r>
            <w:r>
              <w:rPr>
                <w:rFonts w:hint="eastAsia"/>
                <w:color w:val="auto"/>
                <w:highlight w:val="none"/>
                <w:lang w:val="zh-CN"/>
              </w:rPr>
              <w:t>《环境空气质量标准》（GB3095-20</w:t>
            </w:r>
            <w:r>
              <w:rPr>
                <w:rFonts w:hint="eastAsia"/>
                <w:color w:val="auto"/>
                <w:highlight w:val="none"/>
                <w:lang w:val="en-US" w:eastAsia="zh-CN"/>
              </w:rPr>
              <w:t>26</w:t>
            </w:r>
            <w:r>
              <w:rPr>
                <w:rFonts w:hint="eastAsia"/>
                <w:color w:val="auto"/>
                <w:highlight w:val="none"/>
                <w:lang w:val="zh-CN"/>
              </w:rPr>
              <w:t>）</w:t>
            </w:r>
            <w:r>
              <w:rPr>
                <w:rFonts w:hint="eastAsia"/>
                <w:color w:val="auto"/>
                <w:highlight w:val="none"/>
                <w:lang w:val="en-US" w:eastAsia="zh-CN"/>
              </w:rPr>
              <w:t>过渡阶段二级浓度限值</w:t>
            </w:r>
            <w:r>
              <w:rPr>
                <w:rFonts w:hint="eastAsia"/>
                <w:color w:val="auto"/>
                <w:highlight w:val="none"/>
                <w:lang w:val="zh-CN"/>
              </w:rPr>
              <w:t>，地表水环境质量</w:t>
            </w:r>
            <w:r>
              <w:rPr>
                <w:rFonts w:hint="eastAsia"/>
                <w:color w:val="auto"/>
                <w:highlight w:val="none"/>
                <w:lang w:val="en-US" w:eastAsia="zh-CN"/>
              </w:rPr>
              <w:t>可达到</w:t>
            </w:r>
            <w:r>
              <w:rPr>
                <w:rFonts w:hint="eastAsia"/>
                <w:color w:val="auto"/>
                <w:highlight w:val="none"/>
                <w:lang w:val="zh-CN"/>
              </w:rPr>
              <w:t>《地表水环境质量标准》（GB3838-2002）</w:t>
            </w:r>
            <w:r>
              <w:rPr>
                <w:rFonts w:hint="default"/>
                <w:color w:val="auto"/>
                <w:highlight w:val="none"/>
                <w:lang w:val="zh-CN"/>
              </w:rPr>
              <w:t>Ⅲ</w:t>
            </w:r>
            <w:r>
              <w:rPr>
                <w:rFonts w:hint="eastAsia"/>
                <w:color w:val="auto"/>
                <w:highlight w:val="none"/>
                <w:lang w:val="zh-CN"/>
              </w:rPr>
              <w:t>类标准，</w:t>
            </w:r>
            <w:r>
              <w:rPr>
                <w:rFonts w:hint="eastAsia"/>
                <w:color w:val="auto"/>
                <w:highlight w:val="none"/>
                <w:lang w:val="en-US" w:eastAsia="zh-CN"/>
              </w:rPr>
              <w:t>厂界</w:t>
            </w:r>
            <w:r>
              <w:rPr>
                <w:rFonts w:hint="eastAsia"/>
                <w:color w:val="auto"/>
                <w:highlight w:val="none"/>
                <w:lang w:val="zh-CN"/>
              </w:rPr>
              <w:t>声环境</w:t>
            </w:r>
            <w:r>
              <w:rPr>
                <w:rFonts w:hint="eastAsia"/>
                <w:color w:val="auto"/>
                <w:highlight w:val="none"/>
                <w:lang w:val="en-US" w:eastAsia="zh-CN"/>
              </w:rPr>
              <w:t>质量可达到</w:t>
            </w:r>
            <w:r>
              <w:rPr>
                <w:rFonts w:hint="eastAsia"/>
                <w:color w:val="auto"/>
                <w:highlight w:val="none"/>
                <w:lang w:val="zh-CN"/>
              </w:rPr>
              <w:t>《声环境质量标准》（GB3096-2008）</w:t>
            </w:r>
            <w:r>
              <w:rPr>
                <w:rFonts w:hint="eastAsia"/>
                <w:color w:val="auto"/>
                <w:highlight w:val="none"/>
                <w:lang w:val="en-US" w:eastAsia="zh-CN"/>
              </w:rPr>
              <w:t>3</w:t>
            </w:r>
            <w:r>
              <w:rPr>
                <w:rFonts w:hint="eastAsia"/>
                <w:color w:val="auto"/>
                <w:highlight w:val="none"/>
                <w:lang w:val="zh-CN"/>
              </w:rPr>
              <w:t>类标准</w:t>
            </w:r>
            <w:r>
              <w:rPr>
                <w:rFonts w:hint="eastAsia"/>
                <w:color w:val="auto"/>
                <w:highlight w:val="none"/>
                <w:lang w:val="en-US" w:eastAsia="zh-CN"/>
              </w:rPr>
              <w:t>要求</w:t>
            </w:r>
            <w:r>
              <w:rPr>
                <w:rFonts w:hint="default"/>
                <w:color w:val="auto"/>
                <w:highlight w:val="none"/>
                <w:lang w:val="zh-CN"/>
              </w:rPr>
              <w:t>。项目建成后，将严格落实本环评提出的环境保护措施，对周边环境影响较小</w:t>
            </w:r>
            <w:r>
              <w:rPr>
                <w:rFonts w:hint="eastAsia"/>
                <w:color w:val="auto"/>
                <w:highlight w:val="none"/>
                <w:lang w:val="zh-CN"/>
              </w:rPr>
              <w:t>，</w:t>
            </w:r>
            <w:r>
              <w:rPr>
                <w:rFonts w:hint="eastAsia"/>
                <w:color w:val="auto"/>
                <w:highlight w:val="none"/>
              </w:rPr>
              <w:t>本项目建设</w:t>
            </w:r>
            <w:r>
              <w:rPr>
                <w:rFonts w:hint="eastAsia"/>
                <w:color w:val="auto"/>
                <w:highlight w:val="none"/>
                <w:lang w:eastAsia="zh-CN"/>
              </w:rPr>
              <w:t>与</w:t>
            </w:r>
            <w:r>
              <w:rPr>
                <w:rFonts w:hint="eastAsia"/>
                <w:color w:val="auto"/>
                <w:highlight w:val="none"/>
              </w:rPr>
              <w:t>环境质量底线</w:t>
            </w:r>
            <w:r>
              <w:rPr>
                <w:rFonts w:hint="eastAsia"/>
                <w:color w:val="auto"/>
                <w:highlight w:val="none"/>
                <w:lang w:eastAsia="zh-CN"/>
              </w:rPr>
              <w:t>的要求相符</w:t>
            </w:r>
            <w:r>
              <w:rPr>
                <w:rFonts w:hint="eastAsia"/>
                <w:color w:val="auto"/>
                <w:highlight w:val="none"/>
              </w:rPr>
              <w:t>。</w:t>
            </w:r>
          </w:p>
          <w:p w14:paraId="55786E06">
            <w:pPr>
              <w:keepNext w:val="0"/>
              <w:keepLines w:val="0"/>
              <w:suppressLineNumbers w:val="0"/>
              <w:bidi w:val="0"/>
              <w:spacing w:before="0" w:beforeAutospacing="0" w:after="0" w:afterAutospacing="0"/>
              <w:ind w:left="0" w:right="0"/>
              <w:rPr>
                <w:rFonts w:hint="eastAsia"/>
                <w:color w:val="auto"/>
                <w:highlight w:val="none"/>
                <w:lang w:val="zh-CN"/>
              </w:rPr>
            </w:pPr>
            <w:r>
              <w:rPr>
                <w:rFonts w:hint="eastAsia"/>
                <w:color w:val="auto"/>
                <w:highlight w:val="none"/>
                <w:lang w:val="zh-CN"/>
              </w:rPr>
              <w:t>（3）</w:t>
            </w:r>
            <w:r>
              <w:rPr>
                <w:rFonts w:hint="default"/>
                <w:color w:val="auto"/>
                <w:highlight w:val="none"/>
                <w:lang w:val="zh-CN"/>
              </w:rPr>
              <w:t>资源利用</w:t>
            </w:r>
            <w:r>
              <w:rPr>
                <w:rFonts w:hint="eastAsia"/>
                <w:color w:val="auto"/>
                <w:highlight w:val="none"/>
                <w:lang w:val="zh-CN"/>
              </w:rPr>
              <w:t>上</w:t>
            </w:r>
            <w:r>
              <w:rPr>
                <w:rFonts w:hint="eastAsia"/>
                <w:color w:val="auto"/>
                <w:highlight w:val="none"/>
                <w:lang w:val="en-US" w:eastAsia="zh-CN"/>
              </w:rPr>
              <w:t>线</w:t>
            </w:r>
            <w:r>
              <w:rPr>
                <w:rFonts w:hint="eastAsia"/>
                <w:color w:val="auto"/>
                <w:highlight w:val="none"/>
                <w:lang w:val="zh-CN"/>
              </w:rPr>
              <w:t>：本项目不直接开采自然资源，确保了项目周边的环境容量不会大幅变动。本项目需消耗一定量的水、电等资源，相对区域资源利用总量来说占比较小，</w:t>
            </w:r>
            <w:r>
              <w:rPr>
                <w:rFonts w:hint="eastAsia"/>
                <w:color w:val="auto"/>
                <w:highlight w:val="none"/>
                <w:lang w:val="zh-CN" w:eastAsia="zh-CN"/>
              </w:rPr>
              <w:t>项目建设与</w:t>
            </w:r>
            <w:r>
              <w:rPr>
                <w:rFonts w:hint="default"/>
                <w:color w:val="auto"/>
                <w:highlight w:val="none"/>
                <w:lang w:val="zh-CN"/>
              </w:rPr>
              <w:t>资源利用上</w:t>
            </w:r>
            <w:r>
              <w:rPr>
                <w:rFonts w:hint="eastAsia"/>
                <w:color w:val="auto"/>
                <w:highlight w:val="none"/>
                <w:lang w:val="en-US" w:eastAsia="zh-CN"/>
              </w:rPr>
              <w:t>线</w:t>
            </w:r>
            <w:r>
              <w:rPr>
                <w:rFonts w:hint="eastAsia"/>
                <w:color w:val="auto"/>
                <w:highlight w:val="none"/>
                <w:lang w:val="zh-CN" w:eastAsia="zh-CN"/>
              </w:rPr>
              <w:t>的要求相符</w:t>
            </w:r>
            <w:r>
              <w:rPr>
                <w:rFonts w:hint="default"/>
                <w:color w:val="auto"/>
                <w:highlight w:val="none"/>
                <w:lang w:val="zh-CN"/>
              </w:rPr>
              <w:t>。</w:t>
            </w:r>
          </w:p>
          <w:p w14:paraId="233F0A3C">
            <w:pPr>
              <w:keepNext w:val="0"/>
              <w:keepLines w:val="0"/>
              <w:suppressLineNumbers w:val="0"/>
              <w:bidi w:val="0"/>
              <w:spacing w:before="0" w:beforeAutospacing="0" w:after="0" w:afterAutospacing="0"/>
              <w:ind w:left="0" w:right="0"/>
              <w:rPr>
                <w:rFonts w:hint="eastAsia"/>
                <w:color w:val="auto"/>
                <w:highlight w:val="none"/>
                <w:lang w:val="zh-CN"/>
              </w:rPr>
            </w:pPr>
            <w:r>
              <w:rPr>
                <w:rFonts w:hint="eastAsia"/>
                <w:color w:val="auto"/>
                <w:highlight w:val="none"/>
                <w:lang w:val="zh-CN"/>
              </w:rPr>
              <w:t>（4）环境准入清单：</w:t>
            </w:r>
            <w:r>
              <w:rPr>
                <w:rFonts w:hint="eastAsia"/>
                <w:color w:val="auto"/>
                <w:highlight w:val="none"/>
                <w:lang w:val="en-US" w:eastAsia="zh-CN"/>
              </w:rPr>
              <w:t>根据</w:t>
            </w:r>
            <w:r>
              <w:rPr>
                <w:rFonts w:hint="eastAsia"/>
                <w:color w:val="auto"/>
                <w:highlight w:val="none"/>
                <w:lang w:val="zh-CN" w:eastAsia="zh-CN"/>
              </w:rPr>
              <w:t>《南昌市人民政府关于公布南昌市生态环境分区管控成果（2023年版）的通知》（洪府字〔2024〕51号），</w:t>
            </w:r>
            <w:r>
              <w:rPr>
                <w:rFonts w:hint="eastAsia"/>
                <w:color w:val="auto"/>
                <w:highlight w:val="none"/>
                <w:lang w:val="en-US" w:eastAsia="zh-CN"/>
              </w:rPr>
              <w:t>对比</w:t>
            </w:r>
            <w:r>
              <w:rPr>
                <w:rFonts w:hint="default"/>
                <w:color w:val="auto"/>
                <w:highlight w:val="none"/>
                <w:lang w:val="en-US" w:eastAsia="zh-CN"/>
              </w:rPr>
              <w:t>南昌市生态环境</w:t>
            </w:r>
            <w:r>
              <w:rPr>
                <w:rFonts w:hint="eastAsia"/>
                <w:color w:val="auto"/>
                <w:highlight w:val="none"/>
                <w:lang w:val="en-US" w:eastAsia="zh-CN"/>
              </w:rPr>
              <w:t>总体准入清单</w:t>
            </w:r>
            <w:r>
              <w:rPr>
                <w:rFonts w:hint="default"/>
                <w:color w:val="auto"/>
                <w:highlight w:val="none"/>
                <w:lang w:val="en-US" w:eastAsia="zh-CN"/>
              </w:rPr>
              <w:t>及</w:t>
            </w:r>
            <w:r>
              <w:rPr>
                <w:rFonts w:hint="eastAsia"/>
                <w:color w:val="auto"/>
                <w:highlight w:val="none"/>
                <w:lang w:val="en-US" w:eastAsia="zh-CN"/>
              </w:rPr>
              <w:t>南昌市</w:t>
            </w:r>
            <w:r>
              <w:rPr>
                <w:rFonts w:hint="default"/>
                <w:color w:val="auto"/>
                <w:highlight w:val="none"/>
                <w:lang w:val="en-US" w:eastAsia="zh-CN"/>
              </w:rPr>
              <w:t>环境管控单元生态环境准入清单</w:t>
            </w:r>
            <w:r>
              <w:rPr>
                <w:rFonts w:hint="eastAsia"/>
                <w:color w:val="auto"/>
                <w:highlight w:val="none"/>
                <w:lang w:val="en-US" w:eastAsia="zh-CN"/>
              </w:rPr>
              <w:t>中</w:t>
            </w:r>
            <w:r>
              <w:rPr>
                <w:rFonts w:hint="eastAsia"/>
                <w:color w:val="auto"/>
                <w:highlight w:val="none"/>
                <w:lang w:val="zh-CN"/>
              </w:rPr>
              <w:t>空间布局约束、污染物排放管控、环境风险防控、资源利用效率要求，本项目符合</w:t>
            </w:r>
            <w:r>
              <w:rPr>
                <w:rFonts w:hint="eastAsia"/>
                <w:color w:val="auto"/>
                <w:highlight w:val="none"/>
                <w:lang w:val="en-US" w:eastAsia="zh-CN"/>
              </w:rPr>
              <w:t>南昌</w:t>
            </w:r>
            <w:r>
              <w:rPr>
                <w:rFonts w:hint="eastAsia"/>
                <w:color w:val="auto"/>
                <w:highlight w:val="none"/>
                <w:lang w:val="zh-CN"/>
              </w:rPr>
              <w:t>市生态环境准入条件。</w:t>
            </w:r>
          </w:p>
          <w:p w14:paraId="16827070">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1）与</w:t>
            </w:r>
            <w:r>
              <w:rPr>
                <w:rFonts w:hint="default"/>
                <w:color w:val="auto"/>
                <w:highlight w:val="none"/>
                <w:lang w:val="en-US" w:eastAsia="zh-CN"/>
              </w:rPr>
              <w:t>南昌市生态环境</w:t>
            </w:r>
            <w:r>
              <w:rPr>
                <w:rFonts w:hint="eastAsia"/>
                <w:color w:val="auto"/>
                <w:highlight w:val="none"/>
                <w:lang w:val="en-US" w:eastAsia="zh-CN"/>
              </w:rPr>
              <w:t>总体准入清单相符性分析</w:t>
            </w:r>
          </w:p>
          <w:p w14:paraId="6886DCED">
            <w:pPr>
              <w:pStyle w:val="7"/>
              <w:keepNext w:val="0"/>
              <w:keepLines w:val="0"/>
              <w:suppressLineNumbers w:val="0"/>
              <w:bidi w:val="0"/>
              <w:spacing w:before="0" w:beforeAutospacing="0" w:after="0" w:afterAutospacing="0"/>
              <w:ind w:left="0" w:right="0"/>
              <w:jc w:val="center"/>
              <w:rPr>
                <w:rFonts w:hint="default"/>
                <w:b/>
                <w:bCs/>
                <w:color w:val="auto"/>
                <w:highlight w:val="none"/>
                <w:lang w:val="en-US"/>
              </w:rPr>
            </w:pPr>
            <w:r>
              <w:rPr>
                <w:rFonts w:hint="eastAsia"/>
                <w:b/>
                <w:bCs/>
                <w:color w:val="auto"/>
                <w:highlight w:val="none"/>
                <w:lang w:val="en-US" w:eastAsia="zh-CN"/>
              </w:rPr>
              <w:t>表1-5   与南昌市生态环境总体准入清单相符性分析表</w:t>
            </w:r>
          </w:p>
          <w:tbl>
            <w:tblPr>
              <w:tblStyle w:val="33"/>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5"/>
              <w:gridCol w:w="555"/>
              <w:gridCol w:w="2613"/>
              <w:gridCol w:w="1421"/>
              <w:gridCol w:w="1421"/>
            </w:tblGrid>
            <w:tr w14:paraId="643ED6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38" w:type="pct"/>
                  <w:tcBorders>
                    <w:bottom w:val="single" w:color="auto" w:sz="12" w:space="0"/>
                  </w:tcBorders>
                  <w:vAlign w:val="center"/>
                </w:tcPr>
                <w:p w14:paraId="284D565D">
                  <w:pPr>
                    <w:pStyle w:val="7"/>
                    <w:keepNext w:val="0"/>
                    <w:keepLines w:val="0"/>
                    <w:suppressLineNumbers w:val="0"/>
                    <w:bidi w:val="0"/>
                    <w:spacing w:before="0" w:beforeAutospacing="0" w:after="0" w:afterAutospacing="0"/>
                    <w:ind w:left="0" w:right="0"/>
                    <w:jc w:val="center"/>
                    <w:rPr>
                      <w:rFonts w:hint="eastAsia"/>
                      <w:b/>
                      <w:bCs/>
                      <w:color w:val="auto"/>
                      <w:highlight w:val="none"/>
                      <w:lang w:val="en-US" w:eastAsia="zh-CN"/>
                    </w:rPr>
                  </w:pPr>
                  <w:r>
                    <w:rPr>
                      <w:rFonts w:hint="eastAsia"/>
                      <w:b/>
                      <w:bCs/>
                      <w:color w:val="auto"/>
                      <w:highlight w:val="none"/>
                      <w:lang w:val="en-US" w:eastAsia="zh-CN"/>
                    </w:rPr>
                    <w:t>维度</w:t>
                  </w:r>
                </w:p>
              </w:tc>
              <w:tc>
                <w:tcPr>
                  <w:tcW w:w="430" w:type="pct"/>
                  <w:tcBorders>
                    <w:bottom w:val="single" w:color="auto" w:sz="12" w:space="0"/>
                  </w:tcBorders>
                  <w:vAlign w:val="center"/>
                </w:tcPr>
                <w:p w14:paraId="4B71995C">
                  <w:pPr>
                    <w:pStyle w:val="7"/>
                    <w:keepNext w:val="0"/>
                    <w:keepLines w:val="0"/>
                    <w:suppressLineNumbers w:val="0"/>
                    <w:bidi w:val="0"/>
                    <w:spacing w:before="0" w:beforeAutospacing="0" w:after="0" w:afterAutospacing="0"/>
                    <w:ind w:left="0" w:right="0"/>
                    <w:jc w:val="center"/>
                    <w:rPr>
                      <w:rFonts w:hint="default"/>
                      <w:b/>
                      <w:bCs/>
                      <w:color w:val="auto"/>
                      <w:highlight w:val="none"/>
                    </w:rPr>
                  </w:pPr>
                  <w:r>
                    <w:rPr>
                      <w:rFonts w:hint="default"/>
                      <w:b/>
                      <w:bCs/>
                      <w:color w:val="auto"/>
                      <w:highlight w:val="none"/>
                      <w:lang w:val="en-US" w:eastAsia="zh-CN"/>
                    </w:rPr>
                    <w:t>清单编制</w:t>
                  </w:r>
                  <w:r>
                    <w:rPr>
                      <w:rFonts w:hint="eastAsia"/>
                      <w:b/>
                      <w:bCs/>
                      <w:color w:val="auto"/>
                      <w:highlight w:val="none"/>
                      <w:lang w:val="en-US" w:eastAsia="zh-CN"/>
                    </w:rPr>
                    <w:t>要求</w:t>
                  </w:r>
                </w:p>
              </w:tc>
              <w:tc>
                <w:tcPr>
                  <w:tcW w:w="2026" w:type="pct"/>
                  <w:tcBorders>
                    <w:bottom w:val="single" w:color="auto" w:sz="12" w:space="0"/>
                  </w:tcBorders>
                  <w:vAlign w:val="center"/>
                </w:tcPr>
                <w:p w14:paraId="4BDAA2DF">
                  <w:pPr>
                    <w:pStyle w:val="7"/>
                    <w:keepNext w:val="0"/>
                    <w:keepLines w:val="0"/>
                    <w:suppressLineNumbers w:val="0"/>
                    <w:bidi w:val="0"/>
                    <w:spacing w:before="0" w:beforeAutospacing="0" w:after="0" w:afterAutospacing="0"/>
                    <w:ind w:left="0" w:right="0"/>
                    <w:jc w:val="center"/>
                    <w:rPr>
                      <w:rFonts w:hint="default"/>
                      <w:b/>
                      <w:bCs/>
                      <w:color w:val="auto"/>
                      <w:highlight w:val="none"/>
                    </w:rPr>
                  </w:pPr>
                  <w:r>
                    <w:rPr>
                      <w:rFonts w:hint="default"/>
                      <w:b/>
                      <w:bCs/>
                      <w:color w:val="auto"/>
                      <w:highlight w:val="none"/>
                      <w:lang w:val="en-US" w:eastAsia="zh-CN"/>
                    </w:rPr>
                    <w:t>生态环境准入要求</w:t>
                  </w:r>
                </w:p>
              </w:tc>
              <w:tc>
                <w:tcPr>
                  <w:tcW w:w="1102" w:type="pct"/>
                  <w:tcBorders>
                    <w:bottom w:val="single" w:color="auto" w:sz="12" w:space="0"/>
                  </w:tcBorders>
                  <w:vAlign w:val="center"/>
                </w:tcPr>
                <w:p w14:paraId="5F745238">
                  <w:pPr>
                    <w:pStyle w:val="7"/>
                    <w:keepNext w:val="0"/>
                    <w:keepLines w:val="0"/>
                    <w:suppressLineNumbers w:val="0"/>
                    <w:bidi w:val="0"/>
                    <w:spacing w:before="0" w:beforeAutospacing="0" w:after="0" w:afterAutospacing="0"/>
                    <w:ind w:left="0" w:right="0"/>
                    <w:jc w:val="center"/>
                    <w:rPr>
                      <w:rFonts w:hint="eastAsia"/>
                      <w:b/>
                      <w:bCs/>
                      <w:color w:val="auto"/>
                      <w:highlight w:val="none"/>
                      <w:lang w:val="en-US" w:eastAsia="zh-CN"/>
                    </w:rPr>
                  </w:pPr>
                  <w:r>
                    <w:rPr>
                      <w:rFonts w:hint="eastAsia"/>
                      <w:b/>
                      <w:bCs/>
                      <w:color w:val="auto"/>
                      <w:highlight w:val="none"/>
                      <w:lang w:val="en-US" w:eastAsia="zh-CN"/>
                    </w:rPr>
                    <w:t>本项目</w:t>
                  </w:r>
                </w:p>
              </w:tc>
              <w:tc>
                <w:tcPr>
                  <w:tcW w:w="1102" w:type="pct"/>
                  <w:tcBorders>
                    <w:bottom w:val="single" w:color="auto" w:sz="12" w:space="0"/>
                  </w:tcBorders>
                  <w:vAlign w:val="center"/>
                </w:tcPr>
                <w:p w14:paraId="5153EEF3">
                  <w:pPr>
                    <w:pStyle w:val="7"/>
                    <w:keepNext w:val="0"/>
                    <w:keepLines w:val="0"/>
                    <w:suppressLineNumbers w:val="0"/>
                    <w:bidi w:val="0"/>
                    <w:spacing w:before="0" w:beforeAutospacing="0" w:after="0" w:afterAutospacing="0"/>
                    <w:ind w:left="0" w:right="0"/>
                    <w:jc w:val="center"/>
                    <w:rPr>
                      <w:rFonts w:hint="eastAsia"/>
                      <w:b/>
                      <w:bCs/>
                      <w:color w:val="auto"/>
                      <w:highlight w:val="none"/>
                      <w:lang w:val="en-US" w:eastAsia="zh-CN"/>
                    </w:rPr>
                  </w:pPr>
                  <w:r>
                    <w:rPr>
                      <w:rFonts w:hint="eastAsia"/>
                      <w:b/>
                      <w:bCs/>
                      <w:color w:val="auto"/>
                      <w:highlight w:val="none"/>
                      <w:lang w:val="en-US" w:eastAsia="zh-CN"/>
                    </w:rPr>
                    <w:t>相符性分析</w:t>
                  </w:r>
                </w:p>
              </w:tc>
            </w:tr>
            <w:tr w14:paraId="72B033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restart"/>
                  <w:tcBorders>
                    <w:top w:val="single" w:color="auto" w:sz="12" w:space="0"/>
                    <w:tl2br w:val="nil"/>
                    <w:tr2bl w:val="nil"/>
                  </w:tcBorders>
                  <w:vAlign w:val="center"/>
                </w:tcPr>
                <w:p w14:paraId="745B2367">
                  <w:pPr>
                    <w:pStyle w:val="7"/>
                    <w:keepNext w:val="0"/>
                    <w:keepLines w:val="0"/>
                    <w:suppressLineNumbers w:val="0"/>
                    <w:bidi w:val="0"/>
                    <w:spacing w:before="0" w:beforeAutospacing="0" w:after="0" w:afterAutospacing="0"/>
                    <w:ind w:left="0" w:right="0"/>
                    <w:jc w:val="center"/>
                    <w:rPr>
                      <w:rFonts w:hint="default"/>
                      <w:color w:val="auto"/>
                      <w:highlight w:val="none"/>
                    </w:rPr>
                  </w:pPr>
                  <w:r>
                    <w:rPr>
                      <w:rFonts w:hint="default"/>
                      <w:color w:val="auto"/>
                      <w:highlight w:val="none"/>
                      <w:lang w:val="en-US" w:eastAsia="zh-CN"/>
                    </w:rPr>
                    <w:t>空间布局约束</w:t>
                  </w:r>
                </w:p>
              </w:tc>
              <w:tc>
                <w:tcPr>
                  <w:tcW w:w="430" w:type="pct"/>
                  <w:vMerge w:val="restart"/>
                  <w:tcBorders>
                    <w:top w:val="single" w:color="auto" w:sz="12" w:space="0"/>
                    <w:tl2br w:val="nil"/>
                    <w:tr2bl w:val="nil"/>
                  </w:tcBorders>
                  <w:vAlign w:val="center"/>
                </w:tcPr>
                <w:p w14:paraId="11FA727D">
                  <w:pPr>
                    <w:pStyle w:val="7"/>
                    <w:keepNext w:val="0"/>
                    <w:keepLines w:val="0"/>
                    <w:suppressLineNumbers w:val="0"/>
                    <w:bidi w:val="0"/>
                    <w:spacing w:before="0" w:beforeAutospacing="0" w:after="0" w:afterAutospacing="0"/>
                    <w:ind w:left="0" w:right="0"/>
                    <w:jc w:val="center"/>
                    <w:rPr>
                      <w:rFonts w:hint="default"/>
                      <w:color w:val="auto"/>
                      <w:highlight w:val="none"/>
                    </w:rPr>
                  </w:pPr>
                  <w:r>
                    <w:rPr>
                      <w:rFonts w:hint="default"/>
                      <w:color w:val="auto"/>
                      <w:highlight w:val="none"/>
                      <w:lang w:val="en-US" w:eastAsia="zh-CN"/>
                    </w:rPr>
                    <w:t>禁止开发建设活动的要求</w:t>
                  </w:r>
                </w:p>
              </w:tc>
              <w:tc>
                <w:tcPr>
                  <w:tcW w:w="2026" w:type="pct"/>
                  <w:tcBorders>
                    <w:top w:val="single" w:color="auto" w:sz="12" w:space="0"/>
                    <w:tl2br w:val="nil"/>
                    <w:tr2bl w:val="nil"/>
                  </w:tcBorders>
                  <w:vAlign w:val="center"/>
                </w:tcPr>
                <w:p w14:paraId="084E8039">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禁止新建《产业结构调整指导目录》限制类和淘汰类项目，现有产业改、扩建不得使用《产业结构调整指导目录》规定的淘汰类规模和生产工艺。</w:t>
                  </w:r>
                </w:p>
              </w:tc>
              <w:tc>
                <w:tcPr>
                  <w:tcW w:w="1102" w:type="pct"/>
                  <w:tcBorders>
                    <w:top w:val="single" w:color="auto" w:sz="12" w:space="0"/>
                    <w:tl2br w:val="nil"/>
                    <w:tr2bl w:val="nil"/>
                  </w:tcBorders>
                  <w:vAlign w:val="center"/>
                </w:tcPr>
                <w:p w14:paraId="28C66CCB">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本项目不属于</w:t>
                  </w:r>
                  <w:r>
                    <w:rPr>
                      <w:rFonts w:hint="default"/>
                      <w:color w:val="auto"/>
                      <w:highlight w:val="none"/>
                    </w:rPr>
                    <w:t>《产业结构调整指导目录》限制类和淘汰类项目</w:t>
                  </w:r>
                  <w:r>
                    <w:rPr>
                      <w:rFonts w:hint="eastAsia"/>
                      <w:color w:val="auto"/>
                      <w:highlight w:val="none"/>
                      <w:lang w:val="en-US" w:eastAsia="zh-CN"/>
                    </w:rPr>
                    <w:t>，不属于</w:t>
                  </w:r>
                  <w:r>
                    <w:rPr>
                      <w:rFonts w:hint="default"/>
                      <w:color w:val="auto"/>
                      <w:highlight w:val="none"/>
                    </w:rPr>
                    <w:t>淘汰类规模和生产工艺</w:t>
                  </w:r>
                  <w:r>
                    <w:rPr>
                      <w:rFonts w:hint="eastAsia"/>
                      <w:color w:val="auto"/>
                      <w:highlight w:val="none"/>
                      <w:lang w:eastAsia="zh-CN"/>
                    </w:rPr>
                    <w:t>。</w:t>
                  </w:r>
                </w:p>
              </w:tc>
              <w:tc>
                <w:tcPr>
                  <w:tcW w:w="1102" w:type="pct"/>
                  <w:tcBorders>
                    <w:top w:val="single" w:color="auto" w:sz="12" w:space="0"/>
                    <w:tl2br w:val="nil"/>
                    <w:tr2bl w:val="nil"/>
                  </w:tcBorders>
                  <w:vAlign w:val="center"/>
                </w:tcPr>
                <w:p w14:paraId="34BE2B4B">
                  <w:pPr>
                    <w:pStyle w:val="7"/>
                    <w:keepNext w:val="0"/>
                    <w:keepLines w:val="0"/>
                    <w:suppressLineNumbers w:val="0"/>
                    <w:bidi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符合</w:t>
                  </w:r>
                </w:p>
              </w:tc>
            </w:tr>
            <w:tr w14:paraId="2871AF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3AB2EF2C">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0F5BD236">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4815006E">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eastAsia"/>
                      <w:color w:val="auto"/>
                      <w:highlight w:val="none"/>
                      <w:lang w:val="en-US" w:eastAsia="zh-CN"/>
                    </w:rPr>
                    <w:t>安义县、湾里管理局禁止新建、改扩建《江西省第二批重点生态功能区产业准入负面清单》中禁止类项目</w:t>
                  </w:r>
                </w:p>
              </w:tc>
              <w:tc>
                <w:tcPr>
                  <w:tcW w:w="1102" w:type="pct"/>
                  <w:tcBorders>
                    <w:tl2br w:val="nil"/>
                    <w:tr2bl w:val="nil"/>
                  </w:tcBorders>
                  <w:vAlign w:val="center"/>
                </w:tcPr>
                <w:p w14:paraId="67D6F7D5">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本项目位于江西安义高新技术产业园区，不属于《江西省第二批重点生态功能区产业准入负面清单》中禁止类项目。</w:t>
                  </w:r>
                </w:p>
              </w:tc>
              <w:tc>
                <w:tcPr>
                  <w:tcW w:w="1102" w:type="pct"/>
                  <w:tcBorders>
                    <w:tl2br w:val="nil"/>
                    <w:tr2bl w:val="nil"/>
                  </w:tcBorders>
                  <w:vAlign w:val="center"/>
                </w:tcPr>
                <w:p w14:paraId="5B4C5714">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1B5091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192A0F56">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35AA5E02">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shd w:val="clear" w:color="auto" w:fill="auto"/>
                  <w:vAlign w:val="center"/>
                </w:tcPr>
                <w:p w14:paraId="26A89A9C">
                  <w:pPr>
                    <w:pStyle w:val="7"/>
                    <w:keepNext w:val="0"/>
                    <w:keepLines w:val="0"/>
                    <w:suppressLineNumbers w:val="0"/>
                    <w:bidi w:val="0"/>
                    <w:spacing w:before="0" w:beforeAutospacing="0" w:after="0" w:afterAutospacing="0"/>
                    <w:ind w:left="0" w:leftChars="0" w:right="0" w:rightChars="0" w:firstLine="0" w:firstLineChars="0"/>
                    <w:jc w:val="both"/>
                    <w:rPr>
                      <w:rFonts w:hint="default" w:ascii="Times New Roman" w:hAnsi="Times New Roman" w:eastAsia="宋体" w:cs="Times New Roman"/>
                      <w:color w:val="auto"/>
                      <w:kern w:val="2"/>
                      <w:sz w:val="21"/>
                      <w:szCs w:val="21"/>
                      <w:highlight w:val="none"/>
                      <w:lang w:val="en-US" w:eastAsia="zh-CN" w:bidi="ar-SA"/>
                    </w:rPr>
                  </w:pPr>
                  <w:r>
                    <w:rPr>
                      <w:rFonts w:hint="default"/>
                      <w:color w:val="auto"/>
                      <w:highlight w:val="none"/>
                    </w:rPr>
                    <w:t>禁止引进产业规划禁止类项目进入园区。</w:t>
                  </w:r>
                </w:p>
              </w:tc>
              <w:tc>
                <w:tcPr>
                  <w:tcW w:w="1102" w:type="pct"/>
                  <w:tcBorders>
                    <w:tl2br w:val="nil"/>
                    <w:tr2bl w:val="nil"/>
                  </w:tcBorders>
                  <w:shd w:val="clear" w:color="auto" w:fill="auto"/>
                  <w:vAlign w:val="center"/>
                </w:tcPr>
                <w:p w14:paraId="57702072">
                  <w:pPr>
                    <w:pStyle w:val="7"/>
                    <w:keepNext w:val="0"/>
                    <w:keepLines w:val="0"/>
                    <w:suppressLineNumbers w:val="0"/>
                    <w:bidi w:val="0"/>
                    <w:spacing w:before="0" w:beforeAutospacing="0" w:after="0" w:afterAutospacing="0"/>
                    <w:ind w:left="0" w:leftChars="0" w:right="0" w:rightChars="0" w:firstLine="0" w:firstLineChars="0"/>
                    <w:jc w:val="both"/>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lang w:val="en-US" w:eastAsia="zh-CN"/>
                    </w:rPr>
                    <w:t>本项目不属于江西安义高新技术产业园区产业规划</w:t>
                  </w:r>
                  <w:r>
                    <w:rPr>
                      <w:rFonts w:hint="default"/>
                      <w:color w:val="auto"/>
                      <w:highlight w:val="none"/>
                    </w:rPr>
                    <w:t>禁止类项目</w:t>
                  </w:r>
                  <w:r>
                    <w:rPr>
                      <w:rFonts w:hint="eastAsia"/>
                      <w:color w:val="auto"/>
                      <w:highlight w:val="none"/>
                      <w:lang w:eastAsia="zh-CN"/>
                    </w:rPr>
                    <w:t>。</w:t>
                  </w:r>
                </w:p>
              </w:tc>
              <w:tc>
                <w:tcPr>
                  <w:tcW w:w="1102" w:type="pct"/>
                  <w:tcBorders>
                    <w:tl2br w:val="nil"/>
                    <w:tr2bl w:val="nil"/>
                  </w:tcBorders>
                  <w:shd w:val="clear" w:color="auto" w:fill="auto"/>
                  <w:vAlign w:val="center"/>
                </w:tcPr>
                <w:p w14:paraId="12D82E86">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符合</w:t>
                  </w:r>
                </w:p>
              </w:tc>
            </w:tr>
            <w:tr w14:paraId="7CB134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7B5CD7C4">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6CB33BB3">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shd w:val="clear" w:color="auto" w:fill="auto"/>
                  <w:vAlign w:val="center"/>
                </w:tcPr>
                <w:p w14:paraId="37CE345C">
                  <w:pPr>
                    <w:pStyle w:val="7"/>
                    <w:keepNext w:val="0"/>
                    <w:keepLines w:val="0"/>
                    <w:suppressLineNumbers w:val="0"/>
                    <w:bidi w:val="0"/>
                    <w:spacing w:before="0" w:beforeAutospacing="0" w:after="0" w:afterAutospacing="0"/>
                    <w:ind w:left="0" w:leftChars="0" w:right="0" w:rightChars="0" w:firstLine="0" w:firstLineChars="0"/>
                    <w:jc w:val="both"/>
                    <w:rPr>
                      <w:rFonts w:hint="default" w:ascii="Times New Roman" w:hAnsi="Times New Roman" w:eastAsia="宋体" w:cs="Times New Roman"/>
                      <w:color w:val="auto"/>
                      <w:kern w:val="2"/>
                      <w:sz w:val="21"/>
                      <w:szCs w:val="21"/>
                      <w:highlight w:val="none"/>
                      <w:lang w:val="en-US" w:eastAsia="zh-CN" w:bidi="ar-SA"/>
                    </w:rPr>
                  </w:pPr>
                  <w:r>
                    <w:rPr>
                      <w:rFonts w:hint="default"/>
                      <w:color w:val="auto"/>
                      <w:highlight w:val="none"/>
                    </w:rPr>
                    <w:t>生态保护红线内，自然保护地核心保护区原则上禁止人为活动。</w:t>
                  </w:r>
                </w:p>
              </w:tc>
              <w:tc>
                <w:tcPr>
                  <w:tcW w:w="1102" w:type="pct"/>
                  <w:tcBorders>
                    <w:tl2br w:val="nil"/>
                    <w:tr2bl w:val="nil"/>
                  </w:tcBorders>
                  <w:shd w:val="clear" w:color="auto" w:fill="auto"/>
                  <w:vAlign w:val="center"/>
                </w:tcPr>
                <w:p w14:paraId="33826AA3">
                  <w:pPr>
                    <w:pStyle w:val="7"/>
                    <w:keepNext w:val="0"/>
                    <w:keepLines w:val="0"/>
                    <w:suppressLineNumbers w:val="0"/>
                    <w:bidi w:val="0"/>
                    <w:spacing w:before="0" w:beforeAutospacing="0" w:after="0" w:afterAutospacing="0"/>
                    <w:ind w:left="0" w:leftChars="0" w:right="0" w:rightChars="0" w:firstLine="0" w:firstLineChars="0"/>
                    <w:jc w:val="both"/>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lang w:val="en-US" w:eastAsia="zh-CN"/>
                    </w:rPr>
                    <w:t>本项目不在生态保护红线内。</w:t>
                  </w:r>
                </w:p>
              </w:tc>
              <w:tc>
                <w:tcPr>
                  <w:tcW w:w="1102" w:type="pct"/>
                  <w:tcBorders>
                    <w:tl2br w:val="nil"/>
                    <w:tr2bl w:val="nil"/>
                  </w:tcBorders>
                  <w:shd w:val="clear" w:color="auto" w:fill="auto"/>
                  <w:vAlign w:val="center"/>
                </w:tcPr>
                <w:p w14:paraId="5E646AAA">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符合</w:t>
                  </w:r>
                </w:p>
              </w:tc>
            </w:tr>
            <w:tr w14:paraId="7AAD2E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10987B79">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36738748">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4A7FA44B">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生态保护红线内自然保护地核心保护区外，禁止开发性、生产性建设活动，在符合法律法规的前提下，除国家重大项目外，仅允许《自然资源部 生态环境部 国家林业和草原局关于加强生态保护红线管理的通知（试行）》（自然资发〔2022〕142号）中明确对生态功能不造成破坏的有限人为活动。</w:t>
                  </w:r>
                </w:p>
              </w:tc>
              <w:tc>
                <w:tcPr>
                  <w:tcW w:w="1102" w:type="pct"/>
                  <w:tcBorders>
                    <w:tl2br w:val="nil"/>
                    <w:tr2bl w:val="nil"/>
                  </w:tcBorders>
                  <w:vAlign w:val="center"/>
                </w:tcPr>
                <w:p w14:paraId="49EAF70C">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default"/>
                      <w:color w:val="auto"/>
                      <w:highlight w:val="none"/>
                      <w:lang w:val="en-US" w:eastAsia="zh-CN"/>
                    </w:rPr>
                    <w:t>本项目不涉及生态保护红线和自然保护地核心保护区。</w:t>
                  </w:r>
                </w:p>
              </w:tc>
              <w:tc>
                <w:tcPr>
                  <w:tcW w:w="1102" w:type="pct"/>
                  <w:tcBorders>
                    <w:tl2br w:val="nil"/>
                    <w:tr2bl w:val="nil"/>
                  </w:tcBorders>
                  <w:vAlign w:val="center"/>
                </w:tcPr>
                <w:p w14:paraId="4A654373">
                  <w:pPr>
                    <w:pStyle w:val="7"/>
                    <w:keepNext w:val="0"/>
                    <w:keepLines w:val="0"/>
                    <w:suppressLineNumbers w:val="0"/>
                    <w:bidi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符合</w:t>
                  </w:r>
                </w:p>
              </w:tc>
            </w:tr>
            <w:tr w14:paraId="21B9EB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703F477E">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restart"/>
                  <w:tcBorders>
                    <w:tl2br w:val="nil"/>
                    <w:tr2bl w:val="nil"/>
                  </w:tcBorders>
                  <w:vAlign w:val="center"/>
                </w:tcPr>
                <w:p w14:paraId="7F60DF36">
                  <w:pPr>
                    <w:pStyle w:val="7"/>
                    <w:keepNext w:val="0"/>
                    <w:keepLines w:val="0"/>
                    <w:suppressLineNumbers w:val="0"/>
                    <w:bidi w:val="0"/>
                    <w:spacing w:before="0" w:beforeAutospacing="0" w:after="0" w:afterAutospacing="0"/>
                    <w:ind w:left="0" w:right="0"/>
                    <w:jc w:val="center"/>
                    <w:rPr>
                      <w:rFonts w:hint="default"/>
                      <w:color w:val="auto"/>
                      <w:highlight w:val="none"/>
                    </w:rPr>
                  </w:pPr>
                  <w:r>
                    <w:rPr>
                      <w:rFonts w:hint="default"/>
                      <w:color w:val="auto"/>
                      <w:highlight w:val="none"/>
                      <w:lang w:val="en-US" w:eastAsia="zh-CN"/>
                    </w:rPr>
                    <w:t>限制开发建设活动的要求</w:t>
                  </w:r>
                </w:p>
              </w:tc>
              <w:tc>
                <w:tcPr>
                  <w:tcW w:w="2026" w:type="pct"/>
                  <w:tcBorders>
                    <w:tl2br w:val="nil"/>
                    <w:tr2bl w:val="nil"/>
                  </w:tcBorders>
                  <w:vAlign w:val="center"/>
                </w:tcPr>
                <w:p w14:paraId="5E3E2A77">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县级及以上城市建成区禁止新建35蒸吨/小时及以下燃煤锅炉。</w:t>
                  </w:r>
                </w:p>
              </w:tc>
              <w:tc>
                <w:tcPr>
                  <w:tcW w:w="1102" w:type="pct"/>
                  <w:tcBorders>
                    <w:tl2br w:val="nil"/>
                    <w:tr2bl w:val="nil"/>
                  </w:tcBorders>
                  <w:vAlign w:val="center"/>
                </w:tcPr>
                <w:p w14:paraId="264CBE72">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eastAsia"/>
                      <w:color w:val="auto"/>
                      <w:highlight w:val="none"/>
                      <w:lang w:val="en-US" w:eastAsia="zh-CN"/>
                    </w:rPr>
                    <w:t>本项目不使用燃煤锅炉。</w:t>
                  </w:r>
                </w:p>
              </w:tc>
              <w:tc>
                <w:tcPr>
                  <w:tcW w:w="1102" w:type="pct"/>
                  <w:tcBorders>
                    <w:tl2br w:val="nil"/>
                    <w:tr2bl w:val="nil"/>
                  </w:tcBorders>
                  <w:vAlign w:val="center"/>
                </w:tcPr>
                <w:p w14:paraId="7C8461E4">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5F35C2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5AD0493D">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70AADB66">
                  <w:pPr>
                    <w:pStyle w:val="7"/>
                    <w:keepNext w:val="0"/>
                    <w:keepLines w:val="0"/>
                    <w:suppressLineNumbers w:val="0"/>
                    <w:bidi w:val="0"/>
                    <w:spacing w:before="0" w:beforeAutospacing="0" w:after="0" w:afterAutospacing="0"/>
                    <w:ind w:left="0" w:right="0"/>
                    <w:jc w:val="center"/>
                    <w:rPr>
                      <w:rFonts w:hint="default"/>
                      <w:color w:val="auto"/>
                      <w:highlight w:val="none"/>
                      <w:lang w:val="en-US" w:eastAsia="zh-CN"/>
                    </w:rPr>
                  </w:pPr>
                </w:p>
              </w:tc>
              <w:tc>
                <w:tcPr>
                  <w:tcW w:w="2026" w:type="pct"/>
                  <w:tcBorders>
                    <w:tl2br w:val="nil"/>
                    <w:tr2bl w:val="nil"/>
                  </w:tcBorders>
                  <w:vAlign w:val="center"/>
                </w:tcPr>
                <w:p w14:paraId="637AA13E">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default"/>
                      <w:color w:val="auto"/>
                      <w:highlight w:val="none"/>
                    </w:rPr>
                    <w:t>不得新建规模不符合各行业准入条件的项目。</w:t>
                  </w:r>
                </w:p>
              </w:tc>
              <w:tc>
                <w:tcPr>
                  <w:tcW w:w="1102" w:type="pct"/>
                  <w:tcBorders>
                    <w:tl2br w:val="nil"/>
                    <w:tr2bl w:val="nil"/>
                  </w:tcBorders>
                  <w:vAlign w:val="center"/>
                </w:tcPr>
                <w:p w14:paraId="4F5734B3">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eastAsia"/>
                      <w:color w:val="auto"/>
                      <w:highlight w:val="none"/>
                      <w:lang w:val="en-US" w:eastAsia="zh-CN"/>
                    </w:rPr>
                    <w:t>本项目不属于《产业结构调整指导目录（2024年本）》中鼓励类、限制类和淘汰类项目，符合产业政策的要求</w:t>
                  </w:r>
                  <w:r>
                    <w:rPr>
                      <w:rFonts w:hint="eastAsia"/>
                      <w:color w:val="auto"/>
                      <w:lang w:eastAsia="zh-CN"/>
                    </w:rPr>
                    <w:t>，</w:t>
                  </w:r>
                  <w:r>
                    <w:rPr>
                      <w:rFonts w:hint="eastAsia"/>
                      <w:color w:val="auto"/>
                      <w:lang w:val="en-US" w:eastAsia="zh-CN"/>
                    </w:rPr>
                    <w:t>企业符合《铸造企业规范条件》要求</w:t>
                  </w:r>
                  <w:r>
                    <w:rPr>
                      <w:rFonts w:hint="eastAsia"/>
                      <w:color w:val="auto"/>
                      <w:highlight w:val="none"/>
                      <w:lang w:val="en-US" w:eastAsia="zh-CN"/>
                    </w:rPr>
                    <w:t>。</w:t>
                  </w:r>
                </w:p>
              </w:tc>
              <w:tc>
                <w:tcPr>
                  <w:tcW w:w="1102" w:type="pct"/>
                  <w:tcBorders>
                    <w:tl2br w:val="nil"/>
                    <w:tr2bl w:val="nil"/>
                  </w:tcBorders>
                  <w:vAlign w:val="center"/>
                </w:tcPr>
                <w:p w14:paraId="259D0546">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480E45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363A3CBF">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1A1302AE">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0F61331B">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禁止新建、扩建不符合国家产能置换要求的严重过剩产能行业的项目。</w:t>
                  </w:r>
                </w:p>
              </w:tc>
              <w:tc>
                <w:tcPr>
                  <w:tcW w:w="1102" w:type="pct"/>
                  <w:tcBorders>
                    <w:tl2br w:val="nil"/>
                    <w:tr2bl w:val="nil"/>
                  </w:tcBorders>
                  <w:vAlign w:val="center"/>
                </w:tcPr>
                <w:p w14:paraId="272E7947">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本</w:t>
                  </w:r>
                  <w:r>
                    <w:rPr>
                      <w:rFonts w:hint="default"/>
                      <w:color w:val="auto"/>
                      <w:highlight w:val="none"/>
                      <w:lang w:val="en-US" w:eastAsia="zh-CN"/>
                    </w:rPr>
                    <w:t>项目不</w:t>
                  </w:r>
                  <w:r>
                    <w:rPr>
                      <w:rFonts w:hint="eastAsia"/>
                      <w:color w:val="auto"/>
                      <w:highlight w:val="none"/>
                      <w:lang w:val="en-US" w:eastAsia="zh-CN"/>
                    </w:rPr>
                    <w:t>属于国家</w:t>
                  </w:r>
                  <w:r>
                    <w:rPr>
                      <w:rFonts w:hint="default"/>
                      <w:color w:val="auto"/>
                      <w:highlight w:val="none"/>
                    </w:rPr>
                    <w:t>产能置换要求的严重过剩产能行业</w:t>
                  </w:r>
                  <w:r>
                    <w:rPr>
                      <w:rFonts w:hint="eastAsia"/>
                      <w:color w:val="auto"/>
                      <w:highlight w:val="none"/>
                      <w:lang w:val="en-US" w:eastAsia="zh-CN"/>
                    </w:rPr>
                    <w:t>的项目</w:t>
                  </w:r>
                  <w:r>
                    <w:rPr>
                      <w:rFonts w:hint="eastAsia"/>
                      <w:color w:val="auto"/>
                      <w:highlight w:val="none"/>
                      <w:lang w:eastAsia="zh-CN"/>
                    </w:rPr>
                    <w:t>。</w:t>
                  </w:r>
                </w:p>
              </w:tc>
              <w:tc>
                <w:tcPr>
                  <w:tcW w:w="1102" w:type="pct"/>
                  <w:tcBorders>
                    <w:tl2br w:val="nil"/>
                    <w:tr2bl w:val="nil"/>
                  </w:tcBorders>
                  <w:vAlign w:val="center"/>
                </w:tcPr>
                <w:p w14:paraId="533F2A47">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0F726B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2428EDF3">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31A835DD">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75D88A7A">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禁止新建用汞的电石</w:t>
                  </w:r>
                  <w:r>
                    <w:rPr>
                      <w:rFonts w:hint="eastAsia"/>
                      <w:color w:val="auto"/>
                      <w:highlight w:val="none"/>
                      <w:lang w:val="en-US" w:eastAsia="zh-CN"/>
                    </w:rPr>
                    <w:t>化（聚）</w:t>
                  </w:r>
                  <w:r>
                    <w:rPr>
                      <w:rFonts w:hint="default"/>
                      <w:color w:val="auto"/>
                      <w:highlight w:val="none"/>
                    </w:rPr>
                    <w:t>氯乙烯生产</w:t>
                  </w:r>
                  <w:r>
                    <w:rPr>
                      <w:rFonts w:hint="eastAsia"/>
                      <w:color w:val="auto"/>
                      <w:highlight w:val="none"/>
                      <w:lang w:val="en-US" w:eastAsia="zh-CN"/>
                    </w:rPr>
                    <w:t>工艺</w:t>
                  </w:r>
                  <w:r>
                    <w:rPr>
                      <w:rFonts w:hint="default"/>
                      <w:color w:val="auto"/>
                      <w:highlight w:val="none"/>
                    </w:rPr>
                    <w:t>。</w:t>
                  </w:r>
                </w:p>
              </w:tc>
              <w:tc>
                <w:tcPr>
                  <w:tcW w:w="1102" w:type="pct"/>
                  <w:tcBorders>
                    <w:tl2br w:val="nil"/>
                    <w:tr2bl w:val="nil"/>
                  </w:tcBorders>
                  <w:vAlign w:val="center"/>
                </w:tcPr>
                <w:p w14:paraId="2FAE59D4">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eastAsia"/>
                      <w:color w:val="auto"/>
                      <w:highlight w:val="none"/>
                      <w:lang w:val="en-US" w:eastAsia="zh-CN"/>
                    </w:rPr>
                    <w:t>本项目不属于聚氯乙烯生产项目。</w:t>
                  </w:r>
                </w:p>
              </w:tc>
              <w:tc>
                <w:tcPr>
                  <w:tcW w:w="1102" w:type="pct"/>
                  <w:tcBorders>
                    <w:tl2br w:val="nil"/>
                    <w:tr2bl w:val="nil"/>
                  </w:tcBorders>
                  <w:vAlign w:val="center"/>
                </w:tcPr>
                <w:p w14:paraId="65D9F0B7">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5B1850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71D3A10C">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3020AD69">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61C98D68">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禁止在鄱阳湖生态经济区滨湖控制开发带内新建、改建、扩建化学制浆造纸、</w:t>
                  </w:r>
                  <w:r>
                    <w:rPr>
                      <w:rFonts w:hint="eastAsia"/>
                      <w:color w:val="auto"/>
                      <w:highlight w:val="none"/>
                      <w:lang w:val="en-US" w:eastAsia="zh-CN"/>
                    </w:rPr>
                    <w:t>印染</w:t>
                  </w:r>
                  <w:r>
                    <w:rPr>
                      <w:rFonts w:hint="default"/>
                      <w:color w:val="auto"/>
                      <w:highlight w:val="none"/>
                    </w:rPr>
                    <w:t>、制革、电镀等排放含磷、氮、重金属等污染物的企业和项目。</w:t>
                  </w:r>
                </w:p>
              </w:tc>
              <w:tc>
                <w:tcPr>
                  <w:tcW w:w="1102" w:type="pct"/>
                  <w:tcBorders>
                    <w:tl2br w:val="nil"/>
                    <w:tr2bl w:val="nil"/>
                  </w:tcBorders>
                  <w:vAlign w:val="center"/>
                </w:tcPr>
                <w:p w14:paraId="106A7884">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eastAsia"/>
                      <w:color w:val="auto"/>
                      <w:highlight w:val="none"/>
                      <w:lang w:val="en-US" w:eastAsia="zh-CN"/>
                    </w:rPr>
                    <w:t>本项目位于江西安义高新技术产业园区，不在</w:t>
                  </w:r>
                  <w:r>
                    <w:rPr>
                      <w:rFonts w:hint="default"/>
                      <w:color w:val="auto"/>
                      <w:highlight w:val="none"/>
                    </w:rPr>
                    <w:t>鄱阳湖生态经济区滨湖控制开发带内</w:t>
                  </w:r>
                  <w:r>
                    <w:rPr>
                      <w:rFonts w:hint="eastAsia"/>
                      <w:color w:val="auto"/>
                      <w:highlight w:val="none"/>
                      <w:lang w:val="en-US" w:eastAsia="zh-CN"/>
                    </w:rPr>
                    <w:t>。</w:t>
                  </w:r>
                </w:p>
              </w:tc>
              <w:tc>
                <w:tcPr>
                  <w:tcW w:w="1102" w:type="pct"/>
                  <w:tcBorders>
                    <w:tl2br w:val="nil"/>
                    <w:tr2bl w:val="nil"/>
                  </w:tcBorders>
                  <w:vAlign w:val="center"/>
                </w:tcPr>
                <w:p w14:paraId="2CCD5A2B">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30D5FC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21ED9DDB">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305C0DF5">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7B94E791">
                  <w:pPr>
                    <w:pStyle w:val="7"/>
                    <w:keepNext w:val="0"/>
                    <w:keepLines w:val="0"/>
                    <w:suppressLineNumbers w:val="0"/>
                    <w:bidi w:val="0"/>
                    <w:spacing w:before="0" w:beforeAutospacing="0" w:after="0" w:afterAutospacing="0"/>
                    <w:ind w:left="0" w:right="0"/>
                    <w:jc w:val="both"/>
                    <w:rPr>
                      <w:rFonts w:hint="eastAsia"/>
                      <w:color w:val="auto"/>
                      <w:highlight w:val="none"/>
                      <w:lang w:eastAsia="zh-CN"/>
                    </w:rPr>
                  </w:pPr>
                  <w:r>
                    <w:rPr>
                      <w:rFonts w:hint="default"/>
                      <w:color w:val="auto"/>
                      <w:highlight w:val="none"/>
                    </w:rPr>
                    <w:t>严格限制企业新建自制水煤气发生炉</w:t>
                  </w:r>
                  <w:r>
                    <w:rPr>
                      <w:rFonts w:hint="eastAsia"/>
                      <w:color w:val="auto"/>
                      <w:highlight w:val="none"/>
                      <w:lang w:eastAsia="zh-CN"/>
                    </w:rPr>
                    <w:t>。</w:t>
                  </w:r>
                </w:p>
              </w:tc>
              <w:tc>
                <w:tcPr>
                  <w:tcW w:w="1102" w:type="pct"/>
                  <w:tcBorders>
                    <w:tl2br w:val="nil"/>
                    <w:tr2bl w:val="nil"/>
                  </w:tcBorders>
                  <w:vAlign w:val="center"/>
                </w:tcPr>
                <w:p w14:paraId="1B50F7D8">
                  <w:pPr>
                    <w:pStyle w:val="7"/>
                    <w:keepNext w:val="0"/>
                    <w:keepLines w:val="0"/>
                    <w:suppressLineNumbers w:val="0"/>
                    <w:bidi w:val="0"/>
                    <w:spacing w:before="0" w:beforeAutospacing="0" w:after="0" w:afterAutospacing="0"/>
                    <w:ind w:left="0" w:right="0"/>
                    <w:jc w:val="both"/>
                    <w:rPr>
                      <w:rFonts w:hint="default"/>
                      <w:color w:val="auto"/>
                      <w:highlight w:val="none"/>
                      <w:lang w:val="en-US"/>
                    </w:rPr>
                  </w:pPr>
                  <w:r>
                    <w:rPr>
                      <w:rFonts w:hint="eastAsia"/>
                      <w:color w:val="auto"/>
                      <w:highlight w:val="none"/>
                      <w:lang w:val="en-US" w:eastAsia="zh-CN"/>
                    </w:rPr>
                    <w:t>本项目不使用水煤气发生炉。</w:t>
                  </w:r>
                </w:p>
              </w:tc>
              <w:tc>
                <w:tcPr>
                  <w:tcW w:w="1102" w:type="pct"/>
                  <w:tcBorders>
                    <w:tl2br w:val="nil"/>
                    <w:tr2bl w:val="nil"/>
                  </w:tcBorders>
                  <w:vAlign w:val="center"/>
                </w:tcPr>
                <w:p w14:paraId="437A5D4B">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754D1D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8" w:type="pct"/>
                  <w:vMerge w:val="continue"/>
                  <w:tcBorders>
                    <w:tl2br w:val="nil"/>
                    <w:tr2bl w:val="nil"/>
                  </w:tcBorders>
                  <w:vAlign w:val="center"/>
                </w:tcPr>
                <w:p w14:paraId="31956B44">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22679C31">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3C49F487">
                  <w:pPr>
                    <w:pStyle w:val="7"/>
                    <w:keepNext w:val="0"/>
                    <w:keepLines w:val="0"/>
                    <w:suppressLineNumbers w:val="0"/>
                    <w:bidi w:val="0"/>
                    <w:spacing w:before="0" w:beforeAutospacing="0" w:after="0" w:afterAutospacing="0"/>
                    <w:ind w:left="0" w:right="0"/>
                    <w:jc w:val="both"/>
                    <w:rPr>
                      <w:rFonts w:hint="eastAsia"/>
                      <w:color w:val="auto"/>
                      <w:highlight w:val="none"/>
                      <w:lang w:eastAsia="zh-CN"/>
                    </w:rPr>
                  </w:pPr>
                  <w:r>
                    <w:rPr>
                      <w:rFonts w:hint="default"/>
                      <w:color w:val="auto"/>
                      <w:highlight w:val="none"/>
                    </w:rPr>
                    <w:t>不得在赣江、抚河保护区范围内进行规模化畜禽养殖；不得在赣江和抚河干流及鄱阳湖岸线5公里范围内新布局重化工园区，1公里范围内新上化工、造纸、制革、冶炼等重污染项目</w:t>
                  </w:r>
                  <w:r>
                    <w:rPr>
                      <w:rFonts w:hint="eastAsia"/>
                      <w:color w:val="auto"/>
                      <w:highlight w:val="none"/>
                      <w:lang w:eastAsia="zh-CN"/>
                    </w:rPr>
                    <w:t>。</w:t>
                  </w:r>
                </w:p>
              </w:tc>
              <w:tc>
                <w:tcPr>
                  <w:tcW w:w="1102" w:type="pct"/>
                  <w:tcBorders>
                    <w:tl2br w:val="nil"/>
                    <w:tr2bl w:val="nil"/>
                  </w:tcBorders>
                  <w:vAlign w:val="center"/>
                </w:tcPr>
                <w:p w14:paraId="1CE770E7">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eastAsia"/>
                      <w:color w:val="auto"/>
                      <w:highlight w:val="none"/>
                      <w:lang w:val="en-US" w:eastAsia="zh-CN"/>
                    </w:rPr>
                    <w:t>本项目不属于</w:t>
                  </w:r>
                  <w:r>
                    <w:rPr>
                      <w:rFonts w:hint="default"/>
                      <w:color w:val="auto"/>
                      <w:highlight w:val="none"/>
                    </w:rPr>
                    <w:t>规模化畜禽养殖</w:t>
                  </w:r>
                  <w:r>
                    <w:rPr>
                      <w:rFonts w:hint="eastAsia"/>
                      <w:color w:val="auto"/>
                      <w:highlight w:val="none"/>
                      <w:lang w:val="en-US" w:eastAsia="zh-CN"/>
                    </w:rPr>
                    <w:t>及化工园区项目，不属于化工、造纸、制革、冶炼等重污染项目。</w:t>
                  </w:r>
                </w:p>
              </w:tc>
              <w:tc>
                <w:tcPr>
                  <w:tcW w:w="1102" w:type="pct"/>
                  <w:tcBorders>
                    <w:tl2br w:val="nil"/>
                    <w:tr2bl w:val="nil"/>
                  </w:tcBorders>
                  <w:vAlign w:val="center"/>
                </w:tcPr>
                <w:p w14:paraId="46AA36A2">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7F8806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8" w:type="pct"/>
                  <w:vMerge w:val="continue"/>
                  <w:tcBorders>
                    <w:tl2br w:val="nil"/>
                    <w:tr2bl w:val="nil"/>
                  </w:tcBorders>
                  <w:vAlign w:val="center"/>
                </w:tcPr>
                <w:p w14:paraId="7B91FDBB">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4F21AEDE">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530FCD63">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禁止在鄱阳湖最高水位线外</w:t>
                  </w:r>
                  <w:r>
                    <w:rPr>
                      <w:rFonts w:hint="default"/>
                      <w:color w:val="auto"/>
                      <w:highlight w:val="none"/>
                      <w:lang w:val="en-US" w:eastAsia="en-US"/>
                    </w:rPr>
                    <w:t>1~3</w:t>
                  </w:r>
                  <w:r>
                    <w:rPr>
                      <w:rFonts w:hint="default"/>
                      <w:color w:val="auto"/>
                      <w:highlight w:val="none"/>
                    </w:rPr>
                    <w:t>公里范围内新建、改扩建各类高能耗、高排放行业项目和《污水综合排放标准》中一类污染物和持久性有机污染物的建设项目。</w:t>
                  </w:r>
                </w:p>
              </w:tc>
              <w:tc>
                <w:tcPr>
                  <w:tcW w:w="1102" w:type="pct"/>
                  <w:tcBorders>
                    <w:tl2br w:val="nil"/>
                    <w:tr2bl w:val="nil"/>
                  </w:tcBorders>
                  <w:vAlign w:val="center"/>
                </w:tcPr>
                <w:p w14:paraId="6ECB9C6F">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本项目不</w:t>
                  </w:r>
                  <w:r>
                    <w:rPr>
                      <w:rFonts w:hint="default"/>
                      <w:color w:val="auto"/>
                      <w:highlight w:val="none"/>
                    </w:rPr>
                    <w:t>在鄱阳湖最高水位线外</w:t>
                  </w:r>
                  <w:r>
                    <w:rPr>
                      <w:rFonts w:hint="default"/>
                      <w:color w:val="auto"/>
                      <w:highlight w:val="none"/>
                      <w:lang w:val="en-US" w:eastAsia="en-US"/>
                    </w:rPr>
                    <w:t>1~3</w:t>
                  </w:r>
                  <w:r>
                    <w:rPr>
                      <w:rFonts w:hint="default"/>
                      <w:color w:val="auto"/>
                      <w:highlight w:val="none"/>
                    </w:rPr>
                    <w:t>公里范围内</w:t>
                  </w:r>
                  <w:r>
                    <w:rPr>
                      <w:rFonts w:hint="eastAsia"/>
                      <w:color w:val="auto"/>
                      <w:highlight w:val="none"/>
                      <w:lang w:eastAsia="zh-CN"/>
                    </w:rPr>
                    <w:t>，</w:t>
                  </w:r>
                  <w:r>
                    <w:rPr>
                      <w:rFonts w:hint="eastAsia"/>
                      <w:color w:val="auto"/>
                      <w:highlight w:val="none"/>
                      <w:lang w:val="en-US" w:eastAsia="zh-CN"/>
                    </w:rPr>
                    <w:t>且不属于新建、改扩建各类高能耗、高排放行业项目和《污水综合排放标准》中一类污染物和持久性有机污染物的建设项目。</w:t>
                  </w:r>
                </w:p>
              </w:tc>
              <w:tc>
                <w:tcPr>
                  <w:tcW w:w="1102" w:type="pct"/>
                  <w:tcBorders>
                    <w:tl2br w:val="nil"/>
                    <w:tr2bl w:val="nil"/>
                  </w:tcBorders>
                  <w:vAlign w:val="center"/>
                </w:tcPr>
                <w:p w14:paraId="5B24EB8F">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7A0F5B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8" w:type="pct"/>
                  <w:vMerge w:val="continue"/>
                  <w:tcBorders>
                    <w:tl2br w:val="nil"/>
                    <w:tr2bl w:val="nil"/>
                  </w:tcBorders>
                  <w:vAlign w:val="center"/>
                </w:tcPr>
                <w:p w14:paraId="083E8586">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6F0E6758">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72D4538C">
                  <w:pPr>
                    <w:pStyle w:val="7"/>
                    <w:keepNext w:val="0"/>
                    <w:keepLines w:val="0"/>
                    <w:suppressLineNumbers w:val="0"/>
                    <w:bidi w:val="0"/>
                    <w:spacing w:before="0" w:beforeAutospacing="0" w:after="0" w:afterAutospacing="0"/>
                    <w:ind w:left="0" w:right="0"/>
                    <w:jc w:val="both"/>
                    <w:rPr>
                      <w:rFonts w:hint="eastAsia" w:eastAsia="宋体"/>
                      <w:color w:val="auto"/>
                      <w:highlight w:val="none"/>
                      <w:lang w:eastAsia="zh-CN"/>
                    </w:rPr>
                  </w:pPr>
                  <w:r>
                    <w:rPr>
                      <w:rFonts w:hint="default"/>
                      <w:color w:val="auto"/>
                      <w:highlight w:val="none"/>
                    </w:rPr>
                    <w:t>禁止建设不符合国家、省级批准的内河航道及港口布局规划的码头项目以及配套设施、锚地等工程。禁止新建、扩建不符合国家、省级批准的港口总体规划的码头项目及其配套设施、锚地等工程</w:t>
                  </w:r>
                  <w:r>
                    <w:rPr>
                      <w:rFonts w:hint="eastAsia"/>
                      <w:color w:val="auto"/>
                      <w:highlight w:val="none"/>
                      <w:lang w:eastAsia="zh-CN"/>
                    </w:rPr>
                    <w:t>。</w:t>
                  </w:r>
                </w:p>
              </w:tc>
              <w:tc>
                <w:tcPr>
                  <w:tcW w:w="1102" w:type="pct"/>
                  <w:tcBorders>
                    <w:tl2br w:val="nil"/>
                    <w:tr2bl w:val="nil"/>
                  </w:tcBorders>
                  <w:vAlign w:val="center"/>
                </w:tcPr>
                <w:p w14:paraId="2179FEE8">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本项目不属于</w:t>
                  </w:r>
                  <w:r>
                    <w:rPr>
                      <w:rFonts w:hint="default"/>
                      <w:color w:val="auto"/>
                      <w:highlight w:val="none"/>
                    </w:rPr>
                    <w:t>内河航道及港口布局规划的码头项目以及配套设施、锚地等工程</w:t>
                  </w:r>
                  <w:r>
                    <w:rPr>
                      <w:rFonts w:hint="eastAsia"/>
                      <w:color w:val="auto"/>
                      <w:highlight w:val="none"/>
                      <w:lang w:eastAsia="zh-CN"/>
                    </w:rPr>
                    <w:t>，</w:t>
                  </w:r>
                  <w:r>
                    <w:rPr>
                      <w:rFonts w:hint="eastAsia"/>
                      <w:color w:val="auto"/>
                      <w:highlight w:val="none"/>
                      <w:lang w:val="en-US" w:eastAsia="zh-CN"/>
                    </w:rPr>
                    <w:t>不属于</w:t>
                  </w:r>
                  <w:r>
                    <w:rPr>
                      <w:rFonts w:hint="default"/>
                      <w:color w:val="auto"/>
                      <w:highlight w:val="none"/>
                    </w:rPr>
                    <w:t>港口总体规划的码头项目及其配套设施、锚地等工程</w:t>
                  </w:r>
                  <w:r>
                    <w:rPr>
                      <w:rFonts w:hint="eastAsia"/>
                      <w:color w:val="auto"/>
                      <w:highlight w:val="none"/>
                      <w:lang w:val="en-US" w:eastAsia="zh-CN"/>
                    </w:rPr>
                    <w:t>。</w:t>
                  </w:r>
                </w:p>
              </w:tc>
              <w:tc>
                <w:tcPr>
                  <w:tcW w:w="1102" w:type="pct"/>
                  <w:tcBorders>
                    <w:tl2br w:val="nil"/>
                    <w:tr2bl w:val="nil"/>
                  </w:tcBorders>
                  <w:vAlign w:val="center"/>
                </w:tcPr>
                <w:p w14:paraId="352A6605">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35CF07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8" w:type="pct"/>
                  <w:vMerge w:val="continue"/>
                  <w:tcBorders>
                    <w:tl2br w:val="nil"/>
                    <w:tr2bl w:val="nil"/>
                  </w:tcBorders>
                  <w:vAlign w:val="center"/>
                </w:tcPr>
                <w:p w14:paraId="0FED8F5F">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16748106">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001A7EA8">
                  <w:pPr>
                    <w:pStyle w:val="7"/>
                    <w:keepNext w:val="0"/>
                    <w:keepLines w:val="0"/>
                    <w:suppressLineNumbers w:val="0"/>
                    <w:bidi w:val="0"/>
                    <w:spacing w:before="0" w:beforeAutospacing="0" w:after="0" w:afterAutospacing="0"/>
                    <w:ind w:left="0" w:right="0"/>
                    <w:jc w:val="both"/>
                    <w:rPr>
                      <w:rFonts w:hint="eastAsia"/>
                      <w:color w:val="auto"/>
                      <w:highlight w:val="none"/>
                      <w:lang w:eastAsia="zh-CN"/>
                    </w:rPr>
                  </w:pPr>
                  <w:r>
                    <w:rPr>
                      <w:rFonts w:hint="default"/>
                      <w:color w:val="auto"/>
                      <w:highlight w:val="none"/>
                    </w:rPr>
                    <w:t>在环境风险防控重点区域如居民集中区、医院和学校附近、重要水源涵养生态功能区等，以及因环境污染导致环境质量不能稳定达标的区域内，禁止新建或扩建可能引发环境风险的项目</w:t>
                  </w:r>
                  <w:r>
                    <w:rPr>
                      <w:rFonts w:hint="eastAsia"/>
                      <w:color w:val="auto"/>
                      <w:highlight w:val="none"/>
                      <w:lang w:eastAsia="zh-CN"/>
                    </w:rPr>
                    <w:t>。</w:t>
                  </w:r>
                </w:p>
              </w:tc>
              <w:tc>
                <w:tcPr>
                  <w:tcW w:w="1102" w:type="pct"/>
                  <w:tcBorders>
                    <w:tl2br w:val="nil"/>
                    <w:tr2bl w:val="nil"/>
                  </w:tcBorders>
                  <w:vAlign w:val="center"/>
                </w:tcPr>
                <w:p w14:paraId="23E21856">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本项目所在位置环境风险等级较低，且不属于环境风险防控重点区域。</w:t>
                  </w:r>
                </w:p>
              </w:tc>
              <w:tc>
                <w:tcPr>
                  <w:tcW w:w="1102" w:type="pct"/>
                  <w:tcBorders>
                    <w:tl2br w:val="nil"/>
                    <w:tr2bl w:val="nil"/>
                  </w:tcBorders>
                  <w:vAlign w:val="center"/>
                </w:tcPr>
                <w:p w14:paraId="40C82D0D">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645197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8" w:type="pct"/>
                  <w:vMerge w:val="continue"/>
                  <w:tcBorders>
                    <w:tl2br w:val="nil"/>
                    <w:tr2bl w:val="nil"/>
                  </w:tcBorders>
                  <w:vAlign w:val="center"/>
                </w:tcPr>
                <w:p w14:paraId="00D2A57D">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215BAF85">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6F5E2C10">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禁止在居民区、学校、</w:t>
                  </w:r>
                  <w:r>
                    <w:rPr>
                      <w:rFonts w:hint="eastAsia"/>
                      <w:color w:val="auto"/>
                      <w:highlight w:val="none"/>
                      <w:lang w:val="en-US" w:eastAsia="zh-CN"/>
                    </w:rPr>
                    <w:t>医院、疗养院、养老院</w:t>
                  </w:r>
                  <w:r>
                    <w:rPr>
                      <w:rFonts w:hint="default"/>
                      <w:color w:val="auto"/>
                      <w:highlight w:val="none"/>
                    </w:rPr>
                    <w:t>等周边新建</w:t>
                  </w:r>
                  <w:r>
                    <w:rPr>
                      <w:rFonts w:hint="eastAsia"/>
                      <w:color w:val="auto"/>
                      <w:highlight w:val="none"/>
                      <w:lang w:eastAsia="zh-CN"/>
                    </w:rPr>
                    <w:t>、</w:t>
                  </w:r>
                  <w:r>
                    <w:rPr>
                      <w:rFonts w:hint="eastAsia"/>
                      <w:color w:val="auto"/>
                      <w:highlight w:val="none"/>
                      <w:lang w:val="en-US" w:eastAsia="zh-CN"/>
                    </w:rPr>
                    <w:t>改建、扩建可能造成土壤污染的建设项目</w:t>
                  </w:r>
                  <w:r>
                    <w:rPr>
                      <w:rFonts w:hint="default"/>
                      <w:color w:val="auto"/>
                      <w:highlight w:val="none"/>
                    </w:rPr>
                    <w:t>。</w:t>
                  </w:r>
                </w:p>
              </w:tc>
              <w:tc>
                <w:tcPr>
                  <w:tcW w:w="1102" w:type="pct"/>
                  <w:tcBorders>
                    <w:tl2br w:val="nil"/>
                    <w:tr2bl w:val="nil"/>
                  </w:tcBorders>
                  <w:vAlign w:val="center"/>
                </w:tcPr>
                <w:p w14:paraId="1A809402">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本项目不属于</w:t>
                  </w:r>
                  <w:r>
                    <w:rPr>
                      <w:rFonts w:hint="default"/>
                      <w:color w:val="auto"/>
                      <w:highlight w:val="none"/>
                    </w:rPr>
                    <w:t>有色金属冶炼、焦化等行业企业</w:t>
                  </w:r>
                  <w:r>
                    <w:rPr>
                      <w:rFonts w:hint="eastAsia"/>
                      <w:color w:val="auto"/>
                      <w:highlight w:val="none"/>
                      <w:lang w:eastAsia="zh-CN"/>
                    </w:rPr>
                    <w:t>。</w:t>
                  </w:r>
                </w:p>
              </w:tc>
              <w:tc>
                <w:tcPr>
                  <w:tcW w:w="1102" w:type="pct"/>
                  <w:tcBorders>
                    <w:tl2br w:val="nil"/>
                    <w:tr2bl w:val="nil"/>
                  </w:tcBorders>
                  <w:vAlign w:val="center"/>
                </w:tcPr>
                <w:p w14:paraId="3C15EE70">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2AB990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8" w:type="pct"/>
                  <w:vMerge w:val="continue"/>
                  <w:tcBorders>
                    <w:tl2br w:val="nil"/>
                    <w:tr2bl w:val="nil"/>
                  </w:tcBorders>
                  <w:vAlign w:val="center"/>
                </w:tcPr>
                <w:p w14:paraId="1A5E0C26">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5E3851FE">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41E9AA71">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在水源地一级保护区内禁止新建、改建、扩建与供水设施和保护水源无关的建设项目，不得从事网箱养殖、旅游、游泳、垂钓或者其他可能污染水源的活动；在水源地二级保护区内禁止新建、改建、扩建排放污染物的建设项目；在水源地准保护区内禁止新建、扩建对水体污染严重的建设项目，改建建设项目，不得增加排污量。</w:t>
                  </w:r>
                </w:p>
              </w:tc>
              <w:tc>
                <w:tcPr>
                  <w:tcW w:w="1102" w:type="pct"/>
                  <w:tcBorders>
                    <w:tl2br w:val="nil"/>
                    <w:tr2bl w:val="nil"/>
                  </w:tcBorders>
                  <w:vAlign w:val="center"/>
                </w:tcPr>
                <w:p w14:paraId="03E8DD67">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本项目在江西安义高新技术产业园区内，不在水源地一级、二级保护区内，不在水源地准保护区内</w:t>
                  </w:r>
                  <w:r>
                    <w:rPr>
                      <w:rFonts w:hint="eastAsia"/>
                      <w:color w:val="auto"/>
                      <w:highlight w:val="none"/>
                      <w:lang w:eastAsia="zh-CN"/>
                    </w:rPr>
                    <w:t>。</w:t>
                  </w:r>
                </w:p>
              </w:tc>
              <w:tc>
                <w:tcPr>
                  <w:tcW w:w="1102" w:type="pct"/>
                  <w:tcBorders>
                    <w:tl2br w:val="nil"/>
                    <w:tr2bl w:val="nil"/>
                  </w:tcBorders>
                  <w:vAlign w:val="center"/>
                </w:tcPr>
                <w:p w14:paraId="6D1851E4">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3F8813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8" w:type="pct"/>
                  <w:vMerge w:val="continue"/>
                  <w:tcBorders>
                    <w:tl2br w:val="nil"/>
                    <w:tr2bl w:val="nil"/>
                  </w:tcBorders>
                  <w:vAlign w:val="center"/>
                </w:tcPr>
                <w:p w14:paraId="02CB9300">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2AA803E1">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12B18516">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严格限</w:t>
                  </w:r>
                  <w:r>
                    <w:rPr>
                      <w:rFonts w:hint="eastAsia" w:ascii="宋体" w:hAnsi="宋体" w:eastAsia="宋体" w:cs="宋体"/>
                      <w:color w:val="auto"/>
                      <w:highlight w:val="none"/>
                    </w:rPr>
                    <w:t>制</w:t>
                  </w:r>
                  <w:r>
                    <w:rPr>
                      <w:rFonts w:hint="eastAsia" w:ascii="宋体" w:hAnsi="宋体" w:eastAsia="宋体" w:cs="宋体"/>
                      <w:color w:val="auto"/>
                      <w:highlight w:val="none"/>
                      <w:lang w:val="zh-CN" w:eastAsia="zh-CN"/>
                    </w:rPr>
                    <w:t>“三</w:t>
                  </w:r>
                  <w:r>
                    <w:rPr>
                      <w:rFonts w:hint="eastAsia" w:ascii="宋体" w:hAnsi="宋体" w:eastAsia="宋体" w:cs="宋体"/>
                      <w:color w:val="auto"/>
                      <w:highlight w:val="none"/>
                    </w:rPr>
                    <w:t>磷”（</w:t>
                  </w:r>
                  <w:r>
                    <w:rPr>
                      <w:rFonts w:hint="default"/>
                      <w:color w:val="auto"/>
                      <w:highlight w:val="none"/>
                    </w:rPr>
                    <w:t>磷矿、磷肥和含磷农药制造等磷化工企业、磷石膏库）产业向本区域内转移。</w:t>
                  </w:r>
                </w:p>
              </w:tc>
              <w:tc>
                <w:tcPr>
                  <w:tcW w:w="1102" w:type="pct"/>
                  <w:tcBorders>
                    <w:tl2br w:val="nil"/>
                    <w:tr2bl w:val="nil"/>
                  </w:tcBorders>
                  <w:vAlign w:val="center"/>
                </w:tcPr>
                <w:p w14:paraId="49A291FA">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本项目不属于</w:t>
                  </w:r>
                  <w:r>
                    <w:rPr>
                      <w:rFonts w:hint="default"/>
                      <w:color w:val="auto"/>
                      <w:highlight w:val="none"/>
                    </w:rPr>
                    <w:t>磷农药制造等磷化工企业、磷石膏库）产业</w:t>
                  </w:r>
                  <w:r>
                    <w:rPr>
                      <w:rFonts w:hint="eastAsia"/>
                      <w:color w:val="auto"/>
                      <w:highlight w:val="none"/>
                      <w:lang w:eastAsia="zh-CN"/>
                    </w:rPr>
                    <w:t>。</w:t>
                  </w:r>
                </w:p>
              </w:tc>
              <w:tc>
                <w:tcPr>
                  <w:tcW w:w="1102" w:type="pct"/>
                  <w:tcBorders>
                    <w:tl2br w:val="nil"/>
                    <w:tr2bl w:val="nil"/>
                  </w:tcBorders>
                  <w:vAlign w:val="center"/>
                </w:tcPr>
                <w:p w14:paraId="06922BED">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50A0F6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8" w:type="pct"/>
                  <w:vMerge w:val="continue"/>
                  <w:tcBorders>
                    <w:tl2br w:val="nil"/>
                    <w:tr2bl w:val="nil"/>
                  </w:tcBorders>
                  <w:vAlign w:val="center"/>
                </w:tcPr>
                <w:p w14:paraId="6FB4D254">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225799B1">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6325BD13">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不得在优先保护类耕地集中区域新建有色金属冶炼、石油加工、化工、焦化、电镀、制革、危险废物利用等项目。</w:t>
                  </w:r>
                </w:p>
              </w:tc>
              <w:tc>
                <w:tcPr>
                  <w:tcW w:w="1102" w:type="pct"/>
                  <w:tcBorders>
                    <w:tl2br w:val="nil"/>
                    <w:tr2bl w:val="nil"/>
                  </w:tcBorders>
                  <w:vAlign w:val="center"/>
                </w:tcPr>
                <w:p w14:paraId="694EC82B">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eastAsia"/>
                      <w:color w:val="auto"/>
                      <w:highlight w:val="none"/>
                      <w:lang w:val="en-US" w:eastAsia="zh-CN"/>
                    </w:rPr>
                    <w:t>本项目不</w:t>
                  </w:r>
                  <w:r>
                    <w:rPr>
                      <w:rFonts w:hint="default"/>
                      <w:color w:val="auto"/>
                      <w:highlight w:val="none"/>
                    </w:rPr>
                    <w:t>在优先保护类耕地集中区域</w:t>
                  </w:r>
                  <w:r>
                    <w:rPr>
                      <w:rFonts w:hint="eastAsia"/>
                      <w:color w:val="auto"/>
                      <w:highlight w:val="none"/>
                      <w:lang w:eastAsia="zh-CN"/>
                    </w:rPr>
                    <w:t>，</w:t>
                  </w:r>
                  <w:r>
                    <w:rPr>
                      <w:rFonts w:hint="eastAsia"/>
                      <w:color w:val="auto"/>
                      <w:highlight w:val="none"/>
                      <w:lang w:val="en-US" w:eastAsia="zh-CN"/>
                    </w:rPr>
                    <w:t>不属于</w:t>
                  </w:r>
                  <w:r>
                    <w:rPr>
                      <w:rFonts w:hint="default"/>
                      <w:color w:val="auto"/>
                      <w:highlight w:val="none"/>
                    </w:rPr>
                    <w:t>有色金属冶炼、石油加工、化工、焦化、电镀、制革、危险废物利用等项目</w:t>
                  </w:r>
                  <w:r>
                    <w:rPr>
                      <w:rFonts w:hint="eastAsia"/>
                      <w:color w:val="auto"/>
                      <w:highlight w:val="none"/>
                      <w:lang w:val="en-US" w:eastAsia="zh-CN"/>
                    </w:rPr>
                    <w:t>。</w:t>
                  </w:r>
                </w:p>
              </w:tc>
              <w:tc>
                <w:tcPr>
                  <w:tcW w:w="1102" w:type="pct"/>
                  <w:tcBorders>
                    <w:tl2br w:val="nil"/>
                    <w:tr2bl w:val="nil"/>
                  </w:tcBorders>
                  <w:vAlign w:val="center"/>
                </w:tcPr>
                <w:p w14:paraId="33777677">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457E11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8" w:type="pct"/>
                  <w:vMerge w:val="continue"/>
                  <w:tcBorders>
                    <w:tl2br w:val="nil"/>
                    <w:tr2bl w:val="nil"/>
                  </w:tcBorders>
                  <w:vAlign w:val="center"/>
                </w:tcPr>
                <w:p w14:paraId="4A6CE914">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5374B3F8">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73795835">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不得在农产品生产区施用高毒高残留农药。</w:t>
                  </w:r>
                </w:p>
              </w:tc>
              <w:tc>
                <w:tcPr>
                  <w:tcW w:w="1102" w:type="pct"/>
                  <w:tcBorders>
                    <w:tl2br w:val="nil"/>
                    <w:tr2bl w:val="nil"/>
                  </w:tcBorders>
                  <w:vAlign w:val="center"/>
                </w:tcPr>
                <w:p w14:paraId="60430C01">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eastAsia"/>
                      <w:color w:val="auto"/>
                      <w:highlight w:val="none"/>
                      <w:lang w:val="en-US" w:eastAsia="zh-CN"/>
                    </w:rPr>
                    <w:t>本项目不使用高毒高残留农药。</w:t>
                  </w:r>
                </w:p>
              </w:tc>
              <w:tc>
                <w:tcPr>
                  <w:tcW w:w="1102" w:type="pct"/>
                  <w:tcBorders>
                    <w:tl2br w:val="nil"/>
                    <w:tr2bl w:val="nil"/>
                  </w:tcBorders>
                  <w:vAlign w:val="center"/>
                </w:tcPr>
                <w:p w14:paraId="2F25FD1F">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6D0CFD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8" w:type="pct"/>
                  <w:vMerge w:val="continue"/>
                  <w:tcBorders>
                    <w:tl2br w:val="nil"/>
                    <w:tr2bl w:val="nil"/>
                  </w:tcBorders>
                  <w:vAlign w:val="center"/>
                </w:tcPr>
                <w:p w14:paraId="3DDB18C0">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6BB6B170">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06B1B9D8">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严格危化品港口建设项目审批管理，不得在自然保护区核心区及缓冲区内新建码头工程。</w:t>
                  </w:r>
                </w:p>
              </w:tc>
              <w:tc>
                <w:tcPr>
                  <w:tcW w:w="1102" w:type="pct"/>
                  <w:tcBorders>
                    <w:tl2br w:val="nil"/>
                    <w:tr2bl w:val="nil"/>
                  </w:tcBorders>
                  <w:vAlign w:val="center"/>
                </w:tcPr>
                <w:p w14:paraId="5C00DC0B">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本项目</w:t>
                  </w:r>
                  <w:r>
                    <w:rPr>
                      <w:rFonts w:hint="default"/>
                      <w:color w:val="auto"/>
                      <w:highlight w:val="none"/>
                    </w:rPr>
                    <w:t>不在自然保护区核心区及缓冲区内</w:t>
                  </w:r>
                  <w:r>
                    <w:rPr>
                      <w:rFonts w:hint="eastAsia"/>
                      <w:color w:val="auto"/>
                      <w:highlight w:val="none"/>
                      <w:lang w:eastAsia="zh-CN"/>
                    </w:rPr>
                    <w:t>，</w:t>
                  </w:r>
                  <w:r>
                    <w:rPr>
                      <w:rFonts w:hint="eastAsia"/>
                      <w:color w:val="auto"/>
                      <w:highlight w:val="none"/>
                      <w:lang w:val="en-US" w:eastAsia="zh-CN"/>
                    </w:rPr>
                    <w:t>且不属于</w:t>
                  </w:r>
                  <w:r>
                    <w:rPr>
                      <w:rFonts w:hint="default"/>
                      <w:color w:val="auto"/>
                      <w:highlight w:val="none"/>
                    </w:rPr>
                    <w:t>码头工程</w:t>
                  </w:r>
                  <w:r>
                    <w:rPr>
                      <w:rFonts w:hint="eastAsia"/>
                      <w:color w:val="auto"/>
                      <w:highlight w:val="none"/>
                      <w:lang w:eastAsia="zh-CN"/>
                    </w:rPr>
                    <w:t>。</w:t>
                  </w:r>
                </w:p>
              </w:tc>
              <w:tc>
                <w:tcPr>
                  <w:tcW w:w="1102" w:type="pct"/>
                  <w:tcBorders>
                    <w:tl2br w:val="nil"/>
                    <w:tr2bl w:val="nil"/>
                  </w:tcBorders>
                  <w:vAlign w:val="center"/>
                </w:tcPr>
                <w:p w14:paraId="346CD298">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6248C6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8" w:type="pct"/>
                  <w:vMerge w:val="continue"/>
                  <w:tcBorders>
                    <w:tl2br w:val="nil"/>
                    <w:tr2bl w:val="nil"/>
                  </w:tcBorders>
                  <w:vAlign w:val="center"/>
                </w:tcPr>
                <w:p w14:paraId="3BAC9D40">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6C1E83F4">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08872FE7">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禁止在禁采区和禁采期内采砂（禁采区和禁采期以省政府批复的采砂规划为依据）。</w:t>
                  </w:r>
                </w:p>
              </w:tc>
              <w:tc>
                <w:tcPr>
                  <w:tcW w:w="1102" w:type="pct"/>
                  <w:tcBorders>
                    <w:tl2br w:val="nil"/>
                    <w:tr2bl w:val="nil"/>
                  </w:tcBorders>
                  <w:vAlign w:val="center"/>
                </w:tcPr>
                <w:p w14:paraId="3C35D1CB">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eastAsia"/>
                      <w:color w:val="auto"/>
                      <w:highlight w:val="none"/>
                      <w:lang w:val="en-US" w:eastAsia="zh-CN"/>
                    </w:rPr>
                    <w:t>本项目不属于采砂项目。</w:t>
                  </w:r>
                </w:p>
              </w:tc>
              <w:tc>
                <w:tcPr>
                  <w:tcW w:w="1102" w:type="pct"/>
                  <w:tcBorders>
                    <w:tl2br w:val="nil"/>
                    <w:tr2bl w:val="nil"/>
                  </w:tcBorders>
                  <w:vAlign w:val="center"/>
                </w:tcPr>
                <w:p w14:paraId="3983145D">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1B283C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338" w:type="pct"/>
                  <w:vMerge w:val="continue"/>
                  <w:tcBorders>
                    <w:tl2br w:val="nil"/>
                    <w:tr2bl w:val="nil"/>
                  </w:tcBorders>
                  <w:vAlign w:val="center"/>
                </w:tcPr>
                <w:p w14:paraId="146708B6">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0BC1BD9A">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42AB0220">
                  <w:pPr>
                    <w:pStyle w:val="7"/>
                    <w:keepNext w:val="0"/>
                    <w:keepLines w:val="0"/>
                    <w:suppressLineNumbers w:val="0"/>
                    <w:bidi w:val="0"/>
                    <w:spacing w:before="0" w:beforeAutospacing="0" w:after="0" w:afterAutospacing="0"/>
                    <w:ind w:left="0" w:right="0"/>
                    <w:jc w:val="both"/>
                    <w:rPr>
                      <w:rFonts w:hint="eastAsia"/>
                      <w:color w:val="auto"/>
                      <w:highlight w:val="none"/>
                      <w:lang w:eastAsia="zh-CN"/>
                    </w:rPr>
                  </w:pPr>
                  <w:r>
                    <w:rPr>
                      <w:rFonts w:hint="default"/>
                      <w:color w:val="auto"/>
                      <w:highlight w:val="none"/>
                    </w:rPr>
                    <w:t>不得在各县区划定的禁养区内设置养殖场和养殖小区</w:t>
                  </w:r>
                  <w:r>
                    <w:rPr>
                      <w:rFonts w:hint="eastAsia"/>
                      <w:color w:val="auto"/>
                      <w:highlight w:val="none"/>
                      <w:lang w:eastAsia="zh-CN"/>
                    </w:rPr>
                    <w:t>。</w:t>
                  </w:r>
                </w:p>
              </w:tc>
              <w:tc>
                <w:tcPr>
                  <w:tcW w:w="1102" w:type="pct"/>
                  <w:tcBorders>
                    <w:tl2br w:val="nil"/>
                    <w:tr2bl w:val="nil"/>
                  </w:tcBorders>
                  <w:vAlign w:val="center"/>
                </w:tcPr>
                <w:p w14:paraId="1C8BC6AD">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eastAsia"/>
                      <w:color w:val="auto"/>
                      <w:highlight w:val="none"/>
                      <w:lang w:val="en-US" w:eastAsia="zh-CN"/>
                    </w:rPr>
                    <w:t>本项目不属于养殖类项目。</w:t>
                  </w:r>
                </w:p>
              </w:tc>
              <w:tc>
                <w:tcPr>
                  <w:tcW w:w="1102" w:type="pct"/>
                  <w:tcBorders>
                    <w:tl2br w:val="nil"/>
                    <w:tr2bl w:val="nil"/>
                  </w:tcBorders>
                  <w:vAlign w:val="center"/>
                </w:tcPr>
                <w:p w14:paraId="08ABFCA4">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015332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338" w:type="pct"/>
                  <w:vMerge w:val="continue"/>
                  <w:tcBorders>
                    <w:tl2br w:val="nil"/>
                    <w:tr2bl w:val="nil"/>
                  </w:tcBorders>
                  <w:vAlign w:val="center"/>
                </w:tcPr>
                <w:p w14:paraId="4B6AC742">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1E60E572">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5DFA284B">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严格新、改、扩建涉重金属行业建设项目准入，严格遵循“等量置换”的原则，到2025年底，重点行业企业基本达到国内清洁生产先进水平。</w:t>
                  </w:r>
                </w:p>
              </w:tc>
              <w:tc>
                <w:tcPr>
                  <w:tcW w:w="1102" w:type="pct"/>
                  <w:tcBorders>
                    <w:tl2br w:val="nil"/>
                    <w:tr2bl w:val="nil"/>
                  </w:tcBorders>
                  <w:vAlign w:val="center"/>
                </w:tcPr>
                <w:p w14:paraId="63ABE017">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本项目不属于重金属行业项目。</w:t>
                  </w:r>
                </w:p>
              </w:tc>
              <w:tc>
                <w:tcPr>
                  <w:tcW w:w="1102" w:type="pct"/>
                  <w:tcBorders>
                    <w:tl2br w:val="nil"/>
                    <w:tr2bl w:val="nil"/>
                  </w:tcBorders>
                  <w:vAlign w:val="center"/>
                </w:tcPr>
                <w:p w14:paraId="33D48924">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2BFC0A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338" w:type="pct"/>
                  <w:vMerge w:val="continue"/>
                  <w:tcBorders>
                    <w:tl2br w:val="nil"/>
                    <w:tr2bl w:val="nil"/>
                  </w:tcBorders>
                  <w:vAlign w:val="center"/>
                </w:tcPr>
                <w:p w14:paraId="1870154C">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24F2FD46">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037E20DD">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现有岸线内的非法采砂活动、非法码头应开展专项检查和整治，规范采砂行为和码头经营活动。</w:t>
                  </w:r>
                </w:p>
              </w:tc>
              <w:tc>
                <w:tcPr>
                  <w:tcW w:w="1102" w:type="pct"/>
                  <w:tcBorders>
                    <w:tl2br w:val="nil"/>
                    <w:tr2bl w:val="nil"/>
                  </w:tcBorders>
                  <w:vAlign w:val="center"/>
                </w:tcPr>
                <w:p w14:paraId="11A58214">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本项目不属于采砂项目。</w:t>
                  </w:r>
                </w:p>
              </w:tc>
              <w:tc>
                <w:tcPr>
                  <w:tcW w:w="1102" w:type="pct"/>
                  <w:tcBorders>
                    <w:tl2br w:val="nil"/>
                    <w:tr2bl w:val="nil"/>
                  </w:tcBorders>
                  <w:vAlign w:val="center"/>
                </w:tcPr>
                <w:p w14:paraId="147E8EE7">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7FF1F4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8" w:type="pct"/>
                  <w:vMerge w:val="continue"/>
                  <w:tcBorders>
                    <w:tl2br w:val="nil"/>
                    <w:tr2bl w:val="nil"/>
                  </w:tcBorders>
                  <w:vAlign w:val="center"/>
                </w:tcPr>
                <w:p w14:paraId="171B0756">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1C6E680B">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5B8E32FE">
                  <w:pPr>
                    <w:pStyle w:val="7"/>
                    <w:keepNext w:val="0"/>
                    <w:keepLines w:val="0"/>
                    <w:suppressLineNumbers w:val="0"/>
                    <w:bidi w:val="0"/>
                    <w:spacing w:before="0" w:beforeAutospacing="0" w:after="0" w:afterAutospacing="0"/>
                    <w:ind w:left="0" w:right="0"/>
                    <w:jc w:val="both"/>
                    <w:rPr>
                      <w:rFonts w:hint="eastAsia"/>
                      <w:color w:val="auto"/>
                      <w:highlight w:val="none"/>
                      <w:lang w:eastAsia="zh-CN"/>
                    </w:rPr>
                  </w:pPr>
                  <w:r>
                    <w:rPr>
                      <w:rFonts w:hint="default"/>
                      <w:color w:val="auto"/>
                      <w:highlight w:val="none"/>
                    </w:rPr>
                    <w:t>在重金属污染防控红线区域内，禁止新建、改建、扩建增加重金属污染物排放的项目。严格控制重金属污染物排放项目的总体规模，严格限制排放重金属污染物的投资项目。因重金属污染导致环境质量不能稳定达标区域，禁止新建相关项目。现有的重金属排放企业，要严格执行涉重金属排放建设项目周边安全防护距离相关规定。</w:t>
                  </w:r>
                </w:p>
              </w:tc>
              <w:tc>
                <w:tcPr>
                  <w:tcW w:w="1102" w:type="pct"/>
                  <w:tcBorders>
                    <w:tl2br w:val="nil"/>
                    <w:tr2bl w:val="nil"/>
                  </w:tcBorders>
                  <w:vAlign w:val="center"/>
                </w:tcPr>
                <w:p w14:paraId="4FD2B662">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eastAsia"/>
                      <w:color w:val="auto"/>
                      <w:highlight w:val="none"/>
                      <w:lang w:val="en-US" w:eastAsia="zh-CN"/>
                    </w:rPr>
                    <w:t>本项目不属于</w:t>
                  </w:r>
                  <w:r>
                    <w:rPr>
                      <w:rFonts w:hint="default"/>
                      <w:color w:val="auto"/>
                      <w:highlight w:val="none"/>
                    </w:rPr>
                    <w:t>重金属污染</w:t>
                  </w:r>
                  <w:r>
                    <w:rPr>
                      <w:rFonts w:hint="eastAsia"/>
                      <w:color w:val="auto"/>
                      <w:highlight w:val="none"/>
                      <w:lang w:val="en-US" w:eastAsia="zh-CN"/>
                    </w:rPr>
                    <w:t>排放相关项目。</w:t>
                  </w:r>
                </w:p>
              </w:tc>
              <w:tc>
                <w:tcPr>
                  <w:tcW w:w="1102" w:type="pct"/>
                  <w:tcBorders>
                    <w:tl2br w:val="nil"/>
                    <w:tr2bl w:val="nil"/>
                  </w:tcBorders>
                  <w:vAlign w:val="center"/>
                </w:tcPr>
                <w:p w14:paraId="202288C0">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59880F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8" w:type="pct"/>
                  <w:vMerge w:val="continue"/>
                  <w:tcBorders>
                    <w:tl2br w:val="nil"/>
                    <w:tr2bl w:val="nil"/>
                  </w:tcBorders>
                  <w:vAlign w:val="center"/>
                </w:tcPr>
                <w:p w14:paraId="0D3CB802">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69C495C1">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shd w:val="clear" w:color="auto" w:fill="auto"/>
                  <w:vAlign w:val="center"/>
                </w:tcPr>
                <w:p w14:paraId="2128B885">
                  <w:pPr>
                    <w:pStyle w:val="7"/>
                    <w:keepNext w:val="0"/>
                    <w:keepLines w:val="0"/>
                    <w:suppressLineNumbers w:val="0"/>
                    <w:bidi w:val="0"/>
                    <w:spacing w:before="0" w:beforeAutospacing="0" w:after="0" w:afterAutospacing="0"/>
                    <w:ind w:left="0" w:leftChars="0" w:right="0" w:rightChars="0" w:firstLine="0" w:firstLineChars="0"/>
                    <w:jc w:val="both"/>
                    <w:rPr>
                      <w:rFonts w:hint="default" w:ascii="Times New Roman" w:hAnsi="Times New Roman" w:eastAsia="宋体" w:cs="Times New Roman"/>
                      <w:color w:val="auto"/>
                      <w:kern w:val="2"/>
                      <w:sz w:val="21"/>
                      <w:szCs w:val="21"/>
                      <w:highlight w:val="none"/>
                      <w:lang w:val="en-US" w:eastAsia="zh-CN" w:bidi="ar-SA"/>
                    </w:rPr>
                  </w:pPr>
                  <w:r>
                    <w:rPr>
                      <w:rFonts w:hint="default"/>
                      <w:color w:val="auto"/>
                      <w:highlight w:val="none"/>
                    </w:rPr>
                    <w:t>造纸、焦化、氮肥、有色金属冶炼、印染、农副食品加工、原料药制造、制革、农药、电镀等重点行业建设项目新建、改建、扩建实施主要水污染排放总量等量或减量置换。</w:t>
                  </w:r>
                </w:p>
              </w:tc>
              <w:tc>
                <w:tcPr>
                  <w:tcW w:w="1102" w:type="pct"/>
                  <w:tcBorders>
                    <w:tl2br w:val="nil"/>
                    <w:tr2bl w:val="nil"/>
                  </w:tcBorders>
                  <w:shd w:val="clear" w:color="auto" w:fill="auto"/>
                  <w:vAlign w:val="center"/>
                </w:tcPr>
                <w:p w14:paraId="7D9A7AE7">
                  <w:pPr>
                    <w:pStyle w:val="7"/>
                    <w:keepNext w:val="0"/>
                    <w:keepLines w:val="0"/>
                    <w:suppressLineNumbers w:val="0"/>
                    <w:bidi w:val="0"/>
                    <w:spacing w:before="0" w:beforeAutospacing="0" w:after="0" w:afterAutospacing="0"/>
                    <w:ind w:left="0" w:leftChars="0" w:right="0" w:rightChars="0" w:firstLine="0" w:firstLineChars="0"/>
                    <w:jc w:val="both"/>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lang w:val="en-US" w:eastAsia="zh-CN"/>
                    </w:rPr>
                    <w:t>本项目不属于造纸、焦化、氮肥、有色金属冶炼、印染、农副食品加工、原料药制造、制革、农药、电镀等重点行业</w:t>
                  </w:r>
                  <w:r>
                    <w:rPr>
                      <w:rFonts w:hint="eastAsia"/>
                      <w:color w:val="auto"/>
                      <w:highlight w:val="none"/>
                      <w:lang w:eastAsia="zh-CN"/>
                    </w:rPr>
                    <w:t>。</w:t>
                  </w:r>
                </w:p>
              </w:tc>
              <w:tc>
                <w:tcPr>
                  <w:tcW w:w="1102" w:type="pct"/>
                  <w:tcBorders>
                    <w:tl2br w:val="nil"/>
                    <w:tr2bl w:val="nil"/>
                  </w:tcBorders>
                  <w:shd w:val="clear" w:color="auto" w:fill="auto"/>
                  <w:vAlign w:val="center"/>
                </w:tcPr>
                <w:p w14:paraId="07C4D011">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符合</w:t>
                  </w:r>
                </w:p>
              </w:tc>
            </w:tr>
            <w:tr w14:paraId="6BFC38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8" w:type="pct"/>
                  <w:vMerge w:val="continue"/>
                  <w:tcBorders>
                    <w:tl2br w:val="nil"/>
                    <w:tr2bl w:val="nil"/>
                  </w:tcBorders>
                  <w:vAlign w:val="center"/>
                </w:tcPr>
                <w:p w14:paraId="386B523B">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56B56F28">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shd w:val="clear" w:color="auto" w:fill="auto"/>
                  <w:vAlign w:val="center"/>
                </w:tcPr>
                <w:p w14:paraId="312AFC21">
                  <w:pPr>
                    <w:pStyle w:val="7"/>
                    <w:keepNext w:val="0"/>
                    <w:keepLines w:val="0"/>
                    <w:suppressLineNumbers w:val="0"/>
                    <w:bidi w:val="0"/>
                    <w:spacing w:before="0" w:beforeAutospacing="0" w:after="0" w:afterAutospacing="0"/>
                    <w:ind w:left="0" w:leftChars="0" w:right="0" w:rightChars="0" w:firstLine="0" w:firstLineChars="0"/>
                    <w:jc w:val="both"/>
                    <w:rPr>
                      <w:rFonts w:hint="default"/>
                      <w:color w:val="auto"/>
                      <w:highlight w:val="none"/>
                    </w:rPr>
                  </w:pPr>
                  <w:r>
                    <w:rPr>
                      <w:rFonts w:hint="default"/>
                      <w:color w:val="auto"/>
                      <w:highlight w:val="none"/>
                    </w:rPr>
                    <w:t>新建、扩建的重有色金属冶炼、电镀、制革企业应当选择布设在依法合规设立并经规划环评的产业园区。</w:t>
                  </w:r>
                </w:p>
              </w:tc>
              <w:tc>
                <w:tcPr>
                  <w:tcW w:w="1102" w:type="pct"/>
                  <w:tcBorders>
                    <w:tl2br w:val="nil"/>
                    <w:tr2bl w:val="nil"/>
                  </w:tcBorders>
                  <w:shd w:val="clear" w:color="auto" w:fill="auto"/>
                  <w:vAlign w:val="center"/>
                </w:tcPr>
                <w:p w14:paraId="572837AE">
                  <w:pPr>
                    <w:pStyle w:val="7"/>
                    <w:keepNext w:val="0"/>
                    <w:keepLines w:val="0"/>
                    <w:suppressLineNumbers w:val="0"/>
                    <w:bidi w:val="0"/>
                    <w:spacing w:before="0" w:beforeAutospacing="0" w:after="0" w:afterAutospacing="0"/>
                    <w:ind w:left="0" w:leftChars="0" w:right="0" w:rightChars="0" w:firstLine="0" w:firstLineChars="0"/>
                    <w:jc w:val="both"/>
                    <w:rPr>
                      <w:rFonts w:hint="eastAsia"/>
                      <w:color w:val="auto"/>
                      <w:highlight w:val="none"/>
                      <w:lang w:val="en-US" w:eastAsia="zh-CN"/>
                    </w:rPr>
                  </w:pPr>
                  <w:r>
                    <w:rPr>
                      <w:rFonts w:hint="eastAsia"/>
                      <w:color w:val="auto"/>
                      <w:highlight w:val="none"/>
                      <w:lang w:val="en-US" w:eastAsia="zh-CN"/>
                    </w:rPr>
                    <w:t>本项目不属于重有色金属冶炼、电镀、制革项目。</w:t>
                  </w:r>
                </w:p>
              </w:tc>
              <w:tc>
                <w:tcPr>
                  <w:tcW w:w="1102" w:type="pct"/>
                  <w:tcBorders>
                    <w:tl2br w:val="nil"/>
                    <w:tr2bl w:val="nil"/>
                  </w:tcBorders>
                  <w:shd w:val="clear" w:color="auto" w:fill="auto"/>
                  <w:vAlign w:val="center"/>
                </w:tcPr>
                <w:p w14:paraId="606BF770">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符合</w:t>
                  </w:r>
                </w:p>
              </w:tc>
            </w:tr>
            <w:tr w14:paraId="41EF41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8" w:type="pct"/>
                  <w:vMerge w:val="continue"/>
                  <w:tcBorders>
                    <w:tl2br w:val="nil"/>
                    <w:tr2bl w:val="nil"/>
                  </w:tcBorders>
                  <w:vAlign w:val="center"/>
                </w:tcPr>
                <w:p w14:paraId="51E83E88">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2D9FC829">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2DAF4F05">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对于优先保护类耕地面积减少或者土壤环境质量类别为安全利用类和严格管控类的地区，依法采取环境影响评价区域限批等限制性措施。</w:t>
                  </w:r>
                </w:p>
              </w:tc>
              <w:tc>
                <w:tcPr>
                  <w:tcW w:w="1102" w:type="pct"/>
                  <w:tcBorders>
                    <w:tl2br w:val="nil"/>
                    <w:tr2bl w:val="nil"/>
                  </w:tcBorders>
                  <w:vAlign w:val="center"/>
                </w:tcPr>
                <w:p w14:paraId="290FB560">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本项目不涉及优先保护类耕地和土壤环境质量类别为安全利用类和严格管控类的地区。</w:t>
                  </w:r>
                </w:p>
              </w:tc>
              <w:tc>
                <w:tcPr>
                  <w:tcW w:w="1102" w:type="pct"/>
                  <w:tcBorders>
                    <w:tl2br w:val="nil"/>
                    <w:tr2bl w:val="nil"/>
                  </w:tcBorders>
                  <w:vAlign w:val="center"/>
                </w:tcPr>
                <w:p w14:paraId="2B9858C4">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324A30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7CBB6C74">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restart"/>
                  <w:tcBorders>
                    <w:tl2br w:val="nil"/>
                    <w:tr2bl w:val="nil"/>
                  </w:tcBorders>
                  <w:vAlign w:val="center"/>
                </w:tcPr>
                <w:p w14:paraId="7C28B7E7">
                  <w:pPr>
                    <w:pStyle w:val="7"/>
                    <w:keepNext w:val="0"/>
                    <w:keepLines w:val="0"/>
                    <w:suppressLineNumbers w:val="0"/>
                    <w:bidi w:val="0"/>
                    <w:spacing w:before="0" w:beforeAutospacing="0" w:after="0" w:afterAutospacing="0"/>
                    <w:ind w:left="0" w:right="0"/>
                    <w:jc w:val="center"/>
                    <w:rPr>
                      <w:rFonts w:hint="default"/>
                      <w:color w:val="auto"/>
                      <w:highlight w:val="none"/>
                    </w:rPr>
                  </w:pPr>
                  <w:r>
                    <w:rPr>
                      <w:rFonts w:hint="default"/>
                      <w:color w:val="auto"/>
                      <w:highlight w:val="none"/>
                      <w:lang w:val="en-US" w:eastAsia="zh-CN"/>
                    </w:rPr>
                    <w:t>不符合空间布局要求活动的退出要求</w:t>
                  </w:r>
                </w:p>
              </w:tc>
              <w:tc>
                <w:tcPr>
                  <w:tcW w:w="2026" w:type="pct"/>
                  <w:tcBorders>
                    <w:tl2br w:val="nil"/>
                    <w:tr2bl w:val="nil"/>
                  </w:tcBorders>
                  <w:vAlign w:val="center"/>
                </w:tcPr>
                <w:p w14:paraId="3B86C278">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现有自然保护区核心区及缓冲区内已有的各类生产设施以及危化品、石油类泊位应逐步拆除。</w:t>
                  </w:r>
                </w:p>
              </w:tc>
              <w:tc>
                <w:tcPr>
                  <w:tcW w:w="1102" w:type="pct"/>
                  <w:tcBorders>
                    <w:tl2br w:val="nil"/>
                    <w:tr2bl w:val="nil"/>
                  </w:tcBorders>
                  <w:vAlign w:val="center"/>
                </w:tcPr>
                <w:p w14:paraId="2867F961">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本项目不在</w:t>
                  </w:r>
                  <w:r>
                    <w:rPr>
                      <w:rFonts w:hint="default"/>
                      <w:color w:val="auto"/>
                      <w:highlight w:val="none"/>
                    </w:rPr>
                    <w:t>自然保护区核心区及缓冲区内</w:t>
                  </w:r>
                  <w:r>
                    <w:rPr>
                      <w:rFonts w:hint="eastAsia"/>
                      <w:color w:val="auto"/>
                      <w:highlight w:val="none"/>
                      <w:lang w:eastAsia="zh-CN"/>
                    </w:rPr>
                    <w:t>。</w:t>
                  </w:r>
                </w:p>
              </w:tc>
              <w:tc>
                <w:tcPr>
                  <w:tcW w:w="1102" w:type="pct"/>
                  <w:tcBorders>
                    <w:tl2br w:val="nil"/>
                    <w:tr2bl w:val="nil"/>
                  </w:tcBorders>
                  <w:vAlign w:val="center"/>
                </w:tcPr>
                <w:p w14:paraId="7F192697">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321A95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54696620">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0D4F8461">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4EEF9959">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现有赣江和抚河南昌段及鄱阳湖岸线1公里范围内的落后化工产能项目必须依法关闭退出，1公里范围内风险突出、无法实现就地改造的化工企业必须完成搬迁。</w:t>
                  </w:r>
                </w:p>
              </w:tc>
              <w:tc>
                <w:tcPr>
                  <w:tcW w:w="1102" w:type="pct"/>
                  <w:tcBorders>
                    <w:tl2br w:val="nil"/>
                    <w:tr2bl w:val="nil"/>
                  </w:tcBorders>
                  <w:vAlign w:val="center"/>
                </w:tcPr>
                <w:p w14:paraId="53C7D417">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eastAsia"/>
                      <w:color w:val="auto"/>
                      <w:highlight w:val="none"/>
                      <w:lang w:val="en-US" w:eastAsia="zh-CN"/>
                    </w:rPr>
                    <w:t>本项目不在</w:t>
                  </w:r>
                  <w:r>
                    <w:rPr>
                      <w:rFonts w:hint="default"/>
                      <w:color w:val="auto"/>
                      <w:highlight w:val="none"/>
                    </w:rPr>
                    <w:t>赣江和抚河南昌段及鄱阳湖岸线1公里范围内</w:t>
                  </w:r>
                  <w:r>
                    <w:rPr>
                      <w:rFonts w:hint="eastAsia"/>
                      <w:color w:val="auto"/>
                      <w:highlight w:val="none"/>
                      <w:lang w:eastAsia="zh-CN"/>
                    </w:rPr>
                    <w:t>，</w:t>
                  </w:r>
                  <w:r>
                    <w:rPr>
                      <w:rFonts w:hint="eastAsia"/>
                      <w:color w:val="auto"/>
                      <w:highlight w:val="none"/>
                      <w:lang w:val="en-US" w:eastAsia="zh-CN"/>
                    </w:rPr>
                    <w:t>不属于落后</w:t>
                  </w:r>
                  <w:r>
                    <w:rPr>
                      <w:rFonts w:hint="default"/>
                      <w:color w:val="auto"/>
                      <w:highlight w:val="none"/>
                    </w:rPr>
                    <w:t>化工产能项目</w:t>
                  </w:r>
                  <w:r>
                    <w:rPr>
                      <w:rFonts w:hint="eastAsia"/>
                      <w:color w:val="auto"/>
                      <w:highlight w:val="none"/>
                      <w:lang w:val="en-US" w:eastAsia="zh-CN"/>
                    </w:rPr>
                    <w:t>。</w:t>
                  </w:r>
                </w:p>
              </w:tc>
              <w:tc>
                <w:tcPr>
                  <w:tcW w:w="1102" w:type="pct"/>
                  <w:tcBorders>
                    <w:tl2br w:val="nil"/>
                    <w:tr2bl w:val="nil"/>
                  </w:tcBorders>
                  <w:vAlign w:val="center"/>
                </w:tcPr>
                <w:p w14:paraId="1B7FA211">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3898AC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75781B79">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5EC7973D">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6B9971AB">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生态保护红线经国务院批准后，对需逐步有序退出的矿业权、建设用地、人工商品林、耕地等，按照尊重历史、实事求是、逐步退出的原则，报请省政府另行制定工作方案。</w:t>
                  </w:r>
                </w:p>
              </w:tc>
              <w:tc>
                <w:tcPr>
                  <w:tcW w:w="1102" w:type="pct"/>
                  <w:tcBorders>
                    <w:tl2br w:val="nil"/>
                    <w:tr2bl w:val="nil"/>
                  </w:tcBorders>
                  <w:vAlign w:val="center"/>
                </w:tcPr>
                <w:p w14:paraId="7B5EAB97">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本项目不涉及生态保护红线。</w:t>
                  </w:r>
                </w:p>
              </w:tc>
              <w:tc>
                <w:tcPr>
                  <w:tcW w:w="1102" w:type="pct"/>
                  <w:tcBorders>
                    <w:tl2br w:val="nil"/>
                    <w:tr2bl w:val="nil"/>
                  </w:tcBorders>
                  <w:vAlign w:val="center"/>
                </w:tcPr>
                <w:p w14:paraId="4B905200">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19B97E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503CF6D7">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76C8793C">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78F92E50">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位于城镇人口密集区内，安全、卫生防护距离不能满足相关要求和不符合规划的现有危险化学品生产企业限期退出或依法关停。</w:t>
                  </w:r>
                </w:p>
              </w:tc>
              <w:tc>
                <w:tcPr>
                  <w:tcW w:w="1102" w:type="pct"/>
                  <w:tcBorders>
                    <w:tl2br w:val="nil"/>
                    <w:tr2bl w:val="nil"/>
                  </w:tcBorders>
                  <w:vAlign w:val="center"/>
                </w:tcPr>
                <w:p w14:paraId="736BF2AC">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eastAsia"/>
                      <w:color w:val="auto"/>
                      <w:highlight w:val="none"/>
                      <w:lang w:val="en-US" w:eastAsia="zh-CN"/>
                    </w:rPr>
                    <w:t>本项目不在</w:t>
                  </w:r>
                  <w:r>
                    <w:rPr>
                      <w:rFonts w:hint="default"/>
                      <w:color w:val="auto"/>
                      <w:highlight w:val="none"/>
                    </w:rPr>
                    <w:t>城镇人口密集区内</w:t>
                  </w:r>
                  <w:r>
                    <w:rPr>
                      <w:rFonts w:hint="eastAsia"/>
                      <w:color w:val="auto"/>
                      <w:highlight w:val="none"/>
                      <w:lang w:val="en-US" w:eastAsia="zh-CN"/>
                    </w:rPr>
                    <w:t>。</w:t>
                  </w:r>
                </w:p>
              </w:tc>
              <w:tc>
                <w:tcPr>
                  <w:tcW w:w="1102" w:type="pct"/>
                  <w:tcBorders>
                    <w:tl2br w:val="nil"/>
                    <w:tr2bl w:val="nil"/>
                  </w:tcBorders>
                  <w:vAlign w:val="center"/>
                </w:tcPr>
                <w:p w14:paraId="62BEC0E1">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14347D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561891F7">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745D79A5">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2CBEDE16">
                  <w:pPr>
                    <w:pStyle w:val="7"/>
                    <w:keepNext w:val="0"/>
                    <w:keepLines w:val="0"/>
                    <w:suppressLineNumbers w:val="0"/>
                    <w:bidi w:val="0"/>
                    <w:spacing w:before="0" w:beforeAutospacing="0" w:after="0" w:afterAutospacing="0"/>
                    <w:ind w:left="0" w:right="0"/>
                    <w:jc w:val="both"/>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zh-CN" w:eastAsia="zh-CN"/>
                    </w:rPr>
                    <w:t>“五河</w:t>
                  </w:r>
                  <w:r>
                    <w:rPr>
                      <w:rFonts w:hint="eastAsia" w:ascii="宋体" w:hAnsi="宋体" w:eastAsia="宋体" w:cs="宋体"/>
                      <w:color w:val="auto"/>
                      <w:highlight w:val="none"/>
                    </w:rPr>
                    <w:t>一湖”岸线延伸陆</w:t>
                  </w:r>
                  <w:r>
                    <w:rPr>
                      <w:rFonts w:hint="default" w:ascii="Times New Roman" w:hAnsi="Times New Roman" w:eastAsia="宋体" w:cs="Times New Roman"/>
                      <w:color w:val="auto"/>
                      <w:highlight w:val="none"/>
                    </w:rPr>
                    <w:t>域1公里范围内禁止新建重化工项目，督促</w:t>
                  </w:r>
                  <w:r>
                    <w:rPr>
                      <w:rFonts w:hint="eastAsia" w:ascii="宋体" w:hAnsi="宋体" w:eastAsia="宋体" w:cs="宋体"/>
                      <w:color w:val="auto"/>
                      <w:highlight w:val="none"/>
                    </w:rPr>
                    <w:t>已有化工企业逐步搬迁进入合规园区</w:t>
                  </w:r>
                  <w:r>
                    <w:rPr>
                      <w:rFonts w:hint="eastAsia" w:ascii="宋体" w:hAnsi="宋体" w:eastAsia="宋体" w:cs="宋体"/>
                      <w:color w:val="auto"/>
                      <w:highlight w:val="none"/>
                      <w:lang w:eastAsia="zh-CN"/>
                    </w:rPr>
                    <w:t>。</w:t>
                  </w:r>
                </w:p>
              </w:tc>
              <w:tc>
                <w:tcPr>
                  <w:tcW w:w="1102" w:type="pct"/>
                  <w:tcBorders>
                    <w:tl2br w:val="nil"/>
                    <w:tr2bl w:val="nil"/>
                  </w:tcBorders>
                  <w:vAlign w:val="center"/>
                </w:tcPr>
                <w:p w14:paraId="3DCE4ECA">
                  <w:pPr>
                    <w:pStyle w:val="7"/>
                    <w:keepNext w:val="0"/>
                    <w:keepLines w:val="0"/>
                    <w:suppressLineNumbers w:val="0"/>
                    <w:bidi w:val="0"/>
                    <w:spacing w:before="0" w:beforeAutospacing="0" w:after="0" w:afterAutospacing="0"/>
                    <w:ind w:left="0" w:right="0"/>
                    <w:jc w:val="both"/>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本项目在安义高新技术产业园区，不在</w:t>
                  </w:r>
                  <w:r>
                    <w:rPr>
                      <w:rFonts w:hint="eastAsia" w:ascii="宋体" w:hAnsi="宋体" w:eastAsia="宋体" w:cs="宋体"/>
                      <w:color w:val="auto"/>
                      <w:highlight w:val="none"/>
                      <w:lang w:val="zh-CN" w:eastAsia="zh-CN"/>
                    </w:rPr>
                    <w:t>“五河</w:t>
                  </w:r>
                  <w:r>
                    <w:rPr>
                      <w:rFonts w:hint="eastAsia" w:ascii="宋体" w:hAnsi="宋体" w:eastAsia="宋体" w:cs="宋体"/>
                      <w:color w:val="auto"/>
                      <w:highlight w:val="none"/>
                    </w:rPr>
                    <w:t>一湖”岸线延伸</w:t>
                  </w:r>
                  <w:r>
                    <w:rPr>
                      <w:rFonts w:hint="default" w:ascii="Times New Roman" w:hAnsi="Times New Roman" w:eastAsia="宋体" w:cs="Times New Roman"/>
                      <w:color w:val="auto"/>
                      <w:highlight w:val="none"/>
                    </w:rPr>
                    <w:t>陆域1公里范围内</w:t>
                  </w:r>
                  <w:r>
                    <w:rPr>
                      <w:rFonts w:hint="eastAsia" w:ascii="宋体" w:hAnsi="宋体" w:eastAsia="宋体" w:cs="宋体"/>
                      <w:color w:val="auto"/>
                      <w:highlight w:val="none"/>
                      <w:lang w:eastAsia="zh-CN"/>
                    </w:rPr>
                    <w:t>。</w:t>
                  </w:r>
                </w:p>
              </w:tc>
              <w:tc>
                <w:tcPr>
                  <w:tcW w:w="1102" w:type="pct"/>
                  <w:tcBorders>
                    <w:tl2br w:val="nil"/>
                    <w:tr2bl w:val="nil"/>
                  </w:tcBorders>
                  <w:vAlign w:val="center"/>
                </w:tcPr>
                <w:p w14:paraId="15EDC8DD">
                  <w:pPr>
                    <w:pStyle w:val="7"/>
                    <w:keepNext w:val="0"/>
                    <w:keepLines w:val="0"/>
                    <w:suppressLineNumbers w:val="0"/>
                    <w:bidi w:val="0"/>
                    <w:spacing w:before="0" w:beforeAutospacing="0" w:after="0" w:afterAutospacing="0"/>
                    <w:ind w:left="0" w:right="0"/>
                    <w:jc w:val="center"/>
                    <w:rPr>
                      <w:rFonts w:hint="eastAsia" w:ascii="宋体" w:hAnsi="宋体" w:eastAsia="宋体" w:cs="宋体"/>
                      <w:color w:val="auto"/>
                      <w:highlight w:val="none"/>
                      <w:lang w:val="en-US" w:eastAsia="zh-CN"/>
                    </w:rPr>
                  </w:pPr>
                  <w:r>
                    <w:rPr>
                      <w:rFonts w:hint="eastAsia"/>
                      <w:color w:val="auto"/>
                      <w:highlight w:val="none"/>
                      <w:lang w:val="en-US" w:eastAsia="zh-CN"/>
                    </w:rPr>
                    <w:t>符合</w:t>
                  </w:r>
                </w:p>
              </w:tc>
            </w:tr>
            <w:tr w14:paraId="4AD651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35EBD896">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20B6F80F">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38BEC454">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default"/>
                      <w:color w:val="auto"/>
                      <w:highlight w:val="none"/>
                    </w:rPr>
                    <w:t>深入开展非法采砂整治工作</w:t>
                  </w:r>
                  <w:r>
                    <w:rPr>
                      <w:rFonts w:hint="eastAsia"/>
                      <w:color w:val="auto"/>
                      <w:highlight w:val="none"/>
                      <w:lang w:eastAsia="zh-CN"/>
                    </w:rPr>
                    <w:t>。</w:t>
                  </w:r>
                  <w:r>
                    <w:rPr>
                      <w:rFonts w:hint="default"/>
                      <w:color w:val="auto"/>
                      <w:highlight w:val="none"/>
                    </w:rPr>
                    <w:t>严格采砂管理，全面规范采砂行为，坚决打击非法开采</w:t>
                  </w:r>
                  <w:r>
                    <w:rPr>
                      <w:rFonts w:hint="eastAsia"/>
                      <w:color w:val="auto"/>
                      <w:highlight w:val="none"/>
                      <w:lang w:eastAsia="zh-CN"/>
                    </w:rPr>
                    <w:t>。</w:t>
                  </w:r>
                </w:p>
              </w:tc>
              <w:tc>
                <w:tcPr>
                  <w:tcW w:w="1102" w:type="pct"/>
                  <w:tcBorders>
                    <w:tl2br w:val="nil"/>
                    <w:tr2bl w:val="nil"/>
                  </w:tcBorders>
                  <w:vAlign w:val="center"/>
                </w:tcPr>
                <w:p w14:paraId="660B441A">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eastAsia"/>
                      <w:color w:val="auto"/>
                      <w:highlight w:val="none"/>
                      <w:lang w:val="en-US" w:eastAsia="zh-CN"/>
                    </w:rPr>
                    <w:t>本项目不属于采砂项目。</w:t>
                  </w:r>
                </w:p>
              </w:tc>
              <w:tc>
                <w:tcPr>
                  <w:tcW w:w="1102" w:type="pct"/>
                  <w:tcBorders>
                    <w:tl2br w:val="nil"/>
                    <w:tr2bl w:val="nil"/>
                  </w:tcBorders>
                  <w:vAlign w:val="center"/>
                </w:tcPr>
                <w:p w14:paraId="668F12D8">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74CB0F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13909D43">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003EDCA5">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61D9A3C0">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default"/>
                      <w:color w:val="auto"/>
                      <w:highlight w:val="none"/>
                    </w:rPr>
                    <w:t>饮用水水源一级保护区内已建成的与供水设施和保护水源无关的建设项目，由县级以上人民政府责令拆除或者关闭。饮用水水源二级保护区内已建成的排放污染物的建设项目，由县级以上人民政府责令拆除或者关闭。</w:t>
                  </w:r>
                </w:p>
              </w:tc>
              <w:tc>
                <w:tcPr>
                  <w:tcW w:w="1102" w:type="pct"/>
                  <w:tcBorders>
                    <w:tl2br w:val="nil"/>
                    <w:tr2bl w:val="nil"/>
                  </w:tcBorders>
                  <w:vAlign w:val="center"/>
                </w:tcPr>
                <w:p w14:paraId="4366ED0E">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本项目不在</w:t>
                  </w:r>
                  <w:r>
                    <w:rPr>
                      <w:rFonts w:hint="default"/>
                      <w:color w:val="auto"/>
                      <w:highlight w:val="none"/>
                    </w:rPr>
                    <w:t>饮用水水源一级</w:t>
                  </w:r>
                  <w:r>
                    <w:rPr>
                      <w:rFonts w:hint="eastAsia"/>
                      <w:color w:val="auto"/>
                      <w:highlight w:val="none"/>
                      <w:lang w:eastAsia="zh-CN"/>
                    </w:rPr>
                    <w:t>、</w:t>
                  </w:r>
                  <w:r>
                    <w:rPr>
                      <w:rFonts w:hint="default"/>
                      <w:color w:val="auto"/>
                      <w:highlight w:val="none"/>
                    </w:rPr>
                    <w:t>二级保护区内</w:t>
                  </w:r>
                  <w:r>
                    <w:rPr>
                      <w:rFonts w:hint="eastAsia"/>
                      <w:color w:val="auto"/>
                      <w:highlight w:val="none"/>
                      <w:lang w:eastAsia="zh-CN"/>
                    </w:rPr>
                    <w:t>。</w:t>
                  </w:r>
                </w:p>
              </w:tc>
              <w:tc>
                <w:tcPr>
                  <w:tcW w:w="1102" w:type="pct"/>
                  <w:tcBorders>
                    <w:tl2br w:val="nil"/>
                    <w:tr2bl w:val="nil"/>
                  </w:tcBorders>
                  <w:vAlign w:val="center"/>
                </w:tcPr>
                <w:p w14:paraId="7396C778">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4A5689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4A3CE8DA">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75BC2FBE">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7893419B">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default"/>
                      <w:color w:val="auto"/>
                      <w:highlight w:val="none"/>
                    </w:rPr>
                    <w:t>对不符合产业政策要求的落后产能</w:t>
                  </w:r>
                  <w:r>
                    <w:rPr>
                      <w:rFonts w:hint="eastAsia" w:ascii="宋体" w:hAnsi="宋体" w:eastAsia="宋体" w:cs="宋体"/>
                      <w:color w:val="auto"/>
                      <w:highlight w:val="none"/>
                    </w:rPr>
                    <w:t>和</w:t>
                  </w:r>
                  <w:r>
                    <w:rPr>
                      <w:rFonts w:hint="eastAsia" w:ascii="宋体" w:hAnsi="宋体" w:eastAsia="宋体" w:cs="宋体"/>
                      <w:color w:val="auto"/>
                      <w:highlight w:val="none"/>
                      <w:lang w:val="zh-CN" w:eastAsia="zh-CN"/>
                    </w:rPr>
                    <w:t>“僵</w:t>
                  </w:r>
                  <w:r>
                    <w:rPr>
                      <w:rFonts w:hint="eastAsia" w:ascii="宋体" w:hAnsi="宋体" w:eastAsia="宋体" w:cs="宋体"/>
                      <w:color w:val="auto"/>
                      <w:highlight w:val="none"/>
                    </w:rPr>
                    <w:t>尸企业”</w:t>
                  </w:r>
                  <w:r>
                    <w:rPr>
                      <w:rFonts w:hint="default"/>
                      <w:color w:val="auto"/>
                      <w:highlight w:val="none"/>
                    </w:rPr>
                    <w:t>，以及环境风险、安全隐患突出而又无法搬迁或转型企业，依法实施</w:t>
                  </w:r>
                  <w:r>
                    <w:rPr>
                      <w:rFonts w:hint="default"/>
                      <w:color w:val="auto"/>
                      <w:highlight w:val="none"/>
                      <w:lang w:val="zh-CN" w:eastAsia="zh-CN"/>
                    </w:rPr>
                    <w:t>关停。</w:t>
                  </w:r>
                </w:p>
              </w:tc>
              <w:tc>
                <w:tcPr>
                  <w:tcW w:w="1102" w:type="pct"/>
                  <w:tcBorders>
                    <w:tl2br w:val="nil"/>
                    <w:tr2bl w:val="nil"/>
                  </w:tcBorders>
                  <w:vAlign w:val="center"/>
                </w:tcPr>
                <w:p w14:paraId="60012DD5">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eastAsia"/>
                      <w:color w:val="auto"/>
                      <w:highlight w:val="none"/>
                      <w:lang w:val="en-US" w:eastAsia="zh-CN"/>
                    </w:rPr>
                    <w:t>本项目不属于</w:t>
                  </w:r>
                  <w:r>
                    <w:rPr>
                      <w:rFonts w:hint="default"/>
                      <w:color w:val="auto"/>
                      <w:highlight w:val="none"/>
                    </w:rPr>
                    <w:t>落后产能和</w:t>
                  </w:r>
                  <w:r>
                    <w:rPr>
                      <w:rFonts w:hint="eastAsia" w:ascii="宋体" w:hAnsi="宋体" w:eastAsia="宋体" w:cs="宋体"/>
                      <w:color w:val="auto"/>
                      <w:highlight w:val="none"/>
                      <w:lang w:val="zh-CN" w:eastAsia="zh-CN"/>
                    </w:rPr>
                    <w:t>“僵</w:t>
                  </w:r>
                  <w:r>
                    <w:rPr>
                      <w:rFonts w:hint="eastAsia" w:ascii="宋体" w:hAnsi="宋体" w:eastAsia="宋体" w:cs="宋体"/>
                      <w:color w:val="auto"/>
                      <w:highlight w:val="none"/>
                    </w:rPr>
                    <w:t>尸企业”</w:t>
                  </w:r>
                  <w:r>
                    <w:rPr>
                      <w:rFonts w:hint="eastAsia" w:ascii="宋体" w:hAnsi="宋体" w:eastAsia="宋体" w:cs="宋体"/>
                      <w:color w:val="auto"/>
                      <w:highlight w:val="none"/>
                      <w:lang w:val="en-US" w:eastAsia="zh-CN"/>
                    </w:rPr>
                    <w:t>建设</w:t>
                  </w:r>
                  <w:r>
                    <w:rPr>
                      <w:rFonts w:hint="eastAsia"/>
                      <w:color w:val="auto"/>
                      <w:highlight w:val="none"/>
                      <w:lang w:val="en-US" w:eastAsia="zh-CN"/>
                    </w:rPr>
                    <w:t>项目。</w:t>
                  </w:r>
                </w:p>
              </w:tc>
              <w:tc>
                <w:tcPr>
                  <w:tcW w:w="1102" w:type="pct"/>
                  <w:tcBorders>
                    <w:tl2br w:val="nil"/>
                    <w:tr2bl w:val="nil"/>
                  </w:tcBorders>
                  <w:vAlign w:val="center"/>
                </w:tcPr>
                <w:p w14:paraId="3DC82D26">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6C57EC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04FE036F">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0C0C9441">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44E3BC5A">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default"/>
                      <w:color w:val="auto"/>
                      <w:highlight w:val="none"/>
                    </w:rPr>
                    <w:t>现有主城区或规划为商住、文教的区域的工业企业限期退出；城市建成区内的现有建材、有色金属、造纸、印染、原料药制造、化工等污染较重或严重影响环境的企业应有序搬迁、改造或依法关闭。</w:t>
                  </w:r>
                </w:p>
              </w:tc>
              <w:tc>
                <w:tcPr>
                  <w:tcW w:w="1102" w:type="pct"/>
                  <w:tcBorders>
                    <w:tl2br w:val="nil"/>
                    <w:tr2bl w:val="nil"/>
                  </w:tcBorders>
                  <w:vAlign w:val="center"/>
                </w:tcPr>
                <w:p w14:paraId="7CE791C8">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本项目不在主城区、</w:t>
                  </w:r>
                  <w:r>
                    <w:rPr>
                      <w:rFonts w:hint="default"/>
                      <w:color w:val="auto"/>
                      <w:highlight w:val="none"/>
                    </w:rPr>
                    <w:t>规划为商住、文教的区域</w:t>
                  </w:r>
                  <w:r>
                    <w:rPr>
                      <w:rFonts w:hint="eastAsia"/>
                      <w:color w:val="auto"/>
                      <w:highlight w:val="none"/>
                      <w:lang w:val="en-US" w:eastAsia="zh-CN"/>
                    </w:rPr>
                    <w:t>及</w:t>
                  </w:r>
                  <w:r>
                    <w:rPr>
                      <w:rFonts w:hint="default"/>
                      <w:color w:val="auto"/>
                      <w:highlight w:val="none"/>
                    </w:rPr>
                    <w:t>城市建成区内</w:t>
                  </w:r>
                  <w:r>
                    <w:rPr>
                      <w:rFonts w:hint="eastAsia"/>
                      <w:color w:val="auto"/>
                      <w:highlight w:val="none"/>
                      <w:lang w:eastAsia="zh-CN"/>
                    </w:rPr>
                    <w:t>。</w:t>
                  </w:r>
                </w:p>
              </w:tc>
              <w:tc>
                <w:tcPr>
                  <w:tcW w:w="1102" w:type="pct"/>
                  <w:tcBorders>
                    <w:tl2br w:val="nil"/>
                    <w:tr2bl w:val="nil"/>
                  </w:tcBorders>
                  <w:vAlign w:val="center"/>
                </w:tcPr>
                <w:p w14:paraId="47263D83">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3AEB73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078FA97F">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2ACD571B">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478EC50D">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default"/>
                      <w:color w:val="auto"/>
                      <w:highlight w:val="none"/>
                    </w:rPr>
                    <w:t>全面取缔河湖水库网箱养殖，禁止湖泊水库投放无机肥、有机肥和生物复合肥养殖。</w:t>
                  </w:r>
                </w:p>
              </w:tc>
              <w:tc>
                <w:tcPr>
                  <w:tcW w:w="1102" w:type="pct"/>
                  <w:tcBorders>
                    <w:tl2br w:val="nil"/>
                    <w:tr2bl w:val="nil"/>
                  </w:tcBorders>
                  <w:vAlign w:val="center"/>
                </w:tcPr>
                <w:p w14:paraId="4E1E272E">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本项目不属于养殖类项目</w:t>
                  </w:r>
                  <w:r>
                    <w:rPr>
                      <w:rFonts w:hint="eastAsia"/>
                      <w:color w:val="auto"/>
                      <w:highlight w:val="none"/>
                      <w:lang w:eastAsia="zh-CN"/>
                    </w:rPr>
                    <w:t>。</w:t>
                  </w:r>
                </w:p>
              </w:tc>
              <w:tc>
                <w:tcPr>
                  <w:tcW w:w="1102" w:type="pct"/>
                  <w:tcBorders>
                    <w:tl2br w:val="nil"/>
                    <w:tr2bl w:val="nil"/>
                  </w:tcBorders>
                  <w:vAlign w:val="center"/>
                </w:tcPr>
                <w:p w14:paraId="674A5972">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71B756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73E87992">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493C7B1C">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shd w:val="clear" w:color="auto" w:fill="auto"/>
                  <w:vAlign w:val="center"/>
                </w:tcPr>
                <w:p w14:paraId="0A51B443">
                  <w:pPr>
                    <w:pStyle w:val="7"/>
                    <w:keepNext w:val="0"/>
                    <w:keepLines w:val="0"/>
                    <w:suppressLineNumbers w:val="0"/>
                    <w:bidi w:val="0"/>
                    <w:spacing w:before="0" w:beforeAutospacing="0" w:after="0" w:afterAutospacing="0"/>
                    <w:ind w:left="0" w:leftChars="0" w:right="0" w:rightChars="0" w:firstLine="0" w:firstLineChars="0"/>
                    <w:jc w:val="both"/>
                    <w:rPr>
                      <w:rFonts w:hint="default" w:ascii="Times New Roman" w:hAnsi="Times New Roman" w:eastAsia="宋体" w:cs="Times New Roman"/>
                      <w:color w:val="auto"/>
                      <w:kern w:val="2"/>
                      <w:sz w:val="21"/>
                      <w:szCs w:val="21"/>
                      <w:highlight w:val="none"/>
                      <w:lang w:val="en-US" w:eastAsia="zh-CN" w:bidi="ar-SA"/>
                    </w:rPr>
                  </w:pPr>
                  <w:r>
                    <w:rPr>
                      <w:rFonts w:hint="default"/>
                      <w:color w:val="auto"/>
                      <w:highlight w:val="none"/>
                    </w:rPr>
                    <w:t>有机化工、医药（化学原料药制造）、表面涂装、塑料制品、包装印刷行业不符合生态环境功能区划、环境功能区划，大气环境防护距离和卫生防护距离不能满足要求的污染企业一律依法实施停产整治、限期搬迁或关闭。</w:t>
                  </w:r>
                </w:p>
              </w:tc>
              <w:tc>
                <w:tcPr>
                  <w:tcW w:w="1102" w:type="pct"/>
                  <w:tcBorders>
                    <w:tl2br w:val="nil"/>
                    <w:tr2bl w:val="nil"/>
                  </w:tcBorders>
                  <w:shd w:val="clear" w:color="auto" w:fill="auto"/>
                  <w:vAlign w:val="center"/>
                </w:tcPr>
                <w:p w14:paraId="6C7666CE">
                  <w:pPr>
                    <w:pStyle w:val="7"/>
                    <w:keepNext w:val="0"/>
                    <w:keepLines w:val="0"/>
                    <w:suppressLineNumbers w:val="0"/>
                    <w:bidi w:val="0"/>
                    <w:spacing w:before="0" w:beforeAutospacing="0" w:after="0" w:afterAutospacing="0"/>
                    <w:ind w:left="0" w:leftChars="0" w:right="0" w:rightChars="0" w:firstLine="0" w:firstLineChars="0"/>
                    <w:jc w:val="both"/>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lang w:val="en-US" w:eastAsia="zh-CN"/>
                    </w:rPr>
                    <w:t>本项目为塑料制品业，符合生态环境功能区、环境功能区划，项目</w:t>
                  </w:r>
                  <w:r>
                    <w:rPr>
                      <w:rFonts w:hint="default"/>
                      <w:color w:val="auto"/>
                      <w:highlight w:val="none"/>
                    </w:rPr>
                    <w:t>大气环境防护距离和卫生防护距离</w:t>
                  </w:r>
                  <w:r>
                    <w:rPr>
                      <w:rFonts w:hint="eastAsia"/>
                      <w:color w:val="auto"/>
                      <w:highlight w:val="none"/>
                      <w:lang w:val="en-US" w:eastAsia="zh-CN"/>
                    </w:rPr>
                    <w:t>满足要求。</w:t>
                  </w:r>
                </w:p>
              </w:tc>
              <w:tc>
                <w:tcPr>
                  <w:tcW w:w="1102" w:type="pct"/>
                  <w:tcBorders>
                    <w:tl2br w:val="nil"/>
                    <w:tr2bl w:val="nil"/>
                  </w:tcBorders>
                  <w:shd w:val="clear" w:color="auto" w:fill="auto"/>
                  <w:vAlign w:val="center"/>
                </w:tcPr>
                <w:p w14:paraId="0827E371">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符合</w:t>
                  </w:r>
                </w:p>
              </w:tc>
            </w:tr>
            <w:tr w14:paraId="2A5C47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2A5E0106">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202F56AA">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759BE42B">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default"/>
                      <w:color w:val="auto"/>
                      <w:highlight w:val="none"/>
                      <w:lang w:val="en-US" w:eastAsia="zh-CN"/>
                    </w:rPr>
                    <w:t>一般生态空间中零散城镇村建设用地、永久基本农田、特殊用地等，按国土空间规划的要求开展相关活动和开发行为。</w:t>
                  </w:r>
                </w:p>
              </w:tc>
              <w:tc>
                <w:tcPr>
                  <w:tcW w:w="1102" w:type="pct"/>
                  <w:tcBorders>
                    <w:tl2br w:val="nil"/>
                    <w:tr2bl w:val="nil"/>
                  </w:tcBorders>
                  <w:vAlign w:val="center"/>
                </w:tcPr>
                <w:p w14:paraId="54E4E1A7">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本项目不涉及零散城镇村建设用地、永久基本农田、特殊用地等。</w:t>
                  </w:r>
                </w:p>
              </w:tc>
              <w:tc>
                <w:tcPr>
                  <w:tcW w:w="1102" w:type="pct"/>
                  <w:tcBorders>
                    <w:tl2br w:val="nil"/>
                    <w:tr2bl w:val="nil"/>
                  </w:tcBorders>
                  <w:vAlign w:val="center"/>
                </w:tcPr>
                <w:p w14:paraId="60430DEE">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075233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restart"/>
                  <w:tcBorders>
                    <w:tl2br w:val="nil"/>
                    <w:tr2bl w:val="nil"/>
                  </w:tcBorders>
                  <w:vAlign w:val="center"/>
                </w:tcPr>
                <w:p w14:paraId="23FAA25B">
                  <w:pPr>
                    <w:pStyle w:val="7"/>
                    <w:keepNext w:val="0"/>
                    <w:keepLines w:val="0"/>
                    <w:suppressLineNumbers w:val="0"/>
                    <w:bidi w:val="0"/>
                    <w:spacing w:before="0" w:beforeAutospacing="0" w:after="0" w:afterAutospacing="0"/>
                    <w:ind w:left="0" w:right="0"/>
                    <w:jc w:val="center"/>
                    <w:rPr>
                      <w:rFonts w:hint="default"/>
                      <w:color w:val="auto"/>
                      <w:highlight w:val="none"/>
                    </w:rPr>
                  </w:pPr>
                  <w:r>
                    <w:rPr>
                      <w:rFonts w:hint="default"/>
                      <w:color w:val="auto"/>
                      <w:highlight w:val="none"/>
                      <w:lang w:val="en-US" w:eastAsia="zh-CN"/>
                    </w:rPr>
                    <w:t>污染物排放管控</w:t>
                  </w:r>
                </w:p>
              </w:tc>
              <w:tc>
                <w:tcPr>
                  <w:tcW w:w="430" w:type="pct"/>
                  <w:vMerge w:val="restart"/>
                  <w:tcBorders>
                    <w:tl2br w:val="nil"/>
                    <w:tr2bl w:val="nil"/>
                  </w:tcBorders>
                  <w:vAlign w:val="center"/>
                </w:tcPr>
                <w:p w14:paraId="4B646BF3">
                  <w:pPr>
                    <w:pStyle w:val="7"/>
                    <w:keepNext w:val="0"/>
                    <w:keepLines w:val="0"/>
                    <w:suppressLineNumbers w:val="0"/>
                    <w:bidi w:val="0"/>
                    <w:spacing w:before="0" w:beforeAutospacing="0" w:after="0" w:afterAutospacing="0"/>
                    <w:ind w:left="0" w:right="0"/>
                    <w:jc w:val="center"/>
                    <w:rPr>
                      <w:rFonts w:hint="default"/>
                      <w:color w:val="auto"/>
                      <w:highlight w:val="none"/>
                    </w:rPr>
                  </w:pPr>
                  <w:r>
                    <w:rPr>
                      <w:rFonts w:hint="default"/>
                      <w:color w:val="auto"/>
                      <w:highlight w:val="none"/>
                      <w:lang w:val="en-US" w:eastAsia="zh-CN"/>
                    </w:rPr>
                    <w:t>允许排放量要求</w:t>
                  </w:r>
                </w:p>
              </w:tc>
              <w:tc>
                <w:tcPr>
                  <w:tcW w:w="2026" w:type="pct"/>
                  <w:tcBorders>
                    <w:tl2br w:val="nil"/>
                    <w:tr2bl w:val="nil"/>
                  </w:tcBorders>
                  <w:vAlign w:val="center"/>
                </w:tcPr>
                <w:p w14:paraId="04E330E1">
                  <w:pPr>
                    <w:pStyle w:val="7"/>
                    <w:keepNext w:val="0"/>
                    <w:keepLines w:val="0"/>
                    <w:suppressLineNumbers w:val="0"/>
                    <w:bidi w:val="0"/>
                    <w:spacing w:before="0" w:beforeAutospacing="0" w:after="0" w:afterAutospacing="0"/>
                    <w:ind w:left="0" w:right="0"/>
                    <w:jc w:val="both"/>
                    <w:rPr>
                      <w:rFonts w:hint="eastAsia"/>
                      <w:color w:val="auto"/>
                      <w:highlight w:val="none"/>
                      <w:lang w:eastAsia="zh-CN"/>
                    </w:rPr>
                  </w:pPr>
                  <w:r>
                    <w:rPr>
                      <w:rFonts w:hint="default"/>
                      <w:color w:val="auto"/>
                      <w:highlight w:val="none"/>
                      <w:lang w:val="en-US" w:eastAsia="en-US"/>
                    </w:rPr>
                    <w:t>COD、</w:t>
                  </w:r>
                  <w:r>
                    <w:rPr>
                      <w:rFonts w:hint="default"/>
                      <w:color w:val="auto"/>
                      <w:highlight w:val="none"/>
                    </w:rPr>
                    <w:t>氨氮、二氧化硫、氮氧化物、</w:t>
                  </w:r>
                  <w:r>
                    <w:rPr>
                      <w:rFonts w:hint="default"/>
                      <w:color w:val="auto"/>
                      <w:highlight w:val="none"/>
                      <w:lang w:val="en-US" w:eastAsia="en-US"/>
                    </w:rPr>
                    <w:t>VOC</w:t>
                  </w:r>
                  <w:r>
                    <w:rPr>
                      <w:rFonts w:hint="eastAsia"/>
                      <w:color w:val="auto"/>
                      <w:highlight w:val="none"/>
                      <w:lang w:val="en-US" w:eastAsia="zh-CN"/>
                    </w:rPr>
                    <w:t>s、</w:t>
                  </w:r>
                  <w:r>
                    <w:rPr>
                      <w:rFonts w:hint="default"/>
                      <w:color w:val="auto"/>
                      <w:highlight w:val="none"/>
                    </w:rPr>
                    <w:t>温室气体等的排放量执行省级下达的管控指标要求</w:t>
                  </w:r>
                  <w:r>
                    <w:rPr>
                      <w:rFonts w:hint="eastAsia"/>
                      <w:color w:val="auto"/>
                      <w:highlight w:val="none"/>
                      <w:lang w:eastAsia="zh-CN"/>
                    </w:rPr>
                    <w:t>。</w:t>
                  </w:r>
                </w:p>
              </w:tc>
              <w:tc>
                <w:tcPr>
                  <w:tcW w:w="1102" w:type="pct"/>
                  <w:tcBorders>
                    <w:tl2br w:val="nil"/>
                    <w:tr2bl w:val="nil"/>
                  </w:tcBorders>
                  <w:vAlign w:val="center"/>
                </w:tcPr>
                <w:p w14:paraId="4A3B14C0">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eastAsia"/>
                      <w:color w:val="auto"/>
                      <w:highlight w:val="none"/>
                      <w:lang w:val="en-US" w:eastAsia="zh-CN"/>
                    </w:rPr>
                    <w:t>项目</w:t>
                  </w:r>
                  <w:r>
                    <w:rPr>
                      <w:rFonts w:hint="default"/>
                      <w:color w:val="auto"/>
                      <w:highlight w:val="none"/>
                      <w:lang w:val="en-US" w:eastAsia="en-US"/>
                    </w:rPr>
                    <w:t>COD、</w:t>
                  </w:r>
                  <w:r>
                    <w:rPr>
                      <w:rFonts w:hint="eastAsia"/>
                      <w:color w:val="auto"/>
                      <w:highlight w:val="none"/>
                      <w:lang w:val="en-US" w:eastAsia="zh-CN"/>
                    </w:rPr>
                    <w:t>总磷、VOCs执行省级下达的管控指标要求。</w:t>
                  </w:r>
                </w:p>
              </w:tc>
              <w:tc>
                <w:tcPr>
                  <w:tcW w:w="1102" w:type="pct"/>
                  <w:tcBorders>
                    <w:tl2br w:val="nil"/>
                    <w:tr2bl w:val="nil"/>
                  </w:tcBorders>
                  <w:vAlign w:val="center"/>
                </w:tcPr>
                <w:p w14:paraId="317CC4DC">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72751D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13027956">
                  <w:pPr>
                    <w:pStyle w:val="7"/>
                    <w:keepNext w:val="0"/>
                    <w:keepLines w:val="0"/>
                    <w:suppressLineNumbers w:val="0"/>
                    <w:bidi w:val="0"/>
                    <w:spacing w:before="0" w:beforeAutospacing="0" w:after="0" w:afterAutospacing="0"/>
                    <w:ind w:left="0" w:right="0"/>
                    <w:jc w:val="center"/>
                    <w:rPr>
                      <w:rFonts w:hint="default"/>
                      <w:color w:val="auto"/>
                      <w:highlight w:val="none"/>
                      <w:lang w:val="en-US" w:eastAsia="zh-CN"/>
                    </w:rPr>
                  </w:pPr>
                </w:p>
              </w:tc>
              <w:tc>
                <w:tcPr>
                  <w:tcW w:w="430" w:type="pct"/>
                  <w:vMerge w:val="continue"/>
                  <w:tcBorders>
                    <w:tl2br w:val="nil"/>
                    <w:tr2bl w:val="nil"/>
                  </w:tcBorders>
                  <w:vAlign w:val="center"/>
                </w:tcPr>
                <w:p w14:paraId="58FDCA6D">
                  <w:pPr>
                    <w:pStyle w:val="7"/>
                    <w:keepNext w:val="0"/>
                    <w:keepLines w:val="0"/>
                    <w:suppressLineNumbers w:val="0"/>
                    <w:bidi w:val="0"/>
                    <w:spacing w:before="0" w:beforeAutospacing="0" w:after="0" w:afterAutospacing="0"/>
                    <w:ind w:left="0" w:right="0"/>
                    <w:jc w:val="center"/>
                    <w:rPr>
                      <w:rFonts w:hint="default"/>
                      <w:color w:val="auto"/>
                      <w:highlight w:val="none"/>
                      <w:lang w:val="en-US" w:eastAsia="zh-CN"/>
                    </w:rPr>
                  </w:pPr>
                </w:p>
              </w:tc>
              <w:tc>
                <w:tcPr>
                  <w:tcW w:w="2026" w:type="pct"/>
                  <w:tcBorders>
                    <w:tl2br w:val="nil"/>
                    <w:tr2bl w:val="nil"/>
                  </w:tcBorders>
                  <w:vAlign w:val="center"/>
                </w:tcPr>
                <w:p w14:paraId="419C645E">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default"/>
                      <w:color w:val="auto"/>
                      <w:highlight w:val="none"/>
                    </w:rPr>
                    <w:t>300吨级以上规模（含）的货运港口、港区和码头以及所有旅游客运码头废水排放应达到《鄱阳湖生态经济区水污染物排放标准》规定的排放限值。</w:t>
                  </w:r>
                </w:p>
              </w:tc>
              <w:tc>
                <w:tcPr>
                  <w:tcW w:w="1102" w:type="pct"/>
                  <w:tcBorders>
                    <w:tl2br w:val="nil"/>
                    <w:tr2bl w:val="nil"/>
                  </w:tcBorders>
                  <w:vAlign w:val="center"/>
                </w:tcPr>
                <w:p w14:paraId="46CF2677">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本项目不属于</w:t>
                  </w:r>
                  <w:r>
                    <w:rPr>
                      <w:rFonts w:hint="default"/>
                      <w:color w:val="auto"/>
                      <w:highlight w:val="none"/>
                    </w:rPr>
                    <w:t>货运港口、港区和码头</w:t>
                  </w:r>
                  <w:r>
                    <w:rPr>
                      <w:rFonts w:hint="eastAsia"/>
                      <w:color w:val="auto"/>
                      <w:highlight w:val="none"/>
                      <w:lang w:val="en-US" w:eastAsia="zh-CN"/>
                    </w:rPr>
                    <w:t>项目。</w:t>
                  </w:r>
                </w:p>
              </w:tc>
              <w:tc>
                <w:tcPr>
                  <w:tcW w:w="1102" w:type="pct"/>
                  <w:tcBorders>
                    <w:tl2br w:val="nil"/>
                    <w:tr2bl w:val="nil"/>
                  </w:tcBorders>
                  <w:vAlign w:val="center"/>
                </w:tcPr>
                <w:p w14:paraId="515A274B">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2FCB20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155A25A6">
                  <w:pPr>
                    <w:pStyle w:val="7"/>
                    <w:keepNext w:val="0"/>
                    <w:keepLines w:val="0"/>
                    <w:suppressLineNumbers w:val="0"/>
                    <w:bidi w:val="0"/>
                    <w:spacing w:before="0" w:beforeAutospacing="0" w:after="0" w:afterAutospacing="0"/>
                    <w:ind w:left="0" w:right="0"/>
                    <w:jc w:val="center"/>
                    <w:rPr>
                      <w:rFonts w:hint="default"/>
                      <w:color w:val="auto"/>
                      <w:highlight w:val="none"/>
                      <w:lang w:val="en-US" w:eastAsia="zh-CN"/>
                    </w:rPr>
                  </w:pPr>
                </w:p>
              </w:tc>
              <w:tc>
                <w:tcPr>
                  <w:tcW w:w="430" w:type="pct"/>
                  <w:vMerge w:val="continue"/>
                  <w:tcBorders>
                    <w:tl2br w:val="nil"/>
                    <w:tr2bl w:val="nil"/>
                  </w:tcBorders>
                  <w:vAlign w:val="center"/>
                </w:tcPr>
                <w:p w14:paraId="19B0BA34">
                  <w:pPr>
                    <w:pStyle w:val="7"/>
                    <w:keepNext w:val="0"/>
                    <w:keepLines w:val="0"/>
                    <w:suppressLineNumbers w:val="0"/>
                    <w:bidi w:val="0"/>
                    <w:spacing w:before="0" w:beforeAutospacing="0" w:after="0" w:afterAutospacing="0"/>
                    <w:ind w:left="0" w:right="0"/>
                    <w:jc w:val="center"/>
                    <w:rPr>
                      <w:rFonts w:hint="default"/>
                      <w:color w:val="auto"/>
                      <w:highlight w:val="none"/>
                      <w:lang w:val="en-US" w:eastAsia="zh-CN"/>
                    </w:rPr>
                  </w:pPr>
                </w:p>
              </w:tc>
              <w:tc>
                <w:tcPr>
                  <w:tcW w:w="2026" w:type="pct"/>
                  <w:tcBorders>
                    <w:tl2br w:val="nil"/>
                    <w:tr2bl w:val="nil"/>
                  </w:tcBorders>
                  <w:vAlign w:val="center"/>
                </w:tcPr>
                <w:p w14:paraId="4923A607">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default"/>
                      <w:color w:val="auto"/>
                      <w:highlight w:val="none"/>
                    </w:rPr>
                    <w:t>重点防控区域要坚持新增产能与淘汰产能</w:t>
                  </w:r>
                  <w:r>
                    <w:rPr>
                      <w:rFonts w:hint="default"/>
                      <w:color w:val="auto"/>
                      <w:highlight w:val="none"/>
                      <w:lang w:val="zh-CN" w:eastAsia="zh-CN"/>
                    </w:rPr>
                    <w:t>“等量</w:t>
                  </w:r>
                  <w:r>
                    <w:rPr>
                      <w:rFonts w:hint="default"/>
                      <w:color w:val="auto"/>
                      <w:highlight w:val="none"/>
                    </w:rPr>
                    <w:t>置换”或</w:t>
                  </w:r>
                  <w:r>
                    <w:rPr>
                      <w:rFonts w:hint="default"/>
                      <w:color w:val="auto"/>
                      <w:highlight w:val="none"/>
                      <w:lang w:val="zh-CN" w:eastAsia="zh-CN"/>
                    </w:rPr>
                    <w:t>“减量</w:t>
                  </w:r>
                  <w:r>
                    <w:rPr>
                      <w:rFonts w:hint="default"/>
                      <w:color w:val="auto"/>
                      <w:highlight w:val="none"/>
                    </w:rPr>
                    <w:t>置换”的原则，实行重点防控的重金属污染物排放总量控制制度。</w:t>
                  </w:r>
                </w:p>
              </w:tc>
              <w:tc>
                <w:tcPr>
                  <w:tcW w:w="1102" w:type="pct"/>
                  <w:tcBorders>
                    <w:tl2br w:val="nil"/>
                    <w:tr2bl w:val="nil"/>
                  </w:tcBorders>
                  <w:vAlign w:val="center"/>
                </w:tcPr>
                <w:p w14:paraId="3D700783">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eastAsia"/>
                      <w:color w:val="auto"/>
                      <w:highlight w:val="none"/>
                      <w:lang w:val="en-US" w:eastAsia="zh-CN"/>
                    </w:rPr>
                    <w:t>本项目不在重点防控区范围内。</w:t>
                  </w:r>
                </w:p>
              </w:tc>
              <w:tc>
                <w:tcPr>
                  <w:tcW w:w="1102" w:type="pct"/>
                  <w:tcBorders>
                    <w:tl2br w:val="nil"/>
                    <w:tr2bl w:val="nil"/>
                  </w:tcBorders>
                  <w:vAlign w:val="center"/>
                </w:tcPr>
                <w:p w14:paraId="1579C4BC">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1747F4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32ED27FB">
                  <w:pPr>
                    <w:pStyle w:val="7"/>
                    <w:keepNext w:val="0"/>
                    <w:keepLines w:val="0"/>
                    <w:suppressLineNumbers w:val="0"/>
                    <w:bidi w:val="0"/>
                    <w:spacing w:before="0" w:beforeAutospacing="0" w:after="0" w:afterAutospacing="0"/>
                    <w:ind w:left="0" w:right="0"/>
                    <w:jc w:val="center"/>
                    <w:rPr>
                      <w:rFonts w:hint="default"/>
                      <w:color w:val="auto"/>
                      <w:highlight w:val="none"/>
                      <w:lang w:val="en-US" w:eastAsia="zh-CN"/>
                    </w:rPr>
                  </w:pPr>
                </w:p>
              </w:tc>
              <w:tc>
                <w:tcPr>
                  <w:tcW w:w="430" w:type="pct"/>
                  <w:vMerge w:val="continue"/>
                  <w:tcBorders>
                    <w:tl2br w:val="nil"/>
                    <w:tr2bl w:val="nil"/>
                  </w:tcBorders>
                  <w:vAlign w:val="center"/>
                </w:tcPr>
                <w:p w14:paraId="148C2BAD">
                  <w:pPr>
                    <w:pStyle w:val="7"/>
                    <w:keepNext w:val="0"/>
                    <w:keepLines w:val="0"/>
                    <w:suppressLineNumbers w:val="0"/>
                    <w:bidi w:val="0"/>
                    <w:spacing w:before="0" w:beforeAutospacing="0" w:after="0" w:afterAutospacing="0"/>
                    <w:ind w:left="0" w:right="0"/>
                    <w:jc w:val="center"/>
                    <w:rPr>
                      <w:rFonts w:hint="default"/>
                      <w:color w:val="auto"/>
                      <w:highlight w:val="none"/>
                      <w:lang w:val="en-US" w:eastAsia="zh-CN"/>
                    </w:rPr>
                  </w:pPr>
                </w:p>
              </w:tc>
              <w:tc>
                <w:tcPr>
                  <w:tcW w:w="2026" w:type="pct"/>
                  <w:tcBorders>
                    <w:tl2br w:val="nil"/>
                    <w:tr2bl w:val="nil"/>
                  </w:tcBorders>
                  <w:vAlign w:val="center"/>
                </w:tcPr>
                <w:p w14:paraId="5459AE26">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畜禽养殖场应实现生产区、生活管理区的隔离，粪便污水处理设施应设在养殖场的生产区、生活管理区的常年主导风向的下风向或侧风向处；同时采用物理除臭、化学除臭等技术消除或减少臭气的产生。</w:t>
                  </w:r>
                </w:p>
              </w:tc>
              <w:tc>
                <w:tcPr>
                  <w:tcW w:w="1102" w:type="pct"/>
                  <w:tcBorders>
                    <w:tl2br w:val="nil"/>
                    <w:tr2bl w:val="nil"/>
                  </w:tcBorders>
                  <w:vAlign w:val="center"/>
                </w:tcPr>
                <w:p w14:paraId="52C91109">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本项目不涉及畜禽养殖。</w:t>
                  </w:r>
                </w:p>
              </w:tc>
              <w:tc>
                <w:tcPr>
                  <w:tcW w:w="1102" w:type="pct"/>
                  <w:tcBorders>
                    <w:tl2br w:val="nil"/>
                    <w:tr2bl w:val="nil"/>
                  </w:tcBorders>
                  <w:vAlign w:val="center"/>
                </w:tcPr>
                <w:p w14:paraId="533EAF8F">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7217D7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4C50AA4E">
                  <w:pPr>
                    <w:pStyle w:val="7"/>
                    <w:keepNext w:val="0"/>
                    <w:keepLines w:val="0"/>
                    <w:suppressLineNumbers w:val="0"/>
                    <w:bidi w:val="0"/>
                    <w:spacing w:before="0" w:beforeAutospacing="0" w:after="0" w:afterAutospacing="0"/>
                    <w:ind w:left="0" w:right="0"/>
                    <w:jc w:val="center"/>
                    <w:rPr>
                      <w:rFonts w:hint="default"/>
                      <w:color w:val="auto"/>
                      <w:highlight w:val="none"/>
                      <w:lang w:val="en-US" w:eastAsia="zh-CN"/>
                    </w:rPr>
                  </w:pPr>
                </w:p>
              </w:tc>
              <w:tc>
                <w:tcPr>
                  <w:tcW w:w="430" w:type="pct"/>
                  <w:vMerge w:val="continue"/>
                  <w:tcBorders>
                    <w:tl2br w:val="nil"/>
                    <w:tr2bl w:val="nil"/>
                  </w:tcBorders>
                  <w:vAlign w:val="center"/>
                </w:tcPr>
                <w:p w14:paraId="6C11666B">
                  <w:pPr>
                    <w:pStyle w:val="7"/>
                    <w:keepNext w:val="0"/>
                    <w:keepLines w:val="0"/>
                    <w:suppressLineNumbers w:val="0"/>
                    <w:bidi w:val="0"/>
                    <w:spacing w:before="0" w:beforeAutospacing="0" w:after="0" w:afterAutospacing="0"/>
                    <w:ind w:left="0" w:right="0"/>
                    <w:jc w:val="center"/>
                    <w:rPr>
                      <w:rFonts w:hint="default"/>
                      <w:color w:val="auto"/>
                      <w:highlight w:val="none"/>
                      <w:lang w:val="en-US" w:eastAsia="zh-CN"/>
                    </w:rPr>
                  </w:pPr>
                </w:p>
              </w:tc>
              <w:tc>
                <w:tcPr>
                  <w:tcW w:w="2026" w:type="pct"/>
                  <w:tcBorders>
                    <w:tl2br w:val="nil"/>
                    <w:tr2bl w:val="nil"/>
                  </w:tcBorders>
                  <w:vAlign w:val="center"/>
                </w:tcPr>
                <w:p w14:paraId="5CA0A2FB">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2023年起，在安全利用类和严格管控类耕地集中区执行《铅、锌工业污染物排放标准》《铜、镍、钴工业污染物排放标准》《无机化学工业污染物排放标准》中颗粒物和镉等重点重金属污染物特别排放限值。</w:t>
                  </w:r>
                </w:p>
              </w:tc>
              <w:tc>
                <w:tcPr>
                  <w:tcW w:w="1102" w:type="pct"/>
                  <w:tcBorders>
                    <w:tl2br w:val="nil"/>
                    <w:tr2bl w:val="nil"/>
                  </w:tcBorders>
                  <w:vAlign w:val="center"/>
                </w:tcPr>
                <w:p w14:paraId="14736908">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本项目不涉及安全利用类和严格管控类耕地集中区。</w:t>
                  </w:r>
                </w:p>
              </w:tc>
              <w:tc>
                <w:tcPr>
                  <w:tcW w:w="1102" w:type="pct"/>
                  <w:tcBorders>
                    <w:tl2br w:val="nil"/>
                    <w:tr2bl w:val="nil"/>
                  </w:tcBorders>
                  <w:vAlign w:val="center"/>
                </w:tcPr>
                <w:p w14:paraId="3DF2F0D0">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2E2EBA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1AC7BD86">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restart"/>
                  <w:tcBorders>
                    <w:tl2br w:val="nil"/>
                    <w:tr2bl w:val="nil"/>
                  </w:tcBorders>
                  <w:vAlign w:val="center"/>
                </w:tcPr>
                <w:p w14:paraId="1E89383F">
                  <w:pPr>
                    <w:pStyle w:val="7"/>
                    <w:keepNext w:val="0"/>
                    <w:keepLines w:val="0"/>
                    <w:suppressLineNumbers w:val="0"/>
                    <w:bidi w:val="0"/>
                    <w:spacing w:before="0" w:beforeAutospacing="0" w:after="0" w:afterAutospacing="0"/>
                    <w:ind w:left="0" w:right="0"/>
                    <w:jc w:val="center"/>
                    <w:rPr>
                      <w:rFonts w:hint="default"/>
                      <w:color w:val="auto"/>
                      <w:highlight w:val="none"/>
                    </w:rPr>
                  </w:pPr>
                  <w:r>
                    <w:rPr>
                      <w:rFonts w:hint="default"/>
                      <w:color w:val="auto"/>
                      <w:highlight w:val="none"/>
                    </w:rPr>
                    <w:t>现有源提标升级改造</w:t>
                  </w:r>
                </w:p>
              </w:tc>
              <w:tc>
                <w:tcPr>
                  <w:tcW w:w="2026" w:type="pct"/>
                  <w:tcBorders>
                    <w:tl2br w:val="nil"/>
                    <w:tr2bl w:val="nil"/>
                  </w:tcBorders>
                  <w:shd w:val="clear" w:color="auto" w:fill="auto"/>
                  <w:vAlign w:val="center"/>
                </w:tcPr>
                <w:p w14:paraId="0FE5EF92">
                  <w:pPr>
                    <w:pStyle w:val="7"/>
                    <w:keepNext w:val="0"/>
                    <w:keepLines w:val="0"/>
                    <w:suppressLineNumbers w:val="0"/>
                    <w:bidi w:val="0"/>
                    <w:spacing w:before="0" w:beforeAutospacing="0" w:after="0" w:afterAutospacing="0"/>
                    <w:ind w:left="0" w:leftChars="0" w:right="0" w:rightChars="0" w:firstLine="0" w:firstLineChars="0"/>
                    <w:jc w:val="both"/>
                    <w:rPr>
                      <w:rFonts w:hint="default" w:ascii="Times New Roman" w:hAnsi="Times New Roman" w:eastAsia="宋体" w:cs="Times New Roman"/>
                      <w:color w:val="auto"/>
                      <w:kern w:val="2"/>
                      <w:sz w:val="21"/>
                      <w:szCs w:val="21"/>
                      <w:highlight w:val="none"/>
                      <w:lang w:val="en-US" w:eastAsia="zh-CN" w:bidi="ar-SA"/>
                    </w:rPr>
                  </w:pPr>
                  <w:r>
                    <w:rPr>
                      <w:rFonts w:hint="default"/>
                      <w:color w:val="auto"/>
                      <w:highlight w:val="none"/>
                    </w:rPr>
                    <w:t>现有造纸、焦化、氮肥、印染、制药、制革行业应进一步推进清洁化改造工作</w:t>
                  </w:r>
                  <w:r>
                    <w:rPr>
                      <w:rFonts w:hint="eastAsia"/>
                      <w:color w:val="auto"/>
                      <w:highlight w:val="none"/>
                      <w:lang w:eastAsia="zh-CN"/>
                    </w:rPr>
                    <w:t>。</w:t>
                  </w:r>
                  <w:r>
                    <w:rPr>
                      <w:rFonts w:hint="default"/>
                      <w:color w:val="auto"/>
                      <w:highlight w:val="none"/>
                    </w:rPr>
                    <w:t>有色金属、农副食品加工、农药、电镀等重点行业企业按照法律法规要求，按时完成清洁化改造。</w:t>
                  </w:r>
                </w:p>
              </w:tc>
              <w:tc>
                <w:tcPr>
                  <w:tcW w:w="1102" w:type="pct"/>
                  <w:tcBorders>
                    <w:tl2br w:val="nil"/>
                    <w:tr2bl w:val="nil"/>
                  </w:tcBorders>
                  <w:shd w:val="clear" w:color="auto" w:fill="auto"/>
                  <w:vAlign w:val="center"/>
                </w:tcPr>
                <w:p w14:paraId="3A897CF3">
                  <w:pPr>
                    <w:pStyle w:val="7"/>
                    <w:keepNext w:val="0"/>
                    <w:keepLines w:val="0"/>
                    <w:suppressLineNumbers w:val="0"/>
                    <w:bidi w:val="0"/>
                    <w:spacing w:before="0" w:beforeAutospacing="0" w:after="0" w:afterAutospacing="0"/>
                    <w:ind w:left="0" w:leftChars="0" w:right="0" w:rightChars="0" w:firstLine="0" w:firstLineChars="0"/>
                    <w:jc w:val="both"/>
                    <w:rPr>
                      <w:rFonts w:hint="default" w:ascii="Times New Roman" w:hAnsi="Times New Roman" w:eastAsia="宋体" w:cs="Times New Roman"/>
                      <w:color w:val="auto"/>
                      <w:kern w:val="2"/>
                      <w:sz w:val="21"/>
                      <w:szCs w:val="21"/>
                      <w:highlight w:val="none"/>
                      <w:lang w:val="en-US" w:eastAsia="zh-CN" w:bidi="ar-SA"/>
                    </w:rPr>
                  </w:pPr>
                  <w:r>
                    <w:rPr>
                      <w:rFonts w:hint="eastAsia"/>
                      <w:color w:val="auto"/>
                      <w:highlight w:val="none"/>
                      <w:lang w:val="en-US" w:eastAsia="zh-CN"/>
                    </w:rPr>
                    <w:t>本项目为改扩建项目，项目不涉及以上情况。</w:t>
                  </w:r>
                </w:p>
              </w:tc>
              <w:tc>
                <w:tcPr>
                  <w:tcW w:w="1102" w:type="pct"/>
                  <w:tcBorders>
                    <w:tl2br w:val="nil"/>
                    <w:tr2bl w:val="nil"/>
                  </w:tcBorders>
                  <w:shd w:val="clear" w:color="auto" w:fill="auto"/>
                  <w:vAlign w:val="center"/>
                </w:tcPr>
                <w:p w14:paraId="44BEC5C5">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符合</w:t>
                  </w:r>
                </w:p>
              </w:tc>
            </w:tr>
            <w:tr w14:paraId="3274AF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7A0DA9B8">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588E4612">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shd w:val="clear" w:color="auto" w:fill="auto"/>
                  <w:vAlign w:val="center"/>
                </w:tcPr>
                <w:p w14:paraId="3B05EA70">
                  <w:pPr>
                    <w:pStyle w:val="7"/>
                    <w:keepNext w:val="0"/>
                    <w:keepLines w:val="0"/>
                    <w:suppressLineNumbers w:val="0"/>
                    <w:bidi w:val="0"/>
                    <w:spacing w:before="0" w:beforeAutospacing="0" w:after="0" w:afterAutospacing="0"/>
                    <w:ind w:left="0" w:leftChars="0" w:right="0" w:rightChars="0" w:firstLine="0" w:firstLineChars="0"/>
                    <w:jc w:val="both"/>
                    <w:rPr>
                      <w:rFonts w:hint="default" w:ascii="Times New Roman" w:hAnsi="Times New Roman" w:eastAsia="宋体" w:cs="Times New Roman"/>
                      <w:color w:val="auto"/>
                      <w:kern w:val="2"/>
                      <w:sz w:val="21"/>
                      <w:szCs w:val="21"/>
                      <w:highlight w:val="none"/>
                      <w:lang w:val="en-US" w:eastAsia="zh-CN" w:bidi="ar-SA"/>
                    </w:rPr>
                  </w:pPr>
                  <w:r>
                    <w:rPr>
                      <w:rFonts w:hint="default"/>
                      <w:color w:val="auto"/>
                      <w:highlight w:val="none"/>
                    </w:rPr>
                    <w:t>现有畜禽规模养殖场应加强配套治污设施改造，提升配套质量</w:t>
                  </w:r>
                  <w:r>
                    <w:rPr>
                      <w:rFonts w:hint="eastAsia"/>
                      <w:color w:val="auto"/>
                      <w:highlight w:val="none"/>
                      <w:lang w:eastAsia="zh-CN"/>
                    </w:rPr>
                    <w:t>。</w:t>
                  </w:r>
                </w:p>
              </w:tc>
              <w:tc>
                <w:tcPr>
                  <w:tcW w:w="1102" w:type="pct"/>
                  <w:tcBorders>
                    <w:tl2br w:val="nil"/>
                    <w:tr2bl w:val="nil"/>
                  </w:tcBorders>
                  <w:shd w:val="clear" w:color="auto" w:fill="auto"/>
                  <w:vAlign w:val="center"/>
                </w:tcPr>
                <w:p w14:paraId="7BC5607C">
                  <w:pPr>
                    <w:pStyle w:val="7"/>
                    <w:keepNext w:val="0"/>
                    <w:keepLines w:val="0"/>
                    <w:suppressLineNumbers w:val="0"/>
                    <w:bidi w:val="0"/>
                    <w:spacing w:before="0" w:beforeAutospacing="0" w:after="0" w:afterAutospacing="0"/>
                    <w:ind w:left="0" w:leftChars="0" w:right="0" w:rightChars="0" w:firstLine="0" w:firstLineChars="0"/>
                    <w:jc w:val="both"/>
                    <w:rPr>
                      <w:rFonts w:hint="default" w:ascii="Times New Roman" w:hAnsi="Times New Roman" w:eastAsia="宋体" w:cs="Times New Roman"/>
                      <w:color w:val="auto"/>
                      <w:kern w:val="2"/>
                      <w:sz w:val="21"/>
                      <w:szCs w:val="21"/>
                      <w:highlight w:val="none"/>
                      <w:lang w:val="en-US" w:eastAsia="zh-CN" w:bidi="ar-SA"/>
                    </w:rPr>
                  </w:pPr>
                  <w:r>
                    <w:rPr>
                      <w:rFonts w:hint="eastAsia"/>
                      <w:color w:val="auto"/>
                      <w:highlight w:val="none"/>
                      <w:lang w:val="en-US" w:eastAsia="zh-CN"/>
                    </w:rPr>
                    <w:t>本项目不属于养殖类项目。</w:t>
                  </w:r>
                </w:p>
              </w:tc>
              <w:tc>
                <w:tcPr>
                  <w:tcW w:w="1102" w:type="pct"/>
                  <w:tcBorders>
                    <w:tl2br w:val="nil"/>
                    <w:tr2bl w:val="nil"/>
                  </w:tcBorders>
                  <w:shd w:val="clear" w:color="auto" w:fill="auto"/>
                  <w:vAlign w:val="center"/>
                </w:tcPr>
                <w:p w14:paraId="27A68F1C">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符合</w:t>
                  </w:r>
                </w:p>
              </w:tc>
            </w:tr>
            <w:tr w14:paraId="5C55C5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restart"/>
                  <w:tcBorders>
                    <w:tl2br w:val="nil"/>
                    <w:tr2bl w:val="nil"/>
                  </w:tcBorders>
                  <w:vAlign w:val="center"/>
                </w:tcPr>
                <w:p w14:paraId="79BAF97B">
                  <w:pPr>
                    <w:pStyle w:val="7"/>
                    <w:keepNext w:val="0"/>
                    <w:keepLines w:val="0"/>
                    <w:suppressLineNumbers w:val="0"/>
                    <w:bidi w:val="0"/>
                    <w:spacing w:before="0" w:beforeAutospacing="0" w:after="0" w:afterAutospacing="0"/>
                    <w:ind w:left="0" w:right="0"/>
                    <w:jc w:val="center"/>
                    <w:rPr>
                      <w:rFonts w:hint="default"/>
                      <w:color w:val="auto"/>
                      <w:highlight w:val="none"/>
                    </w:rPr>
                  </w:pPr>
                  <w:r>
                    <w:rPr>
                      <w:rFonts w:hint="default"/>
                      <w:color w:val="auto"/>
                      <w:highlight w:val="none"/>
                      <w:lang w:val="en-US" w:eastAsia="zh-CN"/>
                    </w:rPr>
                    <w:t>环境风险防控</w:t>
                  </w:r>
                </w:p>
              </w:tc>
              <w:tc>
                <w:tcPr>
                  <w:tcW w:w="430" w:type="pct"/>
                  <w:vMerge w:val="restart"/>
                  <w:tcBorders>
                    <w:tl2br w:val="nil"/>
                    <w:tr2bl w:val="nil"/>
                  </w:tcBorders>
                  <w:vAlign w:val="center"/>
                </w:tcPr>
                <w:p w14:paraId="0214D5C1">
                  <w:pPr>
                    <w:pStyle w:val="7"/>
                    <w:keepNext w:val="0"/>
                    <w:keepLines w:val="0"/>
                    <w:suppressLineNumbers w:val="0"/>
                    <w:bidi w:val="0"/>
                    <w:spacing w:before="0" w:beforeAutospacing="0" w:after="0" w:afterAutospacing="0"/>
                    <w:ind w:left="0" w:right="0"/>
                    <w:jc w:val="center"/>
                    <w:rPr>
                      <w:rFonts w:hint="default"/>
                      <w:color w:val="auto"/>
                      <w:highlight w:val="none"/>
                    </w:rPr>
                  </w:pPr>
                  <w:r>
                    <w:rPr>
                      <w:rFonts w:hint="default"/>
                      <w:color w:val="auto"/>
                      <w:highlight w:val="none"/>
                      <w:lang w:val="en-US" w:eastAsia="zh-CN"/>
                    </w:rPr>
                    <w:t>联防联控要求</w:t>
                  </w:r>
                </w:p>
              </w:tc>
              <w:tc>
                <w:tcPr>
                  <w:tcW w:w="2026" w:type="pct"/>
                  <w:tcBorders>
                    <w:tl2br w:val="nil"/>
                    <w:tr2bl w:val="nil"/>
                  </w:tcBorders>
                  <w:vAlign w:val="center"/>
                </w:tcPr>
                <w:p w14:paraId="328102BA">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加强饮用水水源地环境风险防范和应急预警，建立跨县</w:t>
                  </w:r>
                  <w:r>
                    <w:rPr>
                      <w:rFonts w:hint="eastAsia"/>
                      <w:color w:val="auto"/>
                      <w:highlight w:val="none"/>
                      <w:lang w:eastAsia="zh-CN"/>
                    </w:rPr>
                    <w:t>（</w:t>
                  </w:r>
                  <w:r>
                    <w:rPr>
                      <w:rFonts w:hint="default"/>
                      <w:color w:val="auto"/>
                      <w:highlight w:val="none"/>
                    </w:rPr>
                    <w:t>区</w:t>
                  </w:r>
                  <w:r>
                    <w:rPr>
                      <w:rFonts w:hint="eastAsia"/>
                      <w:color w:val="auto"/>
                      <w:highlight w:val="none"/>
                      <w:lang w:eastAsia="zh-CN"/>
                    </w:rPr>
                    <w:t>）</w:t>
                  </w:r>
                  <w:r>
                    <w:rPr>
                      <w:rFonts w:hint="default"/>
                      <w:color w:val="auto"/>
                      <w:highlight w:val="none"/>
                    </w:rPr>
                    <w:t>和上下游沟通和联动机制，重点防范突发性水污染事件。</w:t>
                  </w:r>
                </w:p>
              </w:tc>
              <w:tc>
                <w:tcPr>
                  <w:tcW w:w="1102" w:type="pct"/>
                  <w:vMerge w:val="restart"/>
                  <w:tcBorders>
                    <w:tl2br w:val="nil"/>
                    <w:tr2bl w:val="nil"/>
                  </w:tcBorders>
                  <w:vAlign w:val="center"/>
                </w:tcPr>
                <w:p w14:paraId="2EA0C188">
                  <w:pPr>
                    <w:pStyle w:val="7"/>
                    <w:keepNext w:val="0"/>
                    <w:keepLines w:val="0"/>
                    <w:suppressLineNumbers w:val="0"/>
                    <w:bidi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w:t>
                  </w:r>
                </w:p>
              </w:tc>
              <w:tc>
                <w:tcPr>
                  <w:tcW w:w="1102" w:type="pct"/>
                  <w:tcBorders>
                    <w:tl2br w:val="nil"/>
                    <w:tr2bl w:val="nil"/>
                  </w:tcBorders>
                  <w:vAlign w:val="center"/>
                </w:tcPr>
                <w:p w14:paraId="27CFA56E">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11070B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665649DA">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000D26B6">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2AAC415D">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逐步建立总磷排放控制台账，推进区域水体总磷联防联控。</w:t>
                  </w:r>
                </w:p>
              </w:tc>
              <w:tc>
                <w:tcPr>
                  <w:tcW w:w="1102" w:type="pct"/>
                  <w:vMerge w:val="continue"/>
                  <w:tcBorders>
                    <w:tl2br w:val="nil"/>
                    <w:tr2bl w:val="nil"/>
                  </w:tcBorders>
                  <w:vAlign w:val="center"/>
                </w:tcPr>
                <w:p w14:paraId="3CB2D685">
                  <w:pPr>
                    <w:pStyle w:val="7"/>
                    <w:keepNext w:val="0"/>
                    <w:keepLines w:val="0"/>
                    <w:suppressLineNumbers w:val="0"/>
                    <w:bidi w:val="0"/>
                    <w:spacing w:before="0" w:beforeAutospacing="0" w:after="0" w:afterAutospacing="0"/>
                    <w:ind w:left="0" w:right="0"/>
                    <w:jc w:val="both"/>
                    <w:rPr>
                      <w:rFonts w:hint="default"/>
                      <w:color w:val="auto"/>
                      <w:highlight w:val="none"/>
                    </w:rPr>
                  </w:pPr>
                </w:p>
              </w:tc>
              <w:tc>
                <w:tcPr>
                  <w:tcW w:w="1102" w:type="pct"/>
                  <w:tcBorders>
                    <w:tl2br w:val="nil"/>
                    <w:tr2bl w:val="nil"/>
                  </w:tcBorders>
                  <w:vAlign w:val="center"/>
                </w:tcPr>
                <w:p w14:paraId="1EAC5C72">
                  <w:pPr>
                    <w:pStyle w:val="7"/>
                    <w:keepNext w:val="0"/>
                    <w:keepLines w:val="0"/>
                    <w:suppressLineNumbers w:val="0"/>
                    <w:bidi w:val="0"/>
                    <w:spacing w:before="0" w:beforeAutospacing="0" w:after="0" w:afterAutospacing="0"/>
                    <w:ind w:left="0" w:right="0"/>
                    <w:jc w:val="center"/>
                    <w:rPr>
                      <w:rFonts w:hint="default"/>
                      <w:color w:val="auto"/>
                      <w:highlight w:val="none"/>
                    </w:rPr>
                  </w:pPr>
                  <w:r>
                    <w:rPr>
                      <w:rFonts w:hint="eastAsia"/>
                      <w:color w:val="auto"/>
                      <w:highlight w:val="none"/>
                      <w:lang w:val="en-US" w:eastAsia="zh-CN"/>
                    </w:rPr>
                    <w:t>符合</w:t>
                  </w:r>
                </w:p>
              </w:tc>
            </w:tr>
            <w:tr w14:paraId="6FF1B7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70B49998">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71B40C9A">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2EAD64ED">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default"/>
                      <w:color w:val="auto"/>
                      <w:highlight w:val="none"/>
                    </w:rPr>
                    <w:t>推进南昌都市圈五市一区的大气、水污染联防联控工作，建立区域共责、联防联控、协调协同、互助互通、有序有效的大气、水污染联控工作机制，提升大南昌都市圈区域大气、水环境质量。</w:t>
                  </w:r>
                </w:p>
              </w:tc>
              <w:tc>
                <w:tcPr>
                  <w:tcW w:w="1102" w:type="pct"/>
                  <w:vMerge w:val="continue"/>
                  <w:tcBorders>
                    <w:tl2br w:val="nil"/>
                    <w:tr2bl w:val="nil"/>
                  </w:tcBorders>
                  <w:vAlign w:val="center"/>
                </w:tcPr>
                <w:p w14:paraId="3C7E3A4D">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p>
              </w:tc>
              <w:tc>
                <w:tcPr>
                  <w:tcW w:w="1102" w:type="pct"/>
                  <w:tcBorders>
                    <w:tl2br w:val="nil"/>
                    <w:tr2bl w:val="nil"/>
                  </w:tcBorders>
                  <w:vAlign w:val="center"/>
                </w:tcPr>
                <w:p w14:paraId="1B674137">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0333C9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6297BE28">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restart"/>
                  <w:tcBorders>
                    <w:tl2br w:val="nil"/>
                    <w:tr2bl w:val="nil"/>
                  </w:tcBorders>
                  <w:vAlign w:val="center"/>
                </w:tcPr>
                <w:p w14:paraId="4C7B3E5A">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其他环境风险防控要求</w:t>
                  </w:r>
                </w:p>
              </w:tc>
              <w:tc>
                <w:tcPr>
                  <w:tcW w:w="2026" w:type="pct"/>
                  <w:tcBorders>
                    <w:tl2br w:val="nil"/>
                    <w:tr2bl w:val="nil"/>
                  </w:tcBorders>
                  <w:vAlign w:val="center"/>
                </w:tcPr>
                <w:p w14:paraId="6CFEC921">
                  <w:pPr>
                    <w:pStyle w:val="7"/>
                    <w:keepNext w:val="0"/>
                    <w:keepLines w:val="0"/>
                    <w:suppressLineNumbers w:val="0"/>
                    <w:bidi w:val="0"/>
                    <w:spacing w:before="0" w:beforeAutospacing="0" w:after="0" w:afterAutospacing="0"/>
                    <w:ind w:left="0" w:right="0"/>
                    <w:jc w:val="both"/>
                    <w:rPr>
                      <w:rFonts w:hint="eastAsia"/>
                      <w:color w:val="auto"/>
                      <w:highlight w:val="none"/>
                      <w:lang w:eastAsia="zh-CN"/>
                    </w:rPr>
                  </w:pPr>
                  <w:r>
                    <w:rPr>
                      <w:rFonts w:hint="default"/>
                      <w:color w:val="auto"/>
                      <w:highlight w:val="none"/>
                    </w:rPr>
                    <w:t>对于安全利用类农用地，要制定实施受污染耕地安全利用方案，采取农艺调控、替代种植等措施，降低农产品超标风险</w:t>
                  </w:r>
                  <w:r>
                    <w:rPr>
                      <w:rFonts w:hint="eastAsia"/>
                      <w:color w:val="auto"/>
                      <w:highlight w:val="none"/>
                      <w:lang w:eastAsia="zh-CN"/>
                    </w:rPr>
                    <w:t>，</w:t>
                  </w:r>
                  <w:r>
                    <w:rPr>
                      <w:rFonts w:hint="default"/>
                      <w:color w:val="auto"/>
                      <w:highlight w:val="none"/>
                    </w:rPr>
                    <w:t>强化农产品质量检测</w:t>
                  </w:r>
                  <w:r>
                    <w:rPr>
                      <w:rFonts w:hint="eastAsia"/>
                      <w:color w:val="auto"/>
                      <w:highlight w:val="none"/>
                      <w:lang w:eastAsia="zh-CN"/>
                    </w:rPr>
                    <w:t>。</w:t>
                  </w:r>
                </w:p>
              </w:tc>
              <w:tc>
                <w:tcPr>
                  <w:tcW w:w="1102" w:type="pct"/>
                  <w:tcBorders>
                    <w:tl2br w:val="nil"/>
                    <w:tr2bl w:val="nil"/>
                  </w:tcBorders>
                  <w:vAlign w:val="center"/>
                </w:tcPr>
                <w:p w14:paraId="63E003BC">
                  <w:pPr>
                    <w:pStyle w:val="7"/>
                    <w:keepNext w:val="0"/>
                    <w:keepLines w:val="0"/>
                    <w:suppressLineNumbers w:val="0"/>
                    <w:bidi w:val="0"/>
                    <w:spacing w:before="0" w:beforeAutospacing="0" w:after="0" w:afterAutospacing="0"/>
                    <w:ind w:left="0" w:right="0"/>
                    <w:jc w:val="center"/>
                    <w:rPr>
                      <w:rFonts w:hint="default"/>
                      <w:color w:val="auto"/>
                      <w:highlight w:val="none"/>
                    </w:rPr>
                  </w:pPr>
                  <w:r>
                    <w:rPr>
                      <w:rFonts w:hint="eastAsia"/>
                      <w:color w:val="auto"/>
                      <w:highlight w:val="none"/>
                      <w:lang w:val="en-US" w:eastAsia="zh-CN"/>
                    </w:rPr>
                    <w:t>/</w:t>
                  </w:r>
                </w:p>
              </w:tc>
              <w:tc>
                <w:tcPr>
                  <w:tcW w:w="1102" w:type="pct"/>
                  <w:tcBorders>
                    <w:tl2br w:val="nil"/>
                    <w:tr2bl w:val="nil"/>
                  </w:tcBorders>
                  <w:vAlign w:val="center"/>
                </w:tcPr>
                <w:p w14:paraId="41B85D77">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07528D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0F4532A5">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1BF2301C">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428756EF">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加强对严格管控类耕地的用途管理，依法划定特定农产品禁止生产区域，严禁种植食用农产品，禁止在有毒有害物质超过规定标准的区域生产、捕捞、采集食用特定农产品和建立特定农产品生产基地。</w:t>
                  </w:r>
                </w:p>
              </w:tc>
              <w:tc>
                <w:tcPr>
                  <w:tcW w:w="1102" w:type="pct"/>
                  <w:tcBorders>
                    <w:tl2br w:val="nil"/>
                    <w:tr2bl w:val="nil"/>
                  </w:tcBorders>
                  <w:vAlign w:val="center"/>
                </w:tcPr>
                <w:p w14:paraId="7225B1EE">
                  <w:pPr>
                    <w:pStyle w:val="7"/>
                    <w:keepNext w:val="0"/>
                    <w:keepLines w:val="0"/>
                    <w:suppressLineNumbers w:val="0"/>
                    <w:bidi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w:t>
                  </w:r>
                </w:p>
              </w:tc>
              <w:tc>
                <w:tcPr>
                  <w:tcW w:w="1102" w:type="pct"/>
                  <w:tcBorders>
                    <w:tl2br w:val="nil"/>
                    <w:tr2bl w:val="nil"/>
                  </w:tcBorders>
                  <w:vAlign w:val="center"/>
                </w:tcPr>
                <w:p w14:paraId="7519E735">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19973E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6B762776">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75D7E880">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481C16E9">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对于已污染地块，应依法开展建设用地土壤环境状况调查、风险评估和污染地块治理与修复活动，符合相应规划用地土壤环境质量要求的地块，可进入用地程序。</w:t>
                  </w:r>
                </w:p>
              </w:tc>
              <w:tc>
                <w:tcPr>
                  <w:tcW w:w="1102" w:type="pct"/>
                  <w:tcBorders>
                    <w:tl2br w:val="nil"/>
                    <w:tr2bl w:val="nil"/>
                  </w:tcBorders>
                  <w:vAlign w:val="center"/>
                </w:tcPr>
                <w:p w14:paraId="57AFAC84">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eastAsia"/>
                      <w:color w:val="auto"/>
                      <w:highlight w:val="none"/>
                      <w:lang w:val="en-US" w:eastAsia="zh-CN"/>
                    </w:rPr>
                    <w:t>本项目用地不属于污染地块。</w:t>
                  </w:r>
                </w:p>
              </w:tc>
              <w:tc>
                <w:tcPr>
                  <w:tcW w:w="1102" w:type="pct"/>
                  <w:tcBorders>
                    <w:tl2br w:val="nil"/>
                    <w:tr2bl w:val="nil"/>
                  </w:tcBorders>
                  <w:vAlign w:val="center"/>
                </w:tcPr>
                <w:p w14:paraId="63D89DDF">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348E9E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28A34531">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248731CD">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0A4104C3">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生产、存储危险化学品及产生大量废水的企业，应配套有效措施，防止因渗漏污染地下水、土壤，以及因事故废水直排污染地表水体。</w:t>
                  </w:r>
                </w:p>
              </w:tc>
              <w:tc>
                <w:tcPr>
                  <w:tcW w:w="1102" w:type="pct"/>
                  <w:tcBorders>
                    <w:tl2br w:val="nil"/>
                    <w:tr2bl w:val="nil"/>
                  </w:tcBorders>
                  <w:vAlign w:val="center"/>
                </w:tcPr>
                <w:p w14:paraId="520AE78B">
                  <w:pPr>
                    <w:pStyle w:val="7"/>
                    <w:keepNext w:val="0"/>
                    <w:keepLines w:val="0"/>
                    <w:suppressLineNumbers w:val="0"/>
                    <w:bidi w:val="0"/>
                    <w:spacing w:before="0" w:beforeAutospacing="0" w:after="0" w:afterAutospacing="0"/>
                    <w:ind w:left="0" w:right="0"/>
                    <w:jc w:val="both"/>
                    <w:rPr>
                      <w:rFonts w:hint="eastAsia"/>
                      <w:color w:val="auto"/>
                      <w:highlight w:val="none"/>
                      <w:lang w:eastAsia="zh-CN"/>
                    </w:rPr>
                  </w:pPr>
                  <w:r>
                    <w:rPr>
                      <w:rFonts w:hint="eastAsia" w:ascii="Times New Roman" w:hAnsi="Times New Roman" w:eastAsia="宋体" w:cs="Times New Roman"/>
                      <w:color w:val="auto"/>
                      <w:sz w:val="21"/>
                      <w:highlight w:val="none"/>
                      <w:lang w:val="en-US" w:eastAsia="zh-CN"/>
                    </w:rPr>
                    <w:t>本项目</w:t>
                  </w:r>
                  <w:r>
                    <w:rPr>
                      <w:rFonts w:hint="eastAsia" w:cs="Times New Roman"/>
                      <w:color w:val="auto"/>
                      <w:sz w:val="21"/>
                      <w:highlight w:val="none"/>
                      <w:lang w:val="en-US" w:eastAsia="zh-CN"/>
                    </w:rPr>
                    <w:t>已采取分区防渗措施</w:t>
                  </w:r>
                  <w:r>
                    <w:rPr>
                      <w:rFonts w:hint="eastAsia" w:ascii="Times New Roman" w:hAnsi="Times New Roman" w:eastAsia="宋体" w:cs="Times New Roman"/>
                      <w:color w:val="auto"/>
                      <w:sz w:val="21"/>
                      <w:highlight w:val="none"/>
                      <w:lang w:val="en-US" w:eastAsia="zh-CN"/>
                    </w:rPr>
                    <w:t>。</w:t>
                  </w:r>
                </w:p>
              </w:tc>
              <w:tc>
                <w:tcPr>
                  <w:tcW w:w="1102" w:type="pct"/>
                  <w:tcBorders>
                    <w:tl2br w:val="nil"/>
                    <w:tr2bl w:val="nil"/>
                  </w:tcBorders>
                  <w:vAlign w:val="center"/>
                </w:tcPr>
                <w:p w14:paraId="3989B5E8">
                  <w:pPr>
                    <w:pStyle w:val="7"/>
                    <w:keepNext w:val="0"/>
                    <w:keepLines w:val="0"/>
                    <w:suppressLineNumbers w:val="0"/>
                    <w:bidi w:val="0"/>
                    <w:spacing w:before="0" w:beforeAutospacing="0" w:after="0" w:afterAutospacing="0"/>
                    <w:ind w:left="0" w:right="0"/>
                    <w:jc w:val="center"/>
                    <w:rPr>
                      <w:rFonts w:hint="eastAsia" w:ascii="Times New Roman" w:hAnsi="Times New Roman" w:eastAsia="宋体" w:cs="Times New Roman"/>
                      <w:color w:val="auto"/>
                      <w:sz w:val="21"/>
                      <w:highlight w:val="none"/>
                      <w:lang w:val="en-US" w:eastAsia="zh-CN"/>
                    </w:rPr>
                  </w:pPr>
                  <w:r>
                    <w:rPr>
                      <w:rFonts w:hint="eastAsia"/>
                      <w:color w:val="auto"/>
                      <w:highlight w:val="none"/>
                      <w:lang w:val="en-US" w:eastAsia="zh-CN"/>
                    </w:rPr>
                    <w:t>符合</w:t>
                  </w:r>
                </w:p>
              </w:tc>
            </w:tr>
            <w:tr w14:paraId="0C5057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142819DA">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0C6D203D">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2026" w:type="pct"/>
                  <w:tcBorders>
                    <w:tl2br w:val="nil"/>
                    <w:tr2bl w:val="nil"/>
                  </w:tcBorders>
                  <w:vAlign w:val="center"/>
                </w:tcPr>
                <w:p w14:paraId="637FD2AA">
                  <w:pPr>
                    <w:pStyle w:val="7"/>
                    <w:keepNext w:val="0"/>
                    <w:keepLines w:val="0"/>
                    <w:suppressLineNumbers w:val="0"/>
                    <w:bidi w:val="0"/>
                    <w:spacing w:before="0" w:beforeAutospacing="0" w:after="0" w:afterAutospacing="0"/>
                    <w:ind w:left="0" w:right="0"/>
                    <w:jc w:val="both"/>
                    <w:rPr>
                      <w:rFonts w:hint="eastAsia"/>
                      <w:color w:val="auto"/>
                      <w:highlight w:val="none"/>
                      <w:lang w:eastAsia="zh-CN"/>
                    </w:rPr>
                  </w:pPr>
                  <w:r>
                    <w:rPr>
                      <w:rFonts w:hint="default"/>
                      <w:color w:val="auto"/>
                      <w:highlight w:val="none"/>
                    </w:rPr>
                    <w:t>产生、利用或处置固体废物（含危险废物）的企业，在贮存、转移、利用、处置固体废物（含危险废物）过程中，应配套防扬散、防流失、防渗漏及其他防止污染环境的措施</w:t>
                  </w:r>
                  <w:r>
                    <w:rPr>
                      <w:rFonts w:hint="eastAsia"/>
                      <w:color w:val="auto"/>
                      <w:highlight w:val="none"/>
                      <w:lang w:eastAsia="zh-CN"/>
                    </w:rPr>
                    <w:t>。</w:t>
                  </w:r>
                </w:p>
              </w:tc>
              <w:tc>
                <w:tcPr>
                  <w:tcW w:w="1102" w:type="pct"/>
                  <w:tcBorders>
                    <w:tl2br w:val="nil"/>
                    <w:tr2bl w:val="nil"/>
                  </w:tcBorders>
                  <w:vAlign w:val="center"/>
                </w:tcPr>
                <w:p w14:paraId="1C2DD536">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eastAsia"/>
                      <w:color w:val="auto"/>
                      <w:highlight w:val="none"/>
                      <w:lang w:val="en-US" w:eastAsia="zh-CN"/>
                    </w:rPr>
                    <w:t>本项目固体废物均能妥善处理，固废临时贮存区已配套防扬散、防流失、防渗漏及其他防止污染环境的措施。</w:t>
                  </w:r>
                </w:p>
              </w:tc>
              <w:tc>
                <w:tcPr>
                  <w:tcW w:w="1102" w:type="pct"/>
                  <w:tcBorders>
                    <w:tl2br w:val="nil"/>
                    <w:tr2bl w:val="nil"/>
                  </w:tcBorders>
                  <w:vAlign w:val="center"/>
                </w:tcPr>
                <w:p w14:paraId="72E09523">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r w14:paraId="149BF6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restart"/>
                  <w:tcBorders>
                    <w:tl2br w:val="nil"/>
                    <w:tr2bl w:val="nil"/>
                  </w:tcBorders>
                  <w:vAlign w:val="center"/>
                </w:tcPr>
                <w:p w14:paraId="18905827">
                  <w:pPr>
                    <w:pStyle w:val="7"/>
                    <w:keepNext w:val="0"/>
                    <w:keepLines w:val="0"/>
                    <w:suppressLineNumbers w:val="0"/>
                    <w:bidi w:val="0"/>
                    <w:spacing w:before="0" w:beforeAutospacing="0" w:after="0" w:afterAutospacing="0"/>
                    <w:ind w:left="0" w:right="0"/>
                    <w:jc w:val="center"/>
                    <w:rPr>
                      <w:rFonts w:hint="default"/>
                      <w:color w:val="auto"/>
                      <w:highlight w:val="none"/>
                    </w:rPr>
                  </w:pPr>
                  <w:r>
                    <w:rPr>
                      <w:rFonts w:hint="default"/>
                      <w:color w:val="auto"/>
                      <w:highlight w:val="none"/>
                      <w:lang w:val="en-US" w:eastAsia="zh-CN"/>
                    </w:rPr>
                    <w:t>资源利用效率要求</w:t>
                  </w:r>
                </w:p>
              </w:tc>
              <w:tc>
                <w:tcPr>
                  <w:tcW w:w="430" w:type="pct"/>
                  <w:tcBorders>
                    <w:tl2br w:val="nil"/>
                    <w:tr2bl w:val="nil"/>
                  </w:tcBorders>
                  <w:vAlign w:val="center"/>
                </w:tcPr>
                <w:p w14:paraId="23262447">
                  <w:pPr>
                    <w:pStyle w:val="7"/>
                    <w:keepNext w:val="0"/>
                    <w:keepLines w:val="0"/>
                    <w:suppressLineNumbers w:val="0"/>
                    <w:bidi w:val="0"/>
                    <w:spacing w:before="0" w:beforeAutospacing="0" w:after="0" w:afterAutospacing="0"/>
                    <w:ind w:left="0" w:right="0"/>
                    <w:jc w:val="center"/>
                    <w:rPr>
                      <w:rFonts w:hint="default"/>
                      <w:color w:val="auto"/>
                      <w:highlight w:val="none"/>
                    </w:rPr>
                  </w:pPr>
                  <w:r>
                    <w:rPr>
                      <w:rFonts w:hint="default"/>
                      <w:color w:val="auto"/>
                      <w:highlight w:val="none"/>
                      <w:lang w:val="en-US" w:eastAsia="zh-CN"/>
                    </w:rPr>
                    <w:t>水资源利用总量要求</w:t>
                  </w:r>
                </w:p>
              </w:tc>
              <w:tc>
                <w:tcPr>
                  <w:tcW w:w="2026" w:type="pct"/>
                  <w:tcBorders>
                    <w:tl2br w:val="nil"/>
                    <w:tr2bl w:val="nil"/>
                  </w:tcBorders>
                  <w:vAlign w:val="center"/>
                </w:tcPr>
                <w:p w14:paraId="7C95BC4D">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default"/>
                      <w:color w:val="auto"/>
                      <w:highlight w:val="none"/>
                    </w:rPr>
                    <w:t>南昌市区域用水总量、万元</w:t>
                  </w:r>
                  <w:r>
                    <w:rPr>
                      <w:rFonts w:hint="default"/>
                      <w:color w:val="auto"/>
                      <w:highlight w:val="none"/>
                      <w:lang w:val="en-US" w:eastAsia="en-US"/>
                    </w:rPr>
                    <w:t>GDP</w:t>
                  </w:r>
                  <w:r>
                    <w:rPr>
                      <w:rFonts w:hint="default"/>
                      <w:color w:val="auto"/>
                      <w:highlight w:val="none"/>
                    </w:rPr>
                    <w:t>用水量、万元工业增加值用水</w:t>
                  </w:r>
                  <w:r>
                    <w:rPr>
                      <w:rFonts w:hint="eastAsia"/>
                      <w:color w:val="auto"/>
                      <w:highlight w:val="none"/>
                      <w:lang w:val="en-US" w:eastAsia="zh-CN"/>
                    </w:rPr>
                    <w:t>量</w:t>
                  </w:r>
                  <w:r>
                    <w:rPr>
                      <w:rFonts w:hint="default"/>
                      <w:color w:val="auto"/>
                      <w:highlight w:val="none"/>
                    </w:rPr>
                    <w:t>执行省级下达的管控指标要求。</w:t>
                  </w:r>
                </w:p>
              </w:tc>
              <w:tc>
                <w:tcPr>
                  <w:tcW w:w="1102" w:type="pct"/>
                  <w:tcBorders>
                    <w:tl2br w:val="nil"/>
                    <w:tr2bl w:val="nil"/>
                  </w:tcBorders>
                  <w:vAlign w:val="center"/>
                </w:tcPr>
                <w:p w14:paraId="1000142B">
                  <w:pPr>
                    <w:pStyle w:val="7"/>
                    <w:keepNext w:val="0"/>
                    <w:keepLines w:val="0"/>
                    <w:suppressLineNumbers w:val="0"/>
                    <w:bidi w:val="0"/>
                    <w:spacing w:before="0" w:beforeAutospacing="0" w:after="0" w:afterAutospacing="0"/>
                    <w:ind w:left="0" w:right="0"/>
                    <w:jc w:val="both"/>
                    <w:rPr>
                      <w:rFonts w:hint="default"/>
                      <w:color w:val="auto"/>
                      <w:highlight w:val="none"/>
                      <w:lang w:val="en-US"/>
                    </w:rPr>
                  </w:pPr>
                  <w:r>
                    <w:rPr>
                      <w:rFonts w:hint="default"/>
                      <w:color w:val="auto"/>
                      <w:highlight w:val="none"/>
                      <w:lang w:val="en-US" w:eastAsia="zh-CN"/>
                    </w:rPr>
                    <w:t>本项目用水量较小</w:t>
                  </w:r>
                  <w:r>
                    <w:rPr>
                      <w:rFonts w:hint="eastAsia"/>
                      <w:color w:val="auto"/>
                      <w:highlight w:val="none"/>
                      <w:lang w:val="en-US" w:eastAsia="zh-CN"/>
                    </w:rPr>
                    <w:t>，不会突破全市用水总量。</w:t>
                  </w:r>
                </w:p>
              </w:tc>
              <w:tc>
                <w:tcPr>
                  <w:tcW w:w="1102" w:type="pct"/>
                  <w:tcBorders>
                    <w:tl2br w:val="nil"/>
                    <w:tr2bl w:val="nil"/>
                  </w:tcBorders>
                  <w:vAlign w:val="center"/>
                </w:tcPr>
                <w:p w14:paraId="4D4B8FE2">
                  <w:pPr>
                    <w:pStyle w:val="7"/>
                    <w:keepNext w:val="0"/>
                    <w:keepLines w:val="0"/>
                    <w:suppressLineNumbers w:val="0"/>
                    <w:bidi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符合</w:t>
                  </w:r>
                </w:p>
              </w:tc>
            </w:tr>
            <w:tr w14:paraId="4F8DE3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74978454">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tcBorders>
                    <w:tl2br w:val="nil"/>
                    <w:tr2bl w:val="nil"/>
                  </w:tcBorders>
                  <w:vAlign w:val="center"/>
                </w:tcPr>
                <w:p w14:paraId="71CC6893">
                  <w:pPr>
                    <w:pStyle w:val="7"/>
                    <w:keepNext w:val="0"/>
                    <w:keepLines w:val="0"/>
                    <w:suppressLineNumbers w:val="0"/>
                    <w:bidi w:val="0"/>
                    <w:spacing w:before="0" w:beforeAutospacing="0" w:after="0" w:afterAutospacing="0"/>
                    <w:ind w:left="0" w:right="0"/>
                    <w:jc w:val="center"/>
                    <w:rPr>
                      <w:rFonts w:hint="default"/>
                      <w:color w:val="auto"/>
                      <w:highlight w:val="none"/>
                    </w:rPr>
                  </w:pPr>
                  <w:r>
                    <w:rPr>
                      <w:rFonts w:hint="default"/>
                      <w:color w:val="auto"/>
                      <w:highlight w:val="none"/>
                      <w:lang w:val="en-US" w:eastAsia="zh-CN"/>
                    </w:rPr>
                    <w:t>地下水开采要求</w:t>
                  </w:r>
                </w:p>
              </w:tc>
              <w:tc>
                <w:tcPr>
                  <w:tcW w:w="2026" w:type="pct"/>
                  <w:tcBorders>
                    <w:tl2br w:val="nil"/>
                    <w:tr2bl w:val="nil"/>
                  </w:tcBorders>
                  <w:vAlign w:val="center"/>
                </w:tcPr>
                <w:p w14:paraId="6E4F2453">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严格控制开采深层承压水，地热水、矿泉水开发应严格实行取水许可和采矿许可</w:t>
                  </w:r>
                  <w:r>
                    <w:rPr>
                      <w:rFonts w:hint="eastAsia"/>
                      <w:color w:val="auto"/>
                      <w:highlight w:val="none"/>
                      <w:lang w:val="en-US" w:eastAsia="zh-CN"/>
                    </w:rPr>
                    <w:t>以及绿色矿山建设要求</w:t>
                  </w:r>
                  <w:r>
                    <w:rPr>
                      <w:rFonts w:hint="default"/>
                      <w:color w:val="auto"/>
                      <w:highlight w:val="none"/>
                    </w:rPr>
                    <w:t>。</w:t>
                  </w:r>
                </w:p>
              </w:tc>
              <w:tc>
                <w:tcPr>
                  <w:tcW w:w="1102" w:type="pct"/>
                  <w:tcBorders>
                    <w:tl2br w:val="nil"/>
                    <w:tr2bl w:val="nil"/>
                  </w:tcBorders>
                  <w:vAlign w:val="center"/>
                </w:tcPr>
                <w:p w14:paraId="56C56705">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default"/>
                      <w:color w:val="auto"/>
                      <w:highlight w:val="none"/>
                      <w:lang w:val="en-US" w:eastAsia="zh-CN"/>
                    </w:rPr>
                    <w:t>本项目</w:t>
                  </w:r>
                  <w:r>
                    <w:rPr>
                      <w:rFonts w:hint="eastAsia"/>
                      <w:color w:val="auto"/>
                      <w:highlight w:val="none"/>
                      <w:lang w:val="en-US" w:eastAsia="zh-CN"/>
                    </w:rPr>
                    <w:t>不采用地下水。</w:t>
                  </w:r>
                </w:p>
              </w:tc>
              <w:tc>
                <w:tcPr>
                  <w:tcW w:w="1102" w:type="pct"/>
                  <w:tcBorders>
                    <w:tl2br w:val="nil"/>
                    <w:tr2bl w:val="nil"/>
                  </w:tcBorders>
                  <w:vAlign w:val="center"/>
                </w:tcPr>
                <w:p w14:paraId="53358B03">
                  <w:pPr>
                    <w:pStyle w:val="7"/>
                    <w:keepNext w:val="0"/>
                    <w:keepLines w:val="0"/>
                    <w:suppressLineNumbers w:val="0"/>
                    <w:bidi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符合</w:t>
                  </w:r>
                </w:p>
              </w:tc>
            </w:tr>
            <w:tr w14:paraId="54F86D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3D0A5F83">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restart"/>
                  <w:tcBorders>
                    <w:tl2br w:val="nil"/>
                    <w:tr2bl w:val="nil"/>
                  </w:tcBorders>
                  <w:vAlign w:val="center"/>
                </w:tcPr>
                <w:p w14:paraId="09DA9AC4">
                  <w:pPr>
                    <w:pStyle w:val="7"/>
                    <w:keepNext w:val="0"/>
                    <w:keepLines w:val="0"/>
                    <w:suppressLineNumbers w:val="0"/>
                    <w:bidi w:val="0"/>
                    <w:spacing w:before="0" w:beforeAutospacing="0" w:after="0" w:afterAutospacing="0"/>
                    <w:ind w:left="0" w:right="0"/>
                    <w:jc w:val="center"/>
                    <w:rPr>
                      <w:rFonts w:hint="default"/>
                      <w:color w:val="auto"/>
                      <w:highlight w:val="none"/>
                    </w:rPr>
                  </w:pPr>
                  <w:r>
                    <w:rPr>
                      <w:rFonts w:hint="default"/>
                      <w:color w:val="auto"/>
                      <w:highlight w:val="none"/>
                      <w:lang w:val="en-US" w:eastAsia="zh-CN"/>
                    </w:rPr>
                    <w:t>能源利用总量及效率要求</w:t>
                  </w:r>
                </w:p>
              </w:tc>
              <w:tc>
                <w:tcPr>
                  <w:tcW w:w="2026" w:type="pct"/>
                  <w:tcBorders>
                    <w:tl2br w:val="nil"/>
                    <w:tr2bl w:val="nil"/>
                  </w:tcBorders>
                  <w:vAlign w:val="center"/>
                </w:tcPr>
                <w:p w14:paraId="32D87497">
                  <w:pPr>
                    <w:pStyle w:val="7"/>
                    <w:keepNext w:val="0"/>
                    <w:keepLines w:val="0"/>
                    <w:suppressLineNumbers w:val="0"/>
                    <w:bidi w:val="0"/>
                    <w:spacing w:before="0" w:beforeAutospacing="0" w:after="0" w:afterAutospacing="0"/>
                    <w:ind w:left="0" w:right="0"/>
                    <w:jc w:val="both"/>
                    <w:rPr>
                      <w:rFonts w:hint="eastAsia" w:eastAsia="宋体"/>
                      <w:color w:val="auto"/>
                      <w:highlight w:val="none"/>
                      <w:lang w:eastAsia="zh-CN"/>
                    </w:rPr>
                  </w:pPr>
                  <w:r>
                    <w:rPr>
                      <w:rFonts w:hint="default"/>
                      <w:color w:val="auto"/>
                      <w:highlight w:val="none"/>
                    </w:rPr>
                    <w:t>在保障能源安全的前提下合理控制煤炭消费增长，抓好煤炭清洁高效利用，提高电力、天然气等清洁低碳能源消费占比</w:t>
                  </w:r>
                  <w:r>
                    <w:rPr>
                      <w:rFonts w:hint="eastAsia"/>
                      <w:color w:val="auto"/>
                      <w:highlight w:val="none"/>
                      <w:lang w:eastAsia="zh-CN"/>
                    </w:rPr>
                    <w:t>。</w:t>
                  </w:r>
                </w:p>
              </w:tc>
              <w:tc>
                <w:tcPr>
                  <w:tcW w:w="1102" w:type="pct"/>
                  <w:tcBorders>
                    <w:tl2br w:val="nil"/>
                    <w:tr2bl w:val="nil"/>
                  </w:tcBorders>
                  <w:vAlign w:val="center"/>
                </w:tcPr>
                <w:p w14:paraId="52BC1D27">
                  <w:pPr>
                    <w:pStyle w:val="7"/>
                    <w:keepNext w:val="0"/>
                    <w:keepLines w:val="0"/>
                    <w:suppressLineNumbers w:val="0"/>
                    <w:bidi w:val="0"/>
                    <w:spacing w:before="0" w:beforeAutospacing="0" w:after="0" w:afterAutospacing="0"/>
                    <w:ind w:left="0" w:right="0"/>
                    <w:jc w:val="both"/>
                    <w:rPr>
                      <w:rFonts w:hint="default"/>
                      <w:color w:val="auto"/>
                      <w:highlight w:val="none"/>
                    </w:rPr>
                  </w:pPr>
                  <w:r>
                    <w:rPr>
                      <w:rFonts w:hint="default"/>
                      <w:color w:val="auto"/>
                      <w:highlight w:val="none"/>
                    </w:rPr>
                    <w:t>本项目不使用煤炭。</w:t>
                  </w:r>
                </w:p>
              </w:tc>
              <w:tc>
                <w:tcPr>
                  <w:tcW w:w="1102" w:type="pct"/>
                  <w:tcBorders>
                    <w:tl2br w:val="nil"/>
                    <w:tr2bl w:val="nil"/>
                  </w:tcBorders>
                  <w:vAlign w:val="center"/>
                </w:tcPr>
                <w:p w14:paraId="3F515205">
                  <w:pPr>
                    <w:pStyle w:val="7"/>
                    <w:keepNext w:val="0"/>
                    <w:keepLines w:val="0"/>
                    <w:suppressLineNumbers w:val="0"/>
                    <w:bidi w:val="0"/>
                    <w:spacing w:before="0" w:beforeAutospacing="0" w:after="0" w:afterAutospacing="0"/>
                    <w:ind w:left="0" w:right="0"/>
                    <w:jc w:val="center"/>
                    <w:rPr>
                      <w:rFonts w:hint="default"/>
                      <w:color w:val="auto"/>
                      <w:highlight w:val="none"/>
                    </w:rPr>
                  </w:pPr>
                  <w:r>
                    <w:rPr>
                      <w:rFonts w:hint="eastAsia"/>
                      <w:color w:val="auto"/>
                      <w:highlight w:val="none"/>
                      <w:lang w:val="en-US" w:eastAsia="zh-CN"/>
                    </w:rPr>
                    <w:t>符合</w:t>
                  </w:r>
                </w:p>
              </w:tc>
            </w:tr>
            <w:tr w14:paraId="28766C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5656B28E">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515720DF">
                  <w:pPr>
                    <w:pStyle w:val="7"/>
                    <w:keepNext w:val="0"/>
                    <w:keepLines w:val="0"/>
                    <w:suppressLineNumbers w:val="0"/>
                    <w:bidi w:val="0"/>
                    <w:spacing w:before="0" w:beforeAutospacing="0" w:after="0" w:afterAutospacing="0"/>
                    <w:ind w:left="0" w:right="0"/>
                    <w:jc w:val="center"/>
                    <w:rPr>
                      <w:rFonts w:hint="default"/>
                      <w:color w:val="auto"/>
                      <w:highlight w:val="none"/>
                      <w:lang w:val="en-US" w:eastAsia="zh-CN"/>
                    </w:rPr>
                  </w:pPr>
                </w:p>
              </w:tc>
              <w:tc>
                <w:tcPr>
                  <w:tcW w:w="2026" w:type="pct"/>
                  <w:tcBorders>
                    <w:tl2br w:val="nil"/>
                    <w:tr2bl w:val="nil"/>
                  </w:tcBorders>
                  <w:vAlign w:val="center"/>
                </w:tcPr>
                <w:p w14:paraId="5027447E">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default"/>
                      <w:color w:val="auto"/>
                      <w:highlight w:val="none"/>
                    </w:rPr>
                    <w:t>能源消费总量、规模以上工业企业单位工业增加值能耗执行省级下达的管控指标要求。</w:t>
                  </w:r>
                </w:p>
              </w:tc>
              <w:tc>
                <w:tcPr>
                  <w:tcW w:w="1102" w:type="pct"/>
                  <w:tcBorders>
                    <w:tl2br w:val="nil"/>
                    <w:tr2bl w:val="nil"/>
                  </w:tcBorders>
                  <w:vAlign w:val="center"/>
                </w:tcPr>
                <w:p w14:paraId="6203C639">
                  <w:pPr>
                    <w:pStyle w:val="7"/>
                    <w:keepNext w:val="0"/>
                    <w:keepLines w:val="0"/>
                    <w:suppressLineNumbers w:val="0"/>
                    <w:bidi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w:t>
                  </w:r>
                </w:p>
              </w:tc>
              <w:tc>
                <w:tcPr>
                  <w:tcW w:w="1102" w:type="pct"/>
                  <w:tcBorders>
                    <w:tl2br w:val="nil"/>
                    <w:tr2bl w:val="nil"/>
                  </w:tcBorders>
                  <w:vAlign w:val="center"/>
                </w:tcPr>
                <w:p w14:paraId="3A59B9B6">
                  <w:pPr>
                    <w:pStyle w:val="7"/>
                    <w:keepNext w:val="0"/>
                    <w:keepLines w:val="0"/>
                    <w:suppressLineNumbers w:val="0"/>
                    <w:bidi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w:t>
                  </w:r>
                </w:p>
              </w:tc>
            </w:tr>
            <w:tr w14:paraId="68C339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1D7501CE">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restart"/>
                  <w:tcBorders>
                    <w:tl2br w:val="nil"/>
                    <w:tr2bl w:val="nil"/>
                  </w:tcBorders>
                  <w:vAlign w:val="center"/>
                </w:tcPr>
                <w:p w14:paraId="7D09CDC0">
                  <w:pPr>
                    <w:pStyle w:val="7"/>
                    <w:keepNext w:val="0"/>
                    <w:keepLines w:val="0"/>
                    <w:suppressLineNumbers w:val="0"/>
                    <w:bidi w:val="0"/>
                    <w:spacing w:before="0" w:beforeAutospacing="0" w:after="0" w:afterAutospacing="0"/>
                    <w:ind w:left="0" w:right="0"/>
                    <w:jc w:val="center"/>
                    <w:rPr>
                      <w:rFonts w:hint="default"/>
                      <w:color w:val="auto"/>
                      <w:highlight w:val="none"/>
                    </w:rPr>
                  </w:pPr>
                  <w:r>
                    <w:rPr>
                      <w:rFonts w:hint="default"/>
                      <w:color w:val="auto"/>
                      <w:highlight w:val="none"/>
                      <w:lang w:val="en-US" w:eastAsia="zh-CN"/>
                    </w:rPr>
                    <w:t>禁燃区要求</w:t>
                  </w:r>
                </w:p>
              </w:tc>
              <w:tc>
                <w:tcPr>
                  <w:tcW w:w="2026" w:type="pct"/>
                  <w:tcBorders>
                    <w:tl2br w:val="nil"/>
                    <w:tr2bl w:val="nil"/>
                  </w:tcBorders>
                  <w:vAlign w:val="center"/>
                </w:tcPr>
                <w:p w14:paraId="77EFBD27">
                  <w:pPr>
                    <w:pStyle w:val="7"/>
                    <w:keepNext w:val="0"/>
                    <w:keepLines w:val="0"/>
                    <w:suppressLineNumbers w:val="0"/>
                    <w:bidi w:val="0"/>
                    <w:spacing w:before="0" w:beforeAutospacing="0" w:after="0" w:afterAutospacing="0"/>
                    <w:ind w:left="0" w:right="0"/>
                    <w:jc w:val="both"/>
                    <w:rPr>
                      <w:rFonts w:hint="eastAsia"/>
                      <w:color w:val="auto"/>
                      <w:highlight w:val="none"/>
                      <w:lang w:eastAsia="zh-CN"/>
                    </w:rPr>
                  </w:pPr>
                  <w:r>
                    <w:rPr>
                      <w:rFonts w:hint="default"/>
                      <w:color w:val="auto"/>
                      <w:highlight w:val="none"/>
                    </w:rPr>
                    <w:t>南昌县、进贤县、安义县应逐步划定辖区禁燃区范围</w:t>
                  </w:r>
                  <w:r>
                    <w:rPr>
                      <w:rFonts w:hint="eastAsia"/>
                      <w:color w:val="auto"/>
                      <w:highlight w:val="none"/>
                      <w:lang w:eastAsia="zh-CN"/>
                    </w:rPr>
                    <w:t>。</w:t>
                  </w:r>
                </w:p>
              </w:tc>
              <w:tc>
                <w:tcPr>
                  <w:tcW w:w="1102" w:type="pct"/>
                  <w:tcBorders>
                    <w:tl2br w:val="nil"/>
                    <w:tr2bl w:val="nil"/>
                  </w:tcBorders>
                  <w:vAlign w:val="center"/>
                </w:tcPr>
                <w:p w14:paraId="0D397950">
                  <w:pPr>
                    <w:pStyle w:val="7"/>
                    <w:keepNext w:val="0"/>
                    <w:keepLines w:val="0"/>
                    <w:suppressLineNumbers w:val="0"/>
                    <w:bidi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w:t>
                  </w:r>
                </w:p>
              </w:tc>
              <w:tc>
                <w:tcPr>
                  <w:tcW w:w="1102" w:type="pct"/>
                  <w:tcBorders>
                    <w:tl2br w:val="nil"/>
                    <w:tr2bl w:val="nil"/>
                  </w:tcBorders>
                  <w:vAlign w:val="center"/>
                </w:tcPr>
                <w:p w14:paraId="2BE996F8">
                  <w:pPr>
                    <w:pStyle w:val="7"/>
                    <w:keepNext w:val="0"/>
                    <w:keepLines w:val="0"/>
                    <w:suppressLineNumbers w:val="0"/>
                    <w:bidi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w:t>
                  </w:r>
                </w:p>
              </w:tc>
            </w:tr>
            <w:tr w14:paraId="613175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 w:type="pct"/>
                  <w:vMerge w:val="continue"/>
                  <w:tcBorders>
                    <w:tl2br w:val="nil"/>
                    <w:tr2bl w:val="nil"/>
                  </w:tcBorders>
                  <w:vAlign w:val="center"/>
                </w:tcPr>
                <w:p w14:paraId="1B6DF7B2">
                  <w:pPr>
                    <w:pStyle w:val="7"/>
                    <w:keepNext w:val="0"/>
                    <w:keepLines w:val="0"/>
                    <w:suppressLineNumbers w:val="0"/>
                    <w:bidi w:val="0"/>
                    <w:spacing w:before="0" w:beforeAutospacing="0" w:after="0" w:afterAutospacing="0"/>
                    <w:ind w:left="0" w:right="0"/>
                    <w:jc w:val="center"/>
                    <w:rPr>
                      <w:rFonts w:hint="default"/>
                      <w:color w:val="auto"/>
                      <w:highlight w:val="none"/>
                    </w:rPr>
                  </w:pPr>
                </w:p>
              </w:tc>
              <w:tc>
                <w:tcPr>
                  <w:tcW w:w="430" w:type="pct"/>
                  <w:vMerge w:val="continue"/>
                  <w:tcBorders>
                    <w:tl2br w:val="nil"/>
                    <w:tr2bl w:val="nil"/>
                  </w:tcBorders>
                  <w:vAlign w:val="center"/>
                </w:tcPr>
                <w:p w14:paraId="115B99BC">
                  <w:pPr>
                    <w:pStyle w:val="7"/>
                    <w:keepNext w:val="0"/>
                    <w:keepLines w:val="0"/>
                    <w:suppressLineNumbers w:val="0"/>
                    <w:bidi w:val="0"/>
                    <w:spacing w:before="0" w:beforeAutospacing="0" w:after="0" w:afterAutospacing="0"/>
                    <w:ind w:left="0" w:right="0"/>
                    <w:jc w:val="center"/>
                    <w:rPr>
                      <w:rFonts w:hint="default"/>
                      <w:color w:val="auto"/>
                      <w:highlight w:val="none"/>
                      <w:lang w:val="en-US" w:eastAsia="zh-CN"/>
                    </w:rPr>
                  </w:pPr>
                </w:p>
              </w:tc>
              <w:tc>
                <w:tcPr>
                  <w:tcW w:w="2026" w:type="pct"/>
                  <w:tcBorders>
                    <w:tl2br w:val="nil"/>
                    <w:tr2bl w:val="nil"/>
                  </w:tcBorders>
                  <w:vAlign w:val="center"/>
                </w:tcPr>
                <w:p w14:paraId="548BDAF6">
                  <w:pPr>
                    <w:pStyle w:val="7"/>
                    <w:keepNext w:val="0"/>
                    <w:keepLines w:val="0"/>
                    <w:suppressLineNumbers w:val="0"/>
                    <w:bidi w:val="0"/>
                    <w:spacing w:before="0" w:beforeAutospacing="0" w:after="0" w:afterAutospacing="0"/>
                    <w:ind w:left="0" w:right="0"/>
                    <w:jc w:val="both"/>
                    <w:rPr>
                      <w:rFonts w:hint="default"/>
                      <w:color w:val="auto"/>
                      <w:highlight w:val="none"/>
                      <w:lang w:val="en-US" w:eastAsia="zh-CN"/>
                    </w:rPr>
                  </w:pPr>
                  <w:r>
                    <w:rPr>
                      <w:rFonts w:hint="default"/>
                      <w:color w:val="auto"/>
                      <w:highlight w:val="none"/>
                    </w:rPr>
                    <w:t>禁止在划定的</w:t>
                  </w:r>
                  <w:r>
                    <w:rPr>
                      <w:rFonts w:hint="eastAsia"/>
                      <w:color w:val="auto"/>
                      <w:highlight w:val="none"/>
                      <w:lang w:val="en-US" w:eastAsia="zh-CN"/>
                    </w:rPr>
                    <w:t>高</w:t>
                  </w:r>
                  <w:r>
                    <w:rPr>
                      <w:rFonts w:hint="default"/>
                      <w:color w:val="auto"/>
                      <w:highlight w:val="none"/>
                    </w:rPr>
                    <w:t>污染燃料禁燃区燃用高污染燃料，新建、扩建燃用高污染燃料的项目和设施；禁燃区内现有使用高污染燃料的区域应分期分批次淘汰或实施清洁能源改造。</w:t>
                  </w:r>
                </w:p>
              </w:tc>
              <w:tc>
                <w:tcPr>
                  <w:tcW w:w="1102" w:type="pct"/>
                  <w:tcBorders>
                    <w:tl2br w:val="nil"/>
                    <w:tr2bl w:val="nil"/>
                  </w:tcBorders>
                  <w:vAlign w:val="center"/>
                </w:tcPr>
                <w:p w14:paraId="61791922">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r>
                    <w:rPr>
                      <w:rFonts w:hint="eastAsia"/>
                      <w:color w:val="auto"/>
                      <w:highlight w:val="none"/>
                      <w:lang w:val="en-US" w:eastAsia="zh-CN"/>
                    </w:rPr>
                    <w:t>本项目不使用高</w:t>
                  </w:r>
                  <w:r>
                    <w:rPr>
                      <w:rFonts w:hint="default"/>
                      <w:color w:val="auto"/>
                      <w:highlight w:val="none"/>
                    </w:rPr>
                    <w:t>污染燃料</w:t>
                  </w:r>
                  <w:r>
                    <w:rPr>
                      <w:rFonts w:hint="eastAsia"/>
                      <w:color w:val="auto"/>
                      <w:highlight w:val="none"/>
                      <w:lang w:eastAsia="zh-CN"/>
                    </w:rPr>
                    <w:t>。</w:t>
                  </w:r>
                </w:p>
              </w:tc>
              <w:tc>
                <w:tcPr>
                  <w:tcW w:w="1102" w:type="pct"/>
                  <w:tcBorders>
                    <w:tl2br w:val="nil"/>
                    <w:tr2bl w:val="nil"/>
                  </w:tcBorders>
                  <w:vAlign w:val="center"/>
                </w:tcPr>
                <w:p w14:paraId="0C1A3A9E">
                  <w:pPr>
                    <w:pStyle w:val="7"/>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符合</w:t>
                  </w:r>
                </w:p>
              </w:tc>
            </w:tr>
          </w:tbl>
          <w:p w14:paraId="1009FBB2">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2）与南昌市环境管控单元生态环境准入清单相符性分析</w:t>
            </w:r>
          </w:p>
          <w:p w14:paraId="28DB81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pacing w:val="0"/>
                <w:sz w:val="21"/>
                <w:highlight w:val="none"/>
              </w:rPr>
            </w:pPr>
            <w:r>
              <w:rPr>
                <w:rFonts w:hint="eastAsia" w:ascii="宋体" w:hAnsi="宋体" w:eastAsia="宋体" w:cs="宋体"/>
                <w:color w:val="auto"/>
                <w:spacing w:val="0"/>
                <w:kern w:val="0"/>
                <w:sz w:val="24"/>
                <w:szCs w:val="24"/>
                <w:highlight w:val="none"/>
                <w:lang w:val="en-US" w:eastAsia="zh-CN" w:bidi="ar"/>
              </w:rPr>
              <w:t>根据南昌市环境管控单元生态环境准入清单（</w:t>
            </w:r>
            <w:r>
              <w:rPr>
                <w:rFonts w:hint="default" w:ascii="Times New Roman" w:hAnsi="Times New Roman" w:eastAsia="宋体" w:cs="Times New Roman"/>
                <w:color w:val="auto"/>
                <w:spacing w:val="0"/>
                <w:kern w:val="0"/>
                <w:sz w:val="24"/>
                <w:szCs w:val="24"/>
                <w:highlight w:val="none"/>
                <w:lang w:val="en-US" w:eastAsia="zh-CN" w:bidi="ar"/>
              </w:rPr>
              <w:t>2023</w:t>
            </w:r>
            <w:r>
              <w:rPr>
                <w:rFonts w:hint="eastAsia" w:ascii="宋体" w:hAnsi="宋体" w:eastAsia="宋体" w:cs="宋体"/>
                <w:color w:val="auto"/>
                <w:spacing w:val="0"/>
                <w:kern w:val="0"/>
                <w:sz w:val="24"/>
                <w:szCs w:val="24"/>
                <w:highlight w:val="none"/>
                <w:lang w:val="en-US" w:eastAsia="zh-CN" w:bidi="ar"/>
              </w:rPr>
              <w:t>年版），本项目属于江西省南昌市安义县重点管控单元</w:t>
            </w:r>
            <w:r>
              <w:rPr>
                <w:rFonts w:hint="eastAsia" w:ascii="Times New Roman" w:hAnsi="Times New Roman" w:eastAsia="宋体" w:cs="Times New Roman"/>
                <w:color w:val="auto"/>
                <w:spacing w:val="0"/>
                <w:kern w:val="0"/>
                <w:sz w:val="24"/>
                <w:szCs w:val="24"/>
                <w:highlight w:val="none"/>
                <w:lang w:val="en-US" w:eastAsia="zh-CN" w:bidi="ar"/>
              </w:rPr>
              <w:t>6</w:t>
            </w:r>
            <w:r>
              <w:rPr>
                <w:rFonts w:hint="eastAsia" w:ascii="宋体" w:hAnsi="宋体" w:eastAsia="宋体" w:cs="宋体"/>
                <w:color w:val="auto"/>
                <w:spacing w:val="0"/>
                <w:kern w:val="0"/>
                <w:sz w:val="24"/>
                <w:szCs w:val="24"/>
                <w:highlight w:val="none"/>
                <w:lang w:val="en-US" w:eastAsia="zh-CN" w:bidi="ar"/>
              </w:rPr>
              <w:t>，环境管控单元编码</w:t>
            </w:r>
            <w:r>
              <w:rPr>
                <w:rFonts w:hint="default" w:ascii="Times New Roman" w:hAnsi="Times New Roman" w:eastAsia="宋体" w:cs="Times New Roman"/>
                <w:color w:val="auto"/>
                <w:spacing w:val="0"/>
                <w:kern w:val="0"/>
                <w:sz w:val="24"/>
                <w:szCs w:val="24"/>
                <w:highlight w:val="none"/>
                <w:lang w:val="en-US" w:eastAsia="zh-CN" w:bidi="ar"/>
              </w:rPr>
              <w:t>ZH3601232000</w:t>
            </w:r>
            <w:r>
              <w:rPr>
                <w:rFonts w:hint="eastAsia" w:ascii="Times New Roman" w:hAnsi="Times New Roman" w:eastAsia="宋体" w:cs="Times New Roman"/>
                <w:color w:val="auto"/>
                <w:sz w:val="21"/>
                <w:lang w:val="en-US" w:eastAsia="zh-CN"/>
              </w:rPr>
              <w:t>6</w:t>
            </w:r>
            <w:r>
              <w:rPr>
                <w:rFonts w:hint="eastAsia" w:ascii="宋体" w:hAnsi="宋体" w:eastAsia="宋体" w:cs="宋体"/>
                <w:color w:val="auto"/>
                <w:spacing w:val="0"/>
                <w:kern w:val="0"/>
                <w:sz w:val="24"/>
                <w:szCs w:val="24"/>
                <w:highlight w:val="none"/>
                <w:lang w:val="en-US" w:eastAsia="zh-CN" w:bidi="ar"/>
              </w:rPr>
              <w:t>。本项目与南昌市环境管控单元生态环境准入（</w:t>
            </w:r>
            <w:r>
              <w:rPr>
                <w:rFonts w:hint="default" w:ascii="Times New Roman" w:hAnsi="Times New Roman" w:eastAsia="宋体" w:cs="Times New Roman"/>
                <w:color w:val="auto"/>
                <w:spacing w:val="0"/>
                <w:kern w:val="0"/>
                <w:sz w:val="24"/>
                <w:szCs w:val="24"/>
                <w:highlight w:val="none"/>
                <w:lang w:val="en-US" w:eastAsia="zh-CN" w:bidi="ar"/>
              </w:rPr>
              <w:t>2023</w:t>
            </w:r>
            <w:r>
              <w:rPr>
                <w:rFonts w:hint="eastAsia" w:ascii="宋体" w:hAnsi="宋体" w:eastAsia="宋体" w:cs="宋体"/>
                <w:color w:val="auto"/>
                <w:spacing w:val="0"/>
                <w:kern w:val="0"/>
                <w:sz w:val="24"/>
                <w:szCs w:val="24"/>
                <w:highlight w:val="none"/>
                <w:lang w:val="en-US" w:eastAsia="zh-CN" w:bidi="ar"/>
              </w:rPr>
              <w:t>版）清单相符性分析详见表</w:t>
            </w:r>
            <w:r>
              <w:rPr>
                <w:rFonts w:hint="default" w:ascii="Times New Roman" w:hAnsi="Times New Roman" w:eastAsia="宋体" w:cs="Times New Roman"/>
                <w:color w:val="auto"/>
                <w:spacing w:val="0"/>
                <w:kern w:val="0"/>
                <w:sz w:val="24"/>
                <w:szCs w:val="24"/>
                <w:highlight w:val="none"/>
                <w:lang w:val="en-US" w:eastAsia="zh-CN" w:bidi="ar"/>
              </w:rPr>
              <w:t>1-</w:t>
            </w:r>
            <w:r>
              <w:rPr>
                <w:rFonts w:hint="eastAsia" w:ascii="Times New Roman" w:hAnsi="Times New Roman" w:eastAsia="宋体" w:cs="Times New Roman"/>
                <w:color w:val="auto"/>
                <w:spacing w:val="0"/>
                <w:kern w:val="0"/>
                <w:sz w:val="24"/>
                <w:szCs w:val="24"/>
                <w:highlight w:val="none"/>
                <w:lang w:val="en-US" w:eastAsia="zh-CN" w:bidi="ar"/>
              </w:rPr>
              <w:t>6</w:t>
            </w:r>
            <w:r>
              <w:rPr>
                <w:rFonts w:hint="eastAsia" w:ascii="宋体" w:hAnsi="宋体" w:eastAsia="宋体" w:cs="宋体"/>
                <w:color w:val="auto"/>
                <w:spacing w:val="0"/>
                <w:kern w:val="0"/>
                <w:sz w:val="24"/>
                <w:szCs w:val="24"/>
                <w:highlight w:val="none"/>
                <w:lang w:val="en-US" w:eastAsia="zh-CN" w:bidi="ar"/>
              </w:rPr>
              <w:t>。</w:t>
            </w:r>
          </w:p>
          <w:p w14:paraId="6ED5EAE2">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sz w:val="21"/>
                <w:highlight w:val="none"/>
                <w:lang w:val="en-US"/>
              </w:rPr>
            </w:pPr>
            <w:r>
              <w:rPr>
                <w:rFonts w:hint="eastAsia" w:ascii="宋体" w:hAnsi="宋体" w:eastAsia="宋体" w:cs="宋体"/>
                <w:b/>
                <w:bCs/>
                <w:color w:val="auto"/>
                <w:spacing w:val="0"/>
                <w:kern w:val="0"/>
                <w:sz w:val="21"/>
                <w:szCs w:val="21"/>
                <w:highlight w:val="none"/>
                <w:lang w:val="en-US" w:eastAsia="zh-CN" w:bidi="ar"/>
              </w:rPr>
              <w:t>表</w:t>
            </w:r>
            <w:r>
              <w:rPr>
                <w:rFonts w:hint="default" w:ascii="Times New Roman" w:hAnsi="Times New Roman" w:eastAsia="宋体" w:cs="Times New Roman"/>
                <w:b/>
                <w:bCs/>
                <w:color w:val="auto"/>
                <w:spacing w:val="0"/>
                <w:kern w:val="0"/>
                <w:sz w:val="21"/>
                <w:szCs w:val="21"/>
                <w:highlight w:val="none"/>
                <w:lang w:val="en-US" w:eastAsia="zh-CN" w:bidi="ar"/>
              </w:rPr>
              <w:t>1-</w:t>
            </w:r>
            <w:r>
              <w:rPr>
                <w:rFonts w:hint="eastAsia" w:ascii="Times New Roman" w:hAnsi="Times New Roman" w:eastAsia="宋体" w:cs="Times New Roman"/>
                <w:b/>
                <w:bCs/>
                <w:color w:val="auto"/>
                <w:spacing w:val="0"/>
                <w:kern w:val="0"/>
                <w:sz w:val="21"/>
                <w:szCs w:val="21"/>
                <w:highlight w:val="none"/>
                <w:lang w:val="en-US" w:eastAsia="zh-CN" w:bidi="ar"/>
              </w:rPr>
              <w:t>6</w:t>
            </w:r>
            <w:r>
              <w:rPr>
                <w:rFonts w:hint="default" w:ascii="Times New Roman" w:hAnsi="Times New Roman" w:eastAsia="宋体" w:cs="Times New Roman"/>
                <w:b/>
                <w:bCs/>
                <w:color w:val="auto"/>
                <w:spacing w:val="0"/>
                <w:kern w:val="0"/>
                <w:sz w:val="21"/>
                <w:szCs w:val="21"/>
                <w:highlight w:val="none"/>
                <w:lang w:val="en-US" w:eastAsia="zh-CN" w:bidi="ar"/>
              </w:rPr>
              <w:t xml:space="preserve"> </w:t>
            </w:r>
            <w:r>
              <w:rPr>
                <w:rFonts w:hint="eastAsia" w:ascii="Times New Roman" w:hAnsi="Times New Roman" w:eastAsia="宋体" w:cs="Times New Roman"/>
                <w:b/>
                <w:bCs/>
                <w:color w:val="auto"/>
                <w:spacing w:val="0"/>
                <w:kern w:val="0"/>
                <w:sz w:val="21"/>
                <w:szCs w:val="21"/>
                <w:highlight w:val="none"/>
                <w:lang w:val="en-US" w:eastAsia="zh-CN" w:bidi="ar"/>
              </w:rPr>
              <w:t xml:space="preserve"> </w:t>
            </w:r>
            <w:r>
              <w:rPr>
                <w:rFonts w:hint="eastAsia" w:ascii="宋体" w:hAnsi="宋体" w:eastAsia="宋体" w:cs="宋体"/>
                <w:b/>
                <w:bCs/>
                <w:color w:val="auto"/>
                <w:spacing w:val="0"/>
                <w:kern w:val="0"/>
                <w:sz w:val="21"/>
                <w:szCs w:val="21"/>
                <w:highlight w:val="none"/>
                <w:lang w:val="en-US" w:eastAsia="zh-CN" w:bidi="ar"/>
              </w:rPr>
              <w:t>南昌市环境管控单元生态环境准入清单</w:t>
            </w:r>
            <w:r>
              <w:rPr>
                <w:rFonts w:hint="eastAsia" w:ascii="宋体" w:hAnsi="宋体" w:cs="宋体"/>
                <w:b/>
                <w:bCs/>
                <w:color w:val="auto"/>
                <w:spacing w:val="0"/>
                <w:kern w:val="0"/>
                <w:sz w:val="21"/>
                <w:szCs w:val="21"/>
                <w:highlight w:val="none"/>
                <w:lang w:val="en-US" w:eastAsia="zh-CN" w:bidi="ar"/>
              </w:rPr>
              <w:t>相符性分析</w:t>
            </w:r>
          </w:p>
          <w:tbl>
            <w:tblPr>
              <w:tblStyle w:val="33"/>
              <w:tblW w:w="4872"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4"/>
              <w:gridCol w:w="578"/>
              <w:gridCol w:w="909"/>
              <w:gridCol w:w="1763"/>
              <w:gridCol w:w="1424"/>
              <w:gridCol w:w="905"/>
            </w:tblGrid>
            <w:tr w14:paraId="15160F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560" w:type="pct"/>
                  <w:tcBorders>
                    <w:top w:val="single" w:color="auto" w:sz="12" w:space="0"/>
                    <w:bottom w:val="single" w:color="auto" w:sz="12" w:space="0"/>
                  </w:tcBorders>
                  <w:noWrap w:val="0"/>
                  <w:vAlign w:val="center"/>
                </w:tcPr>
                <w:p w14:paraId="4AE3DC45">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sz w:val="21"/>
                      <w:szCs w:val="21"/>
                      <w:highlight w:val="none"/>
                      <w:vertAlign w:val="baseline"/>
                      <w:lang w:val="en-US" w:eastAsia="zh-CN"/>
                    </w:rPr>
                  </w:pPr>
                  <w:r>
                    <w:rPr>
                      <w:rFonts w:hint="default" w:ascii="Times New Roman" w:hAnsi="Times New Roman" w:eastAsia="宋体" w:cs="Times New Roman"/>
                      <w:b/>
                      <w:bCs/>
                      <w:color w:val="auto"/>
                      <w:spacing w:val="0"/>
                      <w:sz w:val="21"/>
                      <w:szCs w:val="21"/>
                      <w:highlight w:val="none"/>
                      <w:vertAlign w:val="baseline"/>
                      <w:lang w:val="en-US" w:eastAsia="zh-CN"/>
                    </w:rPr>
                    <w:t>维度</w:t>
                  </w:r>
                </w:p>
              </w:tc>
              <w:tc>
                <w:tcPr>
                  <w:tcW w:w="1183" w:type="pct"/>
                  <w:gridSpan w:val="2"/>
                  <w:tcBorders>
                    <w:top w:val="single" w:color="auto" w:sz="12" w:space="0"/>
                    <w:bottom w:val="single" w:color="auto" w:sz="12" w:space="0"/>
                  </w:tcBorders>
                  <w:noWrap w:val="0"/>
                  <w:vAlign w:val="center"/>
                </w:tcPr>
                <w:p w14:paraId="3F23356C">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sz w:val="21"/>
                      <w:szCs w:val="21"/>
                      <w:highlight w:val="none"/>
                      <w:vertAlign w:val="baseline"/>
                      <w:lang w:val="en-US" w:eastAsia="zh-CN"/>
                    </w:rPr>
                  </w:pPr>
                  <w:r>
                    <w:rPr>
                      <w:rFonts w:hint="default" w:ascii="Times New Roman" w:hAnsi="Times New Roman" w:eastAsia="宋体" w:cs="Times New Roman"/>
                      <w:b/>
                      <w:bCs/>
                      <w:color w:val="auto"/>
                      <w:spacing w:val="0"/>
                      <w:sz w:val="21"/>
                      <w:szCs w:val="21"/>
                      <w:highlight w:val="none"/>
                      <w:vertAlign w:val="baseline"/>
                      <w:lang w:val="en-US" w:eastAsia="zh-CN"/>
                    </w:rPr>
                    <w:t>清单编制要求</w:t>
                  </w:r>
                </w:p>
              </w:tc>
              <w:tc>
                <w:tcPr>
                  <w:tcW w:w="1402" w:type="pct"/>
                  <w:tcBorders>
                    <w:top w:val="single" w:color="auto" w:sz="12" w:space="0"/>
                    <w:bottom w:val="single" w:color="auto" w:sz="12" w:space="0"/>
                  </w:tcBorders>
                  <w:noWrap w:val="0"/>
                  <w:vAlign w:val="center"/>
                </w:tcPr>
                <w:p w14:paraId="51BCF771">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sz w:val="21"/>
                      <w:szCs w:val="21"/>
                      <w:highlight w:val="none"/>
                      <w:vertAlign w:val="baseline"/>
                      <w:lang w:val="en-US" w:eastAsia="zh-CN"/>
                    </w:rPr>
                  </w:pPr>
                  <w:r>
                    <w:rPr>
                      <w:rFonts w:hint="default" w:ascii="Times New Roman" w:hAnsi="Times New Roman" w:eastAsia="宋体" w:cs="Times New Roman"/>
                      <w:b/>
                      <w:bCs/>
                      <w:color w:val="auto"/>
                      <w:spacing w:val="0"/>
                      <w:sz w:val="21"/>
                      <w:szCs w:val="21"/>
                      <w:highlight w:val="none"/>
                      <w:vertAlign w:val="baseline"/>
                      <w:lang w:val="en-US" w:eastAsia="zh-CN"/>
                    </w:rPr>
                    <w:t>生态环境准入清单</w:t>
                  </w:r>
                </w:p>
              </w:tc>
              <w:tc>
                <w:tcPr>
                  <w:tcW w:w="1133" w:type="pct"/>
                  <w:tcBorders>
                    <w:top w:val="single" w:color="auto" w:sz="12" w:space="0"/>
                    <w:bottom w:val="single" w:color="auto" w:sz="12" w:space="0"/>
                  </w:tcBorders>
                  <w:noWrap w:val="0"/>
                  <w:vAlign w:val="center"/>
                </w:tcPr>
                <w:p w14:paraId="175ECEF2">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sz w:val="21"/>
                      <w:szCs w:val="21"/>
                      <w:highlight w:val="none"/>
                      <w:vertAlign w:val="baseline"/>
                      <w:lang w:val="en-US" w:eastAsia="zh-CN"/>
                    </w:rPr>
                  </w:pPr>
                  <w:r>
                    <w:rPr>
                      <w:rFonts w:hint="eastAsia" w:ascii="Times New Roman" w:hAnsi="Times New Roman" w:eastAsia="宋体" w:cs="Times New Roman"/>
                      <w:b/>
                      <w:bCs/>
                      <w:color w:val="auto"/>
                      <w:spacing w:val="0"/>
                      <w:sz w:val="21"/>
                      <w:szCs w:val="21"/>
                      <w:highlight w:val="none"/>
                      <w:vertAlign w:val="baseline"/>
                      <w:lang w:val="en-US" w:eastAsia="zh-CN"/>
                    </w:rPr>
                    <w:t>本项目</w:t>
                  </w:r>
                </w:p>
              </w:tc>
              <w:tc>
                <w:tcPr>
                  <w:tcW w:w="720" w:type="pct"/>
                  <w:tcBorders>
                    <w:top w:val="single" w:color="auto" w:sz="12" w:space="0"/>
                    <w:bottom w:val="single" w:color="auto" w:sz="12" w:space="0"/>
                  </w:tcBorders>
                  <w:noWrap w:val="0"/>
                  <w:vAlign w:val="center"/>
                </w:tcPr>
                <w:p w14:paraId="5FDBF50F">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sz w:val="21"/>
                      <w:szCs w:val="21"/>
                      <w:highlight w:val="none"/>
                      <w:vertAlign w:val="baseline"/>
                      <w:lang w:val="en-US" w:eastAsia="zh-CN"/>
                    </w:rPr>
                  </w:pPr>
                  <w:r>
                    <w:rPr>
                      <w:rFonts w:hint="default" w:ascii="Times New Roman" w:hAnsi="Times New Roman" w:eastAsia="宋体" w:cs="Times New Roman"/>
                      <w:b/>
                      <w:bCs/>
                      <w:color w:val="auto"/>
                      <w:spacing w:val="0"/>
                      <w:sz w:val="21"/>
                      <w:szCs w:val="21"/>
                      <w:highlight w:val="none"/>
                      <w:vertAlign w:val="baseline"/>
                      <w:lang w:val="en-US" w:eastAsia="zh-CN"/>
                    </w:rPr>
                    <w:t>相符性分析</w:t>
                  </w:r>
                </w:p>
              </w:tc>
            </w:tr>
            <w:tr w14:paraId="1DDF67E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14" w:hRule="atLeast"/>
                <w:jc w:val="center"/>
              </w:trPr>
              <w:tc>
                <w:tcPr>
                  <w:tcW w:w="560" w:type="pct"/>
                  <w:vMerge w:val="restart"/>
                  <w:tcBorders>
                    <w:top w:val="single" w:color="auto" w:sz="12" w:space="0"/>
                  </w:tcBorders>
                  <w:noWrap w:val="0"/>
                  <w:vAlign w:val="center"/>
                </w:tcPr>
                <w:p w14:paraId="1CB8A467">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sz w:val="21"/>
                      <w:szCs w:val="21"/>
                      <w:highlight w:val="none"/>
                      <w:vertAlign w:val="baseline"/>
                      <w:lang w:val="en-US" w:eastAsia="zh-CN"/>
                    </w:rPr>
                  </w:pPr>
                  <w:r>
                    <w:rPr>
                      <w:rFonts w:hint="default" w:ascii="Times New Roman" w:hAnsi="Times New Roman" w:eastAsia="宋体" w:cs="Times New Roman"/>
                      <w:color w:val="auto"/>
                      <w:spacing w:val="0"/>
                      <w:sz w:val="21"/>
                      <w:szCs w:val="21"/>
                      <w:highlight w:val="none"/>
                      <w:vertAlign w:val="baseline"/>
                      <w:lang w:val="en-US" w:eastAsia="zh-CN"/>
                    </w:rPr>
                    <w:t>空间布局约束</w:t>
                  </w:r>
                </w:p>
              </w:tc>
              <w:tc>
                <w:tcPr>
                  <w:tcW w:w="1183" w:type="pct"/>
                  <w:gridSpan w:val="2"/>
                  <w:tcBorders>
                    <w:top w:val="single" w:color="auto" w:sz="12" w:space="0"/>
                  </w:tcBorders>
                  <w:noWrap w:val="0"/>
                  <w:vAlign w:val="center"/>
                </w:tcPr>
                <w:p w14:paraId="44B7219B">
                  <w:pPr>
                    <w:keepNext w:val="0"/>
                    <w:keepLines w:val="0"/>
                    <w:pageBreakBefore w:val="0"/>
                    <w:widowControl/>
                    <w:suppressLineNumbers w:val="0"/>
                    <w:kinsoku/>
                    <w:wordWrap/>
                    <w:overflowPunct/>
                    <w:topLinePunct w:val="0"/>
                    <w:bidi w:val="0"/>
                    <w:adjustRightIn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sz w:val="21"/>
                      <w:szCs w:val="21"/>
                      <w:highlight w:val="none"/>
                      <w:vertAlign w:val="baseline"/>
                    </w:rPr>
                  </w:pPr>
                  <w:r>
                    <w:rPr>
                      <w:rFonts w:hint="default" w:ascii="Times New Roman" w:hAnsi="Times New Roman" w:eastAsia="宋体" w:cs="Times New Roman"/>
                      <w:color w:val="auto"/>
                      <w:spacing w:val="0"/>
                      <w:kern w:val="0"/>
                      <w:sz w:val="21"/>
                      <w:szCs w:val="21"/>
                      <w:highlight w:val="none"/>
                      <w:lang w:val="en-US" w:eastAsia="zh-CN" w:bidi="ar"/>
                    </w:rPr>
                    <w:t>禁止开发建设活动的要求</w:t>
                  </w:r>
                </w:p>
              </w:tc>
              <w:tc>
                <w:tcPr>
                  <w:tcW w:w="1402" w:type="pct"/>
                  <w:tcBorders>
                    <w:top w:val="single" w:color="auto" w:sz="12" w:space="0"/>
                  </w:tcBorders>
                  <w:noWrap w:val="0"/>
                  <w:vAlign w:val="center"/>
                </w:tcPr>
                <w:p w14:paraId="50416E31">
                  <w:pPr>
                    <w:keepNext w:val="0"/>
                    <w:keepLines w:val="0"/>
                    <w:pageBreakBefore w:val="0"/>
                    <w:widowControl/>
                    <w:suppressLineNumbers w:val="0"/>
                    <w:kinsoku/>
                    <w:wordWrap/>
                    <w:overflowPunct/>
                    <w:topLinePunct w:val="0"/>
                    <w:bidi w:val="0"/>
                    <w:adjustRightIn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spacing w:val="0"/>
                      <w:sz w:val="21"/>
                      <w:szCs w:val="21"/>
                      <w:highlight w:val="none"/>
                      <w:vertAlign w:val="baseline"/>
                      <w:lang w:eastAsia="zh-CN"/>
                    </w:rPr>
                  </w:pPr>
                  <w:r>
                    <w:rPr>
                      <w:rFonts w:hint="default" w:ascii="Times New Roman" w:hAnsi="Times New Roman" w:eastAsia="宋体" w:cs="Times New Roman"/>
                      <w:color w:val="auto"/>
                      <w:spacing w:val="0"/>
                      <w:sz w:val="21"/>
                      <w:szCs w:val="21"/>
                      <w:highlight w:val="none"/>
                      <w:vertAlign w:val="baseline"/>
                      <w:lang w:val="en-US" w:eastAsia="zh-CN"/>
                    </w:rPr>
                    <w:t>1、工业园区不得引进产业规划禁止类项目进入园区。2、禁养区禁止建设畜禽养殖场、养殖小区。</w:t>
                  </w:r>
                </w:p>
              </w:tc>
              <w:tc>
                <w:tcPr>
                  <w:tcW w:w="1133" w:type="pct"/>
                  <w:tcBorders>
                    <w:top w:val="single" w:color="auto" w:sz="12" w:space="0"/>
                  </w:tcBorders>
                  <w:noWrap w:val="0"/>
                  <w:vAlign w:val="center"/>
                </w:tcPr>
                <w:p w14:paraId="1F01C66C">
                  <w:pPr>
                    <w:keepNext w:val="0"/>
                    <w:keepLines w:val="0"/>
                    <w:pageBreakBefore w:val="0"/>
                    <w:widowControl/>
                    <w:suppressLineNumbers w:val="0"/>
                    <w:kinsoku/>
                    <w:wordWrap/>
                    <w:overflowPunct/>
                    <w:topLinePunct w:val="0"/>
                    <w:bidi w:val="0"/>
                    <w:adjustRightIn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sz w:val="21"/>
                      <w:szCs w:val="21"/>
                      <w:highlight w:val="none"/>
                      <w:vertAlign w:val="baseline"/>
                      <w:lang w:val="en-US" w:eastAsia="zh-CN"/>
                    </w:rPr>
                  </w:pPr>
                  <w:r>
                    <w:rPr>
                      <w:rFonts w:hint="eastAsia" w:ascii="Times New Roman" w:hAnsi="Times New Roman" w:eastAsia="宋体" w:cs="Times New Roman"/>
                      <w:color w:val="auto"/>
                      <w:spacing w:val="0"/>
                      <w:sz w:val="21"/>
                      <w:szCs w:val="21"/>
                      <w:highlight w:val="none"/>
                      <w:vertAlign w:val="baseline"/>
                      <w:lang w:val="en-US" w:eastAsia="zh-CN"/>
                    </w:rPr>
                    <w:t>本项目不属于产业规划禁止类项目。本项目不涉及畜禽养殖。</w:t>
                  </w:r>
                </w:p>
              </w:tc>
              <w:tc>
                <w:tcPr>
                  <w:tcW w:w="720" w:type="pct"/>
                  <w:tcBorders>
                    <w:top w:val="single" w:color="auto" w:sz="12" w:space="0"/>
                  </w:tcBorders>
                  <w:noWrap w:val="0"/>
                  <w:vAlign w:val="center"/>
                </w:tcPr>
                <w:p w14:paraId="727F48FE">
                  <w:pPr>
                    <w:keepNext w:val="0"/>
                    <w:keepLines w:val="0"/>
                    <w:pageBreakBefore w:val="0"/>
                    <w:widowControl/>
                    <w:suppressLineNumbers w:val="0"/>
                    <w:kinsoku/>
                    <w:wordWrap/>
                    <w:overflowPunct/>
                    <w:topLinePunct w:val="0"/>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kern w:val="0"/>
                      <w:sz w:val="21"/>
                      <w:szCs w:val="21"/>
                      <w:highlight w:val="none"/>
                      <w:lang w:val="en-US" w:eastAsia="zh-CN" w:bidi="ar"/>
                    </w:rPr>
                  </w:pPr>
                  <w:r>
                    <w:rPr>
                      <w:rFonts w:hint="eastAsia" w:ascii="Times New Roman" w:hAnsi="Times New Roman" w:eastAsia="宋体" w:cs="Times New Roman"/>
                      <w:color w:val="auto"/>
                      <w:spacing w:val="0"/>
                      <w:kern w:val="0"/>
                      <w:sz w:val="21"/>
                      <w:szCs w:val="21"/>
                      <w:highlight w:val="none"/>
                      <w:lang w:val="en-US" w:eastAsia="zh-CN" w:bidi="ar"/>
                    </w:rPr>
                    <w:t>符合</w:t>
                  </w:r>
                </w:p>
              </w:tc>
            </w:tr>
            <w:tr w14:paraId="409813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560" w:type="pct"/>
                  <w:vMerge w:val="continue"/>
                  <w:noWrap w:val="0"/>
                  <w:vAlign w:val="center"/>
                </w:tcPr>
                <w:p w14:paraId="3B383197">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sz w:val="21"/>
                      <w:szCs w:val="21"/>
                      <w:highlight w:val="none"/>
                      <w:vertAlign w:val="baseline"/>
                    </w:rPr>
                  </w:pPr>
                </w:p>
              </w:tc>
              <w:tc>
                <w:tcPr>
                  <w:tcW w:w="1183" w:type="pct"/>
                  <w:gridSpan w:val="2"/>
                  <w:noWrap w:val="0"/>
                  <w:vAlign w:val="center"/>
                </w:tcPr>
                <w:p w14:paraId="773A535E">
                  <w:pPr>
                    <w:keepNext w:val="0"/>
                    <w:keepLines w:val="0"/>
                    <w:pageBreakBefore w:val="0"/>
                    <w:widowControl/>
                    <w:suppressLineNumbers w:val="0"/>
                    <w:kinsoku/>
                    <w:wordWrap/>
                    <w:overflowPunct/>
                    <w:topLinePunct w:val="0"/>
                    <w:bidi w:val="0"/>
                    <w:adjustRightIn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sz w:val="21"/>
                      <w:szCs w:val="21"/>
                      <w:highlight w:val="none"/>
                      <w:vertAlign w:val="baseline"/>
                    </w:rPr>
                  </w:pPr>
                  <w:r>
                    <w:rPr>
                      <w:rFonts w:hint="default" w:ascii="Times New Roman" w:hAnsi="Times New Roman" w:eastAsia="宋体" w:cs="Times New Roman"/>
                      <w:color w:val="auto"/>
                      <w:spacing w:val="0"/>
                      <w:kern w:val="0"/>
                      <w:sz w:val="21"/>
                      <w:szCs w:val="21"/>
                      <w:highlight w:val="none"/>
                      <w:lang w:val="en-US" w:eastAsia="zh-CN" w:bidi="ar"/>
                    </w:rPr>
                    <w:t>限制开发建设活动的要求</w:t>
                  </w:r>
                </w:p>
              </w:tc>
              <w:tc>
                <w:tcPr>
                  <w:tcW w:w="1402" w:type="pct"/>
                  <w:noWrap w:val="0"/>
                  <w:vAlign w:val="center"/>
                </w:tcPr>
                <w:p w14:paraId="584E4D0D">
                  <w:pPr>
                    <w:keepNext w:val="0"/>
                    <w:keepLines w:val="0"/>
                    <w:pageBreakBefore w:val="0"/>
                    <w:widowControl/>
                    <w:suppressLineNumbers w:val="0"/>
                    <w:kinsoku/>
                    <w:wordWrap/>
                    <w:overflowPunct/>
                    <w:topLinePunct w:val="0"/>
                    <w:bidi w:val="0"/>
                    <w:adjustRightIn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spacing w:val="0"/>
                      <w:sz w:val="21"/>
                      <w:szCs w:val="21"/>
                      <w:highlight w:val="none"/>
                      <w:vertAlign w:val="baseline"/>
                      <w:lang w:eastAsia="zh-CN"/>
                    </w:rPr>
                  </w:pPr>
                  <w:r>
                    <w:rPr>
                      <w:rFonts w:hint="default" w:ascii="Times New Roman" w:hAnsi="Times New Roman" w:eastAsia="宋体" w:cs="Times New Roman"/>
                      <w:color w:val="auto"/>
                      <w:spacing w:val="0"/>
                      <w:sz w:val="21"/>
                      <w:szCs w:val="21"/>
                      <w:highlight w:val="none"/>
                      <w:vertAlign w:val="baseline"/>
                      <w:lang w:val="en-US" w:eastAsia="zh-CN"/>
                    </w:rPr>
                    <w:t>无</w:t>
                  </w:r>
                </w:p>
              </w:tc>
              <w:tc>
                <w:tcPr>
                  <w:tcW w:w="1133" w:type="pct"/>
                  <w:noWrap w:val="0"/>
                  <w:vAlign w:val="center"/>
                </w:tcPr>
                <w:p w14:paraId="234A5A83">
                  <w:pPr>
                    <w:keepNext w:val="0"/>
                    <w:keepLines w:val="0"/>
                    <w:pageBreakBefore w:val="0"/>
                    <w:widowControl/>
                    <w:suppressLineNumbers w:val="0"/>
                    <w:kinsoku/>
                    <w:wordWrap/>
                    <w:overflowPunct/>
                    <w:topLinePunct w:val="0"/>
                    <w:bidi w:val="0"/>
                    <w:adjustRightIn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spacing w:val="0"/>
                      <w:sz w:val="21"/>
                      <w:szCs w:val="21"/>
                      <w:highlight w:val="none"/>
                      <w:vertAlign w:val="baseline"/>
                      <w:lang w:val="en-US" w:eastAsia="zh-CN"/>
                    </w:rPr>
                  </w:pPr>
                  <w:r>
                    <w:rPr>
                      <w:rFonts w:hint="eastAsia" w:ascii="Times New Roman" w:hAnsi="Times New Roman" w:eastAsia="宋体" w:cs="Times New Roman"/>
                      <w:color w:val="auto"/>
                      <w:spacing w:val="0"/>
                      <w:sz w:val="21"/>
                      <w:szCs w:val="21"/>
                      <w:highlight w:val="none"/>
                      <w:vertAlign w:val="baseline"/>
                      <w:lang w:val="en-US" w:eastAsia="zh-CN"/>
                    </w:rPr>
                    <w:t>/</w:t>
                  </w:r>
                </w:p>
              </w:tc>
              <w:tc>
                <w:tcPr>
                  <w:tcW w:w="720" w:type="pct"/>
                  <w:noWrap w:val="0"/>
                  <w:vAlign w:val="center"/>
                </w:tcPr>
                <w:p w14:paraId="0CEEC880">
                  <w:pPr>
                    <w:keepNext w:val="0"/>
                    <w:keepLines w:val="0"/>
                    <w:pageBreakBefore w:val="0"/>
                    <w:widowControl/>
                    <w:suppressLineNumbers w:val="0"/>
                    <w:kinsoku/>
                    <w:wordWrap/>
                    <w:overflowPunct/>
                    <w:topLinePunct w:val="0"/>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kern w:val="0"/>
                      <w:sz w:val="21"/>
                      <w:szCs w:val="21"/>
                      <w:highlight w:val="none"/>
                      <w:lang w:val="en-US" w:eastAsia="zh-CN" w:bidi="ar"/>
                    </w:rPr>
                  </w:pPr>
                  <w:r>
                    <w:rPr>
                      <w:rFonts w:hint="eastAsia" w:ascii="Times New Roman" w:hAnsi="Times New Roman" w:eastAsia="宋体" w:cs="Times New Roman"/>
                      <w:color w:val="auto"/>
                      <w:spacing w:val="0"/>
                      <w:kern w:val="0"/>
                      <w:sz w:val="21"/>
                      <w:szCs w:val="21"/>
                      <w:highlight w:val="none"/>
                      <w:lang w:val="en-US" w:eastAsia="zh-CN" w:bidi="ar"/>
                    </w:rPr>
                    <w:t>/</w:t>
                  </w:r>
                </w:p>
              </w:tc>
            </w:tr>
            <w:tr w14:paraId="1CACB1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560" w:type="pct"/>
                  <w:vMerge w:val="continue"/>
                  <w:noWrap w:val="0"/>
                  <w:vAlign w:val="center"/>
                </w:tcPr>
                <w:p w14:paraId="75B9137C">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sz w:val="21"/>
                      <w:szCs w:val="21"/>
                      <w:highlight w:val="none"/>
                      <w:vertAlign w:val="baseline"/>
                    </w:rPr>
                  </w:pPr>
                </w:p>
              </w:tc>
              <w:tc>
                <w:tcPr>
                  <w:tcW w:w="1183" w:type="pct"/>
                  <w:gridSpan w:val="2"/>
                  <w:noWrap w:val="0"/>
                  <w:vAlign w:val="center"/>
                </w:tcPr>
                <w:p w14:paraId="5CCF085B">
                  <w:pPr>
                    <w:keepNext w:val="0"/>
                    <w:keepLines w:val="0"/>
                    <w:pageBreakBefore w:val="0"/>
                    <w:widowControl/>
                    <w:suppressLineNumbers w:val="0"/>
                    <w:kinsoku/>
                    <w:wordWrap/>
                    <w:overflowPunct/>
                    <w:topLinePunct w:val="0"/>
                    <w:bidi w:val="0"/>
                    <w:adjustRightIn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kern w:val="0"/>
                      <w:sz w:val="21"/>
                      <w:szCs w:val="21"/>
                      <w:highlight w:val="none"/>
                      <w:lang w:val="en-US" w:eastAsia="zh-CN" w:bidi="ar"/>
                    </w:rPr>
                  </w:pPr>
                  <w:r>
                    <w:rPr>
                      <w:rFonts w:hint="default" w:ascii="Times New Roman" w:hAnsi="Times New Roman" w:eastAsia="宋体" w:cs="Times New Roman"/>
                      <w:color w:val="auto"/>
                      <w:spacing w:val="0"/>
                      <w:kern w:val="0"/>
                      <w:sz w:val="21"/>
                      <w:szCs w:val="21"/>
                      <w:highlight w:val="none"/>
                      <w:lang w:val="en-US" w:eastAsia="zh-CN" w:bidi="ar"/>
                    </w:rPr>
                    <w:t>允许开发建设活动的要求</w:t>
                  </w:r>
                </w:p>
              </w:tc>
              <w:tc>
                <w:tcPr>
                  <w:tcW w:w="1402" w:type="pct"/>
                  <w:noWrap w:val="0"/>
                  <w:vAlign w:val="center"/>
                </w:tcPr>
                <w:p w14:paraId="14ACFF22">
                  <w:pPr>
                    <w:keepNext w:val="0"/>
                    <w:keepLines w:val="0"/>
                    <w:pageBreakBefore w:val="0"/>
                    <w:widowControl/>
                    <w:suppressLineNumbers w:val="0"/>
                    <w:kinsoku/>
                    <w:wordWrap/>
                    <w:overflowPunct/>
                    <w:topLinePunct w:val="0"/>
                    <w:bidi w:val="0"/>
                    <w:adjustRightIn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spacing w:val="0"/>
                      <w:sz w:val="21"/>
                      <w:szCs w:val="21"/>
                      <w:highlight w:val="none"/>
                      <w:vertAlign w:val="baseline"/>
                      <w:lang w:eastAsia="zh-CN"/>
                    </w:rPr>
                  </w:pPr>
                  <w:r>
                    <w:rPr>
                      <w:rFonts w:hint="default" w:ascii="Times New Roman" w:hAnsi="Times New Roman" w:eastAsia="宋体" w:cs="Times New Roman"/>
                      <w:color w:val="auto"/>
                      <w:spacing w:val="0"/>
                      <w:sz w:val="21"/>
                      <w:szCs w:val="21"/>
                      <w:highlight w:val="none"/>
                      <w:vertAlign w:val="baseline"/>
                      <w:lang w:val="en-US" w:eastAsia="zh-CN"/>
                    </w:rPr>
                    <w:t>无</w:t>
                  </w:r>
                </w:p>
              </w:tc>
              <w:tc>
                <w:tcPr>
                  <w:tcW w:w="1133" w:type="pct"/>
                  <w:noWrap w:val="0"/>
                  <w:vAlign w:val="center"/>
                </w:tcPr>
                <w:p w14:paraId="36598AA5">
                  <w:pPr>
                    <w:keepNext w:val="0"/>
                    <w:keepLines w:val="0"/>
                    <w:pageBreakBefore w:val="0"/>
                    <w:widowControl/>
                    <w:suppressLineNumbers w:val="0"/>
                    <w:kinsoku/>
                    <w:wordWrap/>
                    <w:overflowPunct/>
                    <w:topLinePunct w:val="0"/>
                    <w:bidi w:val="0"/>
                    <w:adjustRightIn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spacing w:val="0"/>
                      <w:sz w:val="21"/>
                      <w:szCs w:val="21"/>
                      <w:highlight w:val="none"/>
                      <w:vertAlign w:val="baseline"/>
                      <w:lang w:val="en-US" w:eastAsia="zh-CN"/>
                    </w:rPr>
                  </w:pPr>
                  <w:r>
                    <w:rPr>
                      <w:rFonts w:hint="eastAsia" w:ascii="Times New Roman" w:hAnsi="Times New Roman" w:eastAsia="宋体" w:cs="Times New Roman"/>
                      <w:color w:val="auto"/>
                      <w:spacing w:val="0"/>
                      <w:sz w:val="21"/>
                      <w:szCs w:val="21"/>
                      <w:highlight w:val="none"/>
                      <w:vertAlign w:val="baseline"/>
                      <w:lang w:val="en-US" w:eastAsia="zh-CN"/>
                    </w:rPr>
                    <w:t>/</w:t>
                  </w:r>
                </w:p>
              </w:tc>
              <w:tc>
                <w:tcPr>
                  <w:tcW w:w="720" w:type="pct"/>
                  <w:noWrap w:val="0"/>
                  <w:vAlign w:val="center"/>
                </w:tcPr>
                <w:p w14:paraId="247B2F9F">
                  <w:pPr>
                    <w:keepNext w:val="0"/>
                    <w:keepLines w:val="0"/>
                    <w:pageBreakBefore w:val="0"/>
                    <w:widowControl/>
                    <w:suppressLineNumbers w:val="0"/>
                    <w:kinsoku/>
                    <w:wordWrap/>
                    <w:overflowPunct/>
                    <w:topLinePunct w:val="0"/>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kern w:val="0"/>
                      <w:sz w:val="21"/>
                      <w:szCs w:val="21"/>
                      <w:highlight w:val="none"/>
                      <w:lang w:val="en-US" w:eastAsia="zh-CN" w:bidi="ar"/>
                    </w:rPr>
                  </w:pPr>
                  <w:r>
                    <w:rPr>
                      <w:rFonts w:hint="eastAsia" w:ascii="Times New Roman" w:hAnsi="Times New Roman" w:eastAsia="宋体" w:cs="Times New Roman"/>
                      <w:color w:val="auto"/>
                      <w:spacing w:val="0"/>
                      <w:kern w:val="0"/>
                      <w:sz w:val="21"/>
                      <w:szCs w:val="21"/>
                      <w:highlight w:val="none"/>
                      <w:lang w:val="en-US" w:eastAsia="zh-CN" w:bidi="ar"/>
                    </w:rPr>
                    <w:t>/</w:t>
                  </w:r>
                </w:p>
              </w:tc>
            </w:tr>
            <w:tr w14:paraId="0405D0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560" w:type="pct"/>
                  <w:vMerge w:val="continue"/>
                  <w:noWrap w:val="0"/>
                  <w:vAlign w:val="center"/>
                </w:tcPr>
                <w:p w14:paraId="680466A8">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sz w:val="21"/>
                      <w:szCs w:val="21"/>
                      <w:highlight w:val="none"/>
                      <w:vertAlign w:val="baseline"/>
                    </w:rPr>
                  </w:pPr>
                </w:p>
              </w:tc>
              <w:tc>
                <w:tcPr>
                  <w:tcW w:w="1183" w:type="pct"/>
                  <w:gridSpan w:val="2"/>
                  <w:noWrap w:val="0"/>
                  <w:vAlign w:val="center"/>
                </w:tcPr>
                <w:p w14:paraId="229B8481">
                  <w:pPr>
                    <w:keepNext w:val="0"/>
                    <w:keepLines w:val="0"/>
                    <w:pageBreakBefore w:val="0"/>
                    <w:widowControl/>
                    <w:suppressLineNumbers w:val="0"/>
                    <w:kinsoku/>
                    <w:wordWrap/>
                    <w:overflowPunct/>
                    <w:topLinePunct w:val="0"/>
                    <w:bidi w:val="0"/>
                    <w:adjustRightIn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sz w:val="21"/>
                      <w:szCs w:val="21"/>
                      <w:highlight w:val="none"/>
                      <w:vertAlign w:val="baseline"/>
                    </w:rPr>
                  </w:pPr>
                  <w:r>
                    <w:rPr>
                      <w:rFonts w:hint="default" w:ascii="Times New Roman" w:hAnsi="Times New Roman" w:eastAsia="宋体" w:cs="Times New Roman"/>
                      <w:color w:val="auto"/>
                      <w:spacing w:val="0"/>
                      <w:kern w:val="0"/>
                      <w:sz w:val="21"/>
                      <w:szCs w:val="21"/>
                      <w:highlight w:val="none"/>
                      <w:lang w:val="en-US" w:eastAsia="zh-CN" w:bidi="ar"/>
                    </w:rPr>
                    <w:t>不符合空间布局要求活动的退出要求</w:t>
                  </w:r>
                </w:p>
              </w:tc>
              <w:tc>
                <w:tcPr>
                  <w:tcW w:w="1402" w:type="pct"/>
                  <w:noWrap w:val="0"/>
                  <w:vAlign w:val="center"/>
                </w:tcPr>
                <w:p w14:paraId="23AD443F">
                  <w:pPr>
                    <w:keepNext w:val="0"/>
                    <w:keepLines w:val="0"/>
                    <w:pageBreakBefore w:val="0"/>
                    <w:widowControl/>
                    <w:suppressLineNumbers w:val="0"/>
                    <w:kinsoku/>
                    <w:wordWrap/>
                    <w:overflowPunct/>
                    <w:topLinePunct w:val="0"/>
                    <w:bidi w:val="0"/>
                    <w:adjustRightIn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spacing w:val="0"/>
                      <w:sz w:val="21"/>
                      <w:szCs w:val="21"/>
                      <w:highlight w:val="none"/>
                      <w:vertAlign w:val="baseline"/>
                      <w:lang w:eastAsia="zh-CN"/>
                    </w:rPr>
                  </w:pPr>
                  <w:r>
                    <w:rPr>
                      <w:rFonts w:hint="default" w:ascii="Times New Roman" w:hAnsi="Times New Roman" w:eastAsia="宋体" w:cs="Times New Roman"/>
                      <w:color w:val="auto"/>
                      <w:spacing w:val="0"/>
                      <w:sz w:val="21"/>
                      <w:szCs w:val="21"/>
                      <w:highlight w:val="none"/>
                      <w:vertAlign w:val="baseline"/>
                      <w:lang w:val="en-US" w:eastAsia="zh-CN"/>
                    </w:rPr>
                    <w:t>现有园区产业规划禁止类的企业逐步停产或关停</w:t>
                  </w:r>
                  <w:r>
                    <w:rPr>
                      <w:rFonts w:hint="eastAsia" w:ascii="Times New Roman" w:hAnsi="Times New Roman" w:eastAsia="宋体" w:cs="Times New Roman"/>
                      <w:color w:val="auto"/>
                      <w:spacing w:val="0"/>
                      <w:sz w:val="21"/>
                      <w:szCs w:val="21"/>
                      <w:highlight w:val="none"/>
                      <w:vertAlign w:val="baseline"/>
                      <w:lang w:val="en-US" w:eastAsia="zh-CN"/>
                    </w:rPr>
                    <w:t>。</w:t>
                  </w:r>
                </w:p>
              </w:tc>
              <w:tc>
                <w:tcPr>
                  <w:tcW w:w="1133" w:type="pct"/>
                  <w:noWrap w:val="0"/>
                  <w:vAlign w:val="center"/>
                </w:tcPr>
                <w:p w14:paraId="5C0F452A">
                  <w:pPr>
                    <w:keepNext w:val="0"/>
                    <w:keepLines w:val="0"/>
                    <w:pageBreakBefore w:val="0"/>
                    <w:widowControl/>
                    <w:suppressLineNumbers w:val="0"/>
                    <w:kinsoku/>
                    <w:wordWrap/>
                    <w:overflowPunct/>
                    <w:topLinePunct w:val="0"/>
                    <w:bidi w:val="0"/>
                    <w:adjustRightIn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sz w:val="21"/>
                      <w:szCs w:val="21"/>
                      <w:highlight w:val="none"/>
                      <w:vertAlign w:val="baseline"/>
                      <w:lang w:val="en-US" w:eastAsia="zh-CN"/>
                    </w:rPr>
                  </w:pPr>
                  <w:r>
                    <w:rPr>
                      <w:rFonts w:hint="eastAsia" w:ascii="Times New Roman" w:hAnsi="Times New Roman" w:eastAsia="宋体" w:cs="Times New Roman"/>
                      <w:color w:val="auto"/>
                      <w:spacing w:val="0"/>
                      <w:sz w:val="21"/>
                      <w:szCs w:val="21"/>
                      <w:highlight w:val="none"/>
                      <w:vertAlign w:val="baseline"/>
                      <w:lang w:val="en-US" w:eastAsia="zh-CN"/>
                    </w:rPr>
                    <w:t>本项目不属于园区产业规划禁止类项目。</w:t>
                  </w:r>
                </w:p>
              </w:tc>
              <w:tc>
                <w:tcPr>
                  <w:tcW w:w="720" w:type="pct"/>
                  <w:noWrap w:val="0"/>
                  <w:vAlign w:val="center"/>
                </w:tcPr>
                <w:p w14:paraId="1FC355AC">
                  <w:pPr>
                    <w:keepNext w:val="0"/>
                    <w:keepLines w:val="0"/>
                    <w:pageBreakBefore w:val="0"/>
                    <w:widowControl/>
                    <w:suppressLineNumbers w:val="0"/>
                    <w:kinsoku/>
                    <w:wordWrap/>
                    <w:overflowPunct/>
                    <w:topLinePunct w:val="0"/>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kern w:val="0"/>
                      <w:sz w:val="21"/>
                      <w:szCs w:val="21"/>
                      <w:highlight w:val="none"/>
                      <w:lang w:val="en-US" w:eastAsia="zh-CN" w:bidi="ar"/>
                    </w:rPr>
                  </w:pPr>
                  <w:r>
                    <w:rPr>
                      <w:rFonts w:hint="eastAsia" w:ascii="Times New Roman" w:hAnsi="Times New Roman" w:eastAsia="宋体" w:cs="Times New Roman"/>
                      <w:color w:val="auto"/>
                      <w:spacing w:val="0"/>
                      <w:kern w:val="0"/>
                      <w:sz w:val="21"/>
                      <w:szCs w:val="21"/>
                      <w:highlight w:val="none"/>
                      <w:lang w:val="en-US" w:eastAsia="zh-CN" w:bidi="ar"/>
                    </w:rPr>
                    <w:t>符合</w:t>
                  </w:r>
                </w:p>
              </w:tc>
            </w:tr>
            <w:tr w14:paraId="114FA03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560" w:type="pct"/>
                  <w:vMerge w:val="continue"/>
                  <w:noWrap w:val="0"/>
                  <w:vAlign w:val="center"/>
                </w:tcPr>
                <w:p w14:paraId="36900127">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sz w:val="21"/>
                      <w:szCs w:val="21"/>
                      <w:highlight w:val="none"/>
                      <w:vertAlign w:val="baseline"/>
                    </w:rPr>
                  </w:pPr>
                </w:p>
              </w:tc>
              <w:tc>
                <w:tcPr>
                  <w:tcW w:w="1183" w:type="pct"/>
                  <w:gridSpan w:val="2"/>
                  <w:noWrap w:val="0"/>
                  <w:vAlign w:val="center"/>
                </w:tcPr>
                <w:p w14:paraId="4AB925C2">
                  <w:pPr>
                    <w:keepNext w:val="0"/>
                    <w:keepLines w:val="0"/>
                    <w:pageBreakBefore w:val="0"/>
                    <w:widowControl/>
                    <w:suppressLineNumbers w:val="0"/>
                    <w:kinsoku/>
                    <w:wordWrap/>
                    <w:overflowPunct/>
                    <w:topLinePunct w:val="0"/>
                    <w:bidi w:val="0"/>
                    <w:adjustRightIn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kern w:val="0"/>
                      <w:sz w:val="21"/>
                      <w:szCs w:val="21"/>
                      <w:highlight w:val="none"/>
                      <w:lang w:val="en-US" w:eastAsia="zh-CN" w:bidi="ar"/>
                    </w:rPr>
                  </w:pPr>
                  <w:r>
                    <w:rPr>
                      <w:rFonts w:hint="default" w:ascii="Times New Roman" w:hAnsi="Times New Roman" w:eastAsia="宋体" w:cs="Times New Roman"/>
                      <w:color w:val="auto"/>
                      <w:spacing w:val="0"/>
                      <w:kern w:val="0"/>
                      <w:sz w:val="21"/>
                      <w:szCs w:val="21"/>
                      <w:highlight w:val="none"/>
                      <w:lang w:val="en-US" w:eastAsia="zh-CN" w:bidi="ar"/>
                    </w:rPr>
                    <w:t>其他空间布局约束要求</w:t>
                  </w:r>
                </w:p>
              </w:tc>
              <w:tc>
                <w:tcPr>
                  <w:tcW w:w="1402" w:type="pct"/>
                  <w:noWrap w:val="0"/>
                  <w:vAlign w:val="center"/>
                </w:tcPr>
                <w:p w14:paraId="44CFD40E">
                  <w:pPr>
                    <w:keepNext w:val="0"/>
                    <w:keepLines w:val="0"/>
                    <w:pageBreakBefore w:val="0"/>
                    <w:widowControl/>
                    <w:suppressLineNumbers w:val="0"/>
                    <w:kinsoku/>
                    <w:wordWrap/>
                    <w:overflowPunct/>
                    <w:topLinePunct w:val="0"/>
                    <w:bidi w:val="0"/>
                    <w:adjustRightIn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spacing w:val="0"/>
                      <w:sz w:val="21"/>
                      <w:szCs w:val="21"/>
                      <w:highlight w:val="none"/>
                      <w:vertAlign w:val="baseline"/>
                      <w:lang w:eastAsia="zh-CN"/>
                    </w:rPr>
                  </w:pPr>
                  <w:r>
                    <w:rPr>
                      <w:rFonts w:hint="default" w:ascii="Times New Roman" w:hAnsi="Times New Roman" w:eastAsia="宋体" w:cs="Times New Roman"/>
                      <w:color w:val="auto"/>
                      <w:spacing w:val="0"/>
                      <w:sz w:val="21"/>
                      <w:szCs w:val="21"/>
                      <w:highlight w:val="none"/>
                      <w:vertAlign w:val="baseline"/>
                      <w:lang w:val="en-US" w:eastAsia="zh-CN"/>
                    </w:rPr>
                    <w:t>加强</w:t>
                  </w:r>
                  <w:r>
                    <w:rPr>
                      <w:rFonts w:hint="eastAsia" w:ascii="Times New Roman" w:hAnsi="Times New Roman" w:eastAsia="宋体" w:cs="Times New Roman"/>
                      <w:color w:val="auto"/>
                      <w:spacing w:val="0"/>
                      <w:sz w:val="21"/>
                      <w:szCs w:val="21"/>
                      <w:highlight w:val="none"/>
                      <w:vertAlign w:val="baseline"/>
                      <w:lang w:val="en-US" w:eastAsia="zh-CN"/>
                    </w:rPr>
                    <w:t>“</w:t>
                  </w:r>
                  <w:r>
                    <w:rPr>
                      <w:rFonts w:hint="default" w:ascii="Times New Roman" w:hAnsi="Times New Roman" w:eastAsia="宋体" w:cs="Times New Roman"/>
                      <w:color w:val="auto"/>
                      <w:spacing w:val="0"/>
                      <w:sz w:val="21"/>
                      <w:szCs w:val="21"/>
                      <w:highlight w:val="none"/>
                      <w:vertAlign w:val="baseline"/>
                      <w:lang w:val="en-US" w:eastAsia="zh-CN"/>
                    </w:rPr>
                    <w:t>两高</w:t>
                  </w:r>
                  <w:r>
                    <w:rPr>
                      <w:rFonts w:hint="eastAsia" w:ascii="Times New Roman" w:hAnsi="Times New Roman" w:eastAsia="宋体" w:cs="Times New Roman"/>
                      <w:color w:val="auto"/>
                      <w:spacing w:val="0"/>
                      <w:sz w:val="21"/>
                      <w:szCs w:val="21"/>
                      <w:highlight w:val="none"/>
                      <w:vertAlign w:val="baseline"/>
                      <w:lang w:val="en-US" w:eastAsia="zh-CN"/>
                    </w:rPr>
                    <w:t>”</w:t>
                  </w:r>
                  <w:r>
                    <w:rPr>
                      <w:rFonts w:hint="default" w:ascii="Times New Roman" w:hAnsi="Times New Roman" w:eastAsia="宋体" w:cs="Times New Roman"/>
                      <w:color w:val="auto"/>
                      <w:spacing w:val="0"/>
                      <w:sz w:val="21"/>
                      <w:szCs w:val="21"/>
                      <w:highlight w:val="none"/>
                      <w:vertAlign w:val="baseline"/>
                      <w:lang w:val="en-US" w:eastAsia="zh-CN"/>
                    </w:rPr>
                    <w:t>项目源头防控</w:t>
                  </w:r>
                  <w:r>
                    <w:rPr>
                      <w:rFonts w:hint="eastAsia" w:ascii="Times New Roman" w:hAnsi="Times New Roman" w:eastAsia="宋体" w:cs="Times New Roman"/>
                      <w:color w:val="auto"/>
                      <w:spacing w:val="0"/>
                      <w:sz w:val="21"/>
                      <w:szCs w:val="21"/>
                      <w:highlight w:val="none"/>
                      <w:vertAlign w:val="baseline"/>
                      <w:lang w:val="en-US" w:eastAsia="zh-CN"/>
                    </w:rPr>
                    <w:t>。</w:t>
                  </w:r>
                </w:p>
              </w:tc>
              <w:tc>
                <w:tcPr>
                  <w:tcW w:w="1133" w:type="pct"/>
                  <w:noWrap w:val="0"/>
                  <w:vAlign w:val="center"/>
                </w:tcPr>
                <w:p w14:paraId="6F342FB1">
                  <w:pPr>
                    <w:keepNext w:val="0"/>
                    <w:keepLines w:val="0"/>
                    <w:pageBreakBefore w:val="0"/>
                    <w:widowControl/>
                    <w:suppressLineNumbers w:val="0"/>
                    <w:kinsoku/>
                    <w:wordWrap/>
                    <w:overflowPunct/>
                    <w:topLinePunct w:val="0"/>
                    <w:bidi w:val="0"/>
                    <w:adjustRightIn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sz w:val="21"/>
                      <w:szCs w:val="21"/>
                      <w:highlight w:val="none"/>
                      <w:vertAlign w:val="baseline"/>
                      <w:lang w:val="en-US" w:eastAsia="zh-CN"/>
                    </w:rPr>
                  </w:pPr>
                  <w:r>
                    <w:rPr>
                      <w:rFonts w:hint="eastAsia" w:ascii="Times New Roman" w:hAnsi="Times New Roman" w:eastAsia="宋体" w:cs="Times New Roman"/>
                      <w:color w:val="auto"/>
                      <w:spacing w:val="0"/>
                      <w:sz w:val="21"/>
                      <w:szCs w:val="21"/>
                      <w:highlight w:val="none"/>
                      <w:vertAlign w:val="baseline"/>
                      <w:lang w:val="en-US" w:eastAsia="zh-CN"/>
                    </w:rPr>
                    <w:t>本项目不属于“两高”项目。</w:t>
                  </w:r>
                </w:p>
              </w:tc>
              <w:tc>
                <w:tcPr>
                  <w:tcW w:w="720" w:type="pct"/>
                  <w:noWrap w:val="0"/>
                  <w:vAlign w:val="center"/>
                </w:tcPr>
                <w:p w14:paraId="39580704">
                  <w:pPr>
                    <w:keepNext w:val="0"/>
                    <w:keepLines w:val="0"/>
                    <w:pageBreakBefore w:val="0"/>
                    <w:widowControl/>
                    <w:suppressLineNumbers w:val="0"/>
                    <w:kinsoku/>
                    <w:wordWrap/>
                    <w:overflowPunct/>
                    <w:topLinePunct w:val="0"/>
                    <w:bidi w:val="0"/>
                    <w:adjustRightIn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spacing w:val="0"/>
                      <w:kern w:val="0"/>
                      <w:sz w:val="21"/>
                      <w:szCs w:val="21"/>
                      <w:highlight w:val="none"/>
                      <w:lang w:val="en-US" w:eastAsia="zh-CN" w:bidi="ar"/>
                    </w:rPr>
                  </w:pPr>
                  <w:r>
                    <w:rPr>
                      <w:rFonts w:hint="eastAsia" w:ascii="Times New Roman" w:hAnsi="Times New Roman" w:eastAsia="宋体" w:cs="Times New Roman"/>
                      <w:color w:val="auto"/>
                      <w:spacing w:val="0"/>
                      <w:kern w:val="0"/>
                      <w:sz w:val="21"/>
                      <w:szCs w:val="21"/>
                      <w:highlight w:val="none"/>
                      <w:lang w:val="en-US" w:eastAsia="zh-CN" w:bidi="ar"/>
                    </w:rPr>
                    <w:t>符合</w:t>
                  </w:r>
                </w:p>
              </w:tc>
            </w:tr>
            <w:tr w14:paraId="46EC21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02" w:hRule="atLeast"/>
                <w:jc w:val="center"/>
              </w:trPr>
              <w:tc>
                <w:tcPr>
                  <w:tcW w:w="560" w:type="pct"/>
                  <w:vMerge w:val="restart"/>
                  <w:noWrap w:val="0"/>
                  <w:vAlign w:val="center"/>
                </w:tcPr>
                <w:p w14:paraId="3E1FB9DB">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kern w:val="2"/>
                      <w:sz w:val="21"/>
                      <w:szCs w:val="21"/>
                      <w:highlight w:val="none"/>
                      <w:vertAlign w:val="baseline"/>
                      <w:lang w:val="en-US" w:eastAsia="zh-CN" w:bidi="ar-SA"/>
                    </w:rPr>
                  </w:pPr>
                  <w:r>
                    <w:rPr>
                      <w:rFonts w:hint="default" w:ascii="Times New Roman" w:hAnsi="Times New Roman" w:eastAsia="宋体" w:cs="Times New Roman"/>
                      <w:color w:val="auto"/>
                      <w:spacing w:val="0"/>
                      <w:kern w:val="2"/>
                      <w:sz w:val="21"/>
                      <w:szCs w:val="21"/>
                      <w:highlight w:val="none"/>
                      <w:vertAlign w:val="baseline"/>
                      <w:lang w:val="en-US" w:eastAsia="zh-CN" w:bidi="ar-SA"/>
                    </w:rPr>
                    <w:t>污染物排放管控</w:t>
                  </w:r>
                </w:p>
              </w:tc>
              <w:tc>
                <w:tcPr>
                  <w:tcW w:w="1183" w:type="pct"/>
                  <w:gridSpan w:val="2"/>
                  <w:noWrap w:val="0"/>
                  <w:vAlign w:val="center"/>
                </w:tcPr>
                <w:p w14:paraId="1FAB7FEF">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现有源提标升级改造</w:t>
                  </w:r>
                </w:p>
              </w:tc>
              <w:tc>
                <w:tcPr>
                  <w:tcW w:w="1402" w:type="pct"/>
                  <w:noWrap w:val="0"/>
                  <w:vAlign w:val="center"/>
                </w:tcPr>
                <w:p w14:paraId="7639A547">
                  <w:pPr>
                    <w:keepNext w:val="0"/>
                    <w:keepLines w:val="0"/>
                    <w:pageBreakBefore w:val="0"/>
                    <w:widowControl/>
                    <w:suppressLineNumbers w:val="0"/>
                    <w:kinsoku/>
                    <w:wordWrap/>
                    <w:overflowPunct/>
                    <w:topLinePunct w:val="0"/>
                    <w:bidi w:val="0"/>
                    <w:adjustRightIn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spacing w:val="0"/>
                      <w:sz w:val="21"/>
                      <w:szCs w:val="21"/>
                      <w:highlight w:val="none"/>
                      <w:vertAlign w:val="baseline"/>
                      <w:lang w:eastAsia="zh-CN"/>
                    </w:rPr>
                  </w:pPr>
                  <w:r>
                    <w:rPr>
                      <w:rFonts w:hint="default" w:ascii="Times New Roman" w:hAnsi="Times New Roman" w:eastAsia="宋体" w:cs="Times New Roman"/>
                      <w:color w:val="auto"/>
                      <w:spacing w:val="0"/>
                      <w:sz w:val="21"/>
                      <w:szCs w:val="21"/>
                      <w:highlight w:val="none"/>
                      <w:vertAlign w:val="baseline"/>
                      <w:lang w:val="en-US" w:eastAsia="zh-CN"/>
                    </w:rPr>
                    <w:t>园区内现有企业需预处理达到污水集中处理设施接管标准</w:t>
                  </w:r>
                </w:p>
              </w:tc>
              <w:tc>
                <w:tcPr>
                  <w:tcW w:w="1133" w:type="pct"/>
                  <w:noWrap w:val="0"/>
                  <w:vAlign w:val="center"/>
                </w:tcPr>
                <w:p w14:paraId="127B3850">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spacing w:val="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pacing w:val="0"/>
                      <w:sz w:val="21"/>
                      <w:szCs w:val="21"/>
                      <w:highlight w:val="none"/>
                      <w:vertAlign w:val="baseline"/>
                      <w:lang w:val="en-US" w:eastAsia="zh-CN"/>
                      <w14:textFill>
                        <w14:solidFill>
                          <w14:schemeClr w14:val="tx1"/>
                        </w14:solidFill>
                      </w14:textFill>
                    </w:rPr>
                    <w:t>本项目废水经预处理可达《污水综合排放标准》(GB8978-1996)表4中三级标准及</w:t>
                  </w:r>
                  <w:r>
                    <w:rPr>
                      <w:rFonts w:hint="eastAsia" w:cs="Times New Roman"/>
                      <w:color w:val="000000" w:themeColor="text1"/>
                      <w:spacing w:val="0"/>
                      <w:sz w:val="21"/>
                      <w:szCs w:val="21"/>
                      <w:highlight w:val="none"/>
                      <w:vertAlign w:val="baseline"/>
                      <w:lang w:val="en-US" w:eastAsia="zh-CN"/>
                      <w14:textFill>
                        <w14:solidFill>
                          <w14:schemeClr w14:val="tx1"/>
                        </w14:solidFill>
                      </w14:textFill>
                    </w:rPr>
                    <w:t>江西</w:t>
                  </w:r>
                  <w:r>
                    <w:rPr>
                      <w:rFonts w:hint="eastAsia" w:ascii="Times New Roman" w:hAnsi="Times New Roman" w:eastAsia="宋体" w:cs="Times New Roman"/>
                      <w:color w:val="000000" w:themeColor="text1"/>
                      <w:spacing w:val="0"/>
                      <w:sz w:val="21"/>
                      <w:szCs w:val="21"/>
                      <w:highlight w:val="none"/>
                      <w:vertAlign w:val="baseline"/>
                      <w:lang w:val="en-US" w:eastAsia="zh-CN"/>
                      <w14:textFill>
                        <w14:solidFill>
                          <w14:schemeClr w14:val="tx1"/>
                        </w14:solidFill>
                      </w14:textFill>
                    </w:rPr>
                    <w:t>安义高新技术产业园区接管标准。</w:t>
                  </w:r>
                </w:p>
              </w:tc>
              <w:tc>
                <w:tcPr>
                  <w:tcW w:w="720" w:type="pct"/>
                  <w:noWrap w:val="0"/>
                  <w:vAlign w:val="center"/>
                </w:tcPr>
                <w:p w14:paraId="2C949BAA">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0"/>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0"/>
                      <w:kern w:val="0"/>
                      <w:sz w:val="21"/>
                      <w:szCs w:val="21"/>
                      <w:highlight w:val="none"/>
                      <w:lang w:val="en-US" w:eastAsia="zh-CN" w:bidi="ar"/>
                      <w14:textFill>
                        <w14:solidFill>
                          <w14:schemeClr w14:val="tx1"/>
                        </w14:solidFill>
                      </w14:textFill>
                    </w:rPr>
                    <w:t>符合</w:t>
                  </w:r>
                </w:p>
              </w:tc>
            </w:tr>
            <w:tr w14:paraId="49F59E0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37" w:hRule="atLeast"/>
                <w:jc w:val="center"/>
              </w:trPr>
              <w:tc>
                <w:tcPr>
                  <w:tcW w:w="560" w:type="pct"/>
                  <w:vMerge w:val="continue"/>
                  <w:noWrap w:val="0"/>
                  <w:vAlign w:val="center"/>
                </w:tcPr>
                <w:p w14:paraId="02E107E3">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spacing w:val="0"/>
                      <w:sz w:val="21"/>
                      <w:szCs w:val="21"/>
                      <w:highlight w:val="none"/>
                      <w:vertAlign w:val="baseline"/>
                    </w:rPr>
                  </w:pPr>
                </w:p>
              </w:tc>
              <w:tc>
                <w:tcPr>
                  <w:tcW w:w="1183" w:type="pct"/>
                  <w:gridSpan w:val="2"/>
                  <w:noWrap w:val="0"/>
                  <w:vAlign w:val="center"/>
                </w:tcPr>
                <w:p w14:paraId="2B21C74D">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新增源等量或倍量替代</w:t>
                  </w:r>
                </w:p>
              </w:tc>
              <w:tc>
                <w:tcPr>
                  <w:tcW w:w="1402" w:type="pct"/>
                  <w:noWrap w:val="0"/>
                  <w:vAlign w:val="center"/>
                </w:tcPr>
                <w:p w14:paraId="49F6A284">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color w:val="auto"/>
                      <w:spacing w:val="0"/>
                      <w:kern w:val="2"/>
                      <w:sz w:val="21"/>
                      <w:szCs w:val="21"/>
                      <w:highlight w:val="none"/>
                      <w:vertAlign w:val="baseline"/>
                      <w:lang w:val="en-US" w:eastAsia="zh-CN" w:bidi="ar-SA"/>
                    </w:rPr>
                  </w:pPr>
                  <w:r>
                    <w:rPr>
                      <w:rFonts w:hint="default" w:ascii="Times New Roman" w:hAnsi="Times New Roman" w:eastAsia="宋体" w:cs="Times New Roman"/>
                      <w:color w:val="auto"/>
                      <w:spacing w:val="0"/>
                      <w:kern w:val="2"/>
                      <w:sz w:val="21"/>
                      <w:szCs w:val="21"/>
                      <w:highlight w:val="none"/>
                      <w:vertAlign w:val="baseline"/>
                      <w:lang w:val="en-US" w:eastAsia="zh-CN" w:bidi="ar-SA"/>
                    </w:rPr>
                    <w:t>六大行业、五类重点重金属污染物排放量按《江西省进一步加强重金属污染防控工作方案》（赣环固体〔2022〕44号）规定执行。</w:t>
                  </w:r>
                </w:p>
              </w:tc>
              <w:tc>
                <w:tcPr>
                  <w:tcW w:w="1133" w:type="pct"/>
                  <w:noWrap w:val="0"/>
                  <w:vAlign w:val="center"/>
                </w:tcPr>
                <w:p w14:paraId="161AF9B5">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0"/>
                      <w:kern w:val="2"/>
                      <w:sz w:val="21"/>
                      <w:szCs w:val="21"/>
                      <w:highlight w:val="none"/>
                      <w:vertAlign w:val="baseline"/>
                      <w:lang w:val="en-US" w:eastAsia="zh-CN" w:bidi="ar-SA"/>
                    </w:rPr>
                  </w:pPr>
                  <w:r>
                    <w:rPr>
                      <w:rFonts w:hint="eastAsia" w:ascii="Times New Roman" w:hAnsi="Times New Roman" w:eastAsia="宋体" w:cs="Times New Roman"/>
                      <w:color w:val="auto"/>
                      <w:spacing w:val="0"/>
                      <w:kern w:val="2"/>
                      <w:sz w:val="21"/>
                      <w:szCs w:val="21"/>
                      <w:highlight w:val="none"/>
                      <w:vertAlign w:val="baseline"/>
                      <w:lang w:val="en-US" w:eastAsia="zh-CN" w:bidi="ar-SA"/>
                    </w:rPr>
                    <w:t>本项目不涉及重金属污染物排放。</w:t>
                  </w:r>
                </w:p>
              </w:tc>
              <w:tc>
                <w:tcPr>
                  <w:tcW w:w="720" w:type="pct"/>
                  <w:noWrap w:val="0"/>
                  <w:vAlign w:val="center"/>
                </w:tcPr>
                <w:p w14:paraId="010E4AC0">
                  <w:pPr>
                    <w:keepNext w:val="0"/>
                    <w:keepLines w:val="0"/>
                    <w:pageBreakBefore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kern w:val="0"/>
                      <w:sz w:val="21"/>
                      <w:szCs w:val="21"/>
                      <w:highlight w:val="none"/>
                      <w:lang w:val="en-US" w:eastAsia="zh-CN" w:bidi="ar"/>
                    </w:rPr>
                    <w:t>符合</w:t>
                  </w:r>
                </w:p>
              </w:tc>
            </w:tr>
            <w:tr w14:paraId="5561ED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80" w:hRule="atLeast"/>
                <w:jc w:val="center"/>
              </w:trPr>
              <w:tc>
                <w:tcPr>
                  <w:tcW w:w="560" w:type="pct"/>
                  <w:vMerge w:val="continue"/>
                  <w:noWrap w:val="0"/>
                  <w:vAlign w:val="center"/>
                </w:tcPr>
                <w:p w14:paraId="327721ED">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spacing w:val="0"/>
                      <w:sz w:val="21"/>
                      <w:szCs w:val="21"/>
                      <w:highlight w:val="none"/>
                      <w:vertAlign w:val="baseline"/>
                    </w:rPr>
                  </w:pPr>
                </w:p>
              </w:tc>
              <w:tc>
                <w:tcPr>
                  <w:tcW w:w="1183" w:type="pct"/>
                  <w:gridSpan w:val="2"/>
                  <w:noWrap w:val="0"/>
                  <w:vAlign w:val="center"/>
                </w:tcPr>
                <w:p w14:paraId="4170248B">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新增源排放标准限值</w:t>
                  </w:r>
                </w:p>
              </w:tc>
              <w:tc>
                <w:tcPr>
                  <w:tcW w:w="1402" w:type="pct"/>
                  <w:noWrap w:val="0"/>
                  <w:vAlign w:val="center"/>
                </w:tcPr>
                <w:p w14:paraId="61D423A4">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color w:val="auto"/>
                      <w:spacing w:val="0"/>
                      <w:kern w:val="2"/>
                      <w:sz w:val="21"/>
                      <w:szCs w:val="21"/>
                      <w:highlight w:val="none"/>
                      <w:vertAlign w:val="baseline"/>
                      <w:lang w:val="en-US" w:eastAsia="zh-CN" w:bidi="ar-SA"/>
                    </w:rPr>
                  </w:pPr>
                  <w:r>
                    <w:rPr>
                      <w:rFonts w:hint="default" w:ascii="Times New Roman" w:hAnsi="Times New Roman" w:eastAsia="宋体" w:cs="Times New Roman"/>
                      <w:color w:val="auto"/>
                      <w:spacing w:val="0"/>
                      <w:kern w:val="2"/>
                      <w:sz w:val="21"/>
                      <w:szCs w:val="21"/>
                      <w:highlight w:val="none"/>
                      <w:vertAlign w:val="baseline"/>
                      <w:lang w:val="en-US" w:eastAsia="zh-CN" w:bidi="ar-SA"/>
                    </w:rPr>
                    <w:t>新建项目污染物排放应达到行业排放标准或综合排放标准。</w:t>
                  </w:r>
                </w:p>
              </w:tc>
              <w:tc>
                <w:tcPr>
                  <w:tcW w:w="1133" w:type="pct"/>
                  <w:noWrap w:val="0"/>
                  <w:vAlign w:val="center"/>
                </w:tcPr>
                <w:p w14:paraId="5F58320C">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0"/>
                      <w:kern w:val="2"/>
                      <w:sz w:val="21"/>
                      <w:szCs w:val="21"/>
                      <w:highlight w:val="none"/>
                      <w:vertAlign w:val="baseline"/>
                      <w:lang w:val="en-US" w:eastAsia="zh-CN" w:bidi="ar-SA"/>
                    </w:rPr>
                  </w:pPr>
                  <w:r>
                    <w:rPr>
                      <w:rFonts w:hint="eastAsia" w:ascii="Times New Roman" w:hAnsi="Times New Roman" w:eastAsia="宋体" w:cs="Times New Roman"/>
                      <w:color w:val="auto"/>
                      <w:spacing w:val="0"/>
                      <w:kern w:val="2"/>
                      <w:sz w:val="21"/>
                      <w:szCs w:val="21"/>
                      <w:highlight w:val="none"/>
                      <w:vertAlign w:val="baseline"/>
                      <w:lang w:val="en-US" w:eastAsia="zh-CN" w:bidi="ar-SA"/>
                    </w:rPr>
                    <w:t>本项目污染物经处理可达到相应的排放标准。</w:t>
                  </w:r>
                </w:p>
              </w:tc>
              <w:tc>
                <w:tcPr>
                  <w:tcW w:w="720" w:type="pct"/>
                  <w:noWrap w:val="0"/>
                  <w:vAlign w:val="center"/>
                </w:tcPr>
                <w:p w14:paraId="44CBE2CE">
                  <w:pPr>
                    <w:keepNext w:val="0"/>
                    <w:keepLines w:val="0"/>
                    <w:pageBreakBefore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kern w:val="0"/>
                      <w:sz w:val="21"/>
                      <w:szCs w:val="21"/>
                      <w:highlight w:val="none"/>
                      <w:lang w:val="en-US" w:eastAsia="zh-CN" w:bidi="ar"/>
                    </w:rPr>
                    <w:t>符合</w:t>
                  </w:r>
                </w:p>
              </w:tc>
            </w:tr>
            <w:tr w14:paraId="7DB532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560" w:type="pct"/>
                  <w:vMerge w:val="continue"/>
                  <w:noWrap w:val="0"/>
                  <w:vAlign w:val="center"/>
                </w:tcPr>
                <w:p w14:paraId="0457878F">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spacing w:val="0"/>
                      <w:sz w:val="21"/>
                      <w:szCs w:val="21"/>
                      <w:highlight w:val="none"/>
                      <w:vertAlign w:val="baseline"/>
                    </w:rPr>
                  </w:pPr>
                </w:p>
              </w:tc>
              <w:tc>
                <w:tcPr>
                  <w:tcW w:w="1183" w:type="pct"/>
                  <w:gridSpan w:val="2"/>
                  <w:noWrap w:val="0"/>
                  <w:vAlign w:val="center"/>
                </w:tcPr>
                <w:p w14:paraId="24852466">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污染物排放绩效水平准入要求</w:t>
                  </w:r>
                </w:p>
              </w:tc>
              <w:tc>
                <w:tcPr>
                  <w:tcW w:w="1402" w:type="pct"/>
                  <w:noWrap w:val="0"/>
                  <w:vAlign w:val="center"/>
                </w:tcPr>
                <w:p w14:paraId="1CB68745">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kern w:val="2"/>
                      <w:sz w:val="21"/>
                      <w:szCs w:val="21"/>
                      <w:highlight w:val="none"/>
                      <w:vertAlign w:val="baseline"/>
                      <w:lang w:val="en-US" w:eastAsia="zh-CN" w:bidi="ar-SA"/>
                    </w:rPr>
                  </w:pPr>
                  <w:r>
                    <w:rPr>
                      <w:rFonts w:hint="default" w:ascii="Times New Roman" w:hAnsi="Times New Roman" w:eastAsia="宋体" w:cs="Times New Roman"/>
                      <w:color w:val="auto"/>
                      <w:spacing w:val="0"/>
                      <w:kern w:val="2"/>
                      <w:sz w:val="21"/>
                      <w:szCs w:val="21"/>
                      <w:highlight w:val="none"/>
                      <w:vertAlign w:val="baseline"/>
                      <w:lang w:val="en-US" w:eastAsia="zh-CN" w:bidi="ar-SA"/>
                    </w:rPr>
                    <w:t>无</w:t>
                  </w:r>
                </w:p>
              </w:tc>
              <w:tc>
                <w:tcPr>
                  <w:tcW w:w="1133" w:type="pct"/>
                  <w:noWrap w:val="0"/>
                  <w:vAlign w:val="center"/>
                </w:tcPr>
                <w:p w14:paraId="2AF98CAF">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kern w:val="2"/>
                      <w:sz w:val="21"/>
                      <w:szCs w:val="21"/>
                      <w:highlight w:val="none"/>
                      <w:vertAlign w:val="baseline"/>
                      <w:lang w:val="en-US" w:eastAsia="zh-CN" w:bidi="ar-SA"/>
                    </w:rPr>
                  </w:pPr>
                  <w:r>
                    <w:rPr>
                      <w:rFonts w:hint="eastAsia" w:ascii="Times New Roman" w:hAnsi="Times New Roman" w:eastAsia="宋体" w:cs="Times New Roman"/>
                      <w:color w:val="auto"/>
                      <w:spacing w:val="0"/>
                      <w:kern w:val="2"/>
                      <w:sz w:val="21"/>
                      <w:szCs w:val="21"/>
                      <w:highlight w:val="none"/>
                      <w:vertAlign w:val="baseline"/>
                      <w:lang w:val="en-US" w:eastAsia="zh-CN" w:bidi="ar-SA"/>
                    </w:rPr>
                    <w:t>/</w:t>
                  </w:r>
                </w:p>
              </w:tc>
              <w:tc>
                <w:tcPr>
                  <w:tcW w:w="720" w:type="pct"/>
                  <w:noWrap w:val="0"/>
                  <w:vAlign w:val="center"/>
                </w:tcPr>
                <w:p w14:paraId="775B215B">
                  <w:pPr>
                    <w:keepNext w:val="0"/>
                    <w:keepLines w:val="0"/>
                    <w:pageBreakBefore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kern w:val="0"/>
                      <w:sz w:val="21"/>
                      <w:szCs w:val="21"/>
                      <w:highlight w:val="none"/>
                      <w:lang w:val="en-US" w:eastAsia="zh-CN" w:bidi="ar"/>
                    </w:rPr>
                    <w:t>/</w:t>
                  </w:r>
                </w:p>
              </w:tc>
            </w:tr>
            <w:tr w14:paraId="43ACFFD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560" w:type="pct"/>
                  <w:vMerge w:val="continue"/>
                  <w:noWrap w:val="0"/>
                  <w:vAlign w:val="center"/>
                </w:tcPr>
                <w:p w14:paraId="64EFA89B">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spacing w:val="0"/>
                      <w:sz w:val="21"/>
                      <w:szCs w:val="21"/>
                      <w:highlight w:val="none"/>
                      <w:vertAlign w:val="baseline"/>
                    </w:rPr>
                  </w:pPr>
                </w:p>
              </w:tc>
              <w:tc>
                <w:tcPr>
                  <w:tcW w:w="1183" w:type="pct"/>
                  <w:gridSpan w:val="2"/>
                  <w:noWrap w:val="0"/>
                  <w:vAlign w:val="center"/>
                </w:tcPr>
                <w:p w14:paraId="0CDF8C7A">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其他污染物排放管控要求</w:t>
                  </w:r>
                </w:p>
              </w:tc>
              <w:tc>
                <w:tcPr>
                  <w:tcW w:w="1402" w:type="pct"/>
                  <w:noWrap w:val="0"/>
                  <w:vAlign w:val="center"/>
                </w:tcPr>
                <w:p w14:paraId="463B67E0">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color w:val="auto"/>
                      <w:spacing w:val="0"/>
                      <w:kern w:val="2"/>
                      <w:sz w:val="21"/>
                      <w:szCs w:val="21"/>
                      <w:highlight w:val="none"/>
                      <w:vertAlign w:val="baseline"/>
                      <w:lang w:val="en-US" w:eastAsia="zh-CN" w:bidi="ar-SA"/>
                    </w:rPr>
                  </w:pPr>
                  <w:r>
                    <w:rPr>
                      <w:rFonts w:hint="default" w:ascii="Times New Roman" w:hAnsi="Times New Roman" w:eastAsia="宋体" w:cs="Times New Roman"/>
                      <w:color w:val="auto"/>
                      <w:spacing w:val="0"/>
                      <w:kern w:val="2"/>
                      <w:sz w:val="21"/>
                      <w:szCs w:val="21"/>
                      <w:highlight w:val="none"/>
                      <w:vertAlign w:val="baseline"/>
                      <w:lang w:val="en-US" w:eastAsia="zh-CN" w:bidi="ar-SA"/>
                    </w:rPr>
                    <w:t>综合条件较好的重点行业率先开展节能降碳技术改造。</w:t>
                  </w:r>
                </w:p>
              </w:tc>
              <w:tc>
                <w:tcPr>
                  <w:tcW w:w="1133" w:type="pct"/>
                  <w:noWrap w:val="0"/>
                  <w:vAlign w:val="center"/>
                </w:tcPr>
                <w:p w14:paraId="3A2C7112">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kern w:val="2"/>
                      <w:sz w:val="21"/>
                      <w:szCs w:val="21"/>
                      <w:highlight w:val="none"/>
                      <w:vertAlign w:val="baseline"/>
                      <w:lang w:val="en-US" w:eastAsia="zh-CN" w:bidi="ar-SA"/>
                    </w:rPr>
                  </w:pPr>
                  <w:r>
                    <w:rPr>
                      <w:rFonts w:hint="eastAsia" w:ascii="Times New Roman" w:hAnsi="Times New Roman" w:eastAsia="宋体" w:cs="Times New Roman"/>
                      <w:color w:val="auto"/>
                      <w:spacing w:val="0"/>
                      <w:kern w:val="2"/>
                      <w:sz w:val="21"/>
                      <w:szCs w:val="21"/>
                      <w:highlight w:val="none"/>
                      <w:vertAlign w:val="baseline"/>
                      <w:lang w:val="en-US" w:eastAsia="zh-CN" w:bidi="ar-SA"/>
                    </w:rPr>
                    <w:t>/</w:t>
                  </w:r>
                </w:p>
              </w:tc>
              <w:tc>
                <w:tcPr>
                  <w:tcW w:w="720" w:type="pct"/>
                  <w:noWrap w:val="0"/>
                  <w:vAlign w:val="center"/>
                </w:tcPr>
                <w:p w14:paraId="0C58F917">
                  <w:pPr>
                    <w:keepNext w:val="0"/>
                    <w:keepLines w:val="0"/>
                    <w:pageBreakBefore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0"/>
                      <w:sz w:val="21"/>
                      <w:szCs w:val="21"/>
                      <w:highlight w:val="none"/>
                      <w:lang w:val="en-US" w:eastAsia="zh-CN" w:bidi="ar"/>
                    </w:rPr>
                  </w:pPr>
                  <w:r>
                    <w:rPr>
                      <w:rFonts w:hint="eastAsia" w:ascii="Times New Roman" w:hAnsi="Times New Roman" w:eastAsia="宋体" w:cs="Times New Roman"/>
                      <w:color w:val="auto"/>
                      <w:spacing w:val="0"/>
                      <w:kern w:val="0"/>
                      <w:sz w:val="21"/>
                      <w:szCs w:val="21"/>
                      <w:highlight w:val="none"/>
                      <w:lang w:val="en-US" w:eastAsia="zh-CN" w:bidi="ar"/>
                    </w:rPr>
                    <w:t>/</w:t>
                  </w:r>
                </w:p>
              </w:tc>
            </w:tr>
            <w:tr w14:paraId="4D488B9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560" w:type="pct"/>
                  <w:vMerge w:val="restart"/>
                  <w:noWrap w:val="0"/>
                  <w:vAlign w:val="center"/>
                </w:tcPr>
                <w:p w14:paraId="5D1C4ECF">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kern w:val="2"/>
                      <w:sz w:val="21"/>
                      <w:szCs w:val="21"/>
                      <w:highlight w:val="none"/>
                      <w:vertAlign w:val="baseline"/>
                      <w:lang w:val="en-US" w:eastAsia="en-US" w:bidi="ar-SA"/>
                    </w:rPr>
                  </w:pPr>
                  <w:r>
                    <w:rPr>
                      <w:rFonts w:hint="default" w:ascii="Times New Roman" w:hAnsi="Times New Roman" w:eastAsia="宋体" w:cs="Times New Roman"/>
                      <w:color w:val="auto"/>
                      <w:spacing w:val="0"/>
                      <w:kern w:val="2"/>
                      <w:position w:val="4"/>
                      <w:sz w:val="21"/>
                      <w:szCs w:val="21"/>
                      <w:highlight w:val="none"/>
                      <w:lang w:val="en-US" w:eastAsia="en-US" w:bidi="ar-SA"/>
                    </w:rPr>
                    <w:t>环境</w:t>
                  </w:r>
                  <w:r>
                    <w:rPr>
                      <w:rFonts w:hint="default" w:ascii="Times New Roman" w:hAnsi="Times New Roman" w:eastAsia="宋体" w:cs="Times New Roman"/>
                      <w:color w:val="auto"/>
                      <w:spacing w:val="0"/>
                      <w:kern w:val="2"/>
                      <w:sz w:val="21"/>
                      <w:szCs w:val="21"/>
                      <w:highlight w:val="none"/>
                      <w:lang w:val="en-US" w:eastAsia="en-US" w:bidi="ar-SA"/>
                    </w:rPr>
                    <w:t>风险防控</w:t>
                  </w:r>
                </w:p>
              </w:tc>
              <w:tc>
                <w:tcPr>
                  <w:tcW w:w="460" w:type="pct"/>
                  <w:vMerge w:val="restart"/>
                  <w:noWrap w:val="0"/>
                  <w:vAlign w:val="center"/>
                </w:tcPr>
                <w:p w14:paraId="603C9A5C">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用地环境风险防控要求</w:t>
                  </w:r>
                </w:p>
              </w:tc>
              <w:tc>
                <w:tcPr>
                  <w:tcW w:w="722" w:type="pct"/>
                  <w:noWrap w:val="0"/>
                  <w:vAlign w:val="center"/>
                </w:tcPr>
                <w:p w14:paraId="3F669563">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严格管控类农用地管控要求</w:t>
                  </w:r>
                </w:p>
              </w:tc>
              <w:tc>
                <w:tcPr>
                  <w:tcW w:w="1402" w:type="pct"/>
                  <w:noWrap w:val="0"/>
                  <w:vAlign w:val="center"/>
                </w:tcPr>
                <w:p w14:paraId="2638D3B0">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kern w:val="2"/>
                      <w:sz w:val="21"/>
                      <w:szCs w:val="21"/>
                      <w:highlight w:val="none"/>
                      <w:vertAlign w:val="baseline"/>
                      <w:lang w:val="en-US" w:eastAsia="zh-CN" w:bidi="ar-SA"/>
                    </w:rPr>
                  </w:pPr>
                  <w:r>
                    <w:rPr>
                      <w:rFonts w:hint="eastAsia" w:ascii="Times New Roman" w:hAnsi="Times New Roman" w:eastAsia="宋体" w:cs="Times New Roman"/>
                      <w:color w:val="auto"/>
                      <w:spacing w:val="0"/>
                      <w:kern w:val="2"/>
                      <w:sz w:val="21"/>
                      <w:szCs w:val="21"/>
                      <w:highlight w:val="none"/>
                      <w:vertAlign w:val="baseline"/>
                      <w:lang w:val="en-US" w:eastAsia="zh-CN" w:bidi="ar-SA"/>
                    </w:rPr>
                    <w:t>无</w:t>
                  </w:r>
                </w:p>
              </w:tc>
              <w:tc>
                <w:tcPr>
                  <w:tcW w:w="1133" w:type="pct"/>
                  <w:noWrap w:val="0"/>
                  <w:vAlign w:val="center"/>
                </w:tcPr>
                <w:p w14:paraId="1A01101D">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kern w:val="2"/>
                      <w:sz w:val="21"/>
                      <w:szCs w:val="21"/>
                      <w:highlight w:val="none"/>
                      <w:vertAlign w:val="baseline"/>
                      <w:lang w:val="en-US" w:eastAsia="zh-CN" w:bidi="ar-SA"/>
                    </w:rPr>
                  </w:pPr>
                  <w:r>
                    <w:rPr>
                      <w:rFonts w:hint="eastAsia" w:ascii="Times New Roman" w:hAnsi="Times New Roman" w:eastAsia="宋体" w:cs="Times New Roman"/>
                      <w:color w:val="auto"/>
                      <w:spacing w:val="0"/>
                      <w:kern w:val="2"/>
                      <w:sz w:val="21"/>
                      <w:szCs w:val="21"/>
                      <w:highlight w:val="none"/>
                      <w:vertAlign w:val="baseline"/>
                      <w:lang w:val="en-US" w:eastAsia="zh-CN" w:bidi="ar-SA"/>
                    </w:rPr>
                    <w:t>/</w:t>
                  </w:r>
                </w:p>
              </w:tc>
              <w:tc>
                <w:tcPr>
                  <w:tcW w:w="720" w:type="pct"/>
                  <w:noWrap w:val="0"/>
                  <w:vAlign w:val="center"/>
                </w:tcPr>
                <w:p w14:paraId="033C31D8">
                  <w:pPr>
                    <w:keepNext w:val="0"/>
                    <w:keepLines w:val="0"/>
                    <w:pageBreakBefore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kern w:val="0"/>
                      <w:sz w:val="21"/>
                      <w:szCs w:val="21"/>
                      <w:highlight w:val="none"/>
                      <w:lang w:val="en-US" w:eastAsia="zh-CN" w:bidi="ar"/>
                    </w:rPr>
                  </w:pPr>
                  <w:r>
                    <w:rPr>
                      <w:rFonts w:hint="eastAsia" w:ascii="Times New Roman" w:hAnsi="Times New Roman" w:eastAsia="宋体" w:cs="Times New Roman"/>
                      <w:color w:val="auto"/>
                      <w:spacing w:val="0"/>
                      <w:sz w:val="21"/>
                      <w:szCs w:val="21"/>
                      <w:highlight w:val="none"/>
                      <w:vertAlign w:val="baseline"/>
                      <w:lang w:val="en-US" w:eastAsia="zh-CN"/>
                    </w:rPr>
                    <w:t>/</w:t>
                  </w:r>
                </w:p>
              </w:tc>
            </w:tr>
            <w:tr w14:paraId="09CBE0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560" w:type="pct"/>
                  <w:vMerge w:val="continue"/>
                  <w:noWrap w:val="0"/>
                  <w:vAlign w:val="center"/>
                </w:tcPr>
                <w:p w14:paraId="5141BDAB">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spacing w:val="0"/>
                      <w:sz w:val="21"/>
                      <w:szCs w:val="21"/>
                      <w:highlight w:val="none"/>
                      <w:vertAlign w:val="baseline"/>
                    </w:rPr>
                  </w:pPr>
                </w:p>
              </w:tc>
              <w:tc>
                <w:tcPr>
                  <w:tcW w:w="460" w:type="pct"/>
                  <w:vMerge w:val="continue"/>
                  <w:noWrap w:val="0"/>
                  <w:vAlign w:val="center"/>
                </w:tcPr>
                <w:p w14:paraId="4BCC48B9">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p>
              </w:tc>
              <w:tc>
                <w:tcPr>
                  <w:tcW w:w="722" w:type="pct"/>
                  <w:noWrap w:val="0"/>
                  <w:vAlign w:val="center"/>
                </w:tcPr>
                <w:p w14:paraId="20A6CC19">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安全利用类农用地管控要求</w:t>
                  </w:r>
                </w:p>
              </w:tc>
              <w:tc>
                <w:tcPr>
                  <w:tcW w:w="1402" w:type="pct"/>
                  <w:noWrap w:val="0"/>
                  <w:vAlign w:val="center"/>
                </w:tcPr>
                <w:p w14:paraId="4BD054A1">
                  <w:pPr>
                    <w:keepNext w:val="0"/>
                    <w:keepLines w:val="0"/>
                    <w:pageBreakBefore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sz w:val="21"/>
                      <w:szCs w:val="21"/>
                      <w:highlight w:val="none"/>
                      <w:vertAlign w:val="baseline"/>
                    </w:rPr>
                  </w:pPr>
                  <w:r>
                    <w:rPr>
                      <w:rFonts w:hint="eastAsia" w:ascii="Times New Roman" w:hAnsi="Times New Roman" w:eastAsia="宋体" w:cs="Times New Roman"/>
                      <w:color w:val="auto"/>
                      <w:spacing w:val="0"/>
                      <w:sz w:val="21"/>
                      <w:szCs w:val="21"/>
                      <w:highlight w:val="none"/>
                      <w:vertAlign w:val="baseline"/>
                      <w:lang w:val="en-US" w:eastAsia="zh-CN"/>
                    </w:rPr>
                    <w:t>无</w:t>
                  </w:r>
                </w:p>
              </w:tc>
              <w:tc>
                <w:tcPr>
                  <w:tcW w:w="1133" w:type="pct"/>
                  <w:noWrap w:val="0"/>
                  <w:vAlign w:val="center"/>
                </w:tcPr>
                <w:p w14:paraId="0028CA97">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kern w:val="2"/>
                      <w:sz w:val="21"/>
                      <w:szCs w:val="21"/>
                      <w:highlight w:val="none"/>
                      <w:vertAlign w:val="baseline"/>
                      <w:lang w:val="en-US" w:eastAsia="zh-CN" w:bidi="ar-SA"/>
                    </w:rPr>
                  </w:pPr>
                  <w:r>
                    <w:rPr>
                      <w:rFonts w:hint="eastAsia" w:ascii="Times New Roman" w:hAnsi="Times New Roman" w:eastAsia="宋体" w:cs="Times New Roman"/>
                      <w:color w:val="auto"/>
                      <w:spacing w:val="0"/>
                      <w:kern w:val="2"/>
                      <w:sz w:val="21"/>
                      <w:szCs w:val="21"/>
                      <w:highlight w:val="none"/>
                      <w:vertAlign w:val="baseline"/>
                      <w:lang w:val="en-US" w:eastAsia="zh-CN" w:bidi="ar-SA"/>
                    </w:rPr>
                    <w:t>/</w:t>
                  </w:r>
                </w:p>
              </w:tc>
              <w:tc>
                <w:tcPr>
                  <w:tcW w:w="720" w:type="pct"/>
                  <w:noWrap w:val="0"/>
                  <w:vAlign w:val="center"/>
                </w:tcPr>
                <w:p w14:paraId="3534D176">
                  <w:pPr>
                    <w:keepNext w:val="0"/>
                    <w:keepLines w:val="0"/>
                    <w:pageBreakBefore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kern w:val="0"/>
                      <w:sz w:val="21"/>
                      <w:szCs w:val="21"/>
                      <w:highlight w:val="none"/>
                      <w:lang w:val="en-US" w:eastAsia="zh-CN" w:bidi="ar"/>
                    </w:rPr>
                  </w:pPr>
                  <w:r>
                    <w:rPr>
                      <w:rFonts w:hint="eastAsia" w:ascii="Times New Roman" w:hAnsi="Times New Roman" w:eastAsia="宋体" w:cs="Times New Roman"/>
                      <w:color w:val="auto"/>
                      <w:spacing w:val="0"/>
                      <w:sz w:val="21"/>
                      <w:szCs w:val="21"/>
                      <w:highlight w:val="none"/>
                      <w:vertAlign w:val="baseline"/>
                      <w:lang w:val="en-US" w:eastAsia="zh-CN"/>
                    </w:rPr>
                    <w:t>/</w:t>
                  </w:r>
                </w:p>
              </w:tc>
            </w:tr>
            <w:tr w14:paraId="66F9BC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560" w:type="pct"/>
                  <w:vMerge w:val="continue"/>
                  <w:noWrap w:val="0"/>
                  <w:vAlign w:val="center"/>
                </w:tcPr>
                <w:p w14:paraId="00E8E0E2">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spacing w:val="0"/>
                      <w:sz w:val="21"/>
                      <w:szCs w:val="21"/>
                      <w:highlight w:val="none"/>
                      <w:vertAlign w:val="baseline"/>
                    </w:rPr>
                  </w:pPr>
                </w:p>
              </w:tc>
              <w:tc>
                <w:tcPr>
                  <w:tcW w:w="460" w:type="pct"/>
                  <w:vMerge w:val="continue"/>
                  <w:noWrap w:val="0"/>
                  <w:vAlign w:val="center"/>
                </w:tcPr>
                <w:p w14:paraId="2C348E71">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p>
              </w:tc>
              <w:tc>
                <w:tcPr>
                  <w:tcW w:w="722" w:type="pct"/>
                  <w:noWrap w:val="0"/>
                  <w:vAlign w:val="center"/>
                </w:tcPr>
                <w:p w14:paraId="2DE67437">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污染地块管控要求</w:t>
                  </w:r>
                </w:p>
              </w:tc>
              <w:tc>
                <w:tcPr>
                  <w:tcW w:w="1402" w:type="pct"/>
                  <w:noWrap w:val="0"/>
                  <w:vAlign w:val="center"/>
                </w:tcPr>
                <w:p w14:paraId="4943A214">
                  <w:pPr>
                    <w:keepNext w:val="0"/>
                    <w:keepLines w:val="0"/>
                    <w:pageBreakBefore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0"/>
                      <w:sz w:val="21"/>
                      <w:szCs w:val="21"/>
                      <w:highlight w:val="none"/>
                      <w:vertAlign w:val="baseline"/>
                    </w:rPr>
                  </w:pPr>
                  <w:r>
                    <w:rPr>
                      <w:rFonts w:hint="eastAsia" w:ascii="Times New Roman" w:hAnsi="Times New Roman" w:eastAsia="宋体" w:cs="Times New Roman"/>
                      <w:color w:val="auto"/>
                      <w:spacing w:val="0"/>
                      <w:sz w:val="21"/>
                      <w:szCs w:val="21"/>
                      <w:highlight w:val="none"/>
                      <w:vertAlign w:val="baseline"/>
                      <w:lang w:val="en-US" w:eastAsia="zh-CN"/>
                    </w:rPr>
                    <w:t>已污染地块，应当依法开展土壤污染状况调查、治理与修复，符合相应用地土壤环境质量要求后，方可进入用地程序。</w:t>
                  </w:r>
                </w:p>
              </w:tc>
              <w:tc>
                <w:tcPr>
                  <w:tcW w:w="1133" w:type="pct"/>
                  <w:noWrap w:val="0"/>
                  <w:vAlign w:val="center"/>
                </w:tcPr>
                <w:p w14:paraId="22953F75">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0"/>
                      <w:kern w:val="2"/>
                      <w:sz w:val="21"/>
                      <w:szCs w:val="21"/>
                      <w:highlight w:val="none"/>
                      <w:vertAlign w:val="baseline"/>
                      <w:lang w:val="en-US" w:eastAsia="zh-CN" w:bidi="ar-SA"/>
                    </w:rPr>
                  </w:pPr>
                  <w:r>
                    <w:rPr>
                      <w:rFonts w:hint="eastAsia" w:ascii="Times New Roman" w:hAnsi="Times New Roman" w:eastAsia="宋体" w:cs="Times New Roman"/>
                      <w:color w:val="auto"/>
                      <w:spacing w:val="0"/>
                      <w:kern w:val="2"/>
                      <w:sz w:val="21"/>
                      <w:szCs w:val="21"/>
                      <w:highlight w:val="none"/>
                      <w:vertAlign w:val="baseline"/>
                      <w:lang w:val="en-US" w:eastAsia="zh-CN" w:bidi="ar-SA"/>
                    </w:rPr>
                    <w:t>本项目不属于已污染地块。</w:t>
                  </w:r>
                </w:p>
              </w:tc>
              <w:tc>
                <w:tcPr>
                  <w:tcW w:w="720" w:type="pct"/>
                  <w:noWrap w:val="0"/>
                  <w:vAlign w:val="center"/>
                </w:tcPr>
                <w:p w14:paraId="61AE6D0E">
                  <w:pPr>
                    <w:keepNext w:val="0"/>
                    <w:keepLines w:val="0"/>
                    <w:pageBreakBefore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0"/>
                      <w:sz w:val="21"/>
                      <w:szCs w:val="21"/>
                      <w:highlight w:val="none"/>
                      <w:lang w:val="en-US" w:eastAsia="zh-CN" w:bidi="ar"/>
                    </w:rPr>
                  </w:pPr>
                  <w:r>
                    <w:rPr>
                      <w:rFonts w:hint="eastAsia" w:ascii="Times New Roman" w:hAnsi="Times New Roman" w:eastAsia="宋体" w:cs="Times New Roman"/>
                      <w:color w:val="auto"/>
                      <w:spacing w:val="0"/>
                      <w:kern w:val="0"/>
                      <w:sz w:val="21"/>
                      <w:szCs w:val="21"/>
                      <w:highlight w:val="none"/>
                      <w:lang w:val="en-US" w:eastAsia="zh-CN" w:bidi="ar"/>
                    </w:rPr>
                    <w:t>符合</w:t>
                  </w:r>
                </w:p>
              </w:tc>
            </w:tr>
            <w:tr w14:paraId="55539C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560" w:type="pct"/>
                  <w:vMerge w:val="continue"/>
                  <w:noWrap w:val="0"/>
                  <w:vAlign w:val="center"/>
                </w:tcPr>
                <w:p w14:paraId="40A6A79F">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kern w:val="2"/>
                      <w:sz w:val="21"/>
                      <w:szCs w:val="21"/>
                      <w:highlight w:val="none"/>
                      <w:vertAlign w:val="baseline"/>
                      <w:lang w:val="en-US" w:eastAsia="en-US" w:bidi="ar-SA"/>
                    </w:rPr>
                  </w:pPr>
                </w:p>
              </w:tc>
              <w:tc>
                <w:tcPr>
                  <w:tcW w:w="1183" w:type="pct"/>
                  <w:gridSpan w:val="2"/>
                  <w:noWrap w:val="0"/>
                  <w:vAlign w:val="center"/>
                </w:tcPr>
                <w:p w14:paraId="5578ADE2">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园区环境风险防控要求</w:t>
                  </w:r>
                </w:p>
              </w:tc>
              <w:tc>
                <w:tcPr>
                  <w:tcW w:w="1402" w:type="pct"/>
                  <w:noWrap w:val="0"/>
                  <w:vAlign w:val="center"/>
                </w:tcPr>
                <w:p w14:paraId="4E6EA9E6">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无</w:t>
                  </w:r>
                </w:p>
              </w:tc>
              <w:tc>
                <w:tcPr>
                  <w:tcW w:w="1133" w:type="pct"/>
                  <w:noWrap w:val="0"/>
                  <w:vAlign w:val="center"/>
                </w:tcPr>
                <w:p w14:paraId="6123208B">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w:t>
                  </w:r>
                </w:p>
              </w:tc>
              <w:tc>
                <w:tcPr>
                  <w:tcW w:w="720" w:type="pct"/>
                  <w:noWrap w:val="0"/>
                  <w:vAlign w:val="center"/>
                </w:tcPr>
                <w:p w14:paraId="21180615">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bidi="ar"/>
                    </w:rPr>
                    <w:t>符合</w:t>
                  </w:r>
                </w:p>
              </w:tc>
            </w:tr>
            <w:tr w14:paraId="1C9D9C9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560" w:type="pct"/>
                  <w:vMerge w:val="continue"/>
                  <w:noWrap w:val="0"/>
                  <w:vAlign w:val="center"/>
                </w:tcPr>
                <w:p w14:paraId="53FD175D">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sz w:val="21"/>
                      <w:szCs w:val="21"/>
                      <w:highlight w:val="none"/>
                      <w:vertAlign w:val="baseline"/>
                    </w:rPr>
                  </w:pPr>
                </w:p>
              </w:tc>
              <w:tc>
                <w:tcPr>
                  <w:tcW w:w="1183" w:type="pct"/>
                  <w:gridSpan w:val="2"/>
                  <w:noWrap w:val="0"/>
                  <w:vAlign w:val="center"/>
                </w:tcPr>
                <w:p w14:paraId="785B2412">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企业环境风险防控要求</w:t>
                  </w:r>
                </w:p>
              </w:tc>
              <w:tc>
                <w:tcPr>
                  <w:tcW w:w="1402" w:type="pct"/>
                  <w:noWrap w:val="0"/>
                  <w:vAlign w:val="center"/>
                </w:tcPr>
                <w:p w14:paraId="4E0E6DAD">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1、企业应编制环境风险应急预案，并加强应急演练。2、生产、存储危险化学品及产生大量废水的企业，应配套有效措施，防止因渗漏污染地下水、土壤，以及因事故废水直排污染地表水体。3、产生、利用或处置固体废物（含危险废物）的企业，在贮存、转移、利用、处置固体废物（含危险废物）过程中，应配套防扬散、防流失、防渗漏及其他防止污染环境的措施。</w:t>
                  </w:r>
                </w:p>
              </w:tc>
              <w:tc>
                <w:tcPr>
                  <w:tcW w:w="1133" w:type="pct"/>
                  <w:noWrap w:val="0"/>
                  <w:vAlign w:val="center"/>
                </w:tcPr>
                <w:p w14:paraId="37425F53">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本项目不属于生产、存储危险化学品及产生大量废水的企业，同时配套有效防渗措施，固废可得到妥善处置。</w:t>
                  </w:r>
                </w:p>
              </w:tc>
              <w:tc>
                <w:tcPr>
                  <w:tcW w:w="720" w:type="pct"/>
                  <w:noWrap w:val="0"/>
                  <w:vAlign w:val="center"/>
                </w:tcPr>
                <w:p w14:paraId="2D9034F5">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spacing w:val="0"/>
                      <w:sz w:val="21"/>
                      <w:szCs w:val="21"/>
                      <w:highlight w:val="none"/>
                      <w:lang w:eastAsia="zh-CN"/>
                    </w:rPr>
                  </w:pPr>
                  <w:r>
                    <w:rPr>
                      <w:rFonts w:hint="eastAsia" w:ascii="Times New Roman" w:hAnsi="Times New Roman" w:eastAsia="宋体" w:cs="Times New Roman"/>
                      <w:color w:val="auto"/>
                      <w:spacing w:val="0"/>
                      <w:kern w:val="0"/>
                      <w:sz w:val="21"/>
                      <w:szCs w:val="21"/>
                      <w:highlight w:val="none"/>
                      <w:lang w:val="en-US" w:eastAsia="zh-CN" w:bidi="ar"/>
                    </w:rPr>
                    <w:t>符合</w:t>
                  </w:r>
                </w:p>
              </w:tc>
            </w:tr>
            <w:tr w14:paraId="56F2E2A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37" w:hRule="atLeast"/>
                <w:jc w:val="center"/>
              </w:trPr>
              <w:tc>
                <w:tcPr>
                  <w:tcW w:w="560" w:type="pct"/>
                  <w:vMerge w:val="continue"/>
                  <w:noWrap w:val="0"/>
                  <w:vAlign w:val="center"/>
                </w:tcPr>
                <w:p w14:paraId="15915072">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sz w:val="21"/>
                      <w:szCs w:val="21"/>
                      <w:highlight w:val="none"/>
                      <w:vertAlign w:val="baseline"/>
                    </w:rPr>
                  </w:pPr>
                </w:p>
              </w:tc>
              <w:tc>
                <w:tcPr>
                  <w:tcW w:w="1183" w:type="pct"/>
                  <w:gridSpan w:val="2"/>
                  <w:noWrap w:val="0"/>
                  <w:vAlign w:val="center"/>
                </w:tcPr>
                <w:p w14:paraId="7F954706">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其他环境风险防控要求</w:t>
                  </w:r>
                </w:p>
              </w:tc>
              <w:tc>
                <w:tcPr>
                  <w:tcW w:w="1402" w:type="pct"/>
                  <w:noWrap w:val="0"/>
                  <w:vAlign w:val="center"/>
                </w:tcPr>
                <w:p w14:paraId="645962AE">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重点管控新污染物环境风险。紧邻居住、科教、医院等环境敏感点的工业用地，禁止新建环境风险等级高的建设项目。</w:t>
                  </w:r>
                </w:p>
              </w:tc>
              <w:tc>
                <w:tcPr>
                  <w:tcW w:w="1133" w:type="pct"/>
                  <w:noWrap w:val="0"/>
                  <w:vAlign w:val="center"/>
                </w:tcPr>
                <w:p w14:paraId="6F660476">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离本项目</w:t>
                  </w:r>
                  <w:r>
                    <w:rPr>
                      <w:rFonts w:hint="eastAsia" w:cs="Times New Roman"/>
                      <w:color w:val="auto"/>
                      <w:spacing w:val="0"/>
                      <w:kern w:val="2"/>
                      <w:sz w:val="21"/>
                      <w:szCs w:val="21"/>
                      <w:highlight w:val="none"/>
                      <w:lang w:val="en-US" w:eastAsia="zh-CN" w:bidi="ar-SA"/>
                    </w:rPr>
                    <w:t>厂界</w:t>
                  </w:r>
                  <w:r>
                    <w:rPr>
                      <w:rFonts w:hint="eastAsia" w:ascii="Times New Roman" w:hAnsi="Times New Roman" w:eastAsia="宋体" w:cs="Times New Roman"/>
                      <w:color w:val="auto"/>
                      <w:spacing w:val="0"/>
                      <w:kern w:val="2"/>
                      <w:sz w:val="21"/>
                      <w:szCs w:val="21"/>
                      <w:highlight w:val="none"/>
                      <w:lang w:val="en-US" w:eastAsia="zh-CN" w:bidi="ar-SA"/>
                    </w:rPr>
                    <w:t>最近的环境敏感点为北侧245m的石下，与本项目距离较远。本项目不属于环境风险等级高的建设项目。</w:t>
                  </w:r>
                </w:p>
              </w:tc>
              <w:tc>
                <w:tcPr>
                  <w:tcW w:w="720" w:type="pct"/>
                  <w:noWrap w:val="0"/>
                  <w:vAlign w:val="center"/>
                </w:tcPr>
                <w:p w14:paraId="7DA7AD80">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kern w:val="0"/>
                      <w:sz w:val="21"/>
                      <w:szCs w:val="21"/>
                      <w:highlight w:val="none"/>
                      <w:lang w:val="en-US" w:eastAsia="zh-CN" w:bidi="ar"/>
                    </w:rPr>
                    <w:t>符合</w:t>
                  </w:r>
                </w:p>
              </w:tc>
            </w:tr>
            <w:tr w14:paraId="0600891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560" w:type="pct"/>
                  <w:vMerge w:val="restart"/>
                  <w:noWrap w:val="0"/>
                  <w:vAlign w:val="center"/>
                </w:tcPr>
                <w:p w14:paraId="3F637121">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sz w:val="21"/>
                      <w:szCs w:val="21"/>
                      <w:highlight w:val="none"/>
                      <w:vertAlign w:val="baseline"/>
                      <w:lang w:val="en-US" w:eastAsia="zh-CN"/>
                    </w:rPr>
                  </w:pPr>
                  <w:r>
                    <w:rPr>
                      <w:rFonts w:hint="default" w:ascii="Times New Roman" w:hAnsi="Times New Roman" w:eastAsia="宋体" w:cs="Times New Roman"/>
                      <w:color w:val="auto"/>
                      <w:spacing w:val="0"/>
                      <w:sz w:val="21"/>
                      <w:szCs w:val="21"/>
                      <w:highlight w:val="none"/>
                      <w:vertAlign w:val="baseline"/>
                      <w:lang w:val="en-US" w:eastAsia="zh-CN"/>
                    </w:rPr>
                    <w:t>资源利用效率要求</w:t>
                  </w:r>
                </w:p>
              </w:tc>
              <w:tc>
                <w:tcPr>
                  <w:tcW w:w="1183" w:type="pct"/>
                  <w:gridSpan w:val="2"/>
                  <w:noWrap w:val="0"/>
                  <w:vAlign w:val="center"/>
                </w:tcPr>
                <w:p w14:paraId="5BFAFC93">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水资源利用效率要求</w:t>
                  </w:r>
                </w:p>
              </w:tc>
              <w:tc>
                <w:tcPr>
                  <w:tcW w:w="1402" w:type="pct"/>
                  <w:noWrap w:val="0"/>
                  <w:vAlign w:val="center"/>
                </w:tcPr>
                <w:p w14:paraId="33C8C204">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企业工业用水重复率执行行业标准要求。</w:t>
                  </w:r>
                </w:p>
              </w:tc>
              <w:tc>
                <w:tcPr>
                  <w:tcW w:w="1133" w:type="pct"/>
                  <w:noWrap w:val="0"/>
                  <w:vAlign w:val="center"/>
                </w:tcPr>
                <w:p w14:paraId="390F8067">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w:t>
                  </w:r>
                </w:p>
              </w:tc>
              <w:tc>
                <w:tcPr>
                  <w:tcW w:w="720" w:type="pct"/>
                  <w:noWrap w:val="0"/>
                  <w:vAlign w:val="center"/>
                </w:tcPr>
                <w:p w14:paraId="2E953514">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w:t>
                  </w:r>
                </w:p>
              </w:tc>
            </w:tr>
            <w:tr w14:paraId="3075F2C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560" w:type="pct"/>
                  <w:vMerge w:val="continue"/>
                  <w:noWrap w:val="0"/>
                  <w:vAlign w:val="center"/>
                </w:tcPr>
                <w:p w14:paraId="70F8A34A">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sz w:val="21"/>
                      <w:szCs w:val="21"/>
                      <w:highlight w:val="none"/>
                      <w:vertAlign w:val="baseline"/>
                      <w:lang w:val="en-US" w:eastAsia="zh-CN"/>
                    </w:rPr>
                  </w:pPr>
                </w:p>
              </w:tc>
              <w:tc>
                <w:tcPr>
                  <w:tcW w:w="1183" w:type="pct"/>
                  <w:gridSpan w:val="2"/>
                  <w:noWrap w:val="0"/>
                  <w:vAlign w:val="center"/>
                </w:tcPr>
                <w:p w14:paraId="40F9465A">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地下水开采要求</w:t>
                  </w:r>
                </w:p>
              </w:tc>
              <w:tc>
                <w:tcPr>
                  <w:tcW w:w="1402" w:type="pct"/>
                  <w:noWrap w:val="0"/>
                  <w:vAlign w:val="center"/>
                </w:tcPr>
                <w:p w14:paraId="3918158A">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无</w:t>
                  </w:r>
                </w:p>
              </w:tc>
              <w:tc>
                <w:tcPr>
                  <w:tcW w:w="1133" w:type="pct"/>
                  <w:noWrap w:val="0"/>
                  <w:vAlign w:val="center"/>
                </w:tcPr>
                <w:p w14:paraId="3F342FF2">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c>
                <w:tcPr>
                  <w:tcW w:w="720" w:type="pct"/>
                  <w:noWrap w:val="0"/>
                  <w:vAlign w:val="center"/>
                </w:tcPr>
                <w:p w14:paraId="2816CB8D">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2CBC575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60" w:type="pct"/>
                  <w:vMerge w:val="continue"/>
                  <w:noWrap w:val="0"/>
                  <w:vAlign w:val="center"/>
                </w:tcPr>
                <w:p w14:paraId="7C80C83D">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sz w:val="21"/>
                      <w:szCs w:val="21"/>
                      <w:highlight w:val="none"/>
                      <w:vertAlign w:val="baseline"/>
                      <w:lang w:val="en-US" w:eastAsia="zh-CN"/>
                    </w:rPr>
                  </w:pPr>
                </w:p>
              </w:tc>
              <w:tc>
                <w:tcPr>
                  <w:tcW w:w="1183" w:type="pct"/>
                  <w:gridSpan w:val="2"/>
                  <w:noWrap w:val="0"/>
                  <w:vAlign w:val="center"/>
                </w:tcPr>
                <w:p w14:paraId="550E8728">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能源利用效率要求</w:t>
                  </w:r>
                </w:p>
              </w:tc>
              <w:tc>
                <w:tcPr>
                  <w:tcW w:w="1402" w:type="pct"/>
                  <w:noWrap w:val="0"/>
                  <w:vAlign w:val="center"/>
                </w:tcPr>
                <w:p w14:paraId="45CBF699">
                  <w:pPr>
                    <w:keepNext w:val="0"/>
                    <w:keepLines w:val="0"/>
                    <w:pageBreakBefore w:val="0"/>
                    <w:suppressLineNumbers w:val="0"/>
                    <w:kinsoku/>
                    <w:wordWrap/>
                    <w:overflowPunct/>
                    <w:topLinePunct w:val="0"/>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lang w:val="en-US" w:eastAsia="zh-CN"/>
                    </w:rPr>
                    <w:t>无</w:t>
                  </w:r>
                </w:p>
              </w:tc>
              <w:tc>
                <w:tcPr>
                  <w:tcW w:w="1133" w:type="pct"/>
                  <w:noWrap w:val="0"/>
                  <w:vAlign w:val="center"/>
                </w:tcPr>
                <w:p w14:paraId="350CCCE7">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c>
                <w:tcPr>
                  <w:tcW w:w="720" w:type="pct"/>
                  <w:noWrap w:val="0"/>
                  <w:vAlign w:val="center"/>
                </w:tcPr>
                <w:p w14:paraId="5386FD18">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3FAD53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560" w:type="pct"/>
                  <w:vMerge w:val="continue"/>
                  <w:tcBorders>
                    <w:bottom w:val="single" w:color="auto" w:sz="12" w:space="0"/>
                  </w:tcBorders>
                  <w:noWrap w:val="0"/>
                  <w:vAlign w:val="center"/>
                </w:tcPr>
                <w:p w14:paraId="46235AA2">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sz w:val="21"/>
                      <w:szCs w:val="21"/>
                      <w:highlight w:val="none"/>
                      <w:vertAlign w:val="baseline"/>
                      <w:lang w:val="en-US" w:eastAsia="zh-CN"/>
                    </w:rPr>
                  </w:pPr>
                </w:p>
              </w:tc>
              <w:tc>
                <w:tcPr>
                  <w:tcW w:w="1183" w:type="pct"/>
                  <w:gridSpan w:val="2"/>
                  <w:tcBorders>
                    <w:bottom w:val="single" w:color="auto" w:sz="12" w:space="0"/>
                  </w:tcBorders>
                  <w:noWrap w:val="0"/>
                  <w:vAlign w:val="center"/>
                </w:tcPr>
                <w:p w14:paraId="4D43DB78">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其他资源利用效率要求</w:t>
                  </w:r>
                </w:p>
              </w:tc>
              <w:tc>
                <w:tcPr>
                  <w:tcW w:w="1402" w:type="pct"/>
                  <w:tcBorders>
                    <w:bottom w:val="single" w:color="auto" w:sz="12" w:space="0"/>
                  </w:tcBorders>
                  <w:noWrap w:val="0"/>
                  <w:vAlign w:val="center"/>
                </w:tcPr>
                <w:p w14:paraId="0140E114">
                  <w:pPr>
                    <w:keepNext w:val="0"/>
                    <w:keepLines w:val="0"/>
                    <w:pageBreakBefore w:val="0"/>
                    <w:suppressLineNumbers w:val="0"/>
                    <w:kinsoku/>
                    <w:wordWrap/>
                    <w:overflowPunct/>
                    <w:topLinePunct w:val="0"/>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lang w:val="en-US" w:eastAsia="zh-CN"/>
                    </w:rPr>
                    <w:t>无</w:t>
                  </w:r>
                </w:p>
              </w:tc>
              <w:tc>
                <w:tcPr>
                  <w:tcW w:w="1133" w:type="pct"/>
                  <w:tcBorders>
                    <w:bottom w:val="single" w:color="auto" w:sz="12" w:space="0"/>
                  </w:tcBorders>
                  <w:noWrap w:val="0"/>
                  <w:vAlign w:val="center"/>
                </w:tcPr>
                <w:p w14:paraId="581243BD">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c>
                <w:tcPr>
                  <w:tcW w:w="720" w:type="pct"/>
                  <w:tcBorders>
                    <w:bottom w:val="single" w:color="auto" w:sz="12" w:space="0"/>
                  </w:tcBorders>
                  <w:noWrap w:val="0"/>
                  <w:vAlign w:val="center"/>
                </w:tcPr>
                <w:p w14:paraId="765C5EC1">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bl>
          <w:p w14:paraId="6AEE72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b/>
                <w:bCs/>
                <w:color w:val="auto"/>
                <w:highlight w:val="none"/>
                <w:lang w:val="en-US" w:eastAsia="zh-CN"/>
              </w:rPr>
            </w:pPr>
            <w:r>
              <w:rPr>
                <w:rFonts w:hint="eastAsia" w:ascii="Times New Roman" w:hAnsi="Times New Roman" w:eastAsia="宋体" w:cs="Times New Roman"/>
                <w:color w:val="auto"/>
                <w:spacing w:val="0"/>
                <w:kern w:val="0"/>
                <w:sz w:val="24"/>
                <w:szCs w:val="24"/>
                <w:highlight w:val="none"/>
                <w:lang w:val="en-US" w:eastAsia="zh-CN" w:bidi="ar"/>
              </w:rPr>
              <w:t>根据表1-6，本项目与南昌市环境管控单元生态环境准入清单（2023版）相符。</w:t>
            </w:r>
          </w:p>
          <w:p w14:paraId="78ED97FC">
            <w:pPr>
              <w:keepNext w:val="0"/>
              <w:keepLines w:val="0"/>
              <w:suppressLineNumbers w:val="0"/>
              <w:bidi w:val="0"/>
              <w:spacing w:before="0" w:beforeAutospacing="0" w:after="0" w:afterAutospacing="0"/>
              <w:ind w:left="0" w:right="0"/>
              <w:rPr>
                <w:rFonts w:hint="default"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4</w:t>
            </w:r>
            <w:r>
              <w:rPr>
                <w:rFonts w:hint="eastAsia" w:ascii="Times New Roman" w:hAnsi="Times New Roman" w:eastAsia="宋体" w:cs="Times New Roman"/>
                <w:b/>
                <w:bCs/>
                <w:color w:val="auto"/>
                <w:highlight w:val="none"/>
                <w:lang w:val="en-US" w:eastAsia="zh-CN"/>
              </w:rPr>
              <w:t>、</w:t>
            </w:r>
            <w:r>
              <w:rPr>
                <w:rFonts w:hint="default" w:ascii="Times New Roman" w:hAnsi="Times New Roman" w:eastAsia="宋体" w:cs="Times New Roman"/>
                <w:b/>
                <w:bCs/>
                <w:color w:val="auto"/>
                <w:highlight w:val="none"/>
                <w:lang w:val="en-US" w:eastAsia="zh-CN"/>
              </w:rPr>
              <w:t>与《重点行业挥发性有机物综合治理方案》（环大气</w:t>
            </w:r>
            <w:r>
              <w:rPr>
                <w:rFonts w:hint="eastAsia" w:cs="Times New Roman"/>
                <w:b/>
                <w:bCs/>
                <w:color w:val="auto"/>
                <w:highlight w:val="none"/>
                <w:lang w:val="en-US" w:eastAsia="zh-CN"/>
              </w:rPr>
              <w:t>〔2019〕53号</w:t>
            </w:r>
            <w:r>
              <w:rPr>
                <w:rFonts w:hint="default" w:ascii="Times New Roman" w:hAnsi="Times New Roman" w:eastAsia="宋体" w:cs="Times New Roman"/>
                <w:b/>
                <w:bCs/>
                <w:color w:val="auto"/>
                <w:highlight w:val="none"/>
                <w:lang w:val="en-US" w:eastAsia="zh-CN"/>
              </w:rPr>
              <w:t>）的相符性分析</w:t>
            </w:r>
          </w:p>
          <w:p w14:paraId="79C139A3">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shd w:val="clear" w:color="auto" w:fill="auto"/>
                <w:lang w:val="en-US" w:eastAsia="zh-CN"/>
              </w:rPr>
            </w:pPr>
            <w:r>
              <w:rPr>
                <w:rFonts w:hint="default" w:ascii="Times New Roman" w:hAnsi="Times New Roman" w:cs="Times New Roman"/>
                <w:color w:val="auto"/>
                <w:sz w:val="24"/>
                <w:szCs w:val="24"/>
                <w:highlight w:val="none"/>
                <w:shd w:val="clear" w:color="auto" w:fill="auto"/>
                <w:lang w:val="en-US" w:eastAsia="zh-CN"/>
              </w:rPr>
              <w:t>根据《重点行业挥发性有机物综合治理方案》附件1重点区域范围可知，本项目所在地不属于方案中规定的重点区域范围。</w:t>
            </w:r>
          </w:p>
          <w:p w14:paraId="5B0EE42C">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shd w:val="clear" w:color="auto" w:fill="auto"/>
                <w:lang w:val="en-US" w:eastAsia="zh-CN"/>
              </w:rPr>
            </w:pPr>
            <w:r>
              <w:rPr>
                <w:rFonts w:hint="default" w:ascii="Times New Roman" w:hAnsi="Times New Roman" w:cs="Times New Roman"/>
                <w:color w:val="auto"/>
                <w:sz w:val="24"/>
                <w:szCs w:val="24"/>
                <w:highlight w:val="none"/>
                <w:shd w:val="clear" w:color="auto" w:fill="auto"/>
                <w:lang w:val="en-US" w:eastAsia="zh-CN"/>
              </w:rPr>
              <w:t>方案中对挥发性有机物治理要求如下：</w:t>
            </w:r>
          </w:p>
          <w:p w14:paraId="7F9C59F2">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shd w:val="clear" w:color="auto" w:fill="auto"/>
                <w:lang w:val="en-US" w:eastAsia="zh-CN"/>
              </w:rPr>
            </w:pPr>
            <w:r>
              <w:rPr>
                <w:rFonts w:hint="default" w:ascii="Times New Roman" w:hAnsi="Times New Roman" w:cs="Times New Roman"/>
                <w:color w:val="auto"/>
                <w:sz w:val="24"/>
                <w:szCs w:val="24"/>
                <w:highlight w:val="none"/>
                <w:shd w:val="clear" w:color="auto" w:fill="auto"/>
                <w:lang w:val="en-US" w:eastAsia="zh-CN"/>
              </w:rPr>
              <w:t>企业新建治污设施或对现有治污设施实施改造，应依据排放废气的浓度、组分、风量，温度、湿度、压力，以及生产工况等，合理选择治理技术。</w:t>
            </w:r>
            <w:r>
              <w:rPr>
                <w:rFonts w:hint="default" w:ascii="Times New Roman" w:hAnsi="Times New Roman" w:cs="Times New Roman"/>
                <w:color w:val="auto"/>
                <w:sz w:val="24"/>
                <w:szCs w:val="24"/>
                <w:highlight w:val="none"/>
                <w:u w:val="single"/>
                <w:shd w:val="clear" w:color="auto" w:fill="auto"/>
                <w:lang w:val="en-US" w:eastAsia="zh-CN"/>
              </w:rPr>
              <w:t>鼓励企业采用多种技术的组合工艺，提高</w:t>
            </w:r>
            <w:r>
              <w:rPr>
                <w:rFonts w:hint="default" w:ascii="Times New Roman" w:hAnsi="Times New Roman" w:eastAsia="宋体" w:cs="Times New Roman"/>
                <w:color w:val="auto"/>
                <w:sz w:val="24"/>
                <w:szCs w:val="24"/>
                <w:highlight w:val="none"/>
                <w:u w:val="single"/>
                <w:shd w:val="clear" w:color="auto" w:fill="auto"/>
                <w:lang w:val="en-US" w:eastAsia="zh-CN"/>
              </w:rPr>
              <w:t>VOC</w:t>
            </w:r>
            <w:r>
              <w:rPr>
                <w:rFonts w:hint="default" w:ascii="Times New Roman" w:hAnsi="Times New Roman" w:eastAsia="宋体" w:cs="Times New Roman"/>
                <w:color w:val="auto"/>
                <w:sz w:val="24"/>
                <w:szCs w:val="24"/>
                <w:highlight w:val="none"/>
                <w:u w:val="single"/>
                <w:shd w:val="clear" w:color="auto" w:fill="auto"/>
                <w:vertAlign w:val="subscript"/>
                <w:lang w:val="en-US" w:eastAsia="zh-CN"/>
              </w:rPr>
              <w:t>S</w:t>
            </w:r>
            <w:r>
              <w:rPr>
                <w:rFonts w:hint="default" w:ascii="Times New Roman" w:hAnsi="Times New Roman" w:cs="Times New Roman"/>
                <w:color w:val="auto"/>
                <w:sz w:val="24"/>
                <w:szCs w:val="24"/>
                <w:highlight w:val="none"/>
                <w:u w:val="single"/>
                <w:shd w:val="clear" w:color="auto" w:fill="auto"/>
                <w:lang w:val="en-US" w:eastAsia="zh-CN"/>
              </w:rPr>
              <w:t>治理效率。低浓度、大风量废气，宜采用沸石转轮吸附、活性炭吸附、减风增浓等浓缩技术，提高</w:t>
            </w:r>
            <w:r>
              <w:rPr>
                <w:rFonts w:hint="default" w:ascii="Times New Roman" w:hAnsi="Times New Roman" w:eastAsia="宋体" w:cs="Times New Roman"/>
                <w:color w:val="auto"/>
                <w:sz w:val="24"/>
                <w:szCs w:val="24"/>
                <w:highlight w:val="none"/>
                <w:u w:val="single"/>
                <w:shd w:val="clear" w:color="auto" w:fill="auto"/>
                <w:lang w:val="en-US" w:eastAsia="zh-CN"/>
              </w:rPr>
              <w:t>VOC</w:t>
            </w:r>
            <w:r>
              <w:rPr>
                <w:rFonts w:hint="default" w:ascii="Times New Roman" w:hAnsi="Times New Roman" w:eastAsia="宋体" w:cs="Times New Roman"/>
                <w:color w:val="auto"/>
                <w:sz w:val="24"/>
                <w:szCs w:val="24"/>
                <w:highlight w:val="none"/>
                <w:u w:val="single"/>
                <w:shd w:val="clear" w:color="auto" w:fill="auto"/>
                <w:vertAlign w:val="subscript"/>
                <w:lang w:val="en-US" w:eastAsia="zh-CN"/>
              </w:rPr>
              <w:t>S</w:t>
            </w:r>
            <w:r>
              <w:rPr>
                <w:rFonts w:hint="default" w:ascii="Times New Roman" w:hAnsi="Times New Roman" w:cs="Times New Roman"/>
                <w:color w:val="auto"/>
                <w:sz w:val="24"/>
                <w:szCs w:val="24"/>
                <w:highlight w:val="none"/>
                <w:u w:val="single"/>
                <w:shd w:val="clear" w:color="auto" w:fill="auto"/>
                <w:lang w:val="en-US" w:eastAsia="zh-CN"/>
              </w:rPr>
              <w:t>浓度后净化处理</w:t>
            </w:r>
            <w:r>
              <w:rPr>
                <w:rFonts w:hint="default" w:ascii="Times New Roman" w:hAnsi="Times New Roman" w:cs="Times New Roman"/>
                <w:color w:val="auto"/>
                <w:sz w:val="24"/>
                <w:szCs w:val="24"/>
                <w:highlight w:val="none"/>
                <w:shd w:val="clear" w:color="auto" w:fill="auto"/>
                <w:lang w:val="en-US" w:eastAsia="zh-CN"/>
              </w:rPr>
              <w:t>。有条件的工业园区和产业集群等，推广集中喷涂、溶剂集中回收、活性炭集中再生等，加强资源共享，提高</w:t>
            </w:r>
            <w:r>
              <w:rPr>
                <w:rFonts w:hint="default" w:ascii="Times New Roman" w:hAnsi="Times New Roman" w:eastAsia="宋体" w:cs="Times New Roman"/>
                <w:color w:val="auto"/>
                <w:sz w:val="24"/>
                <w:szCs w:val="24"/>
                <w:highlight w:val="none"/>
                <w:shd w:val="clear" w:color="auto" w:fill="auto"/>
                <w:lang w:val="en-US" w:eastAsia="zh-CN"/>
              </w:rPr>
              <w:t>VOC</w:t>
            </w:r>
            <w:r>
              <w:rPr>
                <w:rFonts w:hint="default" w:ascii="Times New Roman" w:hAnsi="Times New Roman" w:eastAsia="宋体" w:cs="Times New Roman"/>
                <w:color w:val="auto"/>
                <w:sz w:val="24"/>
                <w:szCs w:val="24"/>
                <w:highlight w:val="none"/>
                <w:shd w:val="clear" w:color="auto" w:fill="auto"/>
                <w:vertAlign w:val="subscript"/>
                <w:lang w:val="en-US" w:eastAsia="zh-CN"/>
              </w:rPr>
              <w:t>S</w:t>
            </w:r>
            <w:r>
              <w:rPr>
                <w:rFonts w:hint="default" w:ascii="Times New Roman" w:hAnsi="Times New Roman" w:cs="Times New Roman"/>
                <w:color w:val="auto"/>
                <w:sz w:val="24"/>
                <w:szCs w:val="24"/>
                <w:highlight w:val="none"/>
                <w:shd w:val="clear" w:color="auto" w:fill="auto"/>
                <w:lang w:val="en-US" w:eastAsia="zh-CN"/>
              </w:rPr>
              <w:t>治理效率。</w:t>
            </w:r>
          </w:p>
          <w:p w14:paraId="3B4114F8">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shd w:val="clear" w:color="auto" w:fill="auto"/>
                <w:lang w:val="en-US" w:eastAsia="zh-CN"/>
              </w:rPr>
            </w:pPr>
            <w:r>
              <w:rPr>
                <w:rFonts w:hint="default" w:ascii="Times New Roman" w:hAnsi="Times New Roman" w:eastAsia="宋体" w:cs="Times New Roman"/>
                <w:color w:val="auto"/>
                <w:sz w:val="24"/>
                <w:szCs w:val="24"/>
                <w:highlight w:val="none"/>
                <w:shd w:val="clear" w:color="auto" w:fill="auto"/>
                <w:lang w:val="en-US" w:eastAsia="zh-CN"/>
              </w:rPr>
              <w:t>实行重点排放源排放浓度与去除效率双重控制。</w:t>
            </w:r>
            <w:r>
              <w:rPr>
                <w:rFonts w:hint="default" w:ascii="Times New Roman" w:hAnsi="Times New Roman" w:eastAsia="宋体" w:cs="Times New Roman"/>
                <w:color w:val="auto"/>
                <w:sz w:val="24"/>
                <w:szCs w:val="24"/>
                <w:highlight w:val="none"/>
                <w:u w:val="single"/>
                <w:shd w:val="clear" w:color="auto" w:fill="auto"/>
                <w:lang w:val="en-US" w:eastAsia="zh-CN"/>
              </w:rPr>
              <w:t>车间或生产设施收集排放的废气，VOC</w:t>
            </w:r>
            <w:r>
              <w:rPr>
                <w:rFonts w:hint="default" w:ascii="Times New Roman" w:hAnsi="Times New Roman" w:eastAsia="宋体" w:cs="Times New Roman"/>
                <w:color w:val="auto"/>
                <w:sz w:val="24"/>
                <w:szCs w:val="24"/>
                <w:highlight w:val="none"/>
                <w:u w:val="single"/>
                <w:shd w:val="clear" w:color="auto" w:fill="auto"/>
                <w:vertAlign w:val="subscript"/>
                <w:lang w:val="en-US" w:eastAsia="zh-CN"/>
              </w:rPr>
              <w:t>S</w:t>
            </w:r>
            <w:r>
              <w:rPr>
                <w:rFonts w:hint="default" w:ascii="Times New Roman" w:hAnsi="Times New Roman" w:eastAsia="宋体" w:cs="Times New Roman"/>
                <w:color w:val="auto"/>
                <w:sz w:val="24"/>
                <w:szCs w:val="24"/>
                <w:highlight w:val="none"/>
                <w:u w:val="single"/>
                <w:shd w:val="clear" w:color="auto" w:fill="auto"/>
                <w:lang w:val="en-US" w:eastAsia="zh-CN"/>
              </w:rPr>
              <w:t>初始排放速率大于等于3千克/小时、重点区域大于等于2千克/小时的，应加大控制力度，除确保排放浓度稳定达标外，还应实行去除效率控制，去除效率不低于80%；</w:t>
            </w:r>
            <w:r>
              <w:rPr>
                <w:rFonts w:hint="default" w:ascii="Times New Roman" w:hAnsi="Times New Roman" w:eastAsia="宋体" w:cs="Times New Roman"/>
                <w:color w:val="auto"/>
                <w:sz w:val="24"/>
                <w:szCs w:val="24"/>
                <w:highlight w:val="none"/>
                <w:shd w:val="clear" w:color="auto" w:fill="auto"/>
                <w:lang w:val="en-US" w:eastAsia="zh-CN"/>
              </w:rPr>
              <w:t>采用的原辅材料符合国家有关低VOC</w:t>
            </w:r>
            <w:r>
              <w:rPr>
                <w:rFonts w:hint="default" w:ascii="Times New Roman" w:hAnsi="Times New Roman" w:eastAsia="宋体" w:cs="Times New Roman"/>
                <w:color w:val="auto"/>
                <w:sz w:val="24"/>
                <w:szCs w:val="24"/>
                <w:highlight w:val="none"/>
                <w:shd w:val="clear" w:color="auto" w:fill="auto"/>
                <w:vertAlign w:val="subscript"/>
                <w:lang w:val="en-US" w:eastAsia="zh-CN"/>
              </w:rPr>
              <w:t>S</w:t>
            </w:r>
            <w:r>
              <w:rPr>
                <w:rFonts w:hint="default" w:ascii="Times New Roman" w:hAnsi="Times New Roman" w:eastAsia="宋体" w:cs="Times New Roman"/>
                <w:color w:val="auto"/>
                <w:sz w:val="24"/>
                <w:szCs w:val="24"/>
                <w:highlight w:val="none"/>
                <w:shd w:val="clear" w:color="auto" w:fill="auto"/>
                <w:lang w:val="en-US" w:eastAsia="zh-CN"/>
              </w:rPr>
              <w:t>含量产品规定的除外，有行业排放标准的按其相关规定执行。</w:t>
            </w:r>
          </w:p>
          <w:p w14:paraId="2F6445D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shd w:val="clear" w:color="auto" w:fill="auto"/>
                <w:lang w:val="en-US" w:eastAsia="zh-CN"/>
              </w:rPr>
            </w:pPr>
            <w:r>
              <w:rPr>
                <w:rFonts w:hint="default" w:ascii="Times New Roman" w:hAnsi="Times New Roman" w:cs="Times New Roman"/>
                <w:color w:val="auto"/>
                <w:sz w:val="24"/>
                <w:szCs w:val="24"/>
                <w:highlight w:val="none"/>
                <w:shd w:val="clear" w:color="auto" w:fill="auto"/>
                <w:lang w:val="en-US" w:eastAsia="zh-CN"/>
              </w:rPr>
              <w:t>项目</w:t>
            </w:r>
            <w:r>
              <w:rPr>
                <w:rFonts w:hint="eastAsia" w:cs="Times New Roman"/>
                <w:color w:val="auto"/>
                <w:sz w:val="24"/>
                <w:szCs w:val="24"/>
                <w:highlight w:val="none"/>
                <w:shd w:val="clear" w:color="auto" w:fill="auto"/>
                <w:lang w:val="en-US" w:eastAsia="zh-CN"/>
              </w:rPr>
              <w:t>VOCs属于</w:t>
            </w:r>
            <w:r>
              <w:rPr>
                <w:rFonts w:hint="default" w:ascii="Times New Roman" w:hAnsi="Times New Roman" w:cs="Times New Roman"/>
                <w:color w:val="auto"/>
                <w:sz w:val="24"/>
                <w:szCs w:val="24"/>
                <w:highlight w:val="none"/>
                <w:u w:val="none"/>
                <w:shd w:val="clear" w:color="auto" w:fill="auto"/>
                <w:lang w:val="en-US" w:eastAsia="zh-CN"/>
              </w:rPr>
              <w:t>低浓度废气</w:t>
            </w:r>
            <w:r>
              <w:rPr>
                <w:rFonts w:hint="eastAsia" w:ascii="Times New Roman" w:hAnsi="Times New Roman" w:cs="Times New Roman"/>
                <w:color w:val="auto"/>
                <w:sz w:val="24"/>
                <w:szCs w:val="24"/>
                <w:highlight w:val="none"/>
                <w:u w:val="none"/>
                <w:shd w:val="clear" w:color="auto" w:fill="auto"/>
                <w:lang w:val="en-US" w:eastAsia="zh-CN"/>
              </w:rPr>
              <w:t>，</w:t>
            </w:r>
            <w:r>
              <w:rPr>
                <w:rFonts w:hint="default" w:ascii="Times New Roman" w:hAnsi="Times New Roman" w:eastAsia="宋体" w:cs="Times New Roman"/>
                <w:color w:val="auto"/>
                <w:sz w:val="24"/>
                <w:szCs w:val="24"/>
                <w:highlight w:val="none"/>
                <w:u w:val="none"/>
                <w:shd w:val="clear" w:color="auto" w:fill="auto"/>
                <w:lang w:val="en-US" w:eastAsia="zh-CN"/>
              </w:rPr>
              <w:t>采</w:t>
            </w:r>
            <w:r>
              <w:rPr>
                <w:rFonts w:hint="default" w:ascii="Times New Roman" w:hAnsi="Times New Roman" w:eastAsia="宋体" w:cs="Times New Roman"/>
                <w:color w:val="auto"/>
                <w:sz w:val="24"/>
                <w:szCs w:val="24"/>
                <w:highlight w:val="none"/>
                <w:shd w:val="clear" w:color="auto" w:fill="auto"/>
                <w:lang w:val="en-US" w:eastAsia="zh-CN"/>
              </w:rPr>
              <w:t>用</w:t>
            </w:r>
            <w:r>
              <w:rPr>
                <w:rFonts w:hint="eastAsia" w:ascii="Times New Roman" w:hAnsi="Times New Roman" w:eastAsia="宋体" w:cs="Times New Roman"/>
                <w:color w:val="auto"/>
                <w:sz w:val="24"/>
                <w:szCs w:val="24"/>
                <w:highlight w:val="none"/>
                <w:shd w:val="clear" w:color="auto" w:fill="auto"/>
                <w:lang w:val="en-US" w:eastAsia="zh-CN"/>
              </w:rPr>
              <w:t>活性炭吸附装置处理，</w:t>
            </w:r>
            <w:r>
              <w:rPr>
                <w:rFonts w:hint="default" w:ascii="Times New Roman" w:hAnsi="Times New Roman" w:eastAsia="宋体" w:cs="Times New Roman"/>
                <w:color w:val="auto"/>
                <w:sz w:val="24"/>
                <w:szCs w:val="24"/>
                <w:highlight w:val="none"/>
                <w:shd w:val="clear" w:color="auto" w:fill="auto"/>
                <w:lang w:val="en-US" w:eastAsia="zh-CN"/>
              </w:rPr>
              <w:t>去除效率可达</w:t>
            </w:r>
            <w:r>
              <w:rPr>
                <w:rFonts w:hint="eastAsia" w:cs="Times New Roman"/>
                <w:color w:val="auto"/>
                <w:sz w:val="24"/>
                <w:szCs w:val="24"/>
                <w:highlight w:val="none"/>
                <w:shd w:val="clear" w:color="auto" w:fill="auto"/>
                <w:lang w:val="en-US" w:eastAsia="zh-CN"/>
              </w:rPr>
              <w:t>30</w:t>
            </w:r>
            <w:r>
              <w:rPr>
                <w:rFonts w:hint="default" w:ascii="Times New Roman" w:hAnsi="Times New Roman" w:eastAsia="宋体" w:cs="Times New Roman"/>
                <w:color w:val="auto"/>
                <w:sz w:val="24"/>
                <w:szCs w:val="24"/>
                <w:highlight w:val="none"/>
                <w:shd w:val="clear" w:color="auto" w:fill="auto"/>
                <w:lang w:val="en-US" w:eastAsia="zh-CN"/>
              </w:rPr>
              <w:t>%</w:t>
            </w:r>
            <w:r>
              <w:rPr>
                <w:rFonts w:hint="eastAsia" w:ascii="Times New Roman" w:hAnsi="Times New Roman" w:eastAsia="宋体" w:cs="Times New Roman"/>
                <w:color w:val="auto"/>
                <w:sz w:val="24"/>
                <w:szCs w:val="24"/>
                <w:highlight w:val="none"/>
                <w:shd w:val="clear" w:color="auto" w:fill="auto"/>
                <w:lang w:val="en-US" w:eastAsia="zh-CN"/>
              </w:rPr>
              <w:t>，</w:t>
            </w:r>
            <w:r>
              <w:rPr>
                <w:rFonts w:hint="eastAsia" w:ascii="Times New Roman" w:hAnsi="Times New Roman" w:cs="Times New Roman"/>
                <w:color w:val="auto"/>
                <w:sz w:val="24"/>
                <w:szCs w:val="24"/>
                <w:highlight w:val="none"/>
                <w:shd w:val="clear" w:color="auto" w:fill="auto"/>
                <w:lang w:val="en-US" w:eastAsia="zh-CN"/>
              </w:rPr>
              <w:t>VOCs</w:t>
            </w:r>
            <w:r>
              <w:rPr>
                <w:rFonts w:hint="eastAsia" w:cs="Times New Roman"/>
                <w:color w:val="auto"/>
                <w:sz w:val="24"/>
                <w:szCs w:val="24"/>
                <w:highlight w:val="none"/>
                <w:shd w:val="clear" w:color="auto" w:fill="auto"/>
                <w:lang w:val="en-US" w:eastAsia="zh-CN"/>
              </w:rPr>
              <w:t>初始</w:t>
            </w:r>
            <w:r>
              <w:rPr>
                <w:rFonts w:hint="eastAsia" w:ascii="Times New Roman" w:hAnsi="Times New Roman" w:cs="Times New Roman"/>
                <w:color w:val="auto"/>
                <w:sz w:val="24"/>
                <w:szCs w:val="24"/>
                <w:highlight w:val="none"/>
                <w:shd w:val="clear" w:color="auto" w:fill="auto"/>
                <w:lang w:val="en-US" w:eastAsia="zh-CN"/>
              </w:rPr>
              <w:t>排放效率</w:t>
            </w:r>
            <w:r>
              <w:rPr>
                <w:rFonts w:hint="eastAsia" w:cs="Times New Roman"/>
                <w:color w:val="auto"/>
                <w:sz w:val="24"/>
                <w:szCs w:val="24"/>
                <w:highlight w:val="none"/>
                <w:shd w:val="clear" w:color="auto" w:fill="auto"/>
                <w:lang w:val="en-US" w:eastAsia="zh-CN"/>
              </w:rPr>
              <w:t>0.187</w:t>
            </w:r>
            <w:r>
              <w:rPr>
                <w:rFonts w:hint="eastAsia" w:ascii="Times New Roman" w:hAnsi="Times New Roman" w:cs="Times New Roman"/>
                <w:color w:val="auto"/>
                <w:sz w:val="24"/>
                <w:szCs w:val="24"/>
                <w:highlight w:val="none"/>
                <w:shd w:val="clear" w:color="auto" w:fill="auto"/>
                <w:lang w:val="en-US" w:eastAsia="zh-CN"/>
              </w:rPr>
              <w:t>kg/h，</w:t>
            </w:r>
            <w:r>
              <w:rPr>
                <w:rFonts w:hint="eastAsia" w:cs="Times New Roman"/>
                <w:color w:val="auto"/>
                <w:sz w:val="24"/>
                <w:szCs w:val="24"/>
                <w:highlight w:val="none"/>
                <w:shd w:val="clear" w:color="auto" w:fill="auto"/>
                <w:lang w:val="en-US" w:eastAsia="zh-CN"/>
              </w:rPr>
              <w:t>无需</w:t>
            </w:r>
            <w:r>
              <w:rPr>
                <w:rFonts w:hint="default" w:ascii="Times New Roman" w:hAnsi="Times New Roman" w:eastAsia="宋体" w:cs="Times New Roman"/>
                <w:color w:val="auto"/>
                <w:sz w:val="24"/>
                <w:szCs w:val="24"/>
                <w:highlight w:val="none"/>
                <w:shd w:val="clear" w:color="auto" w:fill="auto"/>
                <w:lang w:val="en-US" w:eastAsia="zh-CN"/>
              </w:rPr>
              <w:t>实行重点排放源排放浓度与去除效率双重控制</w:t>
            </w:r>
            <w:r>
              <w:rPr>
                <w:rFonts w:hint="eastAsia" w:ascii="Times New Roman" w:hAnsi="Times New Roman" w:eastAsia="宋体" w:cs="Times New Roman"/>
                <w:color w:val="auto"/>
                <w:sz w:val="24"/>
                <w:szCs w:val="24"/>
                <w:highlight w:val="none"/>
                <w:shd w:val="clear" w:color="auto" w:fill="auto"/>
                <w:lang w:val="en-US" w:eastAsia="zh-CN"/>
              </w:rPr>
              <w:t>，</w:t>
            </w:r>
            <w:r>
              <w:rPr>
                <w:rFonts w:hint="default" w:ascii="Times New Roman" w:hAnsi="Times New Roman" w:eastAsia="宋体" w:cs="Times New Roman"/>
                <w:color w:val="auto"/>
                <w:sz w:val="24"/>
                <w:szCs w:val="24"/>
                <w:highlight w:val="none"/>
                <w:shd w:val="clear" w:color="auto" w:fill="auto"/>
                <w:lang w:val="en-US" w:eastAsia="zh-CN"/>
              </w:rPr>
              <w:t>与</w:t>
            </w:r>
            <w:r>
              <w:rPr>
                <w:rFonts w:hint="default" w:ascii="Times New Roman" w:hAnsi="Times New Roman" w:cs="Times New Roman"/>
                <w:color w:val="auto"/>
                <w:sz w:val="24"/>
                <w:szCs w:val="24"/>
                <w:highlight w:val="none"/>
                <w:shd w:val="clear" w:color="auto" w:fill="auto"/>
                <w:lang w:val="en-US" w:eastAsia="zh-CN"/>
              </w:rPr>
              <w:t>《重点行业挥发性有机物综合治理方案》（环大气</w:t>
            </w:r>
            <w:r>
              <w:rPr>
                <w:rFonts w:hint="eastAsia" w:cs="Times New Roman"/>
                <w:color w:val="auto"/>
                <w:sz w:val="24"/>
                <w:szCs w:val="24"/>
                <w:highlight w:val="none"/>
                <w:shd w:val="clear" w:color="auto" w:fill="auto"/>
                <w:lang w:val="en-US" w:eastAsia="zh-CN"/>
              </w:rPr>
              <w:t>〔2019〕53号</w:t>
            </w:r>
            <w:r>
              <w:rPr>
                <w:rFonts w:hint="default" w:ascii="Times New Roman" w:hAnsi="Times New Roman" w:cs="Times New Roman"/>
                <w:color w:val="auto"/>
                <w:sz w:val="24"/>
                <w:szCs w:val="24"/>
                <w:highlight w:val="none"/>
                <w:shd w:val="clear" w:color="auto" w:fill="auto"/>
                <w:lang w:val="en-US" w:eastAsia="zh-CN"/>
              </w:rPr>
              <w:t>）要求相符。</w:t>
            </w:r>
          </w:p>
          <w:p w14:paraId="20BE64CE">
            <w:pPr>
              <w:keepNext w:val="0"/>
              <w:keepLines w:val="0"/>
              <w:suppressLineNumbers w:val="0"/>
              <w:bidi w:val="0"/>
              <w:spacing w:before="0" w:beforeAutospacing="0" w:after="0" w:afterAutospacing="0"/>
              <w:ind w:left="0" w:right="0"/>
              <w:rPr>
                <w:rFonts w:hint="eastAsia"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5</w:t>
            </w:r>
            <w:r>
              <w:rPr>
                <w:rFonts w:hint="eastAsia" w:ascii="Times New Roman" w:hAnsi="Times New Roman" w:eastAsia="宋体" w:cs="Times New Roman"/>
                <w:b/>
                <w:bCs/>
                <w:color w:val="auto"/>
                <w:highlight w:val="none"/>
                <w:lang w:val="en-US" w:eastAsia="zh-CN"/>
              </w:rPr>
              <w:t>、与江西省生态环境厅关于印发江西省重点行业挥发性有机物综合治理方案的通知（赣环大气〔2019〕20号）相符性分析</w:t>
            </w:r>
          </w:p>
          <w:p w14:paraId="0ADC3F1C">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表1-7   与江西省重点行业挥发性有机物综合治理方案相符性分析</w:t>
            </w:r>
          </w:p>
          <w:tbl>
            <w:tblPr>
              <w:tblStyle w:val="33"/>
              <w:tblW w:w="4996"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619"/>
              <w:gridCol w:w="1994"/>
              <w:gridCol w:w="830"/>
            </w:tblGrid>
            <w:tr w14:paraId="036383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07" w:type="pct"/>
                  <w:tcBorders>
                    <w:tl2br w:val="nil"/>
                    <w:tr2bl w:val="nil"/>
                  </w:tcBorders>
                  <w:noWrap w:val="0"/>
                  <w:vAlign w:val="center"/>
                </w:tcPr>
                <w:p w14:paraId="123C5E15">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b/>
                      <w:bCs/>
                      <w:color w:val="auto"/>
                      <w:highlight w:val="none"/>
                    </w:rPr>
                  </w:pPr>
                  <w:r>
                    <w:rPr>
                      <w:rFonts w:hint="eastAsia"/>
                      <w:b/>
                      <w:bCs/>
                      <w:color w:val="auto"/>
                      <w:highlight w:val="none"/>
                    </w:rPr>
                    <w:t>内容</w:t>
                  </w:r>
                </w:p>
              </w:tc>
              <w:tc>
                <w:tcPr>
                  <w:tcW w:w="1547" w:type="pct"/>
                  <w:tcBorders>
                    <w:tl2br w:val="nil"/>
                    <w:tr2bl w:val="nil"/>
                  </w:tcBorders>
                  <w:noWrap w:val="0"/>
                  <w:vAlign w:val="center"/>
                </w:tcPr>
                <w:p w14:paraId="330120F0">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b/>
                      <w:bCs/>
                      <w:color w:val="auto"/>
                      <w:highlight w:val="none"/>
                    </w:rPr>
                  </w:pPr>
                  <w:r>
                    <w:rPr>
                      <w:rFonts w:hint="eastAsia"/>
                      <w:b/>
                      <w:bCs/>
                      <w:color w:val="auto"/>
                      <w:highlight w:val="none"/>
                    </w:rPr>
                    <w:t>本项目情况</w:t>
                  </w:r>
                </w:p>
              </w:tc>
              <w:tc>
                <w:tcPr>
                  <w:tcW w:w="644" w:type="pct"/>
                  <w:tcBorders>
                    <w:tl2br w:val="nil"/>
                    <w:tr2bl w:val="nil"/>
                  </w:tcBorders>
                  <w:noWrap w:val="0"/>
                  <w:vAlign w:val="center"/>
                </w:tcPr>
                <w:p w14:paraId="436EDA54">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eastAsia" w:eastAsia="宋体"/>
                      <w:b/>
                      <w:bCs/>
                      <w:color w:val="auto"/>
                      <w:highlight w:val="none"/>
                      <w:lang w:eastAsia="zh-CN"/>
                    </w:rPr>
                  </w:pPr>
                  <w:r>
                    <w:rPr>
                      <w:rFonts w:hint="default"/>
                      <w:b/>
                      <w:bCs/>
                      <w:color w:val="auto"/>
                      <w:highlight w:val="none"/>
                    </w:rPr>
                    <w:t>相符</w:t>
                  </w:r>
                  <w:r>
                    <w:rPr>
                      <w:rFonts w:hint="eastAsia"/>
                      <w:b/>
                      <w:bCs/>
                      <w:color w:val="auto"/>
                      <w:highlight w:val="none"/>
                      <w:lang w:val="en-US" w:eastAsia="zh-CN"/>
                    </w:rPr>
                    <w:t>情况</w:t>
                  </w:r>
                </w:p>
              </w:tc>
            </w:tr>
            <w:tr w14:paraId="0CB47B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07" w:type="pct"/>
                  <w:tcBorders>
                    <w:tl2br w:val="nil"/>
                    <w:tr2bl w:val="nil"/>
                  </w:tcBorders>
                  <w:noWrap w:val="0"/>
                  <w:vAlign w:val="center"/>
                </w:tcPr>
                <w:p w14:paraId="373D83E2">
                  <w:pPr>
                    <w:keepNext w:val="0"/>
                    <w:keepLines w:val="0"/>
                    <w:suppressLineNumbers w:val="0"/>
                    <w:adjustRightInd w:val="0"/>
                    <w:snapToGrid w:val="0"/>
                    <w:spacing w:before="0" w:beforeAutospacing="0" w:after="0" w:afterAutospacing="0" w:line="240" w:lineRule="auto"/>
                    <w:ind w:left="0" w:right="0" w:firstLine="0" w:firstLineChars="0"/>
                    <w:jc w:val="both"/>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大力推进</w:t>
                  </w:r>
                  <w:r>
                    <w:rPr>
                      <w:rFonts w:hint="eastAsia" w:ascii="Times New Roman" w:hAnsi="Times New Roman" w:eastAsia="宋体" w:cs="Times New Roman"/>
                      <w:color w:val="auto"/>
                      <w:sz w:val="21"/>
                      <w:szCs w:val="21"/>
                      <w:highlight w:val="none"/>
                      <w:lang w:val="en-US" w:eastAsia="zh-CN"/>
                    </w:rPr>
                    <w:t>源</w:t>
                  </w:r>
                  <w:r>
                    <w:rPr>
                      <w:rFonts w:hint="default" w:ascii="Times New Roman" w:hAnsi="Times New Roman" w:eastAsia="宋体" w:cs="Times New Roman"/>
                      <w:color w:val="auto"/>
                      <w:sz w:val="21"/>
                      <w:szCs w:val="21"/>
                      <w:highlight w:val="none"/>
                    </w:rPr>
                    <w:t>头控制。有机化工行业要推广使用低（无）VOCs含量、低反应活性的原</w:t>
                  </w:r>
                  <w:r>
                    <w:rPr>
                      <w:rFonts w:hint="eastAsia" w:ascii="Times New Roman" w:hAnsi="Times New Roman" w:eastAsia="宋体" w:cs="Times New Roman"/>
                      <w:color w:val="auto"/>
                      <w:sz w:val="21"/>
                      <w:szCs w:val="21"/>
                      <w:highlight w:val="none"/>
                      <w:lang w:val="en-US" w:eastAsia="zh-CN"/>
                    </w:rPr>
                    <w:t>辅</w:t>
                  </w:r>
                  <w:r>
                    <w:rPr>
                      <w:rFonts w:hint="default" w:ascii="Times New Roman" w:hAnsi="Times New Roman" w:eastAsia="宋体" w:cs="Times New Roman"/>
                      <w:color w:val="auto"/>
                      <w:sz w:val="21"/>
                      <w:szCs w:val="21"/>
                      <w:highlight w:val="none"/>
                    </w:rPr>
                    <w:t>材料，加快对芳香烃、含卤素有机化合物的绿色替代</w:t>
                  </w:r>
                  <w:r>
                    <w:rPr>
                      <w:rFonts w:hint="eastAsia" w:ascii="Times New Roman" w:hAnsi="Times New Roman" w:eastAsia="宋体" w:cs="Times New Roman"/>
                      <w:color w:val="auto"/>
                      <w:sz w:val="21"/>
                      <w:szCs w:val="21"/>
                      <w:highlight w:val="none"/>
                      <w:lang w:eastAsia="zh-CN"/>
                    </w:rPr>
                    <w:t>。</w:t>
                  </w:r>
                </w:p>
              </w:tc>
              <w:tc>
                <w:tcPr>
                  <w:tcW w:w="1547" w:type="pct"/>
                  <w:tcBorders>
                    <w:tl2br w:val="nil"/>
                    <w:tr2bl w:val="nil"/>
                  </w:tcBorders>
                  <w:noWrap w:val="0"/>
                  <w:vAlign w:val="center"/>
                </w:tcPr>
                <w:p w14:paraId="2EFCFB20">
                  <w:pPr>
                    <w:keepNext w:val="0"/>
                    <w:keepLines w:val="0"/>
                    <w:suppressLineNumbers w:val="0"/>
                    <w:adjustRightInd w:val="0"/>
                    <w:snapToGrid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本项目</w:t>
                  </w:r>
                  <w:r>
                    <w:rPr>
                      <w:rFonts w:hint="eastAsia" w:cs="Times New Roman"/>
                      <w:color w:val="auto"/>
                      <w:sz w:val="21"/>
                      <w:szCs w:val="21"/>
                      <w:highlight w:val="none"/>
                      <w:lang w:val="en-US" w:eastAsia="zh-CN"/>
                    </w:rPr>
                    <w:t>使用的原辅料为</w:t>
                  </w:r>
                  <w:r>
                    <w:rPr>
                      <w:rFonts w:hint="default" w:ascii="Times New Roman" w:hAnsi="Times New Roman" w:eastAsia="宋体" w:cs="Times New Roman"/>
                      <w:color w:val="auto"/>
                      <w:sz w:val="21"/>
                      <w:szCs w:val="21"/>
                      <w:highlight w:val="none"/>
                    </w:rPr>
                    <w:t>低VOCs含量</w:t>
                  </w:r>
                  <w:r>
                    <w:rPr>
                      <w:rFonts w:hint="eastAsia" w:cs="Times New Roman"/>
                      <w:color w:val="auto"/>
                      <w:sz w:val="21"/>
                      <w:szCs w:val="21"/>
                      <w:highlight w:val="none"/>
                      <w:lang w:val="en-US" w:eastAsia="zh-CN"/>
                    </w:rPr>
                    <w:t>原料</w:t>
                  </w:r>
                  <w:r>
                    <w:rPr>
                      <w:rFonts w:hint="eastAsia" w:ascii="Times New Roman" w:hAnsi="Times New Roman" w:eastAsia="宋体" w:cs="Times New Roman"/>
                      <w:color w:val="auto"/>
                      <w:sz w:val="21"/>
                      <w:szCs w:val="21"/>
                      <w:highlight w:val="none"/>
                      <w:lang w:eastAsia="zh-CN"/>
                    </w:rPr>
                    <w:t>。</w:t>
                  </w:r>
                </w:p>
              </w:tc>
              <w:tc>
                <w:tcPr>
                  <w:tcW w:w="644" w:type="pct"/>
                  <w:tcBorders>
                    <w:tl2br w:val="nil"/>
                    <w:tr2bl w:val="nil"/>
                  </w:tcBorders>
                  <w:noWrap w:val="0"/>
                  <w:vAlign w:val="center"/>
                </w:tcPr>
                <w:p w14:paraId="5162C7A7">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color w:val="auto"/>
                      <w:highlight w:val="none"/>
                    </w:rPr>
                  </w:pPr>
                  <w:r>
                    <w:rPr>
                      <w:rFonts w:hint="eastAsia"/>
                      <w:color w:val="auto"/>
                      <w:highlight w:val="none"/>
                    </w:rPr>
                    <w:t>符合</w:t>
                  </w:r>
                </w:p>
              </w:tc>
            </w:tr>
            <w:tr w14:paraId="01752F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07" w:type="pct"/>
                  <w:tcBorders>
                    <w:tl2br w:val="nil"/>
                    <w:tr2bl w:val="nil"/>
                  </w:tcBorders>
                  <w:noWrap w:val="0"/>
                  <w:vAlign w:val="center"/>
                </w:tcPr>
                <w:p w14:paraId="47D1BC32">
                  <w:pPr>
                    <w:keepNext w:val="0"/>
                    <w:keepLines w:val="0"/>
                    <w:suppressLineNumbers w:val="0"/>
                    <w:adjustRightInd w:val="0"/>
                    <w:snapToGrid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全面</w:t>
                  </w:r>
                  <w:r>
                    <w:rPr>
                      <w:rFonts w:hint="eastAsia" w:ascii="Times New Roman" w:hAnsi="Times New Roman" w:eastAsia="宋体" w:cs="Times New Roman"/>
                      <w:color w:val="auto"/>
                      <w:sz w:val="21"/>
                      <w:szCs w:val="21"/>
                      <w:highlight w:val="none"/>
                      <w:lang w:val="en-US" w:eastAsia="zh-CN"/>
                    </w:rPr>
                    <w:t>加</w:t>
                  </w:r>
                  <w:r>
                    <w:rPr>
                      <w:rFonts w:hint="default" w:ascii="Times New Roman" w:hAnsi="Times New Roman" w:eastAsia="宋体" w:cs="Times New Roman"/>
                      <w:color w:val="auto"/>
                      <w:sz w:val="21"/>
                      <w:szCs w:val="21"/>
                      <w:highlight w:val="none"/>
                    </w:rPr>
                    <w:t>强无组织排放控制。重点对含VOCs物料（包括含VOCs原辅材料、含VOCs产品、含VOCs废料以及有机聚合物材料等</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储存、转移和输送</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设备与管线组件滑漏、</w:t>
                  </w:r>
                  <w:r>
                    <w:rPr>
                      <w:rFonts w:hint="eastAsia" w:cs="Times New Roman"/>
                      <w:color w:val="auto"/>
                      <w:sz w:val="21"/>
                      <w:szCs w:val="21"/>
                      <w:highlight w:val="none"/>
                      <w:lang w:val="en-US" w:eastAsia="zh-CN"/>
                    </w:rPr>
                    <w:t>敞</w:t>
                  </w:r>
                  <w:r>
                    <w:rPr>
                      <w:rFonts w:hint="default" w:ascii="Times New Roman" w:hAnsi="Times New Roman" w:eastAsia="宋体" w:cs="Times New Roman"/>
                      <w:color w:val="auto"/>
                      <w:sz w:val="21"/>
                      <w:szCs w:val="21"/>
                      <w:highlight w:val="none"/>
                    </w:rPr>
                    <w:t>开液面逸散以及工艺过程等五类排放源实施管控，通过采取设备与场所密闭、工艺改进、废气有效收集等措施，削减VOCs无组织排放。</w:t>
                  </w:r>
                </w:p>
              </w:tc>
              <w:tc>
                <w:tcPr>
                  <w:tcW w:w="1547" w:type="pct"/>
                  <w:tcBorders>
                    <w:tl2br w:val="nil"/>
                    <w:tr2bl w:val="nil"/>
                  </w:tcBorders>
                  <w:noWrap w:val="0"/>
                  <w:vAlign w:val="center"/>
                </w:tcPr>
                <w:p w14:paraId="5796121F">
                  <w:pPr>
                    <w:keepNext w:val="0"/>
                    <w:keepLines w:val="0"/>
                    <w:suppressLineNumbers w:val="0"/>
                    <w:adjustRightInd w:val="0"/>
                    <w:snapToGrid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本项目</w:t>
                  </w:r>
                  <w:r>
                    <w:rPr>
                      <w:rFonts w:hint="eastAsia" w:cs="Times New Roman"/>
                      <w:color w:val="auto"/>
                      <w:sz w:val="21"/>
                      <w:szCs w:val="21"/>
                      <w:highlight w:val="none"/>
                      <w:lang w:val="en-US" w:eastAsia="zh-CN"/>
                    </w:rPr>
                    <w:t>使用的原辅料为</w:t>
                  </w:r>
                  <w:r>
                    <w:rPr>
                      <w:rFonts w:hint="default" w:ascii="Times New Roman" w:hAnsi="Times New Roman" w:eastAsia="宋体" w:cs="Times New Roman"/>
                      <w:color w:val="auto"/>
                      <w:sz w:val="21"/>
                      <w:szCs w:val="21"/>
                      <w:highlight w:val="none"/>
                    </w:rPr>
                    <w:t>低VOCs含量</w:t>
                  </w:r>
                  <w:r>
                    <w:rPr>
                      <w:rFonts w:hint="eastAsia" w:cs="Times New Roman"/>
                      <w:color w:val="auto"/>
                      <w:sz w:val="21"/>
                      <w:szCs w:val="21"/>
                      <w:highlight w:val="none"/>
                      <w:lang w:val="en-US" w:eastAsia="zh-CN"/>
                    </w:rPr>
                    <w:t>原料</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为固份组分，经袋装密闭储存，管道输送</w:t>
                  </w:r>
                  <w:r>
                    <w:rPr>
                      <w:rFonts w:hint="default" w:ascii="Times New Roman" w:hAnsi="Times New Roman" w:eastAsia="宋体" w:cs="Times New Roman"/>
                      <w:color w:val="auto"/>
                      <w:sz w:val="21"/>
                      <w:szCs w:val="21"/>
                      <w:highlight w:val="none"/>
                    </w:rPr>
                    <w:t>；本项目</w:t>
                  </w:r>
                  <w:r>
                    <w:rPr>
                      <w:rFonts w:hint="eastAsia" w:cs="Times New Roman"/>
                      <w:color w:val="auto"/>
                      <w:sz w:val="21"/>
                      <w:szCs w:val="21"/>
                      <w:highlight w:val="none"/>
                      <w:lang w:val="en-US" w:eastAsia="zh-CN"/>
                    </w:rPr>
                    <w:t>烘干、挤出工序通过采取设备</w:t>
                  </w:r>
                  <w:r>
                    <w:rPr>
                      <w:rFonts w:hint="default" w:ascii="Times New Roman" w:hAnsi="Times New Roman" w:eastAsia="宋体" w:cs="Times New Roman"/>
                      <w:color w:val="auto"/>
                      <w:sz w:val="21"/>
                      <w:szCs w:val="21"/>
                      <w:highlight w:val="none"/>
                    </w:rPr>
                    <w:t>密闭、废气有效收集等措施，削减VOCs无组织排放</w:t>
                  </w:r>
                  <w:r>
                    <w:rPr>
                      <w:rFonts w:hint="eastAsia" w:ascii="Times New Roman" w:hAnsi="Times New Roman" w:eastAsia="宋体" w:cs="Times New Roman"/>
                      <w:color w:val="auto"/>
                      <w:sz w:val="21"/>
                      <w:szCs w:val="21"/>
                      <w:highlight w:val="none"/>
                      <w:lang w:eastAsia="zh-CN"/>
                    </w:rPr>
                    <w:t>。</w:t>
                  </w:r>
                </w:p>
              </w:tc>
              <w:tc>
                <w:tcPr>
                  <w:tcW w:w="644" w:type="pct"/>
                  <w:tcBorders>
                    <w:tl2br w:val="nil"/>
                    <w:tr2bl w:val="nil"/>
                  </w:tcBorders>
                  <w:noWrap w:val="0"/>
                  <w:vAlign w:val="center"/>
                </w:tcPr>
                <w:p w14:paraId="0ABB90B4">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eastAsia"/>
                      <w:color w:val="auto"/>
                      <w:highlight w:val="none"/>
                    </w:rPr>
                  </w:pPr>
                  <w:r>
                    <w:rPr>
                      <w:rFonts w:hint="eastAsia"/>
                      <w:color w:val="auto"/>
                      <w:highlight w:val="none"/>
                    </w:rPr>
                    <w:t>符合</w:t>
                  </w:r>
                </w:p>
              </w:tc>
            </w:tr>
            <w:tr w14:paraId="263F78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07" w:type="pct"/>
                  <w:tcBorders>
                    <w:tl2br w:val="nil"/>
                    <w:tr2bl w:val="nil"/>
                  </w:tcBorders>
                  <w:noWrap w:val="0"/>
                  <w:vAlign w:val="center"/>
                </w:tcPr>
                <w:p w14:paraId="04C2A6B9">
                  <w:pPr>
                    <w:keepNext w:val="0"/>
                    <w:keepLines w:val="0"/>
                    <w:suppressLineNumbers w:val="0"/>
                    <w:adjustRightInd w:val="0"/>
                    <w:snapToGrid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推进建设适宜高效的治污设施。推进企业新建治污设施或现有治污设施改造，对生产过程中通过排气筒所排放的有组织VOCs废气，应根据生产废气的产生量、污染物的组分和性质、温度、压力等因素进行综合分析后选择适宜的工艺路线进行治理。在不影响企业正常生产的前提下，要求治理设备必须同时设置前置采样口和后置采样口，企业不得以未设置采样口为由逃避监测。</w:t>
                  </w:r>
                </w:p>
              </w:tc>
              <w:tc>
                <w:tcPr>
                  <w:tcW w:w="1547" w:type="pct"/>
                  <w:tcBorders>
                    <w:tl2br w:val="nil"/>
                    <w:tr2bl w:val="nil"/>
                  </w:tcBorders>
                  <w:noWrap w:val="0"/>
                  <w:vAlign w:val="center"/>
                </w:tcPr>
                <w:p w14:paraId="350A3006">
                  <w:pPr>
                    <w:keepNext w:val="0"/>
                    <w:keepLines w:val="0"/>
                    <w:suppressLineNumbers w:val="0"/>
                    <w:adjustRightInd w:val="0"/>
                    <w:snapToGrid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本项目</w:t>
                  </w:r>
                  <w:r>
                    <w:rPr>
                      <w:rFonts w:hint="eastAsia" w:cs="Times New Roman"/>
                      <w:color w:val="auto"/>
                      <w:sz w:val="21"/>
                      <w:szCs w:val="21"/>
                      <w:highlight w:val="none"/>
                      <w:lang w:val="en-US" w:eastAsia="zh-CN"/>
                    </w:rPr>
                    <w:t>设置</w:t>
                  </w:r>
                  <w:r>
                    <w:rPr>
                      <w:rFonts w:hint="eastAsia" w:ascii="Times New Roman" w:hAnsi="Times New Roman" w:eastAsia="宋体" w:cs="Times New Roman"/>
                      <w:color w:val="auto"/>
                      <w:sz w:val="21"/>
                      <w:szCs w:val="21"/>
                      <w:highlight w:val="none"/>
                      <w:lang w:val="en-US" w:eastAsia="zh-CN"/>
                    </w:rPr>
                    <w:t>活性炭吸附装置</w:t>
                  </w:r>
                  <w:r>
                    <w:rPr>
                      <w:rFonts w:hint="eastAsia" w:ascii="Times New Roman" w:hAnsi="Times New Roman" w:eastAsia="宋体" w:cs="Times New Roman"/>
                      <w:color w:val="auto"/>
                      <w:sz w:val="21"/>
                      <w:szCs w:val="21"/>
                      <w:highlight w:val="none"/>
                      <w:lang w:eastAsia="zh-CN"/>
                    </w:rPr>
                    <w:t>；</w:t>
                  </w:r>
                  <w:r>
                    <w:rPr>
                      <w:rFonts w:hint="eastAsia" w:cs="Times New Roman"/>
                      <w:color w:val="auto"/>
                      <w:sz w:val="21"/>
                      <w:szCs w:val="21"/>
                      <w:highlight w:val="none"/>
                      <w:lang w:val="en-US" w:eastAsia="zh-CN"/>
                    </w:rPr>
                    <w:t>在</w:t>
                  </w:r>
                  <w:r>
                    <w:rPr>
                      <w:rFonts w:hint="default" w:ascii="Times New Roman" w:hAnsi="Times New Roman" w:eastAsia="宋体" w:cs="Times New Roman"/>
                      <w:color w:val="auto"/>
                      <w:sz w:val="21"/>
                      <w:szCs w:val="21"/>
                      <w:highlight w:val="none"/>
                    </w:rPr>
                    <w:t>不影响正常生产的前提下，本项目要求治理设备同时设置前置采样口和后置采样口</w:t>
                  </w:r>
                  <w:r>
                    <w:rPr>
                      <w:rFonts w:hint="eastAsia" w:ascii="Times New Roman" w:hAnsi="Times New Roman" w:eastAsia="宋体" w:cs="Times New Roman"/>
                      <w:color w:val="auto"/>
                      <w:sz w:val="21"/>
                      <w:szCs w:val="21"/>
                      <w:highlight w:val="none"/>
                      <w:lang w:eastAsia="zh-CN"/>
                    </w:rPr>
                    <w:t>。</w:t>
                  </w:r>
                </w:p>
              </w:tc>
              <w:tc>
                <w:tcPr>
                  <w:tcW w:w="644" w:type="pct"/>
                  <w:tcBorders>
                    <w:tl2br w:val="nil"/>
                    <w:tr2bl w:val="nil"/>
                  </w:tcBorders>
                  <w:noWrap w:val="0"/>
                  <w:vAlign w:val="center"/>
                </w:tcPr>
                <w:p w14:paraId="5B3671AC">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eastAsia"/>
                      <w:color w:val="auto"/>
                      <w:highlight w:val="none"/>
                    </w:rPr>
                  </w:pPr>
                  <w:r>
                    <w:rPr>
                      <w:rFonts w:hint="eastAsia"/>
                      <w:color w:val="auto"/>
                      <w:highlight w:val="none"/>
                    </w:rPr>
                    <w:t>符合</w:t>
                  </w:r>
                </w:p>
              </w:tc>
            </w:tr>
          </w:tbl>
          <w:p w14:paraId="05D9443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48" w:lineRule="auto"/>
              <w:ind w:left="0" w:right="0" w:firstLine="480" w:firstLineChars="200"/>
              <w:jc w:val="both"/>
              <w:textAlignment w:val="auto"/>
              <w:outlineLvl w:val="9"/>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cs="Times New Roman"/>
                <w:b w:val="0"/>
                <w:color w:val="auto"/>
                <w:kern w:val="2"/>
                <w:sz w:val="24"/>
                <w:szCs w:val="24"/>
                <w:highlight w:val="none"/>
                <w:lang w:val="en-US" w:eastAsia="zh-CN" w:bidi="ar-SA"/>
              </w:rPr>
              <w:t>由表1-7可知，本项目与江西省生态环境厅关于印发江西省重点行业挥发性有机物综合治理方案的通知（赣环大气〔2019〕20号）要求相符。</w:t>
            </w:r>
          </w:p>
          <w:p w14:paraId="6F50E591">
            <w:pPr>
              <w:keepNext w:val="0"/>
              <w:keepLines w:val="0"/>
              <w:suppressLineNumbers w:val="0"/>
              <w:bidi w:val="0"/>
              <w:spacing w:before="0" w:beforeAutospacing="0" w:after="0" w:afterAutospacing="0"/>
              <w:ind w:left="0" w:right="0"/>
              <w:rPr>
                <w:rFonts w:hint="default"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6</w:t>
            </w:r>
            <w:r>
              <w:rPr>
                <w:rFonts w:hint="eastAsia" w:ascii="Times New Roman" w:hAnsi="Times New Roman" w:eastAsia="宋体" w:cs="Times New Roman"/>
                <w:b/>
                <w:bCs/>
                <w:color w:val="auto"/>
                <w:highlight w:val="none"/>
                <w:lang w:val="en-US" w:eastAsia="zh-CN"/>
              </w:rPr>
              <w:t>、</w:t>
            </w:r>
            <w:r>
              <w:rPr>
                <w:rFonts w:hint="default" w:ascii="Times New Roman" w:hAnsi="Times New Roman" w:eastAsia="宋体" w:cs="Times New Roman"/>
                <w:b/>
                <w:bCs/>
                <w:color w:val="auto"/>
                <w:highlight w:val="none"/>
                <w:lang w:val="en-US" w:eastAsia="zh-CN"/>
              </w:rPr>
              <w:t>与《挥发性有机物无组织排放控制标准》（GB37822-2019）相符性分析</w:t>
            </w:r>
          </w:p>
          <w:p w14:paraId="1D0E54DC">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表1-8   与</w:t>
            </w:r>
            <w:r>
              <w:rPr>
                <w:rFonts w:hint="default" w:ascii="Times New Roman" w:hAnsi="Times New Roman" w:eastAsia="宋体" w:cs="Times New Roman"/>
                <w:b/>
                <w:bCs/>
                <w:color w:val="auto"/>
                <w:highlight w:val="none"/>
                <w:lang w:val="en-US" w:eastAsia="zh-CN"/>
              </w:rPr>
              <w:t>挥发性有机物无组织排放控制标准</w:t>
            </w:r>
            <w:r>
              <w:rPr>
                <w:rFonts w:hint="eastAsia" w:ascii="Times New Roman" w:hAnsi="Times New Roman" w:eastAsia="宋体" w:cs="Times New Roman"/>
                <w:b/>
                <w:bCs/>
                <w:color w:val="auto"/>
                <w:highlight w:val="none"/>
                <w:lang w:val="en-US" w:eastAsia="zh-CN"/>
              </w:rPr>
              <w:t>相符性分析</w:t>
            </w:r>
          </w:p>
          <w:tbl>
            <w:tblPr>
              <w:tblStyle w:val="33"/>
              <w:tblW w:w="4996"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581"/>
              <w:gridCol w:w="2032"/>
              <w:gridCol w:w="830"/>
            </w:tblGrid>
            <w:tr w14:paraId="03BF5E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78" w:type="pct"/>
                  <w:tcBorders>
                    <w:tl2br w:val="nil"/>
                    <w:tr2bl w:val="nil"/>
                  </w:tcBorders>
                  <w:noWrap w:val="0"/>
                  <w:vAlign w:val="center"/>
                </w:tcPr>
                <w:p w14:paraId="5D998F0E">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b/>
                      <w:bCs/>
                      <w:color w:val="auto"/>
                      <w:highlight w:val="none"/>
                    </w:rPr>
                  </w:pPr>
                  <w:r>
                    <w:rPr>
                      <w:rFonts w:hint="eastAsia"/>
                      <w:b/>
                      <w:bCs/>
                      <w:color w:val="auto"/>
                      <w:highlight w:val="none"/>
                    </w:rPr>
                    <w:t>内容</w:t>
                  </w:r>
                </w:p>
              </w:tc>
              <w:tc>
                <w:tcPr>
                  <w:tcW w:w="1576" w:type="pct"/>
                  <w:tcBorders>
                    <w:tl2br w:val="nil"/>
                    <w:tr2bl w:val="nil"/>
                  </w:tcBorders>
                  <w:noWrap w:val="0"/>
                  <w:vAlign w:val="center"/>
                </w:tcPr>
                <w:p w14:paraId="0183DA1A">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b/>
                      <w:bCs/>
                      <w:color w:val="auto"/>
                      <w:highlight w:val="none"/>
                    </w:rPr>
                  </w:pPr>
                  <w:r>
                    <w:rPr>
                      <w:rFonts w:hint="eastAsia"/>
                      <w:b/>
                      <w:bCs/>
                      <w:color w:val="auto"/>
                      <w:highlight w:val="none"/>
                    </w:rPr>
                    <w:t>本项目情况</w:t>
                  </w:r>
                </w:p>
              </w:tc>
              <w:tc>
                <w:tcPr>
                  <w:tcW w:w="644" w:type="pct"/>
                  <w:tcBorders>
                    <w:tl2br w:val="nil"/>
                    <w:tr2bl w:val="nil"/>
                  </w:tcBorders>
                  <w:noWrap w:val="0"/>
                  <w:vAlign w:val="center"/>
                </w:tcPr>
                <w:p w14:paraId="49F3FDE0">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eastAsia" w:eastAsia="宋体"/>
                      <w:b/>
                      <w:bCs/>
                      <w:color w:val="auto"/>
                      <w:highlight w:val="none"/>
                      <w:lang w:eastAsia="zh-CN"/>
                    </w:rPr>
                  </w:pPr>
                  <w:r>
                    <w:rPr>
                      <w:rFonts w:hint="default"/>
                      <w:b/>
                      <w:bCs/>
                      <w:color w:val="auto"/>
                      <w:highlight w:val="none"/>
                    </w:rPr>
                    <w:t>相符</w:t>
                  </w:r>
                  <w:r>
                    <w:rPr>
                      <w:rFonts w:hint="eastAsia"/>
                      <w:b/>
                      <w:bCs/>
                      <w:color w:val="auto"/>
                      <w:highlight w:val="none"/>
                      <w:lang w:val="en-US" w:eastAsia="zh-CN"/>
                    </w:rPr>
                    <w:t>情况</w:t>
                  </w:r>
                </w:p>
              </w:tc>
            </w:tr>
            <w:tr w14:paraId="31633F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78" w:type="pct"/>
                  <w:tcBorders>
                    <w:tl2br w:val="nil"/>
                    <w:tr2bl w:val="nil"/>
                  </w:tcBorders>
                  <w:noWrap w:val="0"/>
                  <w:vAlign w:val="center"/>
                </w:tcPr>
                <w:p w14:paraId="036F982A">
                  <w:pPr>
                    <w:keepNext w:val="0"/>
                    <w:keepLines w:val="0"/>
                    <w:suppressLineNumbers w:val="0"/>
                    <w:adjustRightInd w:val="0"/>
                    <w:snapToGrid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1、VOCs物料应储存于密闭的容器、包装袋、储罐、储库、料仓中。</w:t>
                  </w:r>
                </w:p>
                <w:p w14:paraId="6B1BE741">
                  <w:pPr>
                    <w:keepNext w:val="0"/>
                    <w:keepLines w:val="0"/>
                    <w:suppressLineNumbers w:val="0"/>
                    <w:adjustRightInd w:val="0"/>
                    <w:snapToGrid w:val="0"/>
                    <w:spacing w:before="0" w:beforeAutospacing="0" w:after="0" w:afterAutospacing="0" w:line="240" w:lineRule="auto"/>
                    <w:ind w:left="0" w:right="0" w:firstLine="0" w:firstLineChars="0"/>
                    <w:jc w:val="both"/>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2、盛装VOCs物料的容器或包装袋应存放于室内，或存放于设置有雨棚、遮阳和防渗设施的专用场地。盛装VOCs物料的容器或包装袋在非取用状态时应加盖、封口，保持密闭。</w:t>
                  </w:r>
                </w:p>
              </w:tc>
              <w:tc>
                <w:tcPr>
                  <w:tcW w:w="1576" w:type="pct"/>
                  <w:tcBorders>
                    <w:tl2br w:val="nil"/>
                    <w:tr2bl w:val="nil"/>
                  </w:tcBorders>
                  <w:noWrap w:val="0"/>
                  <w:vAlign w:val="center"/>
                </w:tcPr>
                <w:p w14:paraId="591543A2">
                  <w:pPr>
                    <w:keepNext w:val="0"/>
                    <w:keepLines w:val="0"/>
                    <w:suppressLineNumbers w:val="0"/>
                    <w:adjustRightInd w:val="0"/>
                    <w:snapToGrid w:val="0"/>
                    <w:spacing w:before="0" w:beforeAutospacing="0" w:after="0" w:afterAutospacing="0" w:line="240" w:lineRule="auto"/>
                    <w:ind w:left="0" w:right="0" w:firstLine="0" w:firstLineChars="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本项目</w:t>
                  </w:r>
                  <w:r>
                    <w:rPr>
                      <w:rFonts w:hint="eastAsia" w:cs="Times New Roman"/>
                      <w:color w:val="auto"/>
                      <w:sz w:val="21"/>
                      <w:szCs w:val="21"/>
                      <w:highlight w:val="none"/>
                      <w:lang w:val="en-US" w:eastAsia="zh-CN"/>
                    </w:rPr>
                    <w:t>使用的原辅料为</w:t>
                  </w:r>
                  <w:r>
                    <w:rPr>
                      <w:rFonts w:hint="default" w:ascii="Times New Roman" w:hAnsi="Times New Roman" w:eastAsia="宋体" w:cs="Times New Roman"/>
                      <w:color w:val="auto"/>
                      <w:sz w:val="21"/>
                      <w:szCs w:val="21"/>
                      <w:highlight w:val="none"/>
                    </w:rPr>
                    <w:t>低VOCs含量</w:t>
                  </w:r>
                  <w:r>
                    <w:rPr>
                      <w:rFonts w:hint="eastAsia" w:cs="Times New Roman"/>
                      <w:color w:val="auto"/>
                      <w:sz w:val="21"/>
                      <w:szCs w:val="21"/>
                      <w:highlight w:val="none"/>
                      <w:lang w:val="en-US" w:eastAsia="zh-CN"/>
                    </w:rPr>
                    <w:t>原料，为固体组分，袋装存放于室内</w:t>
                  </w:r>
                  <w:r>
                    <w:rPr>
                      <w:rFonts w:hint="eastAsia" w:ascii="Times New Roman" w:hAnsi="Times New Roman" w:eastAsia="宋体" w:cs="Times New Roman"/>
                      <w:color w:val="auto"/>
                      <w:sz w:val="21"/>
                      <w:szCs w:val="21"/>
                      <w:highlight w:val="none"/>
                      <w:lang w:val="en-US" w:eastAsia="zh-CN"/>
                    </w:rPr>
                    <w:t>。</w:t>
                  </w:r>
                </w:p>
              </w:tc>
              <w:tc>
                <w:tcPr>
                  <w:tcW w:w="644" w:type="pct"/>
                  <w:tcBorders>
                    <w:tl2br w:val="nil"/>
                    <w:tr2bl w:val="nil"/>
                  </w:tcBorders>
                  <w:noWrap w:val="0"/>
                  <w:vAlign w:val="center"/>
                </w:tcPr>
                <w:p w14:paraId="014A1AE1">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color w:val="auto"/>
                      <w:highlight w:val="none"/>
                    </w:rPr>
                  </w:pPr>
                  <w:r>
                    <w:rPr>
                      <w:rFonts w:hint="eastAsia"/>
                      <w:color w:val="auto"/>
                      <w:highlight w:val="none"/>
                    </w:rPr>
                    <w:t>符合</w:t>
                  </w:r>
                </w:p>
              </w:tc>
            </w:tr>
            <w:tr w14:paraId="08AF10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78" w:type="pct"/>
                  <w:tcBorders>
                    <w:tl2br w:val="nil"/>
                    <w:tr2bl w:val="nil"/>
                  </w:tcBorders>
                  <w:noWrap w:val="0"/>
                  <w:vAlign w:val="center"/>
                </w:tcPr>
                <w:p w14:paraId="24FDFB3D">
                  <w:pPr>
                    <w:keepNext w:val="0"/>
                    <w:keepLines w:val="0"/>
                    <w:suppressLineNumbers w:val="0"/>
                    <w:adjustRightInd w:val="0"/>
                    <w:snapToGrid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1、</w:t>
                  </w:r>
                  <w:r>
                    <w:rPr>
                      <w:rFonts w:hint="eastAsia" w:ascii="Times New Roman" w:hAnsi="Times New Roman" w:eastAsia="宋体" w:cs="Times New Roman"/>
                      <w:color w:val="auto"/>
                      <w:sz w:val="21"/>
                      <w:szCs w:val="21"/>
                      <w:highlight w:val="none"/>
                    </w:rPr>
                    <w:t>液态VOCs物料应采用密闭管道输送。采用非管道输送方式转移液态VOCs物料时，应采用密闭容器、罐车。</w:t>
                  </w:r>
                </w:p>
                <w:p w14:paraId="6CFD331A">
                  <w:pPr>
                    <w:keepNext w:val="0"/>
                    <w:keepLines w:val="0"/>
                    <w:suppressLineNumbers w:val="0"/>
                    <w:adjustRightInd w:val="0"/>
                    <w:snapToGrid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2、</w:t>
                  </w:r>
                  <w:r>
                    <w:rPr>
                      <w:rFonts w:hint="eastAsia" w:ascii="Times New Roman" w:hAnsi="Times New Roman" w:eastAsia="宋体" w:cs="Times New Roman"/>
                      <w:color w:val="auto"/>
                      <w:sz w:val="21"/>
                      <w:szCs w:val="21"/>
                      <w:highlight w:val="none"/>
                    </w:rPr>
                    <w:t>粉状、粒状VOCs物料应采用气力输送设备、管状带式输送机、螺旋输送机等密闭输送方式，或者采用密闭的包装袋、容器或罐车进行物料转移。</w:t>
                  </w:r>
                </w:p>
              </w:tc>
              <w:tc>
                <w:tcPr>
                  <w:tcW w:w="1576" w:type="pct"/>
                  <w:tcBorders>
                    <w:tl2br w:val="nil"/>
                    <w:tr2bl w:val="nil"/>
                  </w:tcBorders>
                  <w:noWrap w:val="0"/>
                  <w:vAlign w:val="center"/>
                </w:tcPr>
                <w:p w14:paraId="569B8755">
                  <w:pPr>
                    <w:keepNext w:val="0"/>
                    <w:keepLines w:val="0"/>
                    <w:suppressLineNumbers w:val="0"/>
                    <w:adjustRightInd w:val="0"/>
                    <w:snapToGrid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本项目原料为粒状固体分，输送为</w:t>
                  </w:r>
                  <w:r>
                    <w:rPr>
                      <w:rFonts w:hint="eastAsia" w:ascii="Times New Roman" w:hAnsi="Times New Roman" w:cs="Times New Roman"/>
                      <w:color w:val="auto"/>
                      <w:sz w:val="21"/>
                      <w:szCs w:val="21"/>
                      <w:highlight w:val="none"/>
                      <w:lang w:val="en-US" w:eastAsia="zh-CN"/>
                    </w:rPr>
                    <w:t>管道输送</w:t>
                  </w:r>
                  <w:r>
                    <w:rPr>
                      <w:rFonts w:hint="eastAsia" w:ascii="Times New Roman" w:hAnsi="Times New Roman" w:cs="Times New Roman"/>
                      <w:color w:val="auto"/>
                      <w:sz w:val="21"/>
                      <w:szCs w:val="21"/>
                      <w:highlight w:val="none"/>
                      <w:lang w:eastAsia="zh-CN"/>
                    </w:rPr>
                    <w:t>，</w:t>
                  </w:r>
                  <w:r>
                    <w:rPr>
                      <w:rFonts w:hint="eastAsia" w:cs="Times New Roman"/>
                      <w:color w:val="auto"/>
                      <w:sz w:val="21"/>
                      <w:szCs w:val="21"/>
                      <w:highlight w:val="none"/>
                      <w:lang w:val="en-US" w:eastAsia="zh-CN"/>
                    </w:rPr>
                    <w:t>袋装密闭储存</w:t>
                  </w:r>
                  <w:r>
                    <w:rPr>
                      <w:rFonts w:hint="eastAsia" w:ascii="Times New Roman" w:hAnsi="Times New Roman" w:eastAsia="宋体" w:cs="Times New Roman"/>
                      <w:color w:val="auto"/>
                      <w:sz w:val="21"/>
                      <w:szCs w:val="21"/>
                      <w:highlight w:val="none"/>
                      <w:lang w:eastAsia="zh-CN"/>
                    </w:rPr>
                    <w:t>。</w:t>
                  </w:r>
                </w:p>
              </w:tc>
              <w:tc>
                <w:tcPr>
                  <w:tcW w:w="644" w:type="pct"/>
                  <w:tcBorders>
                    <w:tl2br w:val="nil"/>
                    <w:tr2bl w:val="nil"/>
                  </w:tcBorders>
                  <w:noWrap w:val="0"/>
                  <w:vAlign w:val="center"/>
                </w:tcPr>
                <w:p w14:paraId="39F54988">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eastAsia"/>
                      <w:color w:val="auto"/>
                      <w:highlight w:val="none"/>
                    </w:rPr>
                  </w:pPr>
                  <w:r>
                    <w:rPr>
                      <w:rFonts w:hint="eastAsia"/>
                      <w:color w:val="auto"/>
                      <w:highlight w:val="none"/>
                    </w:rPr>
                    <w:t>符合</w:t>
                  </w:r>
                </w:p>
              </w:tc>
            </w:tr>
            <w:tr w14:paraId="0669CD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78" w:type="pct"/>
                  <w:tcBorders>
                    <w:tl2br w:val="nil"/>
                    <w:tr2bl w:val="nil"/>
                  </w:tcBorders>
                  <w:noWrap w:val="0"/>
                  <w:vAlign w:val="center"/>
                </w:tcPr>
                <w:p w14:paraId="1EC8F2DB">
                  <w:pPr>
                    <w:keepNext w:val="0"/>
                    <w:keepLines w:val="0"/>
                    <w:suppressLineNumbers w:val="0"/>
                    <w:adjustRightInd w:val="0"/>
                    <w:snapToGrid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含VOCs产品的使用过程，VOCs质量占比大于等于10%的含VOCs产品，其使用过程应采用密闭设备或在密闭空间内操作，废气应排至VOCs废气收集处理系统；无法密闭的，应采取局部气体收集措施，废气应排至VOCs废气收集处理系统。含VOCs产品的使用过程包括但不限于以下作业：</w:t>
                  </w:r>
                </w:p>
                <w:p w14:paraId="1D243E65">
                  <w:pPr>
                    <w:keepNext w:val="0"/>
                    <w:keepLines w:val="0"/>
                    <w:suppressLineNumbers w:val="0"/>
                    <w:adjustRightInd w:val="0"/>
                    <w:snapToGrid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a）调配（混合、搅拌等）；</w:t>
                  </w:r>
                </w:p>
                <w:p w14:paraId="02410D72">
                  <w:pPr>
                    <w:keepNext w:val="0"/>
                    <w:keepLines w:val="0"/>
                    <w:suppressLineNumbers w:val="0"/>
                    <w:adjustRightInd w:val="0"/>
                    <w:snapToGrid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b）涂装（喷涂、浸涂、淋涂、辊涂、刷涂、涂布等）；</w:t>
                  </w:r>
                </w:p>
                <w:p w14:paraId="72703899">
                  <w:pPr>
                    <w:keepNext w:val="0"/>
                    <w:keepLines w:val="0"/>
                    <w:suppressLineNumbers w:val="0"/>
                    <w:adjustRightInd w:val="0"/>
                    <w:snapToGrid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c）印刷（平版、凸版、凹版、孔版等）；</w:t>
                  </w:r>
                </w:p>
                <w:p w14:paraId="4728F54B">
                  <w:pPr>
                    <w:keepNext w:val="0"/>
                    <w:keepLines w:val="0"/>
                    <w:suppressLineNumbers w:val="0"/>
                    <w:adjustRightInd w:val="0"/>
                    <w:snapToGrid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d）粘结（涂胶、热压、复合、贴合等）；</w:t>
                  </w:r>
                </w:p>
                <w:p w14:paraId="49814E47">
                  <w:pPr>
                    <w:keepNext w:val="0"/>
                    <w:keepLines w:val="0"/>
                    <w:suppressLineNumbers w:val="0"/>
                    <w:adjustRightInd w:val="0"/>
                    <w:snapToGrid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e）印染（染色、印花、定型等）；</w:t>
                  </w:r>
                </w:p>
                <w:p w14:paraId="0FE80C50">
                  <w:pPr>
                    <w:keepNext w:val="0"/>
                    <w:keepLines w:val="0"/>
                    <w:suppressLineNumbers w:val="0"/>
                    <w:adjustRightInd w:val="0"/>
                    <w:snapToGrid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f）干燥（烘干、风干、晾干等）；</w:t>
                  </w:r>
                </w:p>
                <w:p w14:paraId="78F871F9">
                  <w:pPr>
                    <w:keepNext w:val="0"/>
                    <w:keepLines w:val="0"/>
                    <w:suppressLineNumbers w:val="0"/>
                    <w:adjustRightInd w:val="0"/>
                    <w:snapToGrid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g）清洗（浸洗、喷洗、淋洗、冲洗、擦洗等）。</w:t>
                  </w:r>
                </w:p>
              </w:tc>
              <w:tc>
                <w:tcPr>
                  <w:tcW w:w="1576" w:type="pct"/>
                  <w:tcBorders>
                    <w:tl2br w:val="nil"/>
                    <w:tr2bl w:val="nil"/>
                  </w:tcBorders>
                  <w:noWrap w:val="0"/>
                  <w:vAlign w:val="center"/>
                </w:tcPr>
                <w:p w14:paraId="16C1D330">
                  <w:pPr>
                    <w:keepNext w:val="0"/>
                    <w:keepLines w:val="0"/>
                    <w:suppressLineNumbers w:val="0"/>
                    <w:adjustRightInd w:val="0"/>
                    <w:snapToGrid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本项目</w:t>
                  </w:r>
                  <w:r>
                    <w:rPr>
                      <w:rFonts w:hint="eastAsia" w:cs="Times New Roman"/>
                      <w:color w:val="auto"/>
                      <w:sz w:val="21"/>
                      <w:szCs w:val="21"/>
                      <w:highlight w:val="none"/>
                      <w:lang w:val="en-US" w:eastAsia="zh-CN"/>
                    </w:rPr>
                    <w:t>使用的原辅料为</w:t>
                  </w:r>
                  <w:r>
                    <w:rPr>
                      <w:rFonts w:hint="default" w:ascii="Times New Roman" w:hAnsi="Times New Roman" w:eastAsia="宋体" w:cs="Times New Roman"/>
                      <w:color w:val="auto"/>
                      <w:sz w:val="21"/>
                      <w:szCs w:val="21"/>
                      <w:highlight w:val="none"/>
                    </w:rPr>
                    <w:t>低VOCs含量</w:t>
                  </w:r>
                  <w:r>
                    <w:rPr>
                      <w:rFonts w:hint="eastAsia" w:cs="Times New Roman"/>
                      <w:color w:val="auto"/>
                      <w:sz w:val="21"/>
                      <w:szCs w:val="21"/>
                      <w:highlight w:val="none"/>
                      <w:lang w:val="en-US" w:eastAsia="zh-CN"/>
                    </w:rPr>
                    <w:t>原料，废气过程采取局部收集措施，在烘干、挤出工序产生的</w:t>
                  </w:r>
                  <w:r>
                    <w:rPr>
                      <w:rFonts w:hint="eastAsia" w:ascii="Times New Roman" w:hAnsi="Times New Roman" w:eastAsia="宋体" w:cs="Times New Roman"/>
                      <w:color w:val="auto"/>
                      <w:sz w:val="21"/>
                      <w:szCs w:val="21"/>
                      <w:highlight w:val="none"/>
                      <w:lang w:eastAsia="zh-CN"/>
                    </w:rPr>
                    <w:t>VOCs</w:t>
                  </w:r>
                  <w:r>
                    <w:rPr>
                      <w:rFonts w:hint="eastAsia" w:cs="Times New Roman"/>
                      <w:color w:val="auto"/>
                      <w:sz w:val="21"/>
                      <w:szCs w:val="21"/>
                      <w:highlight w:val="none"/>
                      <w:lang w:val="en-US" w:eastAsia="zh-CN"/>
                    </w:rPr>
                    <w:t>废气</w:t>
                  </w:r>
                  <w:r>
                    <w:rPr>
                      <w:rFonts w:hint="eastAsia" w:ascii="Times New Roman" w:hAnsi="Times New Roman" w:eastAsia="宋体" w:cs="Times New Roman"/>
                      <w:color w:val="auto"/>
                      <w:sz w:val="21"/>
                      <w:szCs w:val="21"/>
                      <w:highlight w:val="none"/>
                      <w:lang w:eastAsia="zh-CN"/>
                    </w:rPr>
                    <w:t>经集气罩收集后通过</w:t>
                  </w:r>
                  <w:r>
                    <w:rPr>
                      <w:rFonts w:hint="eastAsia" w:ascii="Times New Roman" w:hAnsi="Times New Roman" w:eastAsia="宋体" w:cs="Times New Roman"/>
                      <w:color w:val="auto"/>
                      <w:sz w:val="21"/>
                      <w:szCs w:val="21"/>
                      <w:highlight w:val="none"/>
                      <w:lang w:val="en-US" w:eastAsia="zh-CN"/>
                    </w:rPr>
                    <w:t>活性炭吸附装置</w:t>
                  </w:r>
                  <w:r>
                    <w:rPr>
                      <w:rFonts w:hint="eastAsia" w:ascii="Times New Roman" w:hAnsi="Times New Roman" w:eastAsia="宋体" w:cs="Times New Roman"/>
                      <w:color w:val="auto"/>
                      <w:sz w:val="21"/>
                      <w:szCs w:val="21"/>
                      <w:highlight w:val="none"/>
                      <w:lang w:eastAsia="zh-CN"/>
                    </w:rPr>
                    <w:t>处理</w:t>
                  </w:r>
                  <w:r>
                    <w:rPr>
                      <w:rFonts w:hint="eastAsia" w:cs="Times New Roman"/>
                      <w:color w:val="auto"/>
                      <w:sz w:val="21"/>
                      <w:szCs w:val="21"/>
                      <w:highlight w:val="none"/>
                      <w:lang w:val="en-US" w:eastAsia="zh-CN"/>
                    </w:rPr>
                    <w:t>后外排</w:t>
                  </w:r>
                  <w:r>
                    <w:rPr>
                      <w:rFonts w:hint="eastAsia" w:ascii="Times New Roman" w:hAnsi="Times New Roman" w:eastAsia="宋体" w:cs="Times New Roman"/>
                      <w:color w:val="auto"/>
                      <w:sz w:val="21"/>
                      <w:szCs w:val="21"/>
                      <w:highlight w:val="none"/>
                      <w:lang w:eastAsia="zh-CN"/>
                    </w:rPr>
                    <w:t>。</w:t>
                  </w:r>
                </w:p>
              </w:tc>
              <w:tc>
                <w:tcPr>
                  <w:tcW w:w="644" w:type="pct"/>
                  <w:tcBorders>
                    <w:tl2br w:val="nil"/>
                    <w:tr2bl w:val="nil"/>
                  </w:tcBorders>
                  <w:noWrap w:val="0"/>
                  <w:vAlign w:val="center"/>
                </w:tcPr>
                <w:p w14:paraId="7B1067DF">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eastAsia"/>
                      <w:color w:val="auto"/>
                      <w:highlight w:val="none"/>
                    </w:rPr>
                  </w:pPr>
                  <w:r>
                    <w:rPr>
                      <w:rFonts w:hint="eastAsia"/>
                      <w:color w:val="auto"/>
                      <w:highlight w:val="none"/>
                    </w:rPr>
                    <w:t>符合</w:t>
                  </w:r>
                </w:p>
              </w:tc>
            </w:tr>
          </w:tbl>
          <w:p w14:paraId="1F026E8F">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 w:val="0"/>
                <w:color w:val="auto"/>
                <w:kern w:val="2"/>
                <w:sz w:val="24"/>
                <w:szCs w:val="24"/>
                <w:highlight w:val="none"/>
                <w:lang w:val="en-US" w:eastAsia="zh-CN" w:bidi="ar-SA"/>
              </w:rPr>
            </w:pPr>
            <w:r>
              <w:rPr>
                <w:rFonts w:hint="eastAsia" w:ascii="Times New Roman" w:hAnsi="Times New Roman" w:cs="Times New Roman"/>
                <w:b w:val="0"/>
                <w:color w:val="auto"/>
                <w:kern w:val="2"/>
                <w:sz w:val="24"/>
                <w:szCs w:val="24"/>
                <w:highlight w:val="none"/>
                <w:lang w:val="en-US" w:eastAsia="zh-CN" w:bidi="ar-SA"/>
              </w:rPr>
              <w:t>由表1-8可知，本项目</w:t>
            </w:r>
            <w:r>
              <w:rPr>
                <w:rFonts w:hint="default" w:ascii="Times New Roman" w:hAnsi="Times New Roman" w:eastAsia="宋体" w:cs="Times New Roman"/>
                <w:color w:val="auto"/>
                <w:sz w:val="24"/>
                <w:szCs w:val="24"/>
                <w:highlight w:val="none"/>
                <w:shd w:val="clear" w:color="auto" w:fill="auto"/>
                <w:lang w:val="en-US" w:eastAsia="zh-CN"/>
              </w:rPr>
              <w:t>与《挥发性有机物无组织排放控制标准》（GB37822-2019）要求相符。</w:t>
            </w:r>
          </w:p>
          <w:p w14:paraId="581FAD9F">
            <w:pPr>
              <w:keepNext w:val="0"/>
              <w:keepLines w:val="0"/>
              <w:suppressLineNumbers w:val="0"/>
              <w:bidi w:val="0"/>
              <w:spacing w:before="0" w:beforeAutospacing="0" w:after="0" w:afterAutospacing="0"/>
              <w:ind w:left="0" w:right="0"/>
              <w:rPr>
                <w:rFonts w:hint="default"/>
                <w:b/>
                <w:bCs/>
                <w:color w:val="auto"/>
                <w:highlight w:val="none"/>
              </w:rPr>
            </w:pPr>
            <w:r>
              <w:rPr>
                <w:rFonts w:hint="eastAsia"/>
                <w:b/>
                <w:bCs/>
                <w:color w:val="auto"/>
                <w:highlight w:val="none"/>
                <w:lang w:val="en-US" w:eastAsia="zh-CN"/>
              </w:rPr>
              <w:t>7</w:t>
            </w:r>
            <w:r>
              <w:rPr>
                <w:rFonts w:hint="eastAsia"/>
                <w:b/>
                <w:bCs/>
                <w:color w:val="auto"/>
                <w:highlight w:val="none"/>
              </w:rPr>
              <w:t>、与</w:t>
            </w:r>
            <w:r>
              <w:rPr>
                <w:rFonts w:hint="eastAsia"/>
                <w:b/>
                <w:bCs/>
                <w:color w:val="auto"/>
                <w:highlight w:val="none"/>
                <w:lang w:eastAsia="zh-CN"/>
              </w:rPr>
              <w:t>《</w:t>
            </w:r>
            <w:r>
              <w:rPr>
                <w:rFonts w:hint="eastAsia"/>
                <w:b/>
                <w:bCs/>
                <w:color w:val="auto"/>
                <w:highlight w:val="none"/>
                <w:lang w:val="en-US" w:eastAsia="zh-CN"/>
              </w:rPr>
              <w:t>江西省</w:t>
            </w:r>
            <w:r>
              <w:rPr>
                <w:rFonts w:hint="eastAsia"/>
                <w:b/>
                <w:bCs/>
                <w:color w:val="auto"/>
                <w:highlight w:val="none"/>
              </w:rPr>
              <w:t>长江经济带</w:t>
            </w:r>
            <w:r>
              <w:rPr>
                <w:rFonts w:hint="eastAsia"/>
                <w:b/>
                <w:bCs/>
                <w:color w:val="auto"/>
                <w:highlight w:val="none"/>
                <w:lang w:val="en-US" w:eastAsia="zh-CN"/>
              </w:rPr>
              <w:t>发展</w:t>
            </w:r>
            <w:r>
              <w:rPr>
                <w:rFonts w:hint="eastAsia"/>
                <w:b/>
                <w:bCs/>
                <w:color w:val="auto"/>
                <w:highlight w:val="none"/>
              </w:rPr>
              <w:t>负面清单</w:t>
            </w:r>
            <w:r>
              <w:rPr>
                <w:rFonts w:hint="eastAsia"/>
                <w:b/>
                <w:bCs/>
                <w:color w:val="auto"/>
                <w:highlight w:val="none"/>
                <w:lang w:val="en-US" w:eastAsia="zh-CN"/>
              </w:rPr>
              <w:t>实施细则</w:t>
            </w:r>
            <w:r>
              <w:rPr>
                <w:rFonts w:hint="eastAsia"/>
                <w:b/>
                <w:bCs/>
                <w:color w:val="auto"/>
                <w:highlight w:val="none"/>
                <w:lang w:eastAsia="zh-CN"/>
              </w:rPr>
              <w:t>》</w:t>
            </w:r>
            <w:r>
              <w:rPr>
                <w:rFonts w:hint="eastAsia"/>
                <w:b/>
                <w:bCs/>
                <w:color w:val="auto"/>
                <w:highlight w:val="none"/>
              </w:rPr>
              <w:t>相符性分析</w:t>
            </w:r>
          </w:p>
          <w:p w14:paraId="3199431D">
            <w:pPr>
              <w:keepNext w:val="0"/>
              <w:keepLines w:val="0"/>
              <w:suppressLineNumbers w:val="0"/>
              <w:bidi w:val="0"/>
              <w:spacing w:before="0" w:beforeAutospacing="0" w:after="0" w:afterAutospacing="0"/>
              <w:ind w:left="0" w:right="0"/>
              <w:rPr>
                <w:rFonts w:hint="eastAsia"/>
                <w:color w:val="auto"/>
                <w:highlight w:val="none"/>
              </w:rPr>
            </w:pPr>
            <w:r>
              <w:rPr>
                <w:rFonts w:hint="eastAsia"/>
                <w:color w:val="auto"/>
                <w:highlight w:val="none"/>
              </w:rPr>
              <w:t>根据江西省推动长江经济带发展领导小组办公室关于印发《江西省长江经济带</w:t>
            </w:r>
            <w:r>
              <w:rPr>
                <w:rFonts w:hint="eastAsia"/>
                <w:color w:val="auto"/>
                <w:highlight w:val="none"/>
                <w:lang w:val="en-US" w:eastAsia="zh-CN"/>
              </w:rPr>
              <w:t>发展</w:t>
            </w:r>
            <w:r>
              <w:rPr>
                <w:rFonts w:hint="eastAsia"/>
                <w:color w:val="auto"/>
                <w:highlight w:val="none"/>
              </w:rPr>
              <w:t>负面清单实施细则（试行</w:t>
            </w:r>
            <w:r>
              <w:rPr>
                <w:rFonts w:hint="eastAsia"/>
                <w:color w:val="auto"/>
                <w:highlight w:val="none"/>
                <w:lang w:eastAsia="zh-CN"/>
              </w:rPr>
              <w:t>，</w:t>
            </w:r>
            <w:r>
              <w:rPr>
                <w:rFonts w:hint="eastAsia"/>
                <w:color w:val="auto"/>
                <w:highlight w:val="none"/>
                <w:lang w:val="en-US" w:eastAsia="zh-CN"/>
              </w:rPr>
              <w:t>2022年版</w:t>
            </w:r>
            <w:r>
              <w:rPr>
                <w:rFonts w:hint="eastAsia"/>
                <w:color w:val="auto"/>
                <w:highlight w:val="none"/>
              </w:rPr>
              <w:t>）》的通知（赣长江办[</w:t>
            </w:r>
            <w:r>
              <w:rPr>
                <w:rFonts w:hint="default"/>
                <w:color w:val="auto"/>
                <w:highlight w:val="none"/>
              </w:rPr>
              <w:t>20</w:t>
            </w:r>
            <w:r>
              <w:rPr>
                <w:rFonts w:hint="eastAsia"/>
                <w:color w:val="auto"/>
                <w:highlight w:val="none"/>
                <w:lang w:val="en-US" w:eastAsia="zh-CN"/>
              </w:rPr>
              <w:t>22</w:t>
            </w:r>
            <w:r>
              <w:rPr>
                <w:rFonts w:hint="eastAsia"/>
                <w:color w:val="auto"/>
                <w:highlight w:val="none"/>
              </w:rPr>
              <w:t>]</w:t>
            </w:r>
            <w:r>
              <w:rPr>
                <w:rFonts w:hint="eastAsia"/>
                <w:color w:val="auto"/>
                <w:highlight w:val="none"/>
                <w:lang w:val="en-US" w:eastAsia="zh-CN"/>
              </w:rPr>
              <w:t>7</w:t>
            </w:r>
            <w:r>
              <w:rPr>
                <w:rFonts w:hint="eastAsia"/>
                <w:color w:val="auto"/>
                <w:highlight w:val="none"/>
              </w:rPr>
              <w:t>号），本项目与</w:t>
            </w:r>
            <w:r>
              <w:rPr>
                <w:rFonts w:hint="eastAsia"/>
                <w:color w:val="auto"/>
                <w:highlight w:val="none"/>
                <w:lang w:eastAsia="zh-CN"/>
              </w:rPr>
              <w:t>《</w:t>
            </w:r>
            <w:r>
              <w:rPr>
                <w:rFonts w:hint="eastAsia"/>
                <w:color w:val="auto"/>
                <w:highlight w:val="none"/>
                <w:lang w:val="en-US" w:eastAsia="zh-CN"/>
              </w:rPr>
              <w:t>江西省</w:t>
            </w:r>
            <w:r>
              <w:rPr>
                <w:rFonts w:hint="eastAsia"/>
                <w:color w:val="auto"/>
                <w:highlight w:val="none"/>
              </w:rPr>
              <w:t>长江经济带</w:t>
            </w:r>
            <w:r>
              <w:rPr>
                <w:rFonts w:hint="eastAsia"/>
                <w:color w:val="auto"/>
                <w:highlight w:val="none"/>
                <w:lang w:val="en-US" w:eastAsia="zh-CN"/>
              </w:rPr>
              <w:t>发展</w:t>
            </w:r>
            <w:r>
              <w:rPr>
                <w:rFonts w:hint="eastAsia"/>
                <w:color w:val="auto"/>
                <w:highlight w:val="none"/>
              </w:rPr>
              <w:t>负面清单</w:t>
            </w:r>
            <w:r>
              <w:rPr>
                <w:rFonts w:hint="eastAsia"/>
                <w:color w:val="auto"/>
                <w:highlight w:val="none"/>
                <w:lang w:val="en-US" w:eastAsia="zh-CN"/>
              </w:rPr>
              <w:t>实施细则</w:t>
            </w:r>
            <w:r>
              <w:rPr>
                <w:rFonts w:hint="eastAsia"/>
                <w:color w:val="auto"/>
                <w:highlight w:val="none"/>
                <w:lang w:eastAsia="zh-CN"/>
              </w:rPr>
              <w:t>》</w:t>
            </w:r>
            <w:r>
              <w:rPr>
                <w:rFonts w:hint="eastAsia"/>
                <w:color w:val="auto"/>
                <w:highlight w:val="none"/>
              </w:rPr>
              <w:t>相符性分析详见表1-</w:t>
            </w:r>
            <w:r>
              <w:rPr>
                <w:rFonts w:hint="eastAsia"/>
                <w:color w:val="auto"/>
                <w:highlight w:val="none"/>
                <w:lang w:val="en-US" w:eastAsia="zh-CN"/>
              </w:rPr>
              <w:t>9</w:t>
            </w:r>
            <w:r>
              <w:rPr>
                <w:rFonts w:hint="eastAsia"/>
                <w:color w:val="auto"/>
                <w:highlight w:val="none"/>
              </w:rPr>
              <w:t>。</w:t>
            </w:r>
          </w:p>
          <w:p w14:paraId="7E91DFF3">
            <w:pPr>
              <w:pStyle w:val="7"/>
              <w:keepNext w:val="0"/>
              <w:keepLines w:val="0"/>
              <w:suppressLineNumbers w:val="0"/>
              <w:spacing w:before="0" w:beforeAutospacing="0" w:after="0" w:afterAutospacing="0"/>
              <w:ind w:left="0" w:right="0"/>
              <w:jc w:val="center"/>
              <w:rPr>
                <w:rFonts w:hint="default"/>
                <w:b/>
                <w:bCs/>
                <w:color w:val="auto"/>
                <w:highlight w:val="none"/>
              </w:rPr>
            </w:pPr>
            <w:r>
              <w:rPr>
                <w:rFonts w:hint="eastAsia"/>
                <w:b/>
                <w:bCs/>
                <w:color w:val="auto"/>
                <w:highlight w:val="none"/>
              </w:rPr>
              <w:t>表1-</w:t>
            </w:r>
            <w:r>
              <w:rPr>
                <w:rFonts w:hint="eastAsia"/>
                <w:b/>
                <w:bCs/>
                <w:color w:val="auto"/>
                <w:highlight w:val="none"/>
                <w:lang w:val="en-US" w:eastAsia="zh-CN"/>
              </w:rPr>
              <w:t>9</w:t>
            </w:r>
            <w:r>
              <w:rPr>
                <w:rFonts w:hint="eastAsia"/>
                <w:b/>
                <w:bCs/>
                <w:color w:val="auto"/>
                <w:highlight w:val="none"/>
              </w:rPr>
              <w:t xml:space="preserve">  与</w:t>
            </w:r>
            <w:r>
              <w:rPr>
                <w:rFonts w:hint="eastAsia"/>
                <w:b/>
                <w:bCs/>
                <w:color w:val="auto"/>
                <w:highlight w:val="none"/>
                <w:lang w:val="en-US" w:eastAsia="zh-CN"/>
              </w:rPr>
              <w:t>江西省</w:t>
            </w:r>
            <w:r>
              <w:rPr>
                <w:rFonts w:hint="eastAsia"/>
                <w:b/>
                <w:bCs/>
                <w:color w:val="auto"/>
                <w:highlight w:val="none"/>
              </w:rPr>
              <w:t>长江经济带</w:t>
            </w:r>
            <w:r>
              <w:rPr>
                <w:rFonts w:hint="eastAsia"/>
                <w:b/>
                <w:bCs/>
                <w:color w:val="auto"/>
                <w:highlight w:val="none"/>
                <w:lang w:val="en-US" w:eastAsia="zh-CN"/>
              </w:rPr>
              <w:t>发展</w:t>
            </w:r>
            <w:r>
              <w:rPr>
                <w:rFonts w:hint="eastAsia"/>
                <w:b/>
                <w:bCs/>
                <w:color w:val="auto"/>
                <w:highlight w:val="none"/>
              </w:rPr>
              <w:t>负面清单</w:t>
            </w:r>
            <w:r>
              <w:rPr>
                <w:rFonts w:hint="eastAsia"/>
                <w:b/>
                <w:bCs/>
                <w:color w:val="auto"/>
                <w:highlight w:val="none"/>
                <w:lang w:val="en-US" w:eastAsia="zh-CN"/>
              </w:rPr>
              <w:t>实施细则</w:t>
            </w:r>
            <w:r>
              <w:rPr>
                <w:rFonts w:hint="eastAsia"/>
                <w:b/>
                <w:bCs/>
                <w:color w:val="auto"/>
                <w:highlight w:val="none"/>
              </w:rPr>
              <w:t>相符性分析</w:t>
            </w:r>
          </w:p>
          <w:tbl>
            <w:tblPr>
              <w:tblStyle w:val="33"/>
              <w:tblW w:w="6444" w:type="dxa"/>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550"/>
              <w:gridCol w:w="3009"/>
              <w:gridCol w:w="2143"/>
              <w:gridCol w:w="742"/>
            </w:tblGrid>
            <w:tr w14:paraId="45F83F4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50" w:type="dxa"/>
                  <w:tcBorders>
                    <w:bottom w:val="single" w:color="000000" w:sz="12" w:space="0"/>
                  </w:tcBorders>
                  <w:vAlign w:val="center"/>
                </w:tcPr>
                <w:p w14:paraId="0A36D3A2">
                  <w:pPr>
                    <w:pStyle w:val="7"/>
                    <w:keepNext w:val="0"/>
                    <w:keepLines w:val="0"/>
                    <w:suppressLineNumbers w:val="0"/>
                    <w:spacing w:before="0" w:beforeAutospacing="0" w:after="0" w:afterAutospacing="0"/>
                    <w:ind w:left="0" w:right="0"/>
                    <w:jc w:val="center"/>
                    <w:rPr>
                      <w:rFonts w:hint="default" w:eastAsia="宋体"/>
                      <w:b/>
                      <w:bCs/>
                      <w:color w:val="auto"/>
                      <w:highlight w:val="none"/>
                      <w:lang w:val="en-US" w:eastAsia="zh-CN"/>
                    </w:rPr>
                  </w:pPr>
                  <w:r>
                    <w:rPr>
                      <w:rFonts w:hint="eastAsia"/>
                      <w:b/>
                      <w:bCs/>
                      <w:color w:val="auto"/>
                      <w:highlight w:val="none"/>
                      <w:lang w:val="en-US" w:eastAsia="zh-CN"/>
                    </w:rPr>
                    <w:t>目标</w:t>
                  </w:r>
                </w:p>
              </w:tc>
              <w:tc>
                <w:tcPr>
                  <w:tcW w:w="3009" w:type="dxa"/>
                  <w:tcBorders>
                    <w:bottom w:val="single" w:color="000000" w:sz="12" w:space="0"/>
                  </w:tcBorders>
                  <w:vAlign w:val="center"/>
                </w:tcPr>
                <w:p w14:paraId="0C3EABD1">
                  <w:pPr>
                    <w:pStyle w:val="7"/>
                    <w:keepNext w:val="0"/>
                    <w:keepLines w:val="0"/>
                    <w:suppressLineNumbers w:val="0"/>
                    <w:spacing w:before="0" w:beforeAutospacing="0" w:after="0" w:afterAutospacing="0"/>
                    <w:ind w:left="0" w:right="0"/>
                    <w:jc w:val="center"/>
                    <w:rPr>
                      <w:rFonts w:hint="default"/>
                      <w:b/>
                      <w:bCs/>
                      <w:color w:val="auto"/>
                      <w:highlight w:val="none"/>
                    </w:rPr>
                  </w:pPr>
                  <w:r>
                    <w:rPr>
                      <w:rFonts w:hint="eastAsia"/>
                      <w:b/>
                      <w:bCs/>
                      <w:color w:val="auto"/>
                      <w:highlight w:val="none"/>
                    </w:rPr>
                    <w:t>内容</w:t>
                  </w:r>
                </w:p>
              </w:tc>
              <w:tc>
                <w:tcPr>
                  <w:tcW w:w="2143" w:type="dxa"/>
                  <w:tcBorders>
                    <w:bottom w:val="single" w:color="000000" w:sz="12" w:space="0"/>
                  </w:tcBorders>
                  <w:vAlign w:val="center"/>
                </w:tcPr>
                <w:p w14:paraId="19C5DD30">
                  <w:pPr>
                    <w:pStyle w:val="7"/>
                    <w:keepNext w:val="0"/>
                    <w:keepLines w:val="0"/>
                    <w:suppressLineNumbers w:val="0"/>
                    <w:spacing w:before="0" w:beforeAutospacing="0" w:after="0" w:afterAutospacing="0"/>
                    <w:ind w:left="0" w:right="0"/>
                    <w:jc w:val="center"/>
                    <w:rPr>
                      <w:rFonts w:hint="default"/>
                      <w:b/>
                      <w:bCs/>
                      <w:color w:val="auto"/>
                      <w:highlight w:val="none"/>
                    </w:rPr>
                  </w:pPr>
                  <w:r>
                    <w:rPr>
                      <w:rFonts w:hint="eastAsia"/>
                      <w:b/>
                      <w:bCs/>
                      <w:color w:val="auto"/>
                      <w:highlight w:val="none"/>
                    </w:rPr>
                    <w:t>本项目情况</w:t>
                  </w:r>
                </w:p>
              </w:tc>
              <w:tc>
                <w:tcPr>
                  <w:tcW w:w="742" w:type="dxa"/>
                  <w:tcBorders>
                    <w:bottom w:val="single" w:color="000000" w:sz="12" w:space="0"/>
                  </w:tcBorders>
                  <w:vAlign w:val="center"/>
                </w:tcPr>
                <w:p w14:paraId="538ADF6D">
                  <w:pPr>
                    <w:pStyle w:val="7"/>
                    <w:keepNext w:val="0"/>
                    <w:keepLines w:val="0"/>
                    <w:suppressLineNumbers w:val="0"/>
                    <w:spacing w:before="0" w:beforeAutospacing="0" w:after="0" w:afterAutospacing="0"/>
                    <w:ind w:left="0" w:right="0"/>
                    <w:jc w:val="center"/>
                    <w:rPr>
                      <w:rFonts w:hint="default"/>
                      <w:b/>
                      <w:bCs/>
                      <w:color w:val="auto"/>
                      <w:highlight w:val="none"/>
                    </w:rPr>
                  </w:pPr>
                  <w:r>
                    <w:rPr>
                      <w:rFonts w:hint="default"/>
                      <w:b/>
                      <w:bCs/>
                      <w:color w:val="auto"/>
                      <w:highlight w:val="none"/>
                    </w:rPr>
                    <w:t>相符性分析</w:t>
                  </w:r>
                </w:p>
              </w:tc>
            </w:tr>
            <w:tr w14:paraId="586DBEB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50" w:type="dxa"/>
                  <w:vMerge w:val="restart"/>
                  <w:tcBorders>
                    <w:top w:val="single" w:color="000000" w:sz="12" w:space="0"/>
                    <w:tl2br w:val="nil"/>
                    <w:tr2bl w:val="nil"/>
                  </w:tcBorders>
                  <w:vAlign w:val="center"/>
                </w:tcPr>
                <w:p w14:paraId="1E2E53E8">
                  <w:pPr>
                    <w:pStyle w:val="7"/>
                    <w:keepNext w:val="0"/>
                    <w:keepLines w:val="0"/>
                    <w:suppressLineNumbers w:val="0"/>
                    <w:spacing w:before="0" w:beforeAutospacing="0" w:after="0" w:afterAutospacing="0"/>
                    <w:ind w:left="0" w:right="0"/>
                    <w:jc w:val="center"/>
                    <w:rPr>
                      <w:rFonts w:hint="eastAsia" w:eastAsia="宋体"/>
                      <w:color w:val="auto"/>
                      <w:highlight w:val="none"/>
                      <w:lang w:val="en-US" w:eastAsia="zh-CN"/>
                    </w:rPr>
                  </w:pPr>
                  <w:r>
                    <w:rPr>
                      <w:rFonts w:hint="eastAsia"/>
                      <w:color w:val="auto"/>
                      <w:highlight w:val="none"/>
                    </w:rPr>
                    <w:t>严格岸线河段管控</w:t>
                  </w:r>
                </w:p>
              </w:tc>
              <w:tc>
                <w:tcPr>
                  <w:tcW w:w="3009" w:type="dxa"/>
                  <w:tcBorders>
                    <w:top w:val="single" w:color="000000" w:sz="12" w:space="0"/>
                    <w:tl2br w:val="nil"/>
                    <w:tr2bl w:val="nil"/>
                  </w:tcBorders>
                  <w:vAlign w:val="center"/>
                </w:tcPr>
                <w:p w14:paraId="533DDFFB">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禁止建设不符合国家和省级港口布局规划以及港口总体规划的码头项目。禁止建设不符合《长江干线过江通道布局规划》的过长江通道项目。</w:t>
                  </w:r>
                </w:p>
              </w:tc>
              <w:tc>
                <w:tcPr>
                  <w:tcW w:w="2143" w:type="dxa"/>
                  <w:tcBorders>
                    <w:top w:val="single" w:color="000000" w:sz="12" w:space="0"/>
                    <w:tl2br w:val="nil"/>
                    <w:tr2bl w:val="nil"/>
                  </w:tcBorders>
                  <w:vAlign w:val="center"/>
                </w:tcPr>
                <w:p w14:paraId="55620AA6">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本项目不属于码头项目和过长江通道项目</w:t>
                  </w:r>
                </w:p>
              </w:tc>
              <w:tc>
                <w:tcPr>
                  <w:tcW w:w="742" w:type="dxa"/>
                  <w:tcBorders>
                    <w:top w:val="single" w:color="000000" w:sz="12" w:space="0"/>
                    <w:tl2br w:val="nil"/>
                    <w:tr2bl w:val="nil"/>
                  </w:tcBorders>
                  <w:vAlign w:val="center"/>
                </w:tcPr>
                <w:p w14:paraId="60E81A45">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符合</w:t>
                  </w:r>
                </w:p>
              </w:tc>
            </w:tr>
            <w:tr w14:paraId="4A0133A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50" w:type="dxa"/>
                  <w:vMerge w:val="continue"/>
                  <w:tcBorders>
                    <w:tl2br w:val="nil"/>
                    <w:tr2bl w:val="nil"/>
                  </w:tcBorders>
                  <w:vAlign w:val="center"/>
                </w:tcPr>
                <w:p w14:paraId="2BC589D4">
                  <w:pPr>
                    <w:pStyle w:val="7"/>
                    <w:keepNext w:val="0"/>
                    <w:keepLines w:val="0"/>
                    <w:suppressLineNumbers w:val="0"/>
                    <w:spacing w:before="0" w:beforeAutospacing="0" w:after="0" w:afterAutospacing="0"/>
                    <w:ind w:left="0" w:right="0"/>
                    <w:jc w:val="center"/>
                    <w:rPr>
                      <w:rFonts w:hint="eastAsia" w:eastAsia="宋体"/>
                      <w:color w:val="auto"/>
                      <w:highlight w:val="none"/>
                      <w:lang w:val="en-US" w:eastAsia="zh-CN"/>
                    </w:rPr>
                  </w:pPr>
                </w:p>
              </w:tc>
              <w:tc>
                <w:tcPr>
                  <w:tcW w:w="3009" w:type="dxa"/>
                  <w:tcBorders>
                    <w:tl2br w:val="nil"/>
                    <w:tr2bl w:val="nil"/>
                  </w:tcBorders>
                  <w:vAlign w:val="center"/>
                </w:tcPr>
                <w:p w14:paraId="37770B08">
                  <w:pPr>
                    <w:pStyle w:val="7"/>
                    <w:keepNext w:val="0"/>
                    <w:keepLines w:val="0"/>
                    <w:suppressLineNumbers w:val="0"/>
                    <w:spacing w:before="0" w:beforeAutospacing="0" w:after="0" w:afterAutospacing="0"/>
                    <w:ind w:left="0" w:right="0"/>
                    <w:rPr>
                      <w:rFonts w:hint="eastAsia"/>
                      <w:color w:val="auto"/>
                      <w:highlight w:val="none"/>
                    </w:rPr>
                  </w:pPr>
                  <w:r>
                    <w:rPr>
                      <w:rFonts w:hint="eastAsia"/>
                      <w:color w:val="auto"/>
                      <w:highlight w:val="none"/>
                    </w:rPr>
                    <w:t>禁止在自然保护区核心区、缓冲区的岸线和河段范围内投资建设旅游和生产经营项目。</w:t>
                  </w:r>
                </w:p>
              </w:tc>
              <w:tc>
                <w:tcPr>
                  <w:tcW w:w="2143" w:type="dxa"/>
                  <w:tcBorders>
                    <w:tl2br w:val="nil"/>
                    <w:tr2bl w:val="nil"/>
                  </w:tcBorders>
                  <w:vAlign w:val="center"/>
                </w:tcPr>
                <w:p w14:paraId="3863BC06">
                  <w:pPr>
                    <w:pStyle w:val="7"/>
                    <w:keepNext w:val="0"/>
                    <w:keepLines w:val="0"/>
                    <w:suppressLineNumbers w:val="0"/>
                    <w:spacing w:before="0" w:beforeAutospacing="0" w:after="0" w:afterAutospacing="0"/>
                    <w:ind w:left="0" w:right="0"/>
                    <w:rPr>
                      <w:rFonts w:hint="eastAsia" w:eastAsia="宋体"/>
                      <w:color w:val="auto"/>
                      <w:highlight w:val="none"/>
                      <w:lang w:eastAsia="zh-CN"/>
                    </w:rPr>
                  </w:pPr>
                  <w:r>
                    <w:rPr>
                      <w:rFonts w:hint="eastAsia"/>
                      <w:color w:val="auto"/>
                      <w:highlight w:val="none"/>
                    </w:rPr>
                    <w:t>本项目不在自然保护区核心区、缓冲区的岸线和河段范围内</w:t>
                  </w:r>
                  <w:r>
                    <w:rPr>
                      <w:rFonts w:hint="eastAsia"/>
                      <w:color w:val="auto"/>
                      <w:highlight w:val="none"/>
                      <w:lang w:eastAsia="zh-CN"/>
                    </w:rPr>
                    <w:t>。</w:t>
                  </w:r>
                </w:p>
              </w:tc>
              <w:tc>
                <w:tcPr>
                  <w:tcW w:w="742" w:type="dxa"/>
                  <w:tcBorders>
                    <w:tl2br w:val="nil"/>
                    <w:tr2bl w:val="nil"/>
                  </w:tcBorders>
                  <w:vAlign w:val="center"/>
                </w:tcPr>
                <w:p w14:paraId="7E43E8F2">
                  <w:pPr>
                    <w:pStyle w:val="7"/>
                    <w:keepNext w:val="0"/>
                    <w:keepLines w:val="0"/>
                    <w:suppressLineNumbers w:val="0"/>
                    <w:spacing w:before="0" w:beforeAutospacing="0" w:after="0" w:afterAutospacing="0"/>
                    <w:ind w:left="0" w:right="0"/>
                    <w:rPr>
                      <w:rFonts w:hint="eastAsia"/>
                      <w:color w:val="auto"/>
                      <w:highlight w:val="none"/>
                    </w:rPr>
                  </w:pPr>
                  <w:r>
                    <w:rPr>
                      <w:rFonts w:hint="eastAsia"/>
                      <w:color w:val="auto"/>
                      <w:highlight w:val="none"/>
                    </w:rPr>
                    <w:t>符合</w:t>
                  </w:r>
                </w:p>
              </w:tc>
            </w:tr>
            <w:tr w14:paraId="0D37F6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50" w:type="dxa"/>
                  <w:vMerge w:val="continue"/>
                  <w:tcBorders>
                    <w:tl2br w:val="nil"/>
                    <w:tr2bl w:val="nil"/>
                  </w:tcBorders>
                  <w:vAlign w:val="center"/>
                </w:tcPr>
                <w:p w14:paraId="12C24A01">
                  <w:pPr>
                    <w:pStyle w:val="7"/>
                    <w:keepNext w:val="0"/>
                    <w:keepLines w:val="0"/>
                    <w:suppressLineNumbers w:val="0"/>
                    <w:spacing w:before="0" w:beforeAutospacing="0" w:after="0" w:afterAutospacing="0"/>
                    <w:ind w:left="0" w:right="0"/>
                    <w:jc w:val="center"/>
                    <w:rPr>
                      <w:rFonts w:hint="eastAsia" w:eastAsia="宋体"/>
                      <w:color w:val="auto"/>
                      <w:highlight w:val="none"/>
                      <w:lang w:val="en-US" w:eastAsia="zh-CN"/>
                    </w:rPr>
                  </w:pPr>
                </w:p>
              </w:tc>
              <w:tc>
                <w:tcPr>
                  <w:tcW w:w="3009" w:type="dxa"/>
                  <w:tcBorders>
                    <w:tl2br w:val="nil"/>
                    <w:tr2bl w:val="nil"/>
                  </w:tcBorders>
                  <w:vAlign w:val="center"/>
                </w:tcPr>
                <w:p w14:paraId="48D13463">
                  <w:pPr>
                    <w:pStyle w:val="7"/>
                    <w:keepNext w:val="0"/>
                    <w:keepLines w:val="0"/>
                    <w:suppressLineNumbers w:val="0"/>
                    <w:spacing w:before="0" w:beforeAutospacing="0" w:after="0" w:afterAutospacing="0"/>
                    <w:ind w:left="0" w:right="0"/>
                    <w:rPr>
                      <w:rFonts w:hint="eastAsia"/>
                      <w:color w:val="auto"/>
                      <w:highlight w:val="none"/>
                    </w:rPr>
                  </w:pPr>
                  <w:r>
                    <w:rPr>
                      <w:rFonts w:hint="eastAsia"/>
                      <w:color w:val="auto"/>
                      <w:highlight w:val="none"/>
                    </w:rPr>
                    <w:t>禁止在风景名胜区核心景区的岸线和河段范围内开展以下行为：</w:t>
                  </w:r>
                </w:p>
                <w:p w14:paraId="3E39F7B4">
                  <w:pPr>
                    <w:pStyle w:val="7"/>
                    <w:keepNext w:val="0"/>
                    <w:keepLines w:val="0"/>
                    <w:suppressLineNumbers w:val="0"/>
                    <w:spacing w:before="0" w:beforeAutospacing="0" w:after="0" w:afterAutospacing="0"/>
                    <w:ind w:left="0" w:right="0"/>
                    <w:rPr>
                      <w:rFonts w:hint="eastAsia"/>
                      <w:color w:val="auto"/>
                      <w:highlight w:val="none"/>
                    </w:rPr>
                  </w:pPr>
                  <w:r>
                    <w:rPr>
                      <w:rFonts w:hint="eastAsia"/>
                      <w:color w:val="auto"/>
                      <w:highlight w:val="none"/>
                    </w:rPr>
                    <w:t>（一）开山、采石、开矿、开荒、修立碑等破坏景观、植被和地形地貌的活动。</w:t>
                  </w:r>
                </w:p>
                <w:p w14:paraId="4CE3B44A">
                  <w:pPr>
                    <w:pStyle w:val="7"/>
                    <w:keepNext w:val="0"/>
                    <w:keepLines w:val="0"/>
                    <w:suppressLineNumbers w:val="0"/>
                    <w:spacing w:before="0" w:beforeAutospacing="0" w:after="0" w:afterAutospacing="0"/>
                    <w:ind w:left="0" w:right="0"/>
                    <w:rPr>
                      <w:rFonts w:hint="eastAsia"/>
                      <w:color w:val="auto"/>
                      <w:highlight w:val="none"/>
                    </w:rPr>
                  </w:pPr>
                  <w:r>
                    <w:rPr>
                      <w:rFonts w:hint="eastAsia"/>
                      <w:color w:val="auto"/>
                      <w:highlight w:val="none"/>
                    </w:rPr>
                    <w:t>（二）修建储存爆炸性、易燃性、放射性、毒害性、腐蚀性物品的设施。</w:t>
                  </w:r>
                </w:p>
                <w:p w14:paraId="6234E798">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（三）违反风景名胜区规划，建设与风景名胜资源保护无关的设施。</w:t>
                  </w:r>
                </w:p>
              </w:tc>
              <w:tc>
                <w:tcPr>
                  <w:tcW w:w="2143" w:type="dxa"/>
                  <w:tcBorders>
                    <w:tl2br w:val="nil"/>
                    <w:tr2bl w:val="nil"/>
                  </w:tcBorders>
                  <w:vAlign w:val="center"/>
                </w:tcPr>
                <w:p w14:paraId="5F9016A7">
                  <w:pPr>
                    <w:pStyle w:val="7"/>
                    <w:keepNext w:val="0"/>
                    <w:keepLines w:val="0"/>
                    <w:suppressLineNumbers w:val="0"/>
                    <w:spacing w:before="0" w:beforeAutospacing="0" w:after="0" w:afterAutospacing="0"/>
                    <w:ind w:left="0" w:right="0"/>
                    <w:rPr>
                      <w:rFonts w:hint="eastAsia" w:eastAsia="宋体"/>
                      <w:color w:val="auto"/>
                      <w:highlight w:val="none"/>
                      <w:lang w:eastAsia="zh-CN"/>
                    </w:rPr>
                  </w:pPr>
                  <w:r>
                    <w:rPr>
                      <w:rFonts w:hint="eastAsia"/>
                      <w:color w:val="auto"/>
                      <w:highlight w:val="none"/>
                    </w:rPr>
                    <w:t>本项目不在风景名胜区核心景区的岸线和河段范围</w:t>
                  </w:r>
                </w:p>
              </w:tc>
              <w:tc>
                <w:tcPr>
                  <w:tcW w:w="742" w:type="dxa"/>
                  <w:tcBorders>
                    <w:tl2br w:val="nil"/>
                    <w:tr2bl w:val="nil"/>
                  </w:tcBorders>
                  <w:vAlign w:val="center"/>
                </w:tcPr>
                <w:p w14:paraId="1687EE4D">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符合</w:t>
                  </w:r>
                </w:p>
              </w:tc>
            </w:tr>
            <w:tr w14:paraId="60E30D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50" w:type="dxa"/>
                  <w:vMerge w:val="continue"/>
                  <w:tcBorders>
                    <w:tl2br w:val="nil"/>
                    <w:tr2bl w:val="nil"/>
                  </w:tcBorders>
                  <w:vAlign w:val="center"/>
                </w:tcPr>
                <w:p w14:paraId="24B7E0AE">
                  <w:pPr>
                    <w:pStyle w:val="7"/>
                    <w:keepNext w:val="0"/>
                    <w:keepLines w:val="0"/>
                    <w:suppressLineNumbers w:val="0"/>
                    <w:spacing w:before="0" w:beforeAutospacing="0" w:after="0" w:afterAutospacing="0"/>
                    <w:ind w:left="0" w:right="0"/>
                    <w:jc w:val="center"/>
                    <w:rPr>
                      <w:rFonts w:hint="eastAsia" w:eastAsia="宋体"/>
                      <w:color w:val="auto"/>
                      <w:highlight w:val="none"/>
                      <w:lang w:val="en-US" w:eastAsia="zh-CN"/>
                    </w:rPr>
                  </w:pPr>
                </w:p>
              </w:tc>
              <w:tc>
                <w:tcPr>
                  <w:tcW w:w="3009" w:type="dxa"/>
                  <w:tcBorders>
                    <w:tl2br w:val="nil"/>
                    <w:tr2bl w:val="nil"/>
                  </w:tcBorders>
                  <w:vAlign w:val="center"/>
                </w:tcPr>
                <w:p w14:paraId="34FB776A">
                  <w:pPr>
                    <w:pStyle w:val="7"/>
                    <w:keepNext w:val="0"/>
                    <w:keepLines w:val="0"/>
                    <w:suppressLineNumbers w:val="0"/>
                    <w:spacing w:before="0" w:beforeAutospacing="0" w:after="0" w:afterAutospacing="0"/>
                    <w:ind w:left="0" w:right="0"/>
                    <w:rPr>
                      <w:rFonts w:hint="eastAsia"/>
                      <w:color w:val="auto"/>
                      <w:highlight w:val="none"/>
                    </w:rPr>
                  </w:pPr>
                  <w:r>
                    <w:rPr>
                      <w:rFonts w:hint="eastAsia"/>
                      <w:color w:val="auto"/>
                      <w:highlight w:val="none"/>
                    </w:rPr>
                    <w:t>禁止在饮用水水源一级保护区的岸线和河段范围内开展下列行为：</w:t>
                  </w:r>
                </w:p>
                <w:p w14:paraId="197C50AF">
                  <w:pPr>
                    <w:pStyle w:val="7"/>
                    <w:keepNext w:val="0"/>
                    <w:keepLines w:val="0"/>
                    <w:suppressLineNumbers w:val="0"/>
                    <w:spacing w:before="0" w:beforeAutospacing="0" w:after="0" w:afterAutospacing="0"/>
                    <w:ind w:left="0" w:right="0"/>
                    <w:rPr>
                      <w:rFonts w:hint="eastAsia"/>
                      <w:color w:val="auto"/>
                      <w:highlight w:val="none"/>
                    </w:rPr>
                  </w:pPr>
                  <w:r>
                    <w:rPr>
                      <w:rFonts w:hint="eastAsia"/>
                      <w:color w:val="auto"/>
                      <w:highlight w:val="none"/>
                    </w:rPr>
                    <w:t>（一）新建、改建、扩建与供水设施和保护水源无关的建设项目；已建成的与供水设施和保护水源无关的建设项目，由县级以上人民政府责令拆除或者关闭。</w:t>
                  </w:r>
                </w:p>
                <w:p w14:paraId="1F0A8AB5">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（二）禁止在饮用水水源一级保护区内从事网箱养殖、旅游、游泳、垂钓或者其他可能污染饮用水水体的活动。</w:t>
                  </w:r>
                </w:p>
              </w:tc>
              <w:tc>
                <w:tcPr>
                  <w:tcW w:w="2143" w:type="dxa"/>
                  <w:tcBorders>
                    <w:tl2br w:val="nil"/>
                    <w:tr2bl w:val="nil"/>
                  </w:tcBorders>
                  <w:vAlign w:val="center"/>
                </w:tcPr>
                <w:p w14:paraId="5C5AD9F8">
                  <w:pPr>
                    <w:pStyle w:val="7"/>
                    <w:keepNext w:val="0"/>
                    <w:keepLines w:val="0"/>
                    <w:suppressLineNumbers w:val="0"/>
                    <w:spacing w:before="0" w:beforeAutospacing="0" w:after="0" w:afterAutospacing="0"/>
                    <w:ind w:left="0" w:right="0"/>
                    <w:rPr>
                      <w:rFonts w:hint="eastAsia" w:eastAsia="宋体"/>
                      <w:color w:val="auto"/>
                      <w:highlight w:val="none"/>
                      <w:lang w:eastAsia="zh-CN"/>
                    </w:rPr>
                  </w:pPr>
                  <w:r>
                    <w:rPr>
                      <w:rFonts w:hint="eastAsia"/>
                      <w:color w:val="auto"/>
                      <w:highlight w:val="none"/>
                    </w:rPr>
                    <w:t>本项目不在饮用水水源一级保护区的岸线和河段范围内</w:t>
                  </w:r>
                </w:p>
              </w:tc>
              <w:tc>
                <w:tcPr>
                  <w:tcW w:w="742" w:type="dxa"/>
                  <w:tcBorders>
                    <w:tl2br w:val="nil"/>
                    <w:tr2bl w:val="nil"/>
                  </w:tcBorders>
                  <w:vAlign w:val="center"/>
                </w:tcPr>
                <w:p w14:paraId="7E674985">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符合</w:t>
                  </w:r>
                </w:p>
              </w:tc>
            </w:tr>
            <w:tr w14:paraId="298696E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50" w:type="dxa"/>
                  <w:vMerge w:val="continue"/>
                  <w:tcBorders>
                    <w:tl2br w:val="nil"/>
                    <w:tr2bl w:val="nil"/>
                  </w:tcBorders>
                  <w:vAlign w:val="center"/>
                </w:tcPr>
                <w:p w14:paraId="538D3016">
                  <w:pPr>
                    <w:pStyle w:val="7"/>
                    <w:keepNext w:val="0"/>
                    <w:keepLines w:val="0"/>
                    <w:suppressLineNumbers w:val="0"/>
                    <w:spacing w:before="0" w:beforeAutospacing="0" w:after="0" w:afterAutospacing="0"/>
                    <w:ind w:left="0" w:right="0"/>
                    <w:jc w:val="center"/>
                    <w:rPr>
                      <w:rFonts w:hint="eastAsia" w:eastAsia="宋体"/>
                      <w:color w:val="auto"/>
                      <w:highlight w:val="none"/>
                      <w:lang w:val="en-US" w:eastAsia="zh-CN"/>
                    </w:rPr>
                  </w:pPr>
                </w:p>
              </w:tc>
              <w:tc>
                <w:tcPr>
                  <w:tcW w:w="3009" w:type="dxa"/>
                  <w:tcBorders>
                    <w:tl2br w:val="nil"/>
                    <w:tr2bl w:val="nil"/>
                  </w:tcBorders>
                  <w:vAlign w:val="center"/>
                </w:tcPr>
                <w:p w14:paraId="56DF05A1">
                  <w:pPr>
                    <w:pStyle w:val="7"/>
                    <w:keepNext w:val="0"/>
                    <w:keepLines w:val="0"/>
                    <w:suppressLineNumbers w:val="0"/>
                    <w:spacing w:before="0" w:beforeAutospacing="0" w:after="0" w:afterAutospacing="0"/>
                    <w:ind w:left="0" w:right="0"/>
                    <w:rPr>
                      <w:rFonts w:hint="eastAsia"/>
                      <w:color w:val="auto"/>
                      <w:highlight w:val="none"/>
                    </w:rPr>
                  </w:pPr>
                  <w:r>
                    <w:rPr>
                      <w:rFonts w:hint="eastAsia"/>
                      <w:color w:val="auto"/>
                      <w:highlight w:val="none"/>
                    </w:rPr>
                    <w:t>禁止在饮用水水源二级保护区的岸线和河段范围内开展下列行为：</w:t>
                  </w:r>
                </w:p>
                <w:p w14:paraId="363217F1">
                  <w:pPr>
                    <w:pStyle w:val="7"/>
                    <w:keepNext w:val="0"/>
                    <w:keepLines w:val="0"/>
                    <w:suppressLineNumbers w:val="0"/>
                    <w:spacing w:before="0" w:beforeAutospacing="0" w:after="0" w:afterAutospacing="0"/>
                    <w:ind w:left="0" w:right="0"/>
                    <w:rPr>
                      <w:rFonts w:hint="eastAsia"/>
                      <w:color w:val="auto"/>
                      <w:highlight w:val="none"/>
                    </w:rPr>
                  </w:pPr>
                  <w:r>
                    <w:rPr>
                      <w:rFonts w:hint="eastAsia"/>
                      <w:color w:val="auto"/>
                      <w:highlight w:val="none"/>
                    </w:rPr>
                    <w:t>（一）新建、改建、扩建排放污染物的建设项目；已建成的排放污染物的建设项目，由县级以上人民政府责令拆除或者关闭。</w:t>
                  </w:r>
                </w:p>
                <w:p w14:paraId="34AC737B">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（二）在饮用水水源二级保护区内从事网箱养殖、旅游等活动的，应当按照规定采取措施，防止污染饮用水水体</w:t>
                  </w:r>
                  <w:r>
                    <w:rPr>
                      <w:rFonts w:hint="eastAsia"/>
                      <w:color w:val="auto"/>
                      <w:highlight w:val="none"/>
                      <w:lang w:eastAsia="zh-CN"/>
                    </w:rPr>
                    <w:t>。</w:t>
                  </w:r>
                </w:p>
              </w:tc>
              <w:tc>
                <w:tcPr>
                  <w:tcW w:w="2143" w:type="dxa"/>
                  <w:tcBorders>
                    <w:tl2br w:val="nil"/>
                    <w:tr2bl w:val="nil"/>
                  </w:tcBorders>
                  <w:vAlign w:val="center"/>
                </w:tcPr>
                <w:p w14:paraId="191B582E">
                  <w:pPr>
                    <w:pStyle w:val="7"/>
                    <w:keepNext w:val="0"/>
                    <w:keepLines w:val="0"/>
                    <w:suppressLineNumbers w:val="0"/>
                    <w:spacing w:before="0" w:beforeAutospacing="0" w:after="0" w:afterAutospacing="0"/>
                    <w:ind w:left="0" w:right="0"/>
                    <w:rPr>
                      <w:rFonts w:hint="eastAsia" w:eastAsia="宋体"/>
                      <w:color w:val="auto"/>
                      <w:highlight w:val="none"/>
                      <w:lang w:eastAsia="zh-CN"/>
                    </w:rPr>
                  </w:pPr>
                  <w:r>
                    <w:rPr>
                      <w:rFonts w:hint="eastAsia"/>
                      <w:color w:val="auto"/>
                      <w:highlight w:val="none"/>
                    </w:rPr>
                    <w:t>本项目不在饮用水水源二级保护区的岸线和河段范围内</w:t>
                  </w:r>
                </w:p>
              </w:tc>
              <w:tc>
                <w:tcPr>
                  <w:tcW w:w="742" w:type="dxa"/>
                  <w:tcBorders>
                    <w:tl2br w:val="nil"/>
                    <w:tr2bl w:val="nil"/>
                  </w:tcBorders>
                  <w:vAlign w:val="center"/>
                </w:tcPr>
                <w:p w14:paraId="37B7FCD9">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符合</w:t>
                  </w:r>
                </w:p>
              </w:tc>
            </w:tr>
            <w:tr w14:paraId="138372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50" w:type="dxa"/>
                  <w:vMerge w:val="continue"/>
                  <w:tcBorders>
                    <w:tl2br w:val="nil"/>
                    <w:tr2bl w:val="nil"/>
                  </w:tcBorders>
                  <w:vAlign w:val="center"/>
                </w:tcPr>
                <w:p w14:paraId="56D48B0E">
                  <w:pPr>
                    <w:pStyle w:val="7"/>
                    <w:keepNext w:val="0"/>
                    <w:keepLines w:val="0"/>
                    <w:suppressLineNumbers w:val="0"/>
                    <w:spacing w:before="0" w:beforeAutospacing="0" w:after="0" w:afterAutospacing="0"/>
                    <w:ind w:left="0" w:right="0"/>
                    <w:jc w:val="center"/>
                    <w:rPr>
                      <w:rFonts w:hint="eastAsia" w:eastAsia="宋体"/>
                      <w:color w:val="auto"/>
                      <w:highlight w:val="none"/>
                      <w:lang w:val="en-US" w:eastAsia="zh-CN"/>
                    </w:rPr>
                  </w:pPr>
                </w:p>
              </w:tc>
              <w:tc>
                <w:tcPr>
                  <w:tcW w:w="3009" w:type="dxa"/>
                  <w:tcBorders>
                    <w:tl2br w:val="nil"/>
                    <w:tr2bl w:val="nil"/>
                  </w:tcBorders>
                  <w:vAlign w:val="center"/>
                </w:tcPr>
                <w:p w14:paraId="5C85C184">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禁止在水产种质资源保护区的岸线和河段范围内新建围湖（河）造田（地）等投资建设项目。单位和个人在水产种质资源保护区内从事水生生物资源调查、科学研究、教学实习、参观游览、影视拍摄等活动，应当遵守有关法律法规和保护区管理制度，不得损害水产种质资源及其生存环境。</w:t>
                  </w:r>
                </w:p>
              </w:tc>
              <w:tc>
                <w:tcPr>
                  <w:tcW w:w="2143" w:type="dxa"/>
                  <w:tcBorders>
                    <w:tl2br w:val="nil"/>
                    <w:tr2bl w:val="nil"/>
                  </w:tcBorders>
                  <w:vAlign w:val="center"/>
                </w:tcPr>
                <w:p w14:paraId="542CDB0C">
                  <w:pPr>
                    <w:pStyle w:val="7"/>
                    <w:keepNext w:val="0"/>
                    <w:keepLines w:val="0"/>
                    <w:suppressLineNumbers w:val="0"/>
                    <w:spacing w:before="0" w:beforeAutospacing="0" w:after="0" w:afterAutospacing="0"/>
                    <w:ind w:left="0" w:right="0"/>
                    <w:rPr>
                      <w:rFonts w:hint="eastAsia" w:eastAsia="宋体"/>
                      <w:color w:val="auto"/>
                      <w:highlight w:val="none"/>
                      <w:lang w:eastAsia="zh-CN"/>
                    </w:rPr>
                  </w:pPr>
                  <w:r>
                    <w:rPr>
                      <w:rFonts w:hint="eastAsia"/>
                      <w:color w:val="auto"/>
                      <w:highlight w:val="none"/>
                    </w:rPr>
                    <w:t>本项目不在水产种质资源保护区的岸线和河段范围内</w:t>
                  </w:r>
                </w:p>
              </w:tc>
              <w:tc>
                <w:tcPr>
                  <w:tcW w:w="742" w:type="dxa"/>
                  <w:tcBorders>
                    <w:tl2br w:val="nil"/>
                    <w:tr2bl w:val="nil"/>
                  </w:tcBorders>
                  <w:vAlign w:val="center"/>
                </w:tcPr>
                <w:p w14:paraId="67470F13">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符合</w:t>
                  </w:r>
                </w:p>
              </w:tc>
            </w:tr>
            <w:tr w14:paraId="69F282C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50" w:type="dxa"/>
                  <w:vMerge w:val="continue"/>
                  <w:tcBorders>
                    <w:tl2br w:val="nil"/>
                    <w:tr2bl w:val="nil"/>
                  </w:tcBorders>
                  <w:vAlign w:val="center"/>
                </w:tcPr>
                <w:p w14:paraId="5AE3682B">
                  <w:pPr>
                    <w:pStyle w:val="7"/>
                    <w:keepNext w:val="0"/>
                    <w:keepLines w:val="0"/>
                    <w:suppressLineNumbers w:val="0"/>
                    <w:spacing w:before="0" w:beforeAutospacing="0" w:after="0" w:afterAutospacing="0"/>
                    <w:ind w:left="0" w:right="0"/>
                    <w:jc w:val="center"/>
                    <w:rPr>
                      <w:rFonts w:hint="eastAsia" w:eastAsia="宋体"/>
                      <w:color w:val="auto"/>
                      <w:highlight w:val="none"/>
                      <w:lang w:val="en-US" w:eastAsia="zh-CN"/>
                    </w:rPr>
                  </w:pPr>
                </w:p>
              </w:tc>
              <w:tc>
                <w:tcPr>
                  <w:tcW w:w="3009" w:type="dxa"/>
                  <w:tcBorders>
                    <w:tl2br w:val="nil"/>
                    <w:tr2bl w:val="nil"/>
                  </w:tcBorders>
                  <w:vAlign w:val="center"/>
                </w:tcPr>
                <w:p w14:paraId="129694C7">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除国家规定的外，禁止在国家湿地公园的岸线和河段范围内挖沙、采矿以及任何不符合主体功能定位的投资建设项目</w:t>
                  </w:r>
                  <w:r>
                    <w:rPr>
                      <w:rFonts w:hint="eastAsia"/>
                      <w:color w:val="auto"/>
                      <w:highlight w:val="none"/>
                      <w:lang w:eastAsia="zh-CN"/>
                    </w:rPr>
                    <w:t>。</w:t>
                  </w:r>
                </w:p>
              </w:tc>
              <w:tc>
                <w:tcPr>
                  <w:tcW w:w="2143" w:type="dxa"/>
                  <w:tcBorders>
                    <w:tl2br w:val="nil"/>
                    <w:tr2bl w:val="nil"/>
                  </w:tcBorders>
                  <w:vAlign w:val="center"/>
                </w:tcPr>
                <w:p w14:paraId="164B7C89">
                  <w:pPr>
                    <w:pStyle w:val="7"/>
                    <w:keepNext w:val="0"/>
                    <w:keepLines w:val="0"/>
                    <w:suppressLineNumbers w:val="0"/>
                    <w:spacing w:before="0" w:beforeAutospacing="0" w:after="0" w:afterAutospacing="0"/>
                    <w:ind w:left="0" w:right="0"/>
                    <w:rPr>
                      <w:rFonts w:hint="eastAsia" w:eastAsia="宋体"/>
                      <w:color w:val="auto"/>
                      <w:highlight w:val="none"/>
                      <w:lang w:val="en-US" w:eastAsia="zh-CN"/>
                    </w:rPr>
                  </w:pPr>
                  <w:r>
                    <w:rPr>
                      <w:rFonts w:hint="eastAsia"/>
                      <w:color w:val="auto"/>
                      <w:highlight w:val="none"/>
                    </w:rPr>
                    <w:t>本项目不在国家湿地公园的岸线和河段范围内</w:t>
                  </w:r>
                </w:p>
              </w:tc>
              <w:tc>
                <w:tcPr>
                  <w:tcW w:w="742" w:type="dxa"/>
                  <w:tcBorders>
                    <w:tl2br w:val="nil"/>
                    <w:tr2bl w:val="nil"/>
                  </w:tcBorders>
                  <w:vAlign w:val="center"/>
                </w:tcPr>
                <w:p w14:paraId="4CD75C44">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符合</w:t>
                  </w:r>
                </w:p>
              </w:tc>
            </w:tr>
            <w:tr w14:paraId="7032E99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50" w:type="dxa"/>
                  <w:vMerge w:val="continue"/>
                  <w:tcBorders>
                    <w:tl2br w:val="nil"/>
                    <w:tr2bl w:val="nil"/>
                  </w:tcBorders>
                  <w:vAlign w:val="center"/>
                </w:tcPr>
                <w:p w14:paraId="3D0EA121">
                  <w:pPr>
                    <w:pStyle w:val="7"/>
                    <w:keepNext w:val="0"/>
                    <w:keepLines w:val="0"/>
                    <w:suppressLineNumbers w:val="0"/>
                    <w:spacing w:before="0" w:beforeAutospacing="0" w:after="0" w:afterAutospacing="0"/>
                    <w:ind w:left="0" w:right="0"/>
                    <w:jc w:val="center"/>
                    <w:rPr>
                      <w:rFonts w:hint="eastAsia" w:eastAsia="宋体"/>
                      <w:color w:val="auto"/>
                      <w:highlight w:val="none"/>
                      <w:lang w:val="en-US" w:eastAsia="zh-CN"/>
                    </w:rPr>
                  </w:pPr>
                </w:p>
              </w:tc>
              <w:tc>
                <w:tcPr>
                  <w:tcW w:w="3009" w:type="dxa"/>
                  <w:tcBorders>
                    <w:tl2br w:val="nil"/>
                    <w:tr2bl w:val="nil"/>
                  </w:tcBorders>
                  <w:vAlign w:val="center"/>
                </w:tcPr>
                <w:p w14:paraId="520A2E4C">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禁止违法利用、占用长江流域河湖岸线。禁止在《长江岸线保护和开发利用总体规划》划定的岸线保护区和保留区内投资建设除事关公共安全及公众利益的防洪护岸、河道治理、供水、生态环境保护、航道整治、国家重要基础设施以外</w:t>
                  </w:r>
                  <w:r>
                    <w:rPr>
                      <w:rFonts w:hint="eastAsia"/>
                      <w:color w:val="auto"/>
                      <w:highlight w:val="none"/>
                      <w:lang w:val="en-US" w:eastAsia="zh-CN"/>
                    </w:rPr>
                    <w:t>的项目。</w:t>
                  </w:r>
                </w:p>
              </w:tc>
              <w:tc>
                <w:tcPr>
                  <w:tcW w:w="2143" w:type="dxa"/>
                  <w:tcBorders>
                    <w:tl2br w:val="nil"/>
                    <w:tr2bl w:val="nil"/>
                  </w:tcBorders>
                  <w:vAlign w:val="center"/>
                </w:tcPr>
                <w:p w14:paraId="1ECBA5F1">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本项目不在长江流域河湖岸线</w:t>
                  </w:r>
                  <w:r>
                    <w:rPr>
                      <w:rFonts w:hint="eastAsia"/>
                      <w:color w:val="auto"/>
                      <w:highlight w:val="none"/>
                      <w:lang w:val="en-US" w:eastAsia="zh-CN"/>
                    </w:rPr>
                    <w:t>上</w:t>
                  </w:r>
                  <w:r>
                    <w:rPr>
                      <w:rFonts w:hint="eastAsia"/>
                      <w:color w:val="auto"/>
                      <w:highlight w:val="none"/>
                      <w:lang w:eastAsia="zh-CN"/>
                    </w:rPr>
                    <w:t>；本项目不在长江岸线保护区</w:t>
                  </w:r>
                  <w:r>
                    <w:rPr>
                      <w:rFonts w:hint="eastAsia"/>
                      <w:color w:val="auto"/>
                      <w:highlight w:val="none"/>
                    </w:rPr>
                    <w:t>和保留区</w:t>
                  </w:r>
                  <w:r>
                    <w:rPr>
                      <w:rFonts w:hint="eastAsia"/>
                      <w:color w:val="auto"/>
                      <w:highlight w:val="none"/>
                      <w:lang w:eastAsia="zh-CN"/>
                    </w:rPr>
                    <w:t>内。</w:t>
                  </w:r>
                </w:p>
              </w:tc>
              <w:tc>
                <w:tcPr>
                  <w:tcW w:w="742" w:type="dxa"/>
                  <w:tcBorders>
                    <w:tl2br w:val="nil"/>
                    <w:tr2bl w:val="nil"/>
                  </w:tcBorders>
                  <w:vAlign w:val="center"/>
                </w:tcPr>
                <w:p w14:paraId="1FF24942">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符合</w:t>
                  </w:r>
                </w:p>
              </w:tc>
            </w:tr>
            <w:tr w14:paraId="0FD62F6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50" w:type="dxa"/>
                  <w:vMerge w:val="continue"/>
                  <w:tcBorders>
                    <w:tl2br w:val="nil"/>
                    <w:tr2bl w:val="nil"/>
                  </w:tcBorders>
                  <w:vAlign w:val="center"/>
                </w:tcPr>
                <w:p w14:paraId="48ACF991">
                  <w:pPr>
                    <w:pStyle w:val="7"/>
                    <w:keepNext w:val="0"/>
                    <w:keepLines w:val="0"/>
                    <w:suppressLineNumbers w:val="0"/>
                    <w:spacing w:before="0" w:beforeAutospacing="0" w:after="0" w:afterAutospacing="0"/>
                    <w:ind w:left="0" w:right="0"/>
                    <w:jc w:val="center"/>
                    <w:rPr>
                      <w:rFonts w:hint="eastAsia" w:eastAsia="宋体"/>
                      <w:color w:val="auto"/>
                      <w:highlight w:val="none"/>
                      <w:lang w:val="en-US" w:eastAsia="zh-CN"/>
                    </w:rPr>
                  </w:pPr>
                </w:p>
              </w:tc>
              <w:tc>
                <w:tcPr>
                  <w:tcW w:w="3009" w:type="dxa"/>
                  <w:tcBorders>
                    <w:tl2br w:val="nil"/>
                    <w:tr2bl w:val="nil"/>
                  </w:tcBorders>
                  <w:vAlign w:val="center"/>
                </w:tcPr>
                <w:p w14:paraId="4EBFD146">
                  <w:pPr>
                    <w:pStyle w:val="7"/>
                    <w:keepNext w:val="0"/>
                    <w:keepLines w:val="0"/>
                    <w:suppressLineNumbers w:val="0"/>
                    <w:spacing w:before="0" w:beforeAutospacing="0" w:after="0" w:afterAutospacing="0"/>
                    <w:ind w:left="0" w:right="0"/>
                    <w:rPr>
                      <w:rFonts w:hint="eastAsia"/>
                      <w:color w:val="auto"/>
                      <w:highlight w:val="none"/>
                    </w:rPr>
                  </w:pPr>
                  <w:r>
                    <w:rPr>
                      <w:rFonts w:hint="eastAsia"/>
                      <w:color w:val="auto"/>
                      <w:highlight w:val="none"/>
                    </w:rPr>
                    <w:t>禁止在《全国重要江河湖泊水功能区划》划定的河段及湖泊保护区、保留区内投资建设不利于水资源及自然生态保护的项目。</w:t>
                  </w:r>
                </w:p>
              </w:tc>
              <w:tc>
                <w:tcPr>
                  <w:tcW w:w="2143" w:type="dxa"/>
                  <w:tcBorders>
                    <w:tl2br w:val="nil"/>
                    <w:tr2bl w:val="nil"/>
                  </w:tcBorders>
                  <w:vAlign w:val="center"/>
                </w:tcPr>
                <w:p w14:paraId="25EDDD53">
                  <w:pPr>
                    <w:pStyle w:val="7"/>
                    <w:keepNext w:val="0"/>
                    <w:keepLines w:val="0"/>
                    <w:suppressLineNumbers w:val="0"/>
                    <w:spacing w:before="0" w:beforeAutospacing="0" w:after="0" w:afterAutospacing="0"/>
                    <w:ind w:left="0" w:right="0"/>
                    <w:rPr>
                      <w:rFonts w:hint="eastAsia"/>
                      <w:color w:val="auto"/>
                      <w:highlight w:val="none"/>
                    </w:rPr>
                  </w:pPr>
                  <w:r>
                    <w:rPr>
                      <w:rFonts w:hint="eastAsia"/>
                      <w:color w:val="auto"/>
                      <w:highlight w:val="none"/>
                      <w:lang w:eastAsia="zh-CN"/>
                    </w:rPr>
                    <w:t>本项目不在</w:t>
                  </w:r>
                  <w:r>
                    <w:rPr>
                      <w:rFonts w:hint="eastAsia"/>
                      <w:color w:val="auto"/>
                      <w:highlight w:val="none"/>
                    </w:rPr>
                    <w:t>《全国重要江河湖泊水功能区划》划定的</w:t>
                  </w:r>
                  <w:r>
                    <w:rPr>
                      <w:rFonts w:hint="eastAsia"/>
                      <w:color w:val="auto"/>
                      <w:highlight w:val="none"/>
                      <w:lang w:eastAsia="zh-CN"/>
                    </w:rPr>
                    <w:t>河段</w:t>
                  </w:r>
                  <w:r>
                    <w:rPr>
                      <w:rFonts w:hint="default"/>
                      <w:color w:val="auto"/>
                      <w:highlight w:val="none"/>
                    </w:rPr>
                    <w:t>及湖泊</w:t>
                  </w:r>
                  <w:r>
                    <w:rPr>
                      <w:rFonts w:hint="eastAsia"/>
                      <w:color w:val="auto"/>
                      <w:highlight w:val="none"/>
                      <w:lang w:eastAsia="zh-CN"/>
                    </w:rPr>
                    <w:t>保护区、保留区内。</w:t>
                  </w:r>
                </w:p>
              </w:tc>
              <w:tc>
                <w:tcPr>
                  <w:tcW w:w="742" w:type="dxa"/>
                  <w:tcBorders>
                    <w:tl2br w:val="nil"/>
                    <w:tr2bl w:val="nil"/>
                  </w:tcBorders>
                  <w:vAlign w:val="center"/>
                </w:tcPr>
                <w:p w14:paraId="3497B205">
                  <w:pPr>
                    <w:pStyle w:val="7"/>
                    <w:keepNext w:val="0"/>
                    <w:keepLines w:val="0"/>
                    <w:suppressLineNumbers w:val="0"/>
                    <w:spacing w:before="0" w:beforeAutospacing="0" w:after="0" w:afterAutospacing="0"/>
                    <w:ind w:left="0" w:right="0"/>
                    <w:rPr>
                      <w:rFonts w:hint="eastAsia"/>
                      <w:color w:val="auto"/>
                      <w:highlight w:val="none"/>
                    </w:rPr>
                  </w:pPr>
                  <w:r>
                    <w:rPr>
                      <w:rFonts w:hint="eastAsia"/>
                      <w:color w:val="auto"/>
                      <w:highlight w:val="none"/>
                    </w:rPr>
                    <w:t>符合</w:t>
                  </w:r>
                </w:p>
              </w:tc>
            </w:tr>
            <w:tr w14:paraId="66AFB48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50" w:type="dxa"/>
                  <w:vMerge w:val="restart"/>
                  <w:tcBorders>
                    <w:tl2br w:val="nil"/>
                    <w:tr2bl w:val="nil"/>
                  </w:tcBorders>
                  <w:vAlign w:val="center"/>
                </w:tcPr>
                <w:p w14:paraId="4ACCC66F">
                  <w:pPr>
                    <w:pStyle w:val="7"/>
                    <w:keepNext w:val="0"/>
                    <w:keepLines w:val="0"/>
                    <w:suppressLineNumbers w:val="0"/>
                    <w:spacing w:before="0" w:beforeAutospacing="0" w:after="0" w:afterAutospacing="0"/>
                    <w:ind w:left="0" w:right="0"/>
                    <w:rPr>
                      <w:rFonts w:hint="eastAsia" w:eastAsia="宋体"/>
                      <w:color w:val="auto"/>
                      <w:highlight w:val="none"/>
                      <w:lang w:val="en-US" w:eastAsia="zh-CN"/>
                    </w:rPr>
                  </w:pPr>
                  <w:r>
                    <w:rPr>
                      <w:rFonts w:hint="eastAsia"/>
                      <w:color w:val="auto"/>
                      <w:highlight w:val="none"/>
                    </w:rPr>
                    <w:t>严格区域管控</w:t>
                  </w:r>
                </w:p>
              </w:tc>
              <w:tc>
                <w:tcPr>
                  <w:tcW w:w="3009" w:type="dxa"/>
                  <w:tcBorders>
                    <w:tl2br w:val="nil"/>
                    <w:tr2bl w:val="nil"/>
                  </w:tcBorders>
                  <w:vAlign w:val="center"/>
                </w:tcPr>
                <w:p w14:paraId="336D0C1F">
                  <w:pPr>
                    <w:pStyle w:val="7"/>
                    <w:keepNext w:val="0"/>
                    <w:keepLines w:val="0"/>
                    <w:suppressLineNumbers w:val="0"/>
                    <w:spacing w:before="0" w:beforeAutospacing="0" w:after="0" w:afterAutospacing="0"/>
                    <w:ind w:left="0" w:right="0"/>
                    <w:rPr>
                      <w:rFonts w:hint="eastAsia"/>
                      <w:color w:val="auto"/>
                      <w:highlight w:val="none"/>
                    </w:rPr>
                  </w:pPr>
                  <w:r>
                    <w:rPr>
                      <w:rFonts w:hint="eastAsia"/>
                      <w:color w:val="auto"/>
                      <w:highlight w:val="none"/>
                    </w:rPr>
                    <w:t>禁止未经许可在长江干支流及湖泊新设、改设或扩大排污口。</w:t>
                  </w:r>
                </w:p>
              </w:tc>
              <w:tc>
                <w:tcPr>
                  <w:tcW w:w="2143" w:type="dxa"/>
                  <w:tcBorders>
                    <w:tl2br w:val="nil"/>
                    <w:tr2bl w:val="nil"/>
                  </w:tcBorders>
                  <w:vAlign w:val="center"/>
                </w:tcPr>
                <w:p w14:paraId="38FC94AA">
                  <w:pPr>
                    <w:pStyle w:val="7"/>
                    <w:keepNext w:val="0"/>
                    <w:keepLines w:val="0"/>
                    <w:suppressLineNumbers w:val="0"/>
                    <w:spacing w:before="0" w:beforeAutospacing="0" w:after="0" w:afterAutospacing="0"/>
                    <w:ind w:left="0" w:right="0"/>
                    <w:rPr>
                      <w:rFonts w:hint="eastAsia"/>
                      <w:color w:val="auto"/>
                      <w:highlight w:val="none"/>
                    </w:rPr>
                  </w:pPr>
                  <w:r>
                    <w:rPr>
                      <w:rFonts w:hint="eastAsia"/>
                      <w:color w:val="auto"/>
                      <w:highlight w:val="none"/>
                    </w:rPr>
                    <w:t>本项目</w:t>
                  </w:r>
                  <w:r>
                    <w:rPr>
                      <w:rFonts w:hint="eastAsia"/>
                      <w:color w:val="auto"/>
                      <w:highlight w:val="none"/>
                      <w:lang w:val="en-US" w:eastAsia="zh-CN"/>
                    </w:rPr>
                    <w:t>不</w:t>
                  </w:r>
                  <w:r>
                    <w:rPr>
                      <w:rFonts w:hint="eastAsia"/>
                      <w:color w:val="auto"/>
                      <w:highlight w:val="none"/>
                    </w:rPr>
                    <w:t>在</w:t>
                  </w:r>
                  <w:r>
                    <w:rPr>
                      <w:rFonts w:hint="default"/>
                      <w:color w:val="auto"/>
                      <w:highlight w:val="none"/>
                    </w:rPr>
                    <w:t>长江干支流及湖泊</w:t>
                  </w:r>
                  <w:r>
                    <w:rPr>
                      <w:rFonts w:hint="eastAsia"/>
                      <w:color w:val="auto"/>
                      <w:highlight w:val="none"/>
                      <w:lang w:val="en-US" w:eastAsia="zh-CN"/>
                    </w:rPr>
                    <w:t>区域内</w:t>
                  </w:r>
                </w:p>
              </w:tc>
              <w:tc>
                <w:tcPr>
                  <w:tcW w:w="742" w:type="dxa"/>
                  <w:tcBorders>
                    <w:tl2br w:val="nil"/>
                    <w:tr2bl w:val="nil"/>
                  </w:tcBorders>
                  <w:vAlign w:val="center"/>
                </w:tcPr>
                <w:p w14:paraId="66F57F64">
                  <w:pPr>
                    <w:pStyle w:val="7"/>
                    <w:keepNext w:val="0"/>
                    <w:keepLines w:val="0"/>
                    <w:suppressLineNumbers w:val="0"/>
                    <w:spacing w:before="0" w:beforeAutospacing="0" w:after="0" w:afterAutospacing="0"/>
                    <w:ind w:left="0" w:right="0"/>
                    <w:rPr>
                      <w:rFonts w:hint="eastAsia"/>
                      <w:color w:val="auto"/>
                      <w:highlight w:val="none"/>
                    </w:rPr>
                  </w:pPr>
                  <w:r>
                    <w:rPr>
                      <w:rFonts w:hint="eastAsia"/>
                      <w:color w:val="auto"/>
                      <w:highlight w:val="none"/>
                    </w:rPr>
                    <w:t>符合</w:t>
                  </w:r>
                </w:p>
              </w:tc>
            </w:tr>
            <w:tr w14:paraId="4EE468A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50" w:type="dxa"/>
                  <w:vMerge w:val="continue"/>
                  <w:tcBorders>
                    <w:tl2br w:val="nil"/>
                    <w:tr2bl w:val="nil"/>
                  </w:tcBorders>
                  <w:vAlign w:val="center"/>
                </w:tcPr>
                <w:p w14:paraId="7188C13E">
                  <w:pPr>
                    <w:pStyle w:val="7"/>
                    <w:keepNext w:val="0"/>
                    <w:keepLines w:val="0"/>
                    <w:suppressLineNumbers w:val="0"/>
                    <w:spacing w:before="0" w:beforeAutospacing="0" w:after="0" w:afterAutospacing="0"/>
                    <w:ind w:left="0" w:right="0"/>
                    <w:jc w:val="center"/>
                    <w:rPr>
                      <w:rFonts w:hint="eastAsia" w:eastAsia="宋体"/>
                      <w:color w:val="auto"/>
                      <w:highlight w:val="none"/>
                      <w:lang w:val="en-US" w:eastAsia="zh-CN"/>
                    </w:rPr>
                  </w:pPr>
                </w:p>
              </w:tc>
              <w:tc>
                <w:tcPr>
                  <w:tcW w:w="3009" w:type="dxa"/>
                  <w:tcBorders>
                    <w:tl2br w:val="nil"/>
                    <w:tr2bl w:val="nil"/>
                  </w:tcBorders>
                  <w:vAlign w:val="center"/>
                </w:tcPr>
                <w:p w14:paraId="1D5F4CDF">
                  <w:pPr>
                    <w:pStyle w:val="7"/>
                    <w:keepNext w:val="0"/>
                    <w:keepLines w:val="0"/>
                    <w:suppressLineNumbers w:val="0"/>
                    <w:spacing w:before="0" w:beforeAutospacing="0" w:after="0" w:afterAutospacing="0"/>
                    <w:ind w:left="0" w:right="0"/>
                    <w:rPr>
                      <w:rFonts w:hint="eastAsia"/>
                      <w:color w:val="auto"/>
                      <w:highlight w:val="none"/>
                    </w:rPr>
                  </w:pPr>
                  <w:r>
                    <w:rPr>
                      <w:rFonts w:hint="eastAsia"/>
                      <w:color w:val="auto"/>
                      <w:highlight w:val="none"/>
                    </w:rPr>
                    <w:t>禁止在长江干流江西段、</w:t>
                  </w:r>
                  <w:r>
                    <w:rPr>
                      <w:rFonts w:hint="eastAsia"/>
                      <w:color w:val="auto"/>
                      <w:highlight w:val="none"/>
                      <w:lang w:val="en-US" w:eastAsia="zh-CN"/>
                    </w:rPr>
                    <w:t>鄱</w:t>
                  </w:r>
                  <w:r>
                    <w:rPr>
                      <w:rFonts w:hint="eastAsia"/>
                      <w:color w:val="auto"/>
                      <w:highlight w:val="none"/>
                    </w:rPr>
                    <w:t>阳湖和《率先全面禁捕的长江流域水生生物保护区名录》中的水生生物保护区开展生产性捕捞。</w:t>
                  </w:r>
                </w:p>
              </w:tc>
              <w:tc>
                <w:tcPr>
                  <w:tcW w:w="2143" w:type="dxa"/>
                  <w:tcBorders>
                    <w:tl2br w:val="nil"/>
                    <w:tr2bl w:val="nil"/>
                  </w:tcBorders>
                  <w:vAlign w:val="center"/>
                </w:tcPr>
                <w:p w14:paraId="790CE040">
                  <w:pPr>
                    <w:pStyle w:val="7"/>
                    <w:keepNext w:val="0"/>
                    <w:keepLines w:val="0"/>
                    <w:suppressLineNumbers w:val="0"/>
                    <w:spacing w:before="0" w:beforeAutospacing="0" w:after="0" w:afterAutospacing="0"/>
                    <w:ind w:left="0" w:right="0"/>
                    <w:rPr>
                      <w:rFonts w:hint="eastAsia" w:eastAsia="宋体"/>
                      <w:color w:val="auto"/>
                      <w:highlight w:val="none"/>
                      <w:lang w:eastAsia="zh-CN"/>
                    </w:rPr>
                  </w:pPr>
                  <w:r>
                    <w:rPr>
                      <w:rFonts w:hint="eastAsia"/>
                      <w:color w:val="auto"/>
                      <w:highlight w:val="none"/>
                    </w:rPr>
                    <w:t>本项目不在长江干流江西段、</w:t>
                  </w:r>
                  <w:r>
                    <w:rPr>
                      <w:rFonts w:hint="eastAsia"/>
                      <w:color w:val="auto"/>
                      <w:highlight w:val="none"/>
                      <w:lang w:val="en-US" w:eastAsia="zh-CN"/>
                    </w:rPr>
                    <w:t>鄱</w:t>
                  </w:r>
                  <w:r>
                    <w:rPr>
                      <w:rFonts w:hint="eastAsia"/>
                      <w:color w:val="auto"/>
                      <w:highlight w:val="none"/>
                    </w:rPr>
                    <w:t>阳湖和《率先全面禁捕的长江流域水生生物保护区名录》中的水生生物保护区</w:t>
                  </w:r>
                  <w:r>
                    <w:rPr>
                      <w:rFonts w:hint="eastAsia"/>
                      <w:color w:val="auto"/>
                      <w:highlight w:val="none"/>
                      <w:lang w:eastAsia="zh-CN"/>
                    </w:rPr>
                    <w:t>。</w:t>
                  </w:r>
                </w:p>
              </w:tc>
              <w:tc>
                <w:tcPr>
                  <w:tcW w:w="742" w:type="dxa"/>
                  <w:tcBorders>
                    <w:tl2br w:val="nil"/>
                    <w:tr2bl w:val="nil"/>
                  </w:tcBorders>
                  <w:vAlign w:val="center"/>
                </w:tcPr>
                <w:p w14:paraId="3E654E06">
                  <w:pPr>
                    <w:pStyle w:val="7"/>
                    <w:keepNext w:val="0"/>
                    <w:keepLines w:val="0"/>
                    <w:suppressLineNumbers w:val="0"/>
                    <w:spacing w:before="0" w:beforeAutospacing="0" w:after="0" w:afterAutospacing="0"/>
                    <w:ind w:left="0" w:right="0"/>
                    <w:rPr>
                      <w:rFonts w:hint="eastAsia"/>
                      <w:color w:val="auto"/>
                      <w:highlight w:val="none"/>
                    </w:rPr>
                  </w:pPr>
                  <w:r>
                    <w:rPr>
                      <w:rFonts w:hint="eastAsia"/>
                      <w:color w:val="auto"/>
                      <w:highlight w:val="none"/>
                    </w:rPr>
                    <w:t>符合</w:t>
                  </w:r>
                </w:p>
              </w:tc>
            </w:tr>
            <w:tr w14:paraId="0B9AD9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50" w:type="dxa"/>
                  <w:vMerge w:val="continue"/>
                  <w:tcBorders>
                    <w:tl2br w:val="nil"/>
                    <w:tr2bl w:val="nil"/>
                  </w:tcBorders>
                  <w:vAlign w:val="center"/>
                </w:tcPr>
                <w:p w14:paraId="4ACB2056">
                  <w:pPr>
                    <w:pStyle w:val="7"/>
                    <w:keepNext w:val="0"/>
                    <w:keepLines w:val="0"/>
                    <w:suppressLineNumbers w:val="0"/>
                    <w:spacing w:before="0" w:beforeAutospacing="0" w:after="0" w:afterAutospacing="0"/>
                    <w:ind w:left="0" w:right="0"/>
                    <w:jc w:val="center"/>
                    <w:rPr>
                      <w:rFonts w:hint="eastAsia" w:eastAsia="宋体"/>
                      <w:color w:val="auto"/>
                      <w:highlight w:val="none"/>
                      <w:lang w:val="en-US" w:eastAsia="zh-CN"/>
                    </w:rPr>
                  </w:pPr>
                </w:p>
              </w:tc>
              <w:tc>
                <w:tcPr>
                  <w:tcW w:w="3009" w:type="dxa"/>
                  <w:tcBorders>
                    <w:tl2br w:val="nil"/>
                    <w:tr2bl w:val="nil"/>
                  </w:tcBorders>
                  <w:vAlign w:val="center"/>
                </w:tcPr>
                <w:p w14:paraId="6803EE5E">
                  <w:pPr>
                    <w:pStyle w:val="7"/>
                    <w:keepNext w:val="0"/>
                    <w:keepLines w:val="0"/>
                    <w:suppressLineNumbers w:val="0"/>
                    <w:spacing w:before="0" w:beforeAutospacing="0" w:after="0" w:afterAutospacing="0"/>
                    <w:ind w:left="0" w:right="0"/>
                    <w:rPr>
                      <w:rFonts w:hint="eastAsia"/>
                      <w:color w:val="auto"/>
                      <w:highlight w:val="none"/>
                    </w:rPr>
                  </w:pPr>
                  <w:r>
                    <w:rPr>
                      <w:rFonts w:hint="eastAsia"/>
                      <w:color w:val="auto"/>
                      <w:highlight w:val="none"/>
                    </w:rPr>
                    <w:t>禁止在长江干支流、重要湖泊岸线一公里范围内新建、扩建化工园区和化工项目。</w:t>
                  </w:r>
                </w:p>
              </w:tc>
              <w:tc>
                <w:tcPr>
                  <w:tcW w:w="2143" w:type="dxa"/>
                  <w:tcBorders>
                    <w:tl2br w:val="nil"/>
                    <w:tr2bl w:val="nil"/>
                  </w:tcBorders>
                  <w:vAlign w:val="center"/>
                </w:tcPr>
                <w:p w14:paraId="098A2976">
                  <w:pPr>
                    <w:pStyle w:val="7"/>
                    <w:keepNext w:val="0"/>
                    <w:keepLines w:val="0"/>
                    <w:suppressLineNumbers w:val="0"/>
                    <w:spacing w:before="0" w:beforeAutospacing="0" w:after="0" w:afterAutospacing="0"/>
                    <w:ind w:left="0" w:right="0"/>
                    <w:rPr>
                      <w:rFonts w:hint="eastAsia" w:eastAsia="宋体"/>
                      <w:color w:val="auto"/>
                      <w:highlight w:val="none"/>
                      <w:lang w:eastAsia="zh-CN"/>
                    </w:rPr>
                  </w:pPr>
                  <w:r>
                    <w:rPr>
                      <w:rFonts w:hint="eastAsia"/>
                      <w:color w:val="auto"/>
                      <w:highlight w:val="none"/>
                    </w:rPr>
                    <w:t>本项目不在长江干支流、重要湖泊岸线一公里范围内</w:t>
                  </w:r>
                  <w:r>
                    <w:rPr>
                      <w:rFonts w:hint="eastAsia"/>
                      <w:color w:val="auto"/>
                      <w:highlight w:val="none"/>
                      <w:lang w:eastAsia="zh-CN"/>
                    </w:rPr>
                    <w:t>。</w:t>
                  </w:r>
                </w:p>
              </w:tc>
              <w:tc>
                <w:tcPr>
                  <w:tcW w:w="742" w:type="dxa"/>
                  <w:tcBorders>
                    <w:tl2br w:val="nil"/>
                    <w:tr2bl w:val="nil"/>
                  </w:tcBorders>
                  <w:vAlign w:val="center"/>
                </w:tcPr>
                <w:p w14:paraId="65053FAA">
                  <w:pPr>
                    <w:pStyle w:val="7"/>
                    <w:keepNext w:val="0"/>
                    <w:keepLines w:val="0"/>
                    <w:suppressLineNumbers w:val="0"/>
                    <w:spacing w:before="0" w:beforeAutospacing="0" w:after="0" w:afterAutospacing="0"/>
                    <w:ind w:left="0" w:right="0"/>
                    <w:rPr>
                      <w:rFonts w:hint="eastAsia"/>
                      <w:color w:val="auto"/>
                      <w:highlight w:val="none"/>
                    </w:rPr>
                  </w:pPr>
                  <w:r>
                    <w:rPr>
                      <w:rFonts w:hint="eastAsia"/>
                      <w:color w:val="auto"/>
                      <w:highlight w:val="none"/>
                    </w:rPr>
                    <w:t>符合</w:t>
                  </w:r>
                </w:p>
              </w:tc>
            </w:tr>
            <w:tr w14:paraId="4D1AF3E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50" w:type="dxa"/>
                  <w:vMerge w:val="continue"/>
                  <w:tcBorders>
                    <w:tl2br w:val="nil"/>
                    <w:tr2bl w:val="nil"/>
                  </w:tcBorders>
                  <w:vAlign w:val="center"/>
                </w:tcPr>
                <w:p w14:paraId="3F4521AF">
                  <w:pPr>
                    <w:pStyle w:val="7"/>
                    <w:keepNext w:val="0"/>
                    <w:keepLines w:val="0"/>
                    <w:suppressLineNumbers w:val="0"/>
                    <w:spacing w:before="0" w:beforeAutospacing="0" w:after="0" w:afterAutospacing="0"/>
                    <w:ind w:left="0" w:right="0"/>
                    <w:jc w:val="center"/>
                    <w:rPr>
                      <w:rFonts w:hint="eastAsia" w:eastAsia="宋体"/>
                      <w:color w:val="auto"/>
                      <w:highlight w:val="none"/>
                      <w:lang w:val="en-US" w:eastAsia="zh-CN"/>
                    </w:rPr>
                  </w:pPr>
                </w:p>
              </w:tc>
              <w:tc>
                <w:tcPr>
                  <w:tcW w:w="3009" w:type="dxa"/>
                  <w:tcBorders>
                    <w:tl2br w:val="nil"/>
                    <w:tr2bl w:val="nil"/>
                  </w:tcBorders>
                  <w:vAlign w:val="center"/>
                </w:tcPr>
                <w:p w14:paraId="00995FE7">
                  <w:pPr>
                    <w:pStyle w:val="7"/>
                    <w:keepNext w:val="0"/>
                    <w:keepLines w:val="0"/>
                    <w:suppressLineNumbers w:val="0"/>
                    <w:spacing w:before="0" w:beforeAutospacing="0" w:after="0" w:afterAutospacing="0"/>
                    <w:ind w:left="0" w:right="0"/>
                    <w:rPr>
                      <w:rFonts w:hint="eastAsia"/>
                      <w:color w:val="auto"/>
                      <w:highlight w:val="none"/>
                    </w:rPr>
                  </w:pPr>
                  <w:r>
                    <w:rPr>
                      <w:rFonts w:hint="eastAsia"/>
                      <w:color w:val="auto"/>
                      <w:highlight w:val="none"/>
                    </w:rPr>
                    <w:t>禁止在长江干流岸线三公里范围内和重要支流岸线一公里范围内新建、改建、扩建尾矿库、冶炼渣库和磷石膏库，以提升安全、生态环境保护水平为目的的改建除外。</w:t>
                  </w:r>
                </w:p>
              </w:tc>
              <w:tc>
                <w:tcPr>
                  <w:tcW w:w="2143" w:type="dxa"/>
                  <w:tcBorders>
                    <w:tl2br w:val="nil"/>
                    <w:tr2bl w:val="nil"/>
                  </w:tcBorders>
                  <w:vAlign w:val="center"/>
                </w:tcPr>
                <w:p w14:paraId="76B72542">
                  <w:pPr>
                    <w:pStyle w:val="7"/>
                    <w:keepNext w:val="0"/>
                    <w:keepLines w:val="0"/>
                    <w:suppressLineNumbers w:val="0"/>
                    <w:spacing w:before="0" w:beforeAutospacing="0" w:after="0" w:afterAutospacing="0"/>
                    <w:ind w:left="0" w:right="0"/>
                    <w:rPr>
                      <w:rFonts w:hint="eastAsia" w:eastAsia="宋体"/>
                      <w:color w:val="auto"/>
                      <w:highlight w:val="none"/>
                      <w:lang w:eastAsia="zh-CN"/>
                    </w:rPr>
                  </w:pPr>
                  <w:r>
                    <w:rPr>
                      <w:rFonts w:hint="eastAsia"/>
                      <w:color w:val="auto"/>
                      <w:highlight w:val="none"/>
                      <w:lang w:val="en-US" w:eastAsia="zh-CN"/>
                    </w:rPr>
                    <w:t>本项目不属于</w:t>
                  </w:r>
                  <w:r>
                    <w:rPr>
                      <w:rFonts w:hint="eastAsia"/>
                      <w:color w:val="auto"/>
                      <w:highlight w:val="none"/>
                    </w:rPr>
                    <w:t>新建、改建、扩建尾矿库、冶炼渣库和磷石膏库</w:t>
                  </w:r>
                  <w:r>
                    <w:rPr>
                      <w:rFonts w:hint="eastAsia"/>
                      <w:color w:val="auto"/>
                      <w:highlight w:val="none"/>
                      <w:lang w:val="en-US" w:eastAsia="zh-CN"/>
                    </w:rPr>
                    <w:t>项目</w:t>
                  </w:r>
                  <w:r>
                    <w:rPr>
                      <w:rFonts w:hint="eastAsia"/>
                      <w:color w:val="auto"/>
                      <w:highlight w:val="none"/>
                      <w:lang w:eastAsia="zh-CN"/>
                    </w:rPr>
                    <w:t>。</w:t>
                  </w:r>
                </w:p>
              </w:tc>
              <w:tc>
                <w:tcPr>
                  <w:tcW w:w="742" w:type="dxa"/>
                  <w:tcBorders>
                    <w:tl2br w:val="nil"/>
                    <w:tr2bl w:val="nil"/>
                  </w:tcBorders>
                  <w:vAlign w:val="center"/>
                </w:tcPr>
                <w:p w14:paraId="0B9B5AF1">
                  <w:pPr>
                    <w:pStyle w:val="7"/>
                    <w:keepNext w:val="0"/>
                    <w:keepLines w:val="0"/>
                    <w:suppressLineNumbers w:val="0"/>
                    <w:spacing w:before="0" w:beforeAutospacing="0" w:after="0" w:afterAutospacing="0"/>
                    <w:ind w:left="0" w:right="0"/>
                    <w:rPr>
                      <w:rFonts w:hint="eastAsia"/>
                      <w:color w:val="auto"/>
                      <w:highlight w:val="none"/>
                    </w:rPr>
                  </w:pPr>
                  <w:r>
                    <w:rPr>
                      <w:rFonts w:hint="eastAsia"/>
                      <w:color w:val="auto"/>
                      <w:highlight w:val="none"/>
                    </w:rPr>
                    <w:t>符合</w:t>
                  </w:r>
                </w:p>
              </w:tc>
            </w:tr>
            <w:tr w14:paraId="6D6AA1B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50" w:type="dxa"/>
                  <w:vMerge w:val="continue"/>
                  <w:tcBorders>
                    <w:tl2br w:val="nil"/>
                    <w:tr2bl w:val="nil"/>
                  </w:tcBorders>
                  <w:vAlign w:val="center"/>
                </w:tcPr>
                <w:p w14:paraId="57B7FFFA">
                  <w:pPr>
                    <w:pStyle w:val="7"/>
                    <w:keepNext w:val="0"/>
                    <w:keepLines w:val="0"/>
                    <w:suppressLineNumbers w:val="0"/>
                    <w:spacing w:before="0" w:beforeAutospacing="0" w:after="0" w:afterAutospacing="0"/>
                    <w:ind w:left="0" w:right="0"/>
                    <w:jc w:val="center"/>
                    <w:rPr>
                      <w:rFonts w:hint="eastAsia" w:eastAsia="宋体"/>
                      <w:color w:val="auto"/>
                      <w:highlight w:val="none"/>
                      <w:lang w:val="en-US" w:eastAsia="zh-CN"/>
                    </w:rPr>
                  </w:pPr>
                </w:p>
              </w:tc>
              <w:tc>
                <w:tcPr>
                  <w:tcW w:w="3009" w:type="dxa"/>
                  <w:tcBorders>
                    <w:tl2br w:val="nil"/>
                    <w:tr2bl w:val="nil"/>
                  </w:tcBorders>
                  <w:vAlign w:val="center"/>
                </w:tcPr>
                <w:p w14:paraId="71EE90FD">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禁止在合规园区外新建、扩建钢铁、石化、化工、焦化、建材、有色、制浆造纸等高污染项目。</w:t>
                  </w:r>
                </w:p>
              </w:tc>
              <w:tc>
                <w:tcPr>
                  <w:tcW w:w="2143" w:type="dxa"/>
                  <w:tcBorders>
                    <w:tl2br w:val="nil"/>
                    <w:tr2bl w:val="nil"/>
                  </w:tcBorders>
                  <w:vAlign w:val="center"/>
                </w:tcPr>
                <w:p w14:paraId="66904873">
                  <w:pPr>
                    <w:pStyle w:val="7"/>
                    <w:keepNext w:val="0"/>
                    <w:keepLines w:val="0"/>
                    <w:suppressLineNumbers w:val="0"/>
                    <w:spacing w:before="0" w:beforeAutospacing="0" w:after="0" w:afterAutospacing="0"/>
                    <w:ind w:left="0" w:right="0"/>
                    <w:rPr>
                      <w:rFonts w:hint="eastAsia" w:eastAsia="宋体"/>
                      <w:color w:val="auto"/>
                      <w:highlight w:val="none"/>
                      <w:lang w:eastAsia="zh-CN"/>
                    </w:rPr>
                  </w:pPr>
                  <w:r>
                    <w:rPr>
                      <w:rFonts w:hint="eastAsia"/>
                      <w:color w:val="auto"/>
                      <w:highlight w:val="none"/>
                    </w:rPr>
                    <w:t>本项目</w:t>
                  </w:r>
                  <w:r>
                    <w:rPr>
                      <w:rFonts w:hint="eastAsia"/>
                      <w:color w:val="auto"/>
                      <w:highlight w:val="none"/>
                      <w:lang w:val="en-US" w:eastAsia="zh-CN"/>
                    </w:rPr>
                    <w:t>位于江西安义高新技术产业园区内，符合园区规划</w:t>
                  </w:r>
                  <w:r>
                    <w:rPr>
                      <w:rFonts w:hint="eastAsia"/>
                      <w:color w:val="auto"/>
                      <w:highlight w:val="none"/>
                      <w:lang w:eastAsia="zh-CN"/>
                    </w:rPr>
                    <w:t>。</w:t>
                  </w:r>
                </w:p>
              </w:tc>
              <w:tc>
                <w:tcPr>
                  <w:tcW w:w="742" w:type="dxa"/>
                  <w:tcBorders>
                    <w:tl2br w:val="nil"/>
                    <w:tr2bl w:val="nil"/>
                  </w:tcBorders>
                  <w:vAlign w:val="center"/>
                </w:tcPr>
                <w:p w14:paraId="682F3CDF">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符合</w:t>
                  </w:r>
                </w:p>
              </w:tc>
            </w:tr>
            <w:tr w14:paraId="69B01D7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50" w:type="dxa"/>
                  <w:vMerge w:val="restart"/>
                  <w:tcBorders>
                    <w:tl2br w:val="nil"/>
                    <w:tr2bl w:val="nil"/>
                  </w:tcBorders>
                  <w:vAlign w:val="center"/>
                </w:tcPr>
                <w:p w14:paraId="03408672">
                  <w:pPr>
                    <w:pStyle w:val="7"/>
                    <w:keepNext w:val="0"/>
                    <w:keepLines w:val="0"/>
                    <w:suppressLineNumbers w:val="0"/>
                    <w:spacing w:before="0" w:beforeAutospacing="0" w:after="0" w:afterAutospacing="0"/>
                    <w:ind w:left="0" w:right="0"/>
                    <w:jc w:val="center"/>
                    <w:rPr>
                      <w:rFonts w:hint="eastAsia" w:eastAsia="宋体"/>
                      <w:color w:val="auto"/>
                      <w:highlight w:val="none"/>
                      <w:lang w:val="en-US" w:eastAsia="zh-CN"/>
                    </w:rPr>
                  </w:pPr>
                  <w:r>
                    <w:rPr>
                      <w:rFonts w:hint="eastAsia"/>
                      <w:color w:val="auto"/>
                      <w:highlight w:val="none"/>
                    </w:rPr>
                    <w:t>严格产业准入</w:t>
                  </w:r>
                </w:p>
              </w:tc>
              <w:tc>
                <w:tcPr>
                  <w:tcW w:w="3009" w:type="dxa"/>
                  <w:tcBorders>
                    <w:tl2br w:val="nil"/>
                    <w:tr2bl w:val="nil"/>
                  </w:tcBorders>
                  <w:vAlign w:val="center"/>
                </w:tcPr>
                <w:p w14:paraId="2336E155">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禁止新建、扩建不符合国家石化、现代煤化工等产业布局规划的项目。</w:t>
                  </w:r>
                </w:p>
              </w:tc>
              <w:tc>
                <w:tcPr>
                  <w:tcW w:w="2143" w:type="dxa"/>
                  <w:tcBorders>
                    <w:tl2br w:val="nil"/>
                    <w:tr2bl w:val="nil"/>
                  </w:tcBorders>
                  <w:vAlign w:val="center"/>
                </w:tcPr>
                <w:p w14:paraId="6A62BD0D">
                  <w:pPr>
                    <w:pStyle w:val="7"/>
                    <w:keepNext w:val="0"/>
                    <w:keepLines w:val="0"/>
                    <w:suppressLineNumbers w:val="0"/>
                    <w:spacing w:before="0" w:beforeAutospacing="0" w:after="0" w:afterAutospacing="0"/>
                    <w:ind w:left="0" w:right="0"/>
                    <w:rPr>
                      <w:rFonts w:hint="eastAsia" w:eastAsia="宋体"/>
                      <w:color w:val="auto"/>
                      <w:highlight w:val="none"/>
                      <w:lang w:eastAsia="zh-CN"/>
                    </w:rPr>
                  </w:pPr>
                  <w:r>
                    <w:rPr>
                      <w:rFonts w:hint="eastAsia"/>
                      <w:color w:val="auto"/>
                      <w:highlight w:val="none"/>
                      <w:lang w:val="en-US" w:eastAsia="zh-CN"/>
                    </w:rPr>
                    <w:t>本项目不属于</w:t>
                  </w:r>
                  <w:r>
                    <w:rPr>
                      <w:rFonts w:hint="eastAsia"/>
                      <w:color w:val="auto"/>
                      <w:highlight w:val="none"/>
                    </w:rPr>
                    <w:t>国家石化、现代煤化工等</w:t>
                  </w:r>
                  <w:r>
                    <w:rPr>
                      <w:rFonts w:hint="eastAsia"/>
                      <w:color w:val="auto"/>
                      <w:highlight w:val="none"/>
                      <w:lang w:val="en-US" w:eastAsia="zh-CN"/>
                    </w:rPr>
                    <w:t>行业。</w:t>
                  </w:r>
                </w:p>
              </w:tc>
              <w:tc>
                <w:tcPr>
                  <w:tcW w:w="742" w:type="dxa"/>
                  <w:tcBorders>
                    <w:tl2br w:val="nil"/>
                    <w:tr2bl w:val="nil"/>
                  </w:tcBorders>
                  <w:vAlign w:val="center"/>
                </w:tcPr>
                <w:p w14:paraId="56DAA10B">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符合</w:t>
                  </w:r>
                </w:p>
              </w:tc>
            </w:tr>
            <w:tr w14:paraId="6CCFAE8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50" w:type="dxa"/>
                  <w:vMerge w:val="continue"/>
                  <w:tcBorders>
                    <w:tl2br w:val="nil"/>
                    <w:tr2bl w:val="nil"/>
                  </w:tcBorders>
                  <w:vAlign w:val="center"/>
                </w:tcPr>
                <w:p w14:paraId="18723CAA">
                  <w:pPr>
                    <w:pStyle w:val="7"/>
                    <w:keepNext w:val="0"/>
                    <w:keepLines w:val="0"/>
                    <w:suppressLineNumbers w:val="0"/>
                    <w:spacing w:before="0" w:beforeAutospacing="0" w:after="0" w:afterAutospacing="0"/>
                    <w:ind w:left="0" w:right="0"/>
                    <w:jc w:val="center"/>
                    <w:rPr>
                      <w:rFonts w:hint="default" w:eastAsia="宋体"/>
                      <w:color w:val="auto"/>
                      <w:highlight w:val="none"/>
                      <w:lang w:val="en-US" w:eastAsia="zh-CN"/>
                    </w:rPr>
                  </w:pPr>
                </w:p>
              </w:tc>
              <w:tc>
                <w:tcPr>
                  <w:tcW w:w="3009" w:type="dxa"/>
                  <w:tcBorders>
                    <w:tl2br w:val="nil"/>
                    <w:tr2bl w:val="nil"/>
                  </w:tcBorders>
                  <w:vAlign w:val="center"/>
                </w:tcPr>
                <w:p w14:paraId="780B7E42">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禁止新建、扩建法律法规和相关政策明令禁止的落后产能项目，严格执行《产业结构调整指导目录》中淘汰类和限制类有关规定，禁止开展投资建设属于淘汰类的项目及其相关活动，禁止开展投资新建、扩建属于限制类的项目及其相关活动对于属于限制类的现有生产能力，允许企业在一定期限内采取措施改造升级，严禁以改造为名扩大产能。</w:t>
                  </w:r>
                </w:p>
              </w:tc>
              <w:tc>
                <w:tcPr>
                  <w:tcW w:w="2143" w:type="dxa"/>
                  <w:tcBorders>
                    <w:tl2br w:val="nil"/>
                    <w:tr2bl w:val="nil"/>
                  </w:tcBorders>
                  <w:vAlign w:val="center"/>
                </w:tcPr>
                <w:p w14:paraId="2086991B">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lang w:val="en-US" w:eastAsia="zh-CN"/>
                    </w:rPr>
                    <w:t>本项目不属于</w:t>
                  </w:r>
                  <w:r>
                    <w:rPr>
                      <w:rFonts w:hint="eastAsia"/>
                      <w:color w:val="auto"/>
                      <w:highlight w:val="none"/>
                    </w:rPr>
                    <w:t>法律法规和相关政策明令禁止的落后产能项目</w:t>
                  </w:r>
                </w:p>
              </w:tc>
              <w:tc>
                <w:tcPr>
                  <w:tcW w:w="742" w:type="dxa"/>
                  <w:tcBorders>
                    <w:tl2br w:val="nil"/>
                    <w:tr2bl w:val="nil"/>
                  </w:tcBorders>
                  <w:vAlign w:val="center"/>
                </w:tcPr>
                <w:p w14:paraId="7E8A63E6">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符合</w:t>
                  </w:r>
                </w:p>
              </w:tc>
            </w:tr>
            <w:tr w14:paraId="0D275C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50" w:type="dxa"/>
                  <w:vMerge w:val="continue"/>
                  <w:tcBorders>
                    <w:tl2br w:val="nil"/>
                    <w:tr2bl w:val="nil"/>
                  </w:tcBorders>
                  <w:vAlign w:val="center"/>
                </w:tcPr>
                <w:p w14:paraId="2095884C">
                  <w:pPr>
                    <w:pStyle w:val="7"/>
                    <w:keepNext w:val="0"/>
                    <w:keepLines w:val="0"/>
                    <w:suppressLineNumbers w:val="0"/>
                    <w:spacing w:before="0" w:beforeAutospacing="0" w:after="0" w:afterAutospacing="0"/>
                    <w:ind w:left="0" w:right="0"/>
                    <w:jc w:val="center"/>
                    <w:rPr>
                      <w:rFonts w:hint="default" w:eastAsia="宋体"/>
                      <w:color w:val="auto"/>
                      <w:highlight w:val="none"/>
                      <w:lang w:val="en-US" w:eastAsia="zh-CN"/>
                    </w:rPr>
                  </w:pPr>
                </w:p>
              </w:tc>
              <w:tc>
                <w:tcPr>
                  <w:tcW w:w="3009" w:type="dxa"/>
                  <w:tcBorders>
                    <w:tl2br w:val="nil"/>
                    <w:tr2bl w:val="nil"/>
                  </w:tcBorders>
                  <w:vAlign w:val="center"/>
                </w:tcPr>
                <w:p w14:paraId="58552B6B">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禁止新建、扩建不符合国家产能置换要求的钢铁、电解铝、水泥熟料、平板玻璃、船舶等严重过剩产能行业的项目。严格执行《国务院关于化解产能严重过剩矛盾的指导意见》，各地各部门不得以任何名义、任何方式新增产能片；对确有必要建设的，必须严格执行产能置换实施办法，实施减量或等量置换，依法依规办理有关手续。</w:t>
                  </w:r>
                </w:p>
              </w:tc>
              <w:tc>
                <w:tcPr>
                  <w:tcW w:w="2143" w:type="dxa"/>
                  <w:tcBorders>
                    <w:tl2br w:val="nil"/>
                    <w:tr2bl w:val="nil"/>
                  </w:tcBorders>
                  <w:vAlign w:val="center"/>
                </w:tcPr>
                <w:p w14:paraId="08637597">
                  <w:pPr>
                    <w:pStyle w:val="7"/>
                    <w:keepNext w:val="0"/>
                    <w:keepLines w:val="0"/>
                    <w:suppressLineNumbers w:val="0"/>
                    <w:spacing w:before="0" w:beforeAutospacing="0" w:after="0" w:afterAutospacing="0"/>
                    <w:ind w:left="0" w:right="0"/>
                    <w:rPr>
                      <w:rFonts w:hint="eastAsia" w:eastAsia="宋体"/>
                      <w:color w:val="auto"/>
                      <w:highlight w:val="none"/>
                      <w:lang w:eastAsia="zh-CN"/>
                    </w:rPr>
                  </w:pPr>
                  <w:r>
                    <w:rPr>
                      <w:rFonts w:hint="eastAsia"/>
                      <w:color w:val="auto"/>
                      <w:highlight w:val="none"/>
                    </w:rPr>
                    <w:t>本项目不</w:t>
                  </w:r>
                  <w:r>
                    <w:rPr>
                      <w:rFonts w:hint="eastAsia"/>
                      <w:color w:val="auto"/>
                      <w:highlight w:val="none"/>
                      <w:lang w:val="en-US" w:eastAsia="zh-CN"/>
                    </w:rPr>
                    <w:t>属于</w:t>
                  </w:r>
                  <w:r>
                    <w:rPr>
                      <w:rFonts w:hint="default"/>
                      <w:color w:val="auto"/>
                      <w:highlight w:val="none"/>
                    </w:rPr>
                    <w:t>新建、扩建不符合国家产能置换要求的</w:t>
                  </w:r>
                  <w:r>
                    <w:rPr>
                      <w:rFonts w:hint="eastAsia"/>
                      <w:color w:val="auto"/>
                      <w:highlight w:val="none"/>
                    </w:rPr>
                    <w:t>钢铁、电解铝、水泥熟料、平板玻璃、船舶等</w:t>
                  </w:r>
                  <w:r>
                    <w:rPr>
                      <w:rFonts w:hint="default"/>
                      <w:color w:val="auto"/>
                      <w:highlight w:val="none"/>
                    </w:rPr>
                    <w:t>严重过剩产能行业的项目</w:t>
                  </w:r>
                  <w:r>
                    <w:rPr>
                      <w:rFonts w:hint="eastAsia"/>
                      <w:color w:val="auto"/>
                      <w:highlight w:val="none"/>
                      <w:lang w:eastAsia="zh-CN"/>
                    </w:rPr>
                    <w:t>。</w:t>
                  </w:r>
                </w:p>
              </w:tc>
              <w:tc>
                <w:tcPr>
                  <w:tcW w:w="742" w:type="dxa"/>
                  <w:tcBorders>
                    <w:tl2br w:val="nil"/>
                    <w:tr2bl w:val="nil"/>
                  </w:tcBorders>
                  <w:vAlign w:val="center"/>
                </w:tcPr>
                <w:p w14:paraId="44BDA067">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符合</w:t>
                  </w:r>
                </w:p>
              </w:tc>
            </w:tr>
            <w:tr w14:paraId="132AC54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50" w:type="dxa"/>
                  <w:vMerge w:val="continue"/>
                  <w:tcBorders>
                    <w:tl2br w:val="nil"/>
                    <w:tr2bl w:val="nil"/>
                  </w:tcBorders>
                  <w:vAlign w:val="center"/>
                </w:tcPr>
                <w:p w14:paraId="6BD348F4">
                  <w:pPr>
                    <w:pStyle w:val="7"/>
                    <w:keepNext w:val="0"/>
                    <w:keepLines w:val="0"/>
                    <w:suppressLineNumbers w:val="0"/>
                    <w:spacing w:before="0" w:beforeAutospacing="0" w:after="0" w:afterAutospacing="0"/>
                    <w:ind w:left="0" w:right="0"/>
                    <w:jc w:val="center"/>
                    <w:rPr>
                      <w:rFonts w:hint="default" w:eastAsia="宋体"/>
                      <w:color w:val="auto"/>
                      <w:highlight w:val="none"/>
                      <w:lang w:val="en-US" w:eastAsia="zh-CN"/>
                    </w:rPr>
                  </w:pPr>
                </w:p>
              </w:tc>
              <w:tc>
                <w:tcPr>
                  <w:tcW w:w="3009" w:type="dxa"/>
                  <w:tcBorders>
                    <w:tl2br w:val="nil"/>
                    <w:tr2bl w:val="nil"/>
                  </w:tcBorders>
                  <w:vAlign w:val="center"/>
                </w:tcPr>
                <w:p w14:paraId="050C8B14">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禁止新建、扩建不符合要求的高耗能高排放项目。严格执行《江西省人民政府办公厅关于严格高耗能高排放项目准入管理的实施意见》（赣府厅发</w:t>
                  </w:r>
                  <w:r>
                    <w:rPr>
                      <w:rFonts w:hint="eastAsia"/>
                      <w:color w:val="auto"/>
                      <w:highlight w:val="none"/>
                      <w:lang w:eastAsia="zh-CN"/>
                    </w:rPr>
                    <w:t>〔2021〕33号</w:t>
                  </w:r>
                  <w:r>
                    <w:rPr>
                      <w:rFonts w:hint="eastAsia"/>
                      <w:color w:val="auto"/>
                      <w:highlight w:val="none"/>
                    </w:rPr>
                    <w:t>），加强项目审查论证，落实等量、减量替代要求，规范项目行政审批。</w:t>
                  </w:r>
                </w:p>
              </w:tc>
              <w:tc>
                <w:tcPr>
                  <w:tcW w:w="2143" w:type="dxa"/>
                  <w:tcBorders>
                    <w:tl2br w:val="nil"/>
                    <w:tr2bl w:val="nil"/>
                  </w:tcBorders>
                  <w:vAlign w:val="center"/>
                </w:tcPr>
                <w:p w14:paraId="19124664">
                  <w:pPr>
                    <w:pStyle w:val="7"/>
                    <w:keepNext w:val="0"/>
                    <w:keepLines w:val="0"/>
                    <w:suppressLineNumbers w:val="0"/>
                    <w:spacing w:before="0" w:beforeAutospacing="0" w:after="0" w:afterAutospacing="0"/>
                    <w:ind w:left="0" w:right="0"/>
                    <w:rPr>
                      <w:rFonts w:hint="eastAsia" w:eastAsia="宋体"/>
                      <w:color w:val="auto"/>
                      <w:highlight w:val="none"/>
                      <w:lang w:eastAsia="zh-CN"/>
                    </w:rPr>
                  </w:pPr>
                  <w:r>
                    <w:rPr>
                      <w:rFonts w:hint="eastAsia"/>
                      <w:color w:val="auto"/>
                      <w:highlight w:val="none"/>
                    </w:rPr>
                    <w:t>本项目不</w:t>
                  </w:r>
                  <w:r>
                    <w:rPr>
                      <w:rFonts w:hint="eastAsia"/>
                      <w:color w:val="auto"/>
                      <w:highlight w:val="none"/>
                      <w:lang w:val="en-US" w:eastAsia="zh-CN"/>
                    </w:rPr>
                    <w:t>属于</w:t>
                  </w:r>
                  <w:r>
                    <w:rPr>
                      <w:rFonts w:hint="default"/>
                      <w:color w:val="auto"/>
                      <w:highlight w:val="none"/>
                    </w:rPr>
                    <w:t>新建、扩建不符合要求的高耗能高排放项目</w:t>
                  </w:r>
                  <w:r>
                    <w:rPr>
                      <w:rFonts w:hint="eastAsia"/>
                      <w:color w:val="auto"/>
                      <w:highlight w:val="none"/>
                      <w:lang w:eastAsia="zh-CN"/>
                    </w:rPr>
                    <w:t>。</w:t>
                  </w:r>
                </w:p>
              </w:tc>
              <w:tc>
                <w:tcPr>
                  <w:tcW w:w="742" w:type="dxa"/>
                  <w:tcBorders>
                    <w:tl2br w:val="nil"/>
                    <w:tr2bl w:val="nil"/>
                  </w:tcBorders>
                  <w:vAlign w:val="center"/>
                </w:tcPr>
                <w:p w14:paraId="237AFA5A">
                  <w:pPr>
                    <w:pStyle w:val="7"/>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符合</w:t>
                  </w:r>
                </w:p>
              </w:tc>
            </w:tr>
          </w:tbl>
          <w:p w14:paraId="7140148E">
            <w:pPr>
              <w:keepNext w:val="0"/>
              <w:keepLines w:val="0"/>
              <w:suppressLineNumbers w:val="0"/>
              <w:bidi w:val="0"/>
              <w:spacing w:before="0" w:beforeAutospacing="0" w:after="0" w:afterAutospacing="0"/>
              <w:ind w:left="0" w:right="0"/>
              <w:rPr>
                <w:rFonts w:hint="default"/>
                <w:b/>
                <w:bCs/>
                <w:color w:val="auto"/>
                <w:highlight w:val="none"/>
              </w:rPr>
            </w:pPr>
            <w:r>
              <w:rPr>
                <w:rFonts w:hint="eastAsia"/>
                <w:b/>
                <w:bCs/>
                <w:color w:val="auto"/>
                <w:highlight w:val="none"/>
                <w:lang w:val="en-US" w:eastAsia="zh-CN"/>
              </w:rPr>
              <w:t>8</w:t>
            </w:r>
            <w:r>
              <w:rPr>
                <w:rFonts w:hint="eastAsia"/>
                <w:b/>
                <w:bCs/>
                <w:color w:val="auto"/>
                <w:highlight w:val="none"/>
              </w:rPr>
              <w:t>、与《挥发性有机物（VOCs）污染防治技术政策》相符性分析</w:t>
            </w:r>
          </w:p>
          <w:p w14:paraId="2CD3E9F6">
            <w:pPr>
              <w:keepNext w:val="0"/>
              <w:keepLines w:val="0"/>
              <w:suppressLineNumbers w:val="0"/>
              <w:autoSpaceDE w:val="0"/>
              <w:autoSpaceDN w:val="0"/>
              <w:adjustRightInd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根据《挥发性有机物（VOCs）污染防治技术政策》，本项目与其相符性分析见表1-</w:t>
            </w:r>
            <w:r>
              <w:rPr>
                <w:rFonts w:hint="eastAsia" w:ascii="Times New Roman" w:hAnsi="Times New Roman" w:eastAsia="宋体" w:cs="Times New Roman"/>
                <w:color w:val="auto"/>
                <w:sz w:val="24"/>
                <w:lang w:val="en-US" w:eastAsia="zh-CN"/>
              </w:rPr>
              <w:t>10</w:t>
            </w:r>
            <w:r>
              <w:rPr>
                <w:rFonts w:hint="eastAsia" w:ascii="Times New Roman" w:hAnsi="Times New Roman" w:eastAsia="宋体" w:cs="Times New Roman"/>
                <w:color w:val="auto"/>
                <w:sz w:val="24"/>
              </w:rPr>
              <w:t>。</w:t>
            </w:r>
          </w:p>
          <w:p w14:paraId="47185448">
            <w:pPr>
              <w:keepNext w:val="0"/>
              <w:keepLines w:val="0"/>
              <w:widowControl/>
              <w:suppressLineNumbers w:val="0"/>
              <w:shd w:val="clear" w:color="auto" w:fill="FFFFFF"/>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kern w:val="0"/>
                <w:sz w:val="21"/>
                <w:szCs w:val="21"/>
                <w:lang w:val="zh-CN" w:eastAsia="zh-CN" w:bidi="ar-SA"/>
              </w:rPr>
            </w:pPr>
            <w:r>
              <w:rPr>
                <w:rFonts w:hint="eastAsia" w:ascii="Times New Roman" w:hAnsi="Times New Roman" w:eastAsia="宋体" w:cs="Times New Roman"/>
                <w:b/>
                <w:color w:val="auto"/>
                <w:kern w:val="0"/>
                <w:sz w:val="21"/>
                <w:szCs w:val="21"/>
                <w:lang w:val="zh-CN" w:eastAsia="zh-CN" w:bidi="ar-SA"/>
              </w:rPr>
              <w:t>表</w:t>
            </w:r>
            <w:r>
              <w:rPr>
                <w:rFonts w:hint="default" w:ascii="Times New Roman" w:hAnsi="Times New Roman" w:eastAsia="宋体" w:cs="Times New Roman"/>
                <w:b/>
                <w:color w:val="auto"/>
                <w:kern w:val="0"/>
                <w:sz w:val="21"/>
                <w:szCs w:val="21"/>
                <w:lang w:val="zh-CN" w:eastAsia="zh-CN" w:bidi="ar-SA"/>
              </w:rPr>
              <w:t>1-</w:t>
            </w:r>
            <w:r>
              <w:rPr>
                <w:rFonts w:hint="eastAsia" w:ascii="Times New Roman" w:hAnsi="Times New Roman" w:eastAsia="宋体" w:cs="Times New Roman"/>
                <w:b/>
                <w:color w:val="auto"/>
                <w:kern w:val="0"/>
                <w:sz w:val="21"/>
                <w:szCs w:val="21"/>
                <w:lang w:val="en-US" w:eastAsia="zh-CN" w:bidi="ar-SA"/>
              </w:rPr>
              <w:t xml:space="preserve">10  </w:t>
            </w:r>
            <w:r>
              <w:rPr>
                <w:rFonts w:hint="eastAsia" w:ascii="Times New Roman" w:hAnsi="Times New Roman" w:eastAsia="宋体" w:cs="Times New Roman"/>
                <w:b/>
                <w:bCs/>
                <w:color w:val="auto"/>
                <w:kern w:val="0"/>
                <w:sz w:val="21"/>
                <w:szCs w:val="21"/>
                <w:lang w:val="zh-CN" w:eastAsia="zh-CN" w:bidi="ar-SA"/>
              </w:rPr>
              <w:t>与</w:t>
            </w:r>
            <w:r>
              <w:rPr>
                <w:rFonts w:hint="eastAsia" w:ascii="Times New Roman" w:hAnsi="Times New Roman" w:eastAsia="宋体" w:cs="Times New Roman"/>
                <w:b/>
                <w:color w:val="auto"/>
                <w:kern w:val="0"/>
                <w:sz w:val="21"/>
                <w:szCs w:val="21"/>
                <w:lang w:val="en-US" w:eastAsia="zh-CN" w:bidi="ar-SA"/>
              </w:rPr>
              <w:t>《</w:t>
            </w:r>
            <w:r>
              <w:rPr>
                <w:rFonts w:hint="eastAsia" w:ascii="Times New Roman" w:hAnsi="Times New Roman" w:eastAsia="宋体" w:cs="Times New Roman"/>
                <w:b/>
                <w:color w:val="auto"/>
                <w:kern w:val="0"/>
                <w:sz w:val="21"/>
                <w:szCs w:val="21"/>
                <w:lang w:val="zh-CN" w:eastAsia="zh-CN" w:bidi="ar-SA"/>
              </w:rPr>
              <w:t>挥发性有机物污染防治技术政策</w:t>
            </w:r>
            <w:r>
              <w:rPr>
                <w:rFonts w:hint="eastAsia" w:ascii="Times New Roman" w:hAnsi="Times New Roman" w:eastAsia="宋体" w:cs="Times New Roman"/>
                <w:b/>
                <w:color w:val="auto"/>
                <w:kern w:val="0"/>
                <w:sz w:val="21"/>
                <w:szCs w:val="21"/>
                <w:lang w:val="en-US" w:eastAsia="zh-CN" w:bidi="ar-SA"/>
              </w:rPr>
              <w:t>》</w:t>
            </w:r>
            <w:r>
              <w:rPr>
                <w:rFonts w:hint="eastAsia" w:ascii="Times New Roman" w:hAnsi="Times New Roman" w:eastAsia="宋体" w:cs="Times New Roman"/>
                <w:b/>
                <w:color w:val="auto"/>
                <w:kern w:val="0"/>
                <w:sz w:val="21"/>
                <w:szCs w:val="21"/>
                <w:lang w:val="zh-CN" w:eastAsia="zh-CN" w:bidi="ar-SA"/>
              </w:rPr>
              <w:t>相符性分析</w:t>
            </w:r>
          </w:p>
          <w:tbl>
            <w:tblPr>
              <w:tblStyle w:val="3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2"/>
              <w:gridCol w:w="3433"/>
              <w:gridCol w:w="1481"/>
              <w:gridCol w:w="892"/>
            </w:tblGrid>
            <w:tr w14:paraId="4A5A2B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667" w:type="dxa"/>
                  <w:vAlign w:val="center"/>
                </w:tcPr>
                <w:p w14:paraId="61BA32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1"/>
                      <w:lang w:val="en-US" w:eastAsia="zh-CN" w:bidi="ar-SA"/>
                    </w:rPr>
                  </w:pPr>
                  <w:r>
                    <w:rPr>
                      <w:rFonts w:hint="default" w:ascii="Times New Roman" w:hAnsi="Times New Roman" w:eastAsia="宋体" w:cs="Times New Roman"/>
                      <w:b/>
                      <w:color w:val="auto"/>
                      <w:sz w:val="21"/>
                      <w:szCs w:val="21"/>
                      <w:lang w:val="en-US" w:eastAsia="zh-CN" w:bidi="ar-SA"/>
                    </w:rPr>
                    <w:t>序号</w:t>
                  </w:r>
                </w:p>
              </w:tc>
              <w:tc>
                <w:tcPr>
                  <w:tcW w:w="3622" w:type="dxa"/>
                  <w:vAlign w:val="center"/>
                </w:tcPr>
                <w:p w14:paraId="18EDED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1"/>
                      <w:lang w:val="en-US" w:eastAsia="zh-CN" w:bidi="ar-SA"/>
                    </w:rPr>
                  </w:pPr>
                  <w:r>
                    <w:rPr>
                      <w:rFonts w:hint="default" w:ascii="Times New Roman" w:hAnsi="Times New Roman" w:eastAsia="宋体" w:cs="Times New Roman"/>
                      <w:b/>
                      <w:color w:val="auto"/>
                      <w:sz w:val="21"/>
                      <w:szCs w:val="21"/>
                      <w:lang w:val="en-US" w:eastAsia="zh-CN" w:bidi="ar-SA"/>
                    </w:rPr>
                    <w:t>内容要求</w:t>
                  </w:r>
                </w:p>
              </w:tc>
              <w:tc>
                <w:tcPr>
                  <w:tcW w:w="1555" w:type="dxa"/>
                  <w:vAlign w:val="center"/>
                </w:tcPr>
                <w:p w14:paraId="7F386B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1"/>
                      <w:lang w:val="en-US" w:eastAsia="zh-CN" w:bidi="ar-SA"/>
                    </w:rPr>
                  </w:pPr>
                  <w:r>
                    <w:rPr>
                      <w:rFonts w:hint="eastAsia" w:ascii="Times New Roman" w:hAnsi="Times New Roman" w:eastAsia="宋体" w:cs="Times New Roman"/>
                      <w:b/>
                      <w:color w:val="auto"/>
                      <w:sz w:val="21"/>
                      <w:szCs w:val="21"/>
                      <w:lang w:val="en-US" w:eastAsia="zh-CN" w:bidi="ar-SA"/>
                    </w:rPr>
                    <w:t>本项目情况</w:t>
                  </w:r>
                </w:p>
              </w:tc>
              <w:tc>
                <w:tcPr>
                  <w:tcW w:w="931" w:type="dxa"/>
                  <w:vAlign w:val="center"/>
                </w:tcPr>
                <w:p w14:paraId="1F4FD9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1"/>
                      <w:lang w:val="en-US" w:eastAsia="zh-CN" w:bidi="ar-SA"/>
                    </w:rPr>
                  </w:pPr>
                  <w:r>
                    <w:rPr>
                      <w:rFonts w:hint="eastAsia" w:ascii="Times New Roman" w:hAnsi="Times New Roman" w:eastAsia="宋体" w:cs="Times New Roman"/>
                      <w:b/>
                      <w:color w:val="auto"/>
                      <w:sz w:val="21"/>
                      <w:szCs w:val="21"/>
                      <w:lang w:val="en-US" w:eastAsia="zh-CN" w:bidi="ar-SA"/>
                    </w:rPr>
                    <w:t>符合性</w:t>
                  </w:r>
                </w:p>
              </w:tc>
            </w:tr>
            <w:tr w14:paraId="39D84C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67" w:type="dxa"/>
                  <w:vAlign w:val="center"/>
                </w:tcPr>
                <w:p w14:paraId="46E5C5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1</w:t>
                  </w:r>
                </w:p>
              </w:tc>
              <w:tc>
                <w:tcPr>
                  <w:tcW w:w="3622" w:type="dxa"/>
                  <w:vAlign w:val="center"/>
                </w:tcPr>
                <w:p w14:paraId="517BEA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color w:val="auto"/>
                      <w:sz w:val="21"/>
                      <w:szCs w:val="21"/>
                      <w:lang w:val="en-US" w:eastAsia="zh-CN" w:bidi="ar-SA"/>
                    </w:rPr>
                  </w:pPr>
                  <w:r>
                    <w:rPr>
                      <w:rFonts w:hint="eastAsia" w:ascii="Times New Roman" w:hAnsi="Times New Roman" w:eastAsia="宋体" w:cs="Times New Roman"/>
                      <w:b/>
                      <w:color w:val="auto"/>
                      <w:sz w:val="21"/>
                      <w:szCs w:val="21"/>
                      <w:lang w:val="en-US" w:eastAsia="zh-CN" w:bidi="ar-SA"/>
                    </w:rPr>
                    <w:t>源头和过程控制：</w:t>
                  </w:r>
                </w:p>
                <w:p w14:paraId="0BA5A8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①</w:t>
                  </w:r>
                  <w:r>
                    <w:rPr>
                      <w:rFonts w:hint="eastAsia" w:ascii="Times New Roman" w:hAnsi="Times New Roman" w:eastAsia="宋体" w:cs="Times New Roman"/>
                      <w:color w:val="auto"/>
                      <w:sz w:val="21"/>
                      <w:szCs w:val="21"/>
                      <w:lang w:val="en-US" w:eastAsia="zh-CN" w:bidi="ar-SA"/>
                    </w:rPr>
                    <w:t>在石油炼制与石油化工行业，鼓励采用先进的清洁生产技术，提高原油的转化和利用效率。对于设备与管线组件、工艺排气、废气燃烧塔（火炬）、废水处理等过程产生的含VOCs废气污染防治技术措施包括：1.对泵、压缩机、阀门、法兰等易发生泄漏的设备与管线组件，制定泄漏检测与修复（LDAR）计划，定期检测、及时修复，防止或减少跑、冒、滴、漏现象；2.对生产装置排放的含VOCs工艺排气宜优先回收利用，不能（或不能完全）回收利用的经处理后达标排放；应急情况下的泄放气可导入燃烧塔（火炬），经过充分燃烧后排放；3.废水收集和处理过程产生的含VOCs废气经收集处理后达标排放。</w:t>
                  </w:r>
                </w:p>
                <w:p w14:paraId="706BFC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②</w:t>
                  </w:r>
                  <w:r>
                    <w:rPr>
                      <w:rFonts w:hint="eastAsia" w:ascii="Times New Roman" w:hAnsi="Times New Roman" w:eastAsia="宋体" w:cs="Times New Roman"/>
                      <w:color w:val="auto"/>
                      <w:sz w:val="21"/>
                      <w:szCs w:val="21"/>
                      <w:lang w:val="en-US" w:eastAsia="zh-CN" w:bidi="ar-SA"/>
                    </w:rPr>
                    <w:t>在煤炭加工与转化行业，鼓励采用先进的清洁生产技术，实现煤炭高效、清洁转化，并重点识别、排查工艺装置和管线组件中VOCs泄漏的易发位置，制定预防VOCs泄漏和处置紧急事件的措施。</w:t>
                  </w:r>
                </w:p>
                <w:p w14:paraId="44DF7A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③</w:t>
                  </w:r>
                  <w:r>
                    <w:rPr>
                      <w:rFonts w:hint="eastAsia" w:ascii="Times New Roman" w:hAnsi="Times New Roman" w:eastAsia="宋体" w:cs="Times New Roman"/>
                      <w:color w:val="auto"/>
                      <w:sz w:val="21"/>
                      <w:szCs w:val="21"/>
                      <w:lang w:val="en-US" w:eastAsia="zh-CN" w:bidi="ar-SA"/>
                    </w:rPr>
                    <w:t>在油类（燃油、溶剂）的储存、运输和销售过程中的VOCs污染防治技术措施包括：1.储油库、加油站和油罐车宜配备相应的油气收集系统，储油库、加油站宜配备相应的油气回收系统；2.油类（燃油、溶剂等）储罐宜采用高效密封的内（外）浮顶罐，当采用固定顶罐时，通过密闭排气系统将含VOCs气体输送至回收设备；3.油类（燃油、溶剂等）运载工具（汽车油罐车、铁路油槽车、油轮等）在装载过程中排放的VOCs密闭收集输送至回收设备，也可返回储罐或送入气体管网。</w:t>
                  </w:r>
                </w:p>
                <w:p w14:paraId="59F143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③</w:t>
                  </w:r>
                  <w:r>
                    <w:rPr>
                      <w:rFonts w:hint="eastAsia" w:ascii="Times New Roman" w:hAnsi="Times New Roman" w:eastAsia="宋体" w:cs="Times New Roman"/>
                      <w:color w:val="auto"/>
                      <w:sz w:val="21"/>
                      <w:szCs w:val="21"/>
                      <w:lang w:val="en-US" w:eastAsia="zh-CN" w:bidi="ar-SA"/>
                    </w:rPr>
                    <w:t>涂料、油墨、胶粘剂、农药等以VOCs为原料的生产行业的VOCs污染防治技术措施包括：1.鼓励符合环境标志产品技术要求的水基型、无有机溶剂型、低有机溶剂型的涂料、油墨和胶粘剂等的生产和销售；2.鼓励采用密闭一体化生产技术，并对生产过程中产生的废气分类收集后处理。</w:t>
                  </w:r>
                </w:p>
                <w:p w14:paraId="2EFA83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④</w:t>
                  </w:r>
                  <w:r>
                    <w:rPr>
                      <w:rFonts w:hint="eastAsia" w:ascii="Times New Roman" w:hAnsi="Times New Roman" w:eastAsia="宋体" w:cs="Times New Roman"/>
                      <w:color w:val="auto"/>
                      <w:sz w:val="21"/>
                      <w:szCs w:val="21"/>
                      <w:lang w:val="en-US" w:eastAsia="zh-CN" w:bidi="ar-SA"/>
                    </w:rPr>
                    <w:t>在涂装、印刷、粘合、工业清洗等含VOCs产品的使用过程中的VOCs污染防治技术措施包括：1.鼓励使用通过环境标志产品认证的环保型涂料、油墨、胶粘剂和清洗剂；2.根据涂装工艺的不同，鼓励使用水性涂料、高固份涂料、粉末涂料、紫外光固化（UV）涂料等环保型涂料；推广采用静电喷涂、淋涂、辊涂、浸涂等效率较高的涂装工艺；应尽量避免无VOCs净化、回收措施的露天喷涂作业；3.在印刷工艺中推广使用水性油墨，印铁制罐行业鼓励使用紫外光固化（UV）油墨，书刊印刷行业鼓励使用预涂膜技术；4.鼓励在人造板、制鞋、皮革制品、包装材料等粘合过程中使用水基型、热熔型等环保型胶粘剂，在复合膜的生产中推广无溶剂复合及共挤出复合技术；5.淘汰以三氟三氯乙烷、甲基氯仿和四氯化碳为清洗剂或溶剂的生产工艺。清洗过程中产生的废溶剂宜密闭收集，有回收价值的废溶剂经处理后回用，其他废溶剂应妥善处置；6.含VOCs产品的使用过程中，应采取废气收集措施，提高废气收集效率，减少废气的无组织排放与逸散，并对收集后的废气进行回收或处理后达标排放。</w:t>
                  </w:r>
                </w:p>
                <w:p w14:paraId="23B0CA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⑤</w:t>
                  </w:r>
                  <w:r>
                    <w:rPr>
                      <w:rFonts w:hint="eastAsia" w:ascii="Times New Roman" w:hAnsi="Times New Roman" w:eastAsia="宋体" w:cs="Times New Roman"/>
                      <w:color w:val="auto"/>
                      <w:sz w:val="21"/>
                      <w:szCs w:val="21"/>
                      <w:lang w:val="en-US" w:eastAsia="zh-CN" w:bidi="ar-SA"/>
                    </w:rPr>
                    <w:t>建筑装饰装修、服装干洗、餐饮油烟等生活源的VOCs污染防治技术措施包括：1.在建筑装饰装修行业推广使用符合环境标志产品技术要求的建筑涂料、低有机溶剂型木器漆和胶粘剂，逐步减少有机溶剂型涂料的使用；2.在服装干洗行业应淘汰开启式干洗机的生产和使用，推广使用配备压缩机制冷溶剂回收系统的封闭式干洗机，鼓励使用配备活性炭吸附装置的干洗机；3.在餐饮服务行业鼓励使用管道煤气、天然气、电等清洁能源；倡导低油烟、低污染、低能耗的饮食方式。</w:t>
                  </w:r>
                </w:p>
              </w:tc>
              <w:tc>
                <w:tcPr>
                  <w:tcW w:w="1555" w:type="dxa"/>
                  <w:vAlign w:val="center"/>
                </w:tcPr>
                <w:p w14:paraId="391757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本项目不涉及以上情况。</w:t>
                  </w:r>
                </w:p>
              </w:tc>
              <w:tc>
                <w:tcPr>
                  <w:tcW w:w="931" w:type="dxa"/>
                  <w:vAlign w:val="center"/>
                </w:tcPr>
                <w:p w14:paraId="07C8BB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符合</w:t>
                  </w:r>
                </w:p>
              </w:tc>
            </w:tr>
            <w:tr w14:paraId="3E4758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67" w:type="dxa"/>
                  <w:vAlign w:val="center"/>
                </w:tcPr>
                <w:p w14:paraId="48839A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2</w:t>
                  </w:r>
                </w:p>
              </w:tc>
              <w:tc>
                <w:tcPr>
                  <w:tcW w:w="3622" w:type="dxa"/>
                  <w:vAlign w:val="center"/>
                </w:tcPr>
                <w:p w14:paraId="08FEF9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color w:val="auto"/>
                      <w:sz w:val="21"/>
                      <w:szCs w:val="21"/>
                      <w:lang w:val="en-US" w:eastAsia="zh-CN" w:bidi="ar-SA"/>
                    </w:rPr>
                  </w:pPr>
                  <w:r>
                    <w:rPr>
                      <w:rFonts w:hint="eastAsia" w:ascii="Times New Roman" w:hAnsi="Times New Roman" w:eastAsia="宋体" w:cs="Times New Roman"/>
                      <w:b/>
                      <w:color w:val="auto"/>
                      <w:sz w:val="21"/>
                      <w:szCs w:val="21"/>
                      <w:lang w:val="en-US" w:eastAsia="zh-CN" w:bidi="ar-SA"/>
                    </w:rPr>
                    <w:t>末端治理与综合利用：</w:t>
                  </w:r>
                </w:p>
                <w:p w14:paraId="5CFE68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①</w:t>
                  </w:r>
                  <w:r>
                    <w:rPr>
                      <w:rFonts w:hint="eastAsia" w:ascii="Times New Roman" w:hAnsi="Times New Roman" w:eastAsia="宋体" w:cs="Times New Roman"/>
                      <w:color w:val="auto"/>
                      <w:sz w:val="21"/>
                      <w:szCs w:val="21"/>
                      <w:lang w:val="en-US" w:eastAsia="zh-CN" w:bidi="ar-SA"/>
                    </w:rPr>
                    <w:t>在工业生产过程中鼓励VOCs的回收利用，并优先鼓励在生产系统内回用。</w:t>
                  </w:r>
                </w:p>
                <w:p w14:paraId="79BD33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②</w:t>
                  </w:r>
                  <w:r>
                    <w:rPr>
                      <w:rFonts w:hint="eastAsia" w:ascii="Times New Roman" w:hAnsi="Times New Roman" w:eastAsia="宋体" w:cs="Times New Roman"/>
                      <w:color w:val="auto"/>
                      <w:sz w:val="21"/>
                      <w:szCs w:val="21"/>
                      <w:lang w:val="en-US" w:eastAsia="zh-CN" w:bidi="ar-SA"/>
                    </w:rPr>
                    <w:t>对于含高浓度VOCs的废气，宜优先采用冷凝回收、吸附回收技术进行回收利用，并辅助以其他治理技术实现达标排放。</w:t>
                  </w:r>
                </w:p>
                <w:p w14:paraId="234734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③</w:t>
                  </w:r>
                  <w:r>
                    <w:rPr>
                      <w:rFonts w:hint="eastAsia" w:ascii="Times New Roman" w:hAnsi="Times New Roman" w:eastAsia="宋体" w:cs="Times New Roman"/>
                      <w:color w:val="auto"/>
                      <w:sz w:val="21"/>
                      <w:szCs w:val="21"/>
                      <w:lang w:val="en-US" w:eastAsia="zh-CN" w:bidi="ar-SA"/>
                    </w:rPr>
                    <w:t>对于含中等浓度VOCs的废气，可采用吸附技术回收有机溶剂，或采用催化燃烧和热力焚烧技术净化后达标排放。当采用催化燃烧和热力焚烧技术进行净化时，应进行余热回收利用。</w:t>
                  </w:r>
                </w:p>
                <w:p w14:paraId="3CD198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④</w:t>
                  </w:r>
                  <w:r>
                    <w:rPr>
                      <w:rFonts w:hint="eastAsia" w:ascii="Times New Roman" w:hAnsi="Times New Roman" w:eastAsia="宋体" w:cs="Times New Roman"/>
                      <w:color w:val="auto"/>
                      <w:sz w:val="21"/>
                      <w:szCs w:val="21"/>
                      <w:lang w:val="en-US" w:eastAsia="zh-CN" w:bidi="ar-SA"/>
                    </w:rPr>
                    <w:t>对于含低浓度VOCs的废气，有回收价值时可采用吸附技术、吸收技术对有机溶剂回收后达标排放；不宜回收时，可采用吸附浓缩燃烧技术、生物技术、吸收技术、等离子体技术或紫外光高级氧化技术等净化后达标排放。</w:t>
                  </w:r>
                </w:p>
                <w:p w14:paraId="4DAA2A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⑤</w:t>
                  </w:r>
                  <w:r>
                    <w:rPr>
                      <w:rFonts w:hint="eastAsia" w:ascii="Times New Roman" w:hAnsi="Times New Roman" w:eastAsia="宋体" w:cs="Times New Roman"/>
                      <w:color w:val="auto"/>
                      <w:sz w:val="21"/>
                      <w:szCs w:val="21"/>
                      <w:lang w:val="en-US" w:eastAsia="zh-CN" w:bidi="ar-SA"/>
                    </w:rPr>
                    <w:t>含有有机卤素成分VOCs的废气，宜采用非焚烧技术处理。</w:t>
                  </w:r>
                </w:p>
                <w:p w14:paraId="50A62F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⑥</w:t>
                  </w:r>
                  <w:r>
                    <w:rPr>
                      <w:rFonts w:hint="eastAsia" w:ascii="Times New Roman" w:hAnsi="Times New Roman" w:eastAsia="宋体" w:cs="Times New Roman"/>
                      <w:color w:val="auto"/>
                      <w:sz w:val="21"/>
                      <w:szCs w:val="21"/>
                      <w:lang w:val="en-US" w:eastAsia="zh-CN" w:bidi="ar-SA"/>
                    </w:rPr>
                    <w:t>恶臭气体污染源可采用生物技术、等离子体技术、吸附技术、吸收技术、紫外光高级氧化技术或组合技术等进行净化。净化后的恶臭气体除满足达标排放的要求外，还应采取高空排放等措施，避免产生扰民问题。</w:t>
                  </w:r>
                </w:p>
                <w:p w14:paraId="3685BB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⑦</w:t>
                  </w:r>
                  <w:r>
                    <w:rPr>
                      <w:rFonts w:hint="eastAsia" w:ascii="Times New Roman" w:hAnsi="Times New Roman" w:eastAsia="宋体" w:cs="Times New Roman"/>
                      <w:color w:val="auto"/>
                      <w:sz w:val="21"/>
                      <w:szCs w:val="21"/>
                      <w:lang w:val="en-US" w:eastAsia="zh-CN" w:bidi="ar-SA"/>
                    </w:rPr>
                    <w:t>在餐饮服务业推广使用具有油雾回收功能的油烟抽排装置，并根据规模、场地和气候条件等采用高效油烟与VOCs净化装置净化后达标排放。</w:t>
                  </w:r>
                </w:p>
                <w:p w14:paraId="4AEEA8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⑧</w:t>
                  </w:r>
                  <w:r>
                    <w:rPr>
                      <w:rFonts w:hint="eastAsia" w:ascii="Times New Roman" w:hAnsi="Times New Roman" w:eastAsia="宋体" w:cs="Times New Roman"/>
                      <w:color w:val="auto"/>
                      <w:sz w:val="21"/>
                      <w:szCs w:val="21"/>
                      <w:lang w:val="en-US" w:eastAsia="zh-CN" w:bidi="ar-SA"/>
                    </w:rPr>
                    <w:t>严格控制VOCs处理过程中产生的二次污染，对于催化燃烧和热力焚烧过程中产生的含硫、氮、氯等无机废气，以及吸附、吸收、冷凝、生物等治理过程中所产生的含有机物废水，应处理后达标排放。</w:t>
                  </w:r>
                </w:p>
                <w:p w14:paraId="639FCC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⑨</w:t>
                  </w:r>
                  <w:r>
                    <w:rPr>
                      <w:rFonts w:hint="eastAsia" w:ascii="Times New Roman" w:hAnsi="Times New Roman" w:eastAsia="宋体" w:cs="Times New Roman"/>
                      <w:color w:val="auto"/>
                      <w:sz w:val="21"/>
                      <w:szCs w:val="21"/>
                      <w:lang w:val="en-US" w:eastAsia="zh-CN" w:bidi="ar-SA"/>
                    </w:rPr>
                    <w:t>对于不能再生的过滤材料、吸附剂及催化剂等净化材料，应按照国家固体废物管理的相关规定处理处置。</w:t>
                  </w:r>
                </w:p>
              </w:tc>
              <w:tc>
                <w:tcPr>
                  <w:tcW w:w="1555" w:type="dxa"/>
                  <w:vAlign w:val="center"/>
                </w:tcPr>
                <w:p w14:paraId="035E8A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本项目产生的有机废气量较小，属于低浓度有机废气，对照文件中的第</w:t>
                  </w:r>
                  <w:r>
                    <w:rPr>
                      <w:rFonts w:hint="default" w:ascii="Times New Roman" w:hAnsi="Times New Roman" w:eastAsia="宋体" w:cs="Times New Roman"/>
                      <w:color w:val="auto"/>
                      <w:sz w:val="21"/>
                      <w:szCs w:val="21"/>
                      <w:lang w:val="en-US" w:eastAsia="zh-CN" w:bidi="ar-SA"/>
                    </w:rPr>
                    <w:t>④</w:t>
                  </w:r>
                  <w:r>
                    <w:rPr>
                      <w:rFonts w:hint="eastAsia" w:ascii="Times New Roman" w:hAnsi="Times New Roman" w:eastAsia="宋体" w:cs="Times New Roman"/>
                      <w:color w:val="auto"/>
                      <w:sz w:val="21"/>
                      <w:szCs w:val="21"/>
                      <w:lang w:val="en-US" w:eastAsia="zh-CN" w:bidi="ar-SA"/>
                    </w:rPr>
                    <w:t>条要求进行分析，本项目使用活性炭吸附处理达标排放。</w:t>
                  </w:r>
                </w:p>
              </w:tc>
              <w:tc>
                <w:tcPr>
                  <w:tcW w:w="931" w:type="dxa"/>
                  <w:vAlign w:val="center"/>
                </w:tcPr>
                <w:p w14:paraId="055BBA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符合</w:t>
                  </w:r>
                </w:p>
              </w:tc>
            </w:tr>
            <w:tr w14:paraId="4F824E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67" w:type="dxa"/>
                  <w:vAlign w:val="center"/>
                </w:tcPr>
                <w:p w14:paraId="19C003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3</w:t>
                  </w:r>
                </w:p>
              </w:tc>
              <w:tc>
                <w:tcPr>
                  <w:tcW w:w="3622" w:type="dxa"/>
                  <w:vAlign w:val="center"/>
                </w:tcPr>
                <w:p w14:paraId="65EDB6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color w:val="auto"/>
                      <w:sz w:val="21"/>
                      <w:szCs w:val="21"/>
                      <w:lang w:val="en-US" w:eastAsia="zh-CN" w:bidi="ar-SA"/>
                    </w:rPr>
                  </w:pPr>
                  <w:r>
                    <w:rPr>
                      <w:rFonts w:hint="eastAsia" w:ascii="Times New Roman" w:hAnsi="Times New Roman" w:eastAsia="宋体" w:cs="Times New Roman"/>
                      <w:b/>
                      <w:color w:val="auto"/>
                      <w:sz w:val="21"/>
                      <w:szCs w:val="21"/>
                      <w:lang w:val="en-US" w:eastAsia="zh-CN" w:bidi="ar-SA"/>
                    </w:rPr>
                    <w:t>鼓励研发的新技术、新材料和新装备：</w:t>
                  </w:r>
                </w:p>
                <w:p w14:paraId="60C8F9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①</w:t>
                  </w:r>
                  <w:r>
                    <w:rPr>
                      <w:rFonts w:hint="eastAsia" w:ascii="Times New Roman" w:hAnsi="Times New Roman" w:eastAsia="宋体" w:cs="Times New Roman"/>
                      <w:color w:val="auto"/>
                      <w:sz w:val="21"/>
                      <w:szCs w:val="21"/>
                      <w:lang w:val="en-US" w:eastAsia="zh-CN" w:bidi="ar-SA"/>
                    </w:rPr>
                    <w:t>工业生产过程中能够减少VOCs形成和挥发的清洁生产技术。</w:t>
                  </w:r>
                </w:p>
                <w:p w14:paraId="38EC56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②</w:t>
                  </w:r>
                  <w:r>
                    <w:rPr>
                      <w:rFonts w:hint="eastAsia" w:ascii="Times New Roman" w:hAnsi="Times New Roman" w:eastAsia="宋体" w:cs="Times New Roman"/>
                      <w:color w:val="auto"/>
                      <w:sz w:val="21"/>
                      <w:szCs w:val="21"/>
                      <w:lang w:val="en-US" w:eastAsia="zh-CN" w:bidi="ar-SA"/>
                    </w:rPr>
                    <w:t>旋转式分子筛吸附浓缩技术、高效蓄热式催化燃烧技术（RCO）和蓄热式热力燃烧技术（RTO）、氮气循环脱附吸附回收技术、高效水基强化吸收技术，以及其他针对特定有机污染物的生物净化技术和低温等离子体净化技术等。</w:t>
                  </w:r>
                </w:p>
                <w:p w14:paraId="0A61C9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③</w:t>
                  </w:r>
                  <w:r>
                    <w:rPr>
                      <w:rFonts w:hint="eastAsia" w:ascii="Times New Roman" w:hAnsi="Times New Roman" w:eastAsia="宋体" w:cs="Times New Roman"/>
                      <w:color w:val="auto"/>
                      <w:sz w:val="21"/>
                      <w:szCs w:val="21"/>
                      <w:lang w:val="en-US" w:eastAsia="zh-CN" w:bidi="ar-SA"/>
                    </w:rPr>
                    <w:t>高效吸附材料（如特种用途活性炭、高强度活性炭纤维、改性疏水分子筛和硅胶等）、催化材料（如广谱性VOCs氧化催化剂等）、高效生物填料和吸收剂等。</w:t>
                  </w:r>
                </w:p>
                <w:p w14:paraId="31DF95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④</w:t>
                  </w:r>
                  <w:r>
                    <w:rPr>
                      <w:rFonts w:hint="eastAsia" w:ascii="Times New Roman" w:hAnsi="Times New Roman" w:eastAsia="宋体" w:cs="Times New Roman"/>
                      <w:color w:val="auto"/>
                      <w:sz w:val="21"/>
                      <w:szCs w:val="21"/>
                      <w:lang w:val="en-US" w:eastAsia="zh-CN" w:bidi="ar-SA"/>
                    </w:rPr>
                    <w:t>挥发性有机物回收及综合利用设备。</w:t>
                  </w:r>
                </w:p>
              </w:tc>
              <w:tc>
                <w:tcPr>
                  <w:tcW w:w="1555" w:type="dxa"/>
                  <w:vAlign w:val="center"/>
                </w:tcPr>
                <w:p w14:paraId="1A9399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本项目产生的有机废气量较小，采用应用广泛的吸附治理措施对废气进行治理后可达标排放。</w:t>
                  </w:r>
                </w:p>
              </w:tc>
              <w:tc>
                <w:tcPr>
                  <w:tcW w:w="931" w:type="dxa"/>
                  <w:vAlign w:val="center"/>
                </w:tcPr>
                <w:p w14:paraId="7CF8BA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符合</w:t>
                  </w:r>
                </w:p>
              </w:tc>
            </w:tr>
            <w:tr w14:paraId="21B8C0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67" w:type="dxa"/>
                  <w:vAlign w:val="center"/>
                </w:tcPr>
                <w:p w14:paraId="378AA6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4</w:t>
                  </w:r>
                </w:p>
              </w:tc>
              <w:tc>
                <w:tcPr>
                  <w:tcW w:w="3622" w:type="dxa"/>
                  <w:vAlign w:val="center"/>
                </w:tcPr>
                <w:p w14:paraId="4E17D3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color w:val="auto"/>
                      <w:sz w:val="21"/>
                      <w:szCs w:val="21"/>
                      <w:lang w:val="en-US" w:eastAsia="zh-CN" w:bidi="ar-SA"/>
                    </w:rPr>
                  </w:pPr>
                  <w:r>
                    <w:rPr>
                      <w:rFonts w:hint="eastAsia" w:ascii="Times New Roman" w:hAnsi="Times New Roman" w:eastAsia="宋体" w:cs="Times New Roman"/>
                      <w:b/>
                      <w:bCs/>
                      <w:color w:val="auto"/>
                      <w:sz w:val="21"/>
                      <w:szCs w:val="21"/>
                      <w:lang w:val="en-US" w:eastAsia="zh-CN" w:bidi="ar-SA"/>
                    </w:rPr>
                    <w:t>运行与监测：</w:t>
                  </w:r>
                </w:p>
                <w:p w14:paraId="133883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①</w:t>
                  </w:r>
                  <w:r>
                    <w:rPr>
                      <w:rFonts w:hint="eastAsia" w:ascii="Times New Roman" w:hAnsi="Times New Roman" w:eastAsia="宋体" w:cs="Times New Roman"/>
                      <w:color w:val="auto"/>
                      <w:sz w:val="21"/>
                      <w:szCs w:val="21"/>
                      <w:lang w:val="en-US" w:eastAsia="zh-CN" w:bidi="ar-SA"/>
                    </w:rPr>
                    <w:t>鼓励企业自行开展VOCs监测，并及时主动向当地环保行政主管部门报送监测结果。</w:t>
                  </w:r>
                </w:p>
                <w:p w14:paraId="121705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②</w:t>
                  </w:r>
                  <w:r>
                    <w:rPr>
                      <w:rFonts w:hint="eastAsia" w:ascii="Times New Roman" w:hAnsi="Times New Roman" w:eastAsia="宋体" w:cs="Times New Roman"/>
                      <w:color w:val="auto"/>
                      <w:sz w:val="21"/>
                      <w:szCs w:val="21"/>
                      <w:lang w:val="en-US" w:eastAsia="zh-CN" w:bidi="ar-SA"/>
                    </w:rPr>
                    <w:t>企业应建立健全VOCs治理设施的运行维护规程和台帐等日常管理制度，并根据工艺要求定期对各类设备、电气、自控仪表等进行检修维护，确保设施的稳定运行。</w:t>
                  </w:r>
                </w:p>
                <w:p w14:paraId="63C5C6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③</w:t>
                  </w:r>
                  <w:r>
                    <w:rPr>
                      <w:rFonts w:hint="eastAsia" w:ascii="Times New Roman" w:hAnsi="Times New Roman" w:eastAsia="宋体" w:cs="Times New Roman"/>
                      <w:color w:val="auto"/>
                      <w:sz w:val="21"/>
                      <w:szCs w:val="21"/>
                      <w:lang w:val="en-US" w:eastAsia="zh-CN" w:bidi="ar-SA"/>
                    </w:rPr>
                    <w:t>当采用吸附回收（浓缩）、催化燃烧、热力焚烧、等离子体等方法进行末端治理时，应编制本单位事故火灾、爆炸等应急救援预案，配备应急救援人员和器材，并开展应急演练。</w:t>
                  </w:r>
                </w:p>
              </w:tc>
              <w:tc>
                <w:tcPr>
                  <w:tcW w:w="1555" w:type="dxa"/>
                  <w:vAlign w:val="center"/>
                </w:tcPr>
                <w:p w14:paraId="788FA2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①</w:t>
                  </w:r>
                  <w:r>
                    <w:rPr>
                      <w:rFonts w:hint="eastAsia" w:ascii="Times New Roman" w:hAnsi="Times New Roman" w:eastAsia="宋体" w:cs="Times New Roman"/>
                      <w:color w:val="auto"/>
                      <w:sz w:val="21"/>
                      <w:szCs w:val="21"/>
                      <w:lang w:val="en-US" w:eastAsia="zh-CN" w:bidi="ar-SA"/>
                    </w:rPr>
                    <w:t>本项目建成后将严格按照自行监测要求，对项目排放废气进行自行监测；</w:t>
                  </w:r>
                </w:p>
                <w:p w14:paraId="29F519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②</w:t>
                  </w:r>
                  <w:r>
                    <w:rPr>
                      <w:rFonts w:hint="eastAsia" w:ascii="Times New Roman" w:hAnsi="Times New Roman" w:eastAsia="宋体" w:cs="Times New Roman"/>
                      <w:color w:val="auto"/>
                      <w:sz w:val="21"/>
                      <w:szCs w:val="21"/>
                      <w:lang w:val="en-US" w:eastAsia="zh-CN" w:bidi="ar-SA"/>
                    </w:rPr>
                    <w:t>本项目建成后将按照文件要求建立健全VOCs治理设施的运行维护规程和台帐等日常管理制度，并定期对各类设备，确保设施的稳定运行；</w:t>
                  </w:r>
                </w:p>
                <w:p w14:paraId="755C0F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③</w:t>
                  </w:r>
                  <w:r>
                    <w:rPr>
                      <w:rFonts w:hint="eastAsia" w:ascii="Times New Roman" w:hAnsi="Times New Roman" w:eastAsia="宋体" w:cs="Times New Roman"/>
                      <w:color w:val="auto"/>
                      <w:sz w:val="21"/>
                      <w:szCs w:val="21"/>
                      <w:lang w:val="en-US" w:eastAsia="zh-CN" w:bidi="ar-SA"/>
                    </w:rPr>
                    <w:t>本项目建成后将按照文件要求相关的应急预案，配备应急救援人员和器材，并定期开展演练。</w:t>
                  </w:r>
                </w:p>
              </w:tc>
              <w:tc>
                <w:tcPr>
                  <w:tcW w:w="931" w:type="dxa"/>
                  <w:vAlign w:val="center"/>
                </w:tcPr>
                <w:p w14:paraId="6B252F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符合</w:t>
                  </w:r>
                </w:p>
              </w:tc>
            </w:tr>
          </w:tbl>
          <w:p w14:paraId="404D795F">
            <w:pPr>
              <w:keepNext w:val="0"/>
              <w:keepLines w:val="0"/>
              <w:suppressLineNumbers w:val="0"/>
              <w:autoSpaceDE w:val="0"/>
              <w:autoSpaceDN w:val="0"/>
              <w:adjustRightInd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综上，本项目满足《挥发性有机物（VOCs）污染防治技术政策》文件要求。</w:t>
            </w:r>
          </w:p>
          <w:p w14:paraId="3BBBD9E0">
            <w:pPr>
              <w:keepNext w:val="0"/>
              <w:keepLines w:val="0"/>
              <w:suppressLineNumbers w:val="0"/>
              <w:bidi w:val="0"/>
              <w:spacing w:before="0" w:beforeAutospacing="0" w:after="0" w:afterAutospacing="0"/>
              <w:ind w:left="0" w:right="0"/>
              <w:rPr>
                <w:rFonts w:hint="eastAsia" w:ascii="Times New Roman" w:hAnsi="Times New Roman" w:cs="Times New Roman"/>
                <w:b/>
                <w:bCs/>
                <w:color w:val="auto"/>
                <w:highlight w:val="none"/>
                <w:lang w:val="en-US" w:eastAsia="zh-CN"/>
              </w:rPr>
            </w:pPr>
            <w:r>
              <w:rPr>
                <w:rFonts w:hint="eastAsia" w:cs="Times New Roman"/>
                <w:b/>
                <w:bCs/>
                <w:color w:val="auto"/>
                <w:highlight w:val="none"/>
                <w:lang w:val="en-US" w:eastAsia="zh-CN"/>
              </w:rPr>
              <w:t>9</w:t>
            </w:r>
            <w:r>
              <w:rPr>
                <w:rFonts w:hint="eastAsia" w:ascii="Times New Roman" w:hAnsi="Times New Roman" w:cs="Times New Roman"/>
                <w:b/>
                <w:bCs/>
                <w:color w:val="auto"/>
                <w:highlight w:val="none"/>
                <w:lang w:val="en-US" w:eastAsia="zh-CN"/>
              </w:rPr>
              <w:t>、与《江西省深入打好污染防治攻坚战</w:t>
            </w:r>
            <w:r>
              <w:rPr>
                <w:rFonts w:hint="eastAsia" w:cs="Times New Roman"/>
                <w:b/>
                <w:bCs/>
                <w:color w:val="auto"/>
                <w:highlight w:val="none"/>
                <w:lang w:val="en-US" w:eastAsia="zh-CN"/>
              </w:rPr>
              <w:t xml:space="preserve"> </w:t>
            </w:r>
            <w:r>
              <w:rPr>
                <w:rFonts w:hint="eastAsia" w:ascii="Times New Roman" w:hAnsi="Times New Roman" w:cs="Times New Roman"/>
                <w:b/>
                <w:bCs/>
                <w:color w:val="auto"/>
                <w:highlight w:val="none"/>
                <w:lang w:val="en-US" w:eastAsia="zh-CN"/>
              </w:rPr>
              <w:t>挥发性有机物治理专项行动实施方案》文件相符性分析</w:t>
            </w:r>
          </w:p>
          <w:p w14:paraId="3DD08385">
            <w:pPr>
              <w:keepNext w:val="0"/>
              <w:keepLines w:val="0"/>
              <w:suppressLineNumbers w:val="0"/>
              <w:autoSpaceDE w:val="0"/>
              <w:autoSpaceDN w:val="0"/>
              <w:adjustRightInd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根据《江西省深入打好污染防治攻坚战</w:t>
            </w:r>
            <w:r>
              <w:rPr>
                <w:rFonts w:hint="eastAsia" w:cs="Times New Roman"/>
                <w:color w:val="auto"/>
                <w:sz w:val="24"/>
                <w:lang w:val="en-US" w:eastAsia="zh-CN"/>
              </w:rPr>
              <w:t xml:space="preserve"> </w:t>
            </w:r>
            <w:r>
              <w:rPr>
                <w:rFonts w:hint="eastAsia" w:ascii="Times New Roman" w:hAnsi="Times New Roman" w:eastAsia="宋体" w:cs="Times New Roman"/>
                <w:color w:val="auto"/>
                <w:sz w:val="24"/>
              </w:rPr>
              <w:t>挥发性有机物治理专项行动实施方案》（赣环委办字〔2022〕22号），本项目与其相符性分析见表1-1</w:t>
            </w:r>
            <w:r>
              <w:rPr>
                <w:rFonts w:hint="eastAsia" w:ascii="Times New Roman" w:hAnsi="Times New Roman" w:eastAsia="宋体" w:cs="Times New Roman"/>
                <w:color w:val="auto"/>
                <w:sz w:val="24"/>
                <w:lang w:val="en-US" w:eastAsia="zh-CN"/>
              </w:rPr>
              <w:t>1</w:t>
            </w:r>
            <w:r>
              <w:rPr>
                <w:rFonts w:hint="eastAsia" w:ascii="Times New Roman" w:hAnsi="Times New Roman" w:eastAsia="宋体" w:cs="Times New Roman"/>
                <w:color w:val="auto"/>
                <w:sz w:val="24"/>
              </w:rPr>
              <w:t>。</w:t>
            </w:r>
          </w:p>
          <w:p w14:paraId="2445FFC7">
            <w:pPr>
              <w:keepNext w:val="0"/>
              <w:keepLines w:val="0"/>
              <w:widowControl/>
              <w:suppressLineNumbers w:val="0"/>
              <w:shd w:val="clear" w:color="auto" w:fill="FFFFFF"/>
              <w:adjustRightInd w:val="0"/>
              <w:snapToGrid w:val="0"/>
              <w:spacing w:before="0" w:beforeAutospacing="0" w:after="0" w:afterAutospacing="0" w:line="240" w:lineRule="auto"/>
              <w:ind w:left="0" w:right="0"/>
              <w:jc w:val="center"/>
              <w:rPr>
                <w:rFonts w:hint="default" w:ascii="Times New Roman" w:hAnsi="Times New Roman" w:eastAsia="宋体" w:cs="Times New Roman"/>
                <w:b/>
                <w:color w:val="auto"/>
                <w:kern w:val="0"/>
                <w:sz w:val="21"/>
                <w:szCs w:val="21"/>
                <w:lang w:val="zh-CN" w:eastAsia="zh-CN" w:bidi="ar-SA"/>
              </w:rPr>
            </w:pPr>
            <w:r>
              <w:rPr>
                <w:rFonts w:hint="eastAsia" w:ascii="Times New Roman" w:hAnsi="Times New Roman" w:eastAsia="宋体" w:cs="Times New Roman"/>
                <w:b/>
                <w:color w:val="auto"/>
                <w:kern w:val="0"/>
                <w:sz w:val="21"/>
                <w:szCs w:val="21"/>
                <w:lang w:val="zh-CN" w:eastAsia="zh-CN" w:bidi="ar-SA"/>
              </w:rPr>
              <w:t>表</w:t>
            </w:r>
            <w:r>
              <w:rPr>
                <w:rFonts w:hint="default" w:ascii="Times New Roman" w:hAnsi="Times New Roman" w:eastAsia="宋体" w:cs="Times New Roman"/>
                <w:b/>
                <w:color w:val="auto"/>
                <w:kern w:val="0"/>
                <w:sz w:val="21"/>
                <w:szCs w:val="21"/>
                <w:lang w:val="zh-CN" w:eastAsia="zh-CN" w:bidi="ar-SA"/>
              </w:rPr>
              <w:t>1-</w:t>
            </w:r>
            <w:r>
              <w:rPr>
                <w:rFonts w:hint="eastAsia" w:ascii="Times New Roman" w:hAnsi="Times New Roman" w:eastAsia="宋体" w:cs="Times New Roman"/>
                <w:b/>
                <w:color w:val="auto"/>
                <w:kern w:val="0"/>
                <w:sz w:val="21"/>
                <w:szCs w:val="21"/>
                <w:lang w:val="zh-CN" w:eastAsia="zh-CN" w:bidi="ar-SA"/>
              </w:rPr>
              <w:t>1</w:t>
            </w:r>
            <w:r>
              <w:rPr>
                <w:rFonts w:hint="eastAsia" w:ascii="Times New Roman" w:hAnsi="Times New Roman" w:eastAsia="宋体" w:cs="Times New Roman"/>
                <w:b/>
                <w:color w:val="auto"/>
                <w:kern w:val="0"/>
                <w:sz w:val="21"/>
                <w:szCs w:val="21"/>
                <w:lang w:val="en-US" w:eastAsia="zh-CN" w:bidi="ar-SA"/>
              </w:rPr>
              <w:t>1</w:t>
            </w:r>
            <w:r>
              <w:rPr>
                <w:rFonts w:hint="default" w:ascii="Times New Roman" w:hAnsi="Times New Roman" w:eastAsia="宋体" w:cs="Times New Roman"/>
                <w:b/>
                <w:color w:val="auto"/>
                <w:kern w:val="0"/>
                <w:sz w:val="21"/>
                <w:szCs w:val="21"/>
                <w:lang w:val="zh-CN" w:eastAsia="zh-CN" w:bidi="ar-SA"/>
              </w:rPr>
              <w:t xml:space="preserve">  </w:t>
            </w:r>
            <w:r>
              <w:rPr>
                <w:rFonts w:hint="eastAsia" w:ascii="Times New Roman" w:hAnsi="Times New Roman" w:eastAsia="宋体" w:cs="Times New Roman"/>
                <w:b/>
                <w:color w:val="auto"/>
                <w:kern w:val="0"/>
                <w:sz w:val="21"/>
                <w:szCs w:val="21"/>
                <w:lang w:val="en-US" w:eastAsia="zh-CN" w:bidi="ar-SA"/>
              </w:rPr>
              <w:t>与赣环委办字〔2022〕22号</w:t>
            </w:r>
            <w:r>
              <w:rPr>
                <w:rFonts w:hint="eastAsia" w:ascii="Times New Roman" w:hAnsi="Times New Roman" w:eastAsia="宋体" w:cs="Times New Roman"/>
                <w:b/>
                <w:color w:val="auto"/>
                <w:kern w:val="0"/>
                <w:sz w:val="21"/>
                <w:szCs w:val="21"/>
                <w:lang w:val="zh-CN" w:eastAsia="zh-CN" w:bidi="ar-SA"/>
              </w:rPr>
              <w:t>文件相符性分析</w:t>
            </w:r>
          </w:p>
          <w:tbl>
            <w:tblPr>
              <w:tblStyle w:val="3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33"/>
              <w:gridCol w:w="3450"/>
              <w:gridCol w:w="1453"/>
              <w:gridCol w:w="912"/>
            </w:tblGrid>
            <w:tr w14:paraId="08C6EB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717" w:type="dxa"/>
                  <w:vAlign w:val="center"/>
                </w:tcPr>
                <w:p w14:paraId="46E808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1"/>
                      <w:lang w:val="en-US" w:eastAsia="zh-CN" w:bidi="ar-SA"/>
                    </w:rPr>
                  </w:pPr>
                  <w:r>
                    <w:rPr>
                      <w:rFonts w:hint="default" w:ascii="Times New Roman" w:hAnsi="Times New Roman" w:eastAsia="宋体" w:cs="Times New Roman"/>
                      <w:b/>
                      <w:color w:val="auto"/>
                      <w:sz w:val="21"/>
                      <w:szCs w:val="21"/>
                      <w:lang w:val="en-US" w:eastAsia="zh-CN" w:bidi="ar-SA"/>
                    </w:rPr>
                    <w:t>序号</w:t>
                  </w:r>
                </w:p>
              </w:tc>
              <w:tc>
                <w:tcPr>
                  <w:tcW w:w="4107" w:type="dxa"/>
                  <w:vAlign w:val="center"/>
                </w:tcPr>
                <w:p w14:paraId="7EE11E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1"/>
                      <w:lang w:val="en-US" w:eastAsia="zh-CN" w:bidi="ar-SA"/>
                    </w:rPr>
                  </w:pPr>
                  <w:r>
                    <w:rPr>
                      <w:rFonts w:hint="default" w:ascii="Times New Roman" w:hAnsi="Times New Roman" w:eastAsia="宋体" w:cs="Times New Roman"/>
                      <w:b/>
                      <w:color w:val="auto"/>
                      <w:sz w:val="21"/>
                      <w:szCs w:val="21"/>
                      <w:lang w:val="en-US" w:eastAsia="zh-CN" w:bidi="ar-SA"/>
                    </w:rPr>
                    <w:t>内容要求</w:t>
                  </w:r>
                </w:p>
              </w:tc>
              <w:tc>
                <w:tcPr>
                  <w:tcW w:w="1704" w:type="dxa"/>
                  <w:vAlign w:val="center"/>
                </w:tcPr>
                <w:p w14:paraId="3F9CEF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1"/>
                      <w:lang w:val="en-US" w:eastAsia="zh-CN" w:bidi="ar-SA"/>
                    </w:rPr>
                  </w:pPr>
                  <w:r>
                    <w:rPr>
                      <w:rFonts w:hint="eastAsia" w:ascii="Times New Roman" w:hAnsi="Times New Roman" w:eastAsia="宋体" w:cs="Times New Roman"/>
                      <w:b/>
                      <w:color w:val="auto"/>
                      <w:sz w:val="21"/>
                      <w:szCs w:val="21"/>
                      <w:lang w:val="en-US" w:eastAsia="zh-CN" w:bidi="ar-SA"/>
                    </w:rPr>
                    <w:t>本项目情况</w:t>
                  </w:r>
                </w:p>
              </w:tc>
              <w:tc>
                <w:tcPr>
                  <w:tcW w:w="1052" w:type="dxa"/>
                  <w:vAlign w:val="center"/>
                </w:tcPr>
                <w:p w14:paraId="1B96BD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1"/>
                      <w:lang w:val="en-US" w:eastAsia="zh-CN" w:bidi="ar-SA"/>
                    </w:rPr>
                  </w:pPr>
                  <w:r>
                    <w:rPr>
                      <w:rFonts w:hint="eastAsia" w:ascii="Times New Roman" w:hAnsi="Times New Roman" w:eastAsia="宋体" w:cs="Times New Roman"/>
                      <w:b/>
                      <w:color w:val="auto"/>
                      <w:sz w:val="21"/>
                      <w:szCs w:val="21"/>
                      <w:lang w:val="en-US" w:eastAsia="zh-CN" w:bidi="ar-SA"/>
                    </w:rPr>
                    <w:t>符合性</w:t>
                  </w:r>
                </w:p>
              </w:tc>
            </w:tr>
            <w:tr w14:paraId="55CA0F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717" w:type="dxa"/>
                  <w:vAlign w:val="center"/>
                </w:tcPr>
                <w:p w14:paraId="5BF937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1</w:t>
                  </w:r>
                </w:p>
              </w:tc>
              <w:tc>
                <w:tcPr>
                  <w:tcW w:w="4107" w:type="dxa"/>
                  <w:vAlign w:val="center"/>
                </w:tcPr>
                <w:p w14:paraId="7740D1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大力推进VOCs原辅材料源头替代。严格落实国家和地方产品VOCs含量限制标准，对溶剂型涂料、油墨、胶粘剂、清洗剂使用企业定制低VOCs含量原辅材料替代计划。到2025年，溶剂型工业涂料、油墨、胶粘剂等使用量下降比例达到国家要求。推动建立多部门联合执法机制，组织开展含VOCs原辅材料达标情况联合检查，定期对生产企业、销售场所进行检查抽查，曝光不合格产品并追溯其生产、销售、进口、使用企业，依法追究责任。</w:t>
                  </w:r>
                </w:p>
              </w:tc>
              <w:tc>
                <w:tcPr>
                  <w:tcW w:w="1704" w:type="dxa"/>
                  <w:vAlign w:val="center"/>
                </w:tcPr>
                <w:p w14:paraId="527455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本项目的原材料为低</w:t>
                  </w:r>
                  <w:r>
                    <w:rPr>
                      <w:rFonts w:hint="default" w:ascii="Times New Roman" w:hAnsi="Times New Roman" w:eastAsia="宋体" w:cs="Times New Roman"/>
                      <w:color w:val="auto"/>
                      <w:sz w:val="21"/>
                      <w:szCs w:val="21"/>
                      <w:lang w:val="en-US" w:eastAsia="zh-CN" w:bidi="ar-SA"/>
                    </w:rPr>
                    <w:t>VOCs</w:t>
                  </w:r>
                  <w:r>
                    <w:rPr>
                      <w:rFonts w:hint="eastAsia" w:ascii="Times New Roman" w:hAnsi="Times New Roman" w:eastAsia="宋体" w:cs="Times New Roman"/>
                      <w:color w:val="auto"/>
                      <w:sz w:val="21"/>
                      <w:szCs w:val="21"/>
                      <w:lang w:val="en-US" w:eastAsia="zh-CN" w:bidi="ar-SA"/>
                    </w:rPr>
                    <w:t>物料。</w:t>
                  </w:r>
                </w:p>
              </w:tc>
              <w:tc>
                <w:tcPr>
                  <w:tcW w:w="1052" w:type="dxa"/>
                  <w:vAlign w:val="center"/>
                </w:tcPr>
                <w:p w14:paraId="539D78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符合</w:t>
                  </w:r>
                </w:p>
              </w:tc>
            </w:tr>
            <w:tr w14:paraId="1DA244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717" w:type="dxa"/>
                  <w:vAlign w:val="center"/>
                </w:tcPr>
                <w:p w14:paraId="3F4F2F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2</w:t>
                  </w:r>
                </w:p>
              </w:tc>
              <w:tc>
                <w:tcPr>
                  <w:tcW w:w="4107" w:type="dxa"/>
                  <w:vAlign w:val="center"/>
                </w:tcPr>
                <w:p w14:paraId="48C8F6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全面加强VOCs无组织排放控制。加强含VOCs物料全方位、全链条、全环节密闭管理，做好VOCs物料储存、转移和输送、设备与管线组件泄漏、敞开液面散逸以及工艺过程等无组织排放环节的管理。生产应优先采用密闭设备、在密闭空间中操作或采用全密闭集气罩收集方式，原则上应保持微状态，并根据相关规范合理设置通风量；采用局部集气罩的，距集气罩开口面最远处的VOCs无组织排放位置控制风速不低于0.3米/秒。对VOCs物料储罐和污水集输、储存、处理设施开展排查，督促企业按要求开展专项治理。</w:t>
                  </w:r>
                </w:p>
              </w:tc>
              <w:tc>
                <w:tcPr>
                  <w:tcW w:w="1704" w:type="dxa"/>
                  <w:vAlign w:val="center"/>
                </w:tcPr>
                <w:p w14:paraId="025834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本项目使用的原料，储存、转移过程不会存在泄露，工艺设备密闭，并在废气产生节点设置集气罩收集有机废气。</w:t>
                  </w:r>
                </w:p>
              </w:tc>
              <w:tc>
                <w:tcPr>
                  <w:tcW w:w="1052" w:type="dxa"/>
                  <w:vAlign w:val="center"/>
                </w:tcPr>
                <w:p w14:paraId="4386DE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符合</w:t>
                  </w:r>
                </w:p>
              </w:tc>
            </w:tr>
            <w:tr w14:paraId="2B74EB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717" w:type="dxa"/>
                  <w:vAlign w:val="center"/>
                </w:tcPr>
                <w:p w14:paraId="0CAAB7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3</w:t>
                  </w:r>
                </w:p>
              </w:tc>
              <w:tc>
                <w:tcPr>
                  <w:tcW w:w="4107" w:type="dxa"/>
                  <w:vAlign w:val="center"/>
                </w:tcPr>
                <w:p w14:paraId="250A75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持续提升治污设施“三率”。组织开展现有VOCs废气收集率、治理设施同步运行率和去除率自查，对达不到要求的VOCs收集、治理设施进行更换或升级改造，实现达标排放。对单一采用光氧化、光催化、低温等离子、一次性活性炭吸附、喷淋吸收、生物法等工艺设施的，要重点加强效果评估。行业排放标准中规定的特别排放限值和控制要求的，应按相关规定执行；未制定行业标准的应执行《大气污染物综合排放标准》和《挥发性有机物无组织排放控制标准》。</w:t>
                  </w:r>
                </w:p>
              </w:tc>
              <w:tc>
                <w:tcPr>
                  <w:tcW w:w="1704" w:type="dxa"/>
                  <w:vAlign w:val="center"/>
                </w:tcPr>
                <w:p w14:paraId="009A6B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本项目产生的废气采用集气罩收集后采用活性炭吸附处理，处理后的废气能满足排放标准要求，对环境影响较小。</w:t>
                  </w:r>
                </w:p>
              </w:tc>
              <w:tc>
                <w:tcPr>
                  <w:tcW w:w="1052" w:type="dxa"/>
                  <w:vAlign w:val="center"/>
                </w:tcPr>
                <w:p w14:paraId="6C22FC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符合</w:t>
                  </w:r>
                </w:p>
              </w:tc>
            </w:tr>
            <w:tr w14:paraId="4E4C54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717" w:type="dxa"/>
                  <w:vAlign w:val="center"/>
                </w:tcPr>
                <w:p w14:paraId="7C52B0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4</w:t>
                  </w:r>
                </w:p>
              </w:tc>
              <w:tc>
                <w:tcPr>
                  <w:tcW w:w="4107" w:type="dxa"/>
                  <w:vAlign w:val="center"/>
                </w:tcPr>
                <w:p w14:paraId="5993DD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深入推进油品储运销全过程油气回收治理。各设区市生态环境局要督促本地成品油销售企业建立日常检查和自行监测制度，在保障安全的前提下，加强无组织排放控制，每年组织开展一轮储油库、油罐车、加油站油气回收专项检查和整改，并形成自查整改报告。鼓励有条件的加油站开展三次油气回收。推动完成万吨及以上原油成品油码头，现役8000总吨及以上的油船全部完成油气回收治理。着力推动城市成品油年销量在5000吨以上的加油站安装在线监控设施。</w:t>
                  </w:r>
                </w:p>
              </w:tc>
              <w:tc>
                <w:tcPr>
                  <w:tcW w:w="1704" w:type="dxa"/>
                  <w:vAlign w:val="center"/>
                </w:tcPr>
                <w:p w14:paraId="18D755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本项目不涉及油品储运销过程。</w:t>
                  </w:r>
                </w:p>
              </w:tc>
              <w:tc>
                <w:tcPr>
                  <w:tcW w:w="1052" w:type="dxa"/>
                  <w:vAlign w:val="center"/>
                </w:tcPr>
                <w:p w14:paraId="75DE74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符合</w:t>
                  </w:r>
                </w:p>
              </w:tc>
            </w:tr>
            <w:tr w14:paraId="347111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717" w:type="dxa"/>
                  <w:vAlign w:val="center"/>
                </w:tcPr>
                <w:p w14:paraId="59653C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5</w:t>
                  </w:r>
                </w:p>
              </w:tc>
              <w:tc>
                <w:tcPr>
                  <w:tcW w:w="4107" w:type="dxa"/>
                  <w:vAlign w:val="center"/>
                </w:tcPr>
                <w:p w14:paraId="1806BF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持续推进重点行业、重点企业及重点园区开展整治。严格石化、化工、工业涂装、包装印刷等重点行业挥发性有机物全过程管控。督促重点企业按《VOCs综合治理“一企一策”约束性大纲》的要求编制一企一策方案，明确企业VOCs综合治理任务时间节点和工作目标，建立管理台账并实施针对性治理。以提高园区VOCs管理水平及企业VOCs治理能力为目标，跟踪督促重点园区编制“一园一策”方案并加快实施，推进园区VOCs治理工作入深向实。组织专家对各地市重点企业“一企一策”和重点园区“一园一策”进行抽查审核，督促提高编制质量，提升VOCs治理方案的指导性、专业性及有效性。强化涉VOCs企业分级管控，扩大绩效分级评估范围，结合臭氧污染天应急预案，根据重点行业企业应急减排清单，分别落实不同的应急减排要求。推进开发区因地制宜推广建设涉挥发性有机物“绿岛”项目，探索建设集中涂装中心、活性炭集中处理中心等。</w:t>
                  </w:r>
                </w:p>
              </w:tc>
              <w:tc>
                <w:tcPr>
                  <w:tcW w:w="1704" w:type="dxa"/>
                  <w:vAlign w:val="center"/>
                </w:tcPr>
                <w:p w14:paraId="6CB832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本项目建成会按照规定建立管理台账。</w:t>
                  </w:r>
                </w:p>
              </w:tc>
              <w:tc>
                <w:tcPr>
                  <w:tcW w:w="1052" w:type="dxa"/>
                  <w:vAlign w:val="center"/>
                </w:tcPr>
                <w:p w14:paraId="40C0FC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符合</w:t>
                  </w:r>
                </w:p>
              </w:tc>
            </w:tr>
            <w:tr w14:paraId="496444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717" w:type="dxa"/>
                  <w:vAlign w:val="center"/>
                </w:tcPr>
                <w:p w14:paraId="49CBB2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6</w:t>
                  </w:r>
                </w:p>
              </w:tc>
              <w:tc>
                <w:tcPr>
                  <w:tcW w:w="4107" w:type="dxa"/>
                  <w:vAlign w:val="center"/>
                </w:tcPr>
                <w:p w14:paraId="68843C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协同推进VOCs和NO</w:t>
                  </w:r>
                  <w:r>
                    <w:rPr>
                      <w:rFonts w:hint="eastAsia" w:ascii="Times New Roman" w:hAnsi="Times New Roman" w:eastAsia="宋体" w:cs="Times New Roman"/>
                      <w:color w:val="auto"/>
                      <w:sz w:val="21"/>
                      <w:szCs w:val="21"/>
                      <w:vertAlign w:val="subscript"/>
                      <w:lang w:val="en-US" w:eastAsia="zh-CN" w:bidi="ar-SA"/>
                    </w:rPr>
                    <w:t>X</w:t>
                  </w:r>
                  <w:r>
                    <w:rPr>
                      <w:rFonts w:hint="eastAsia" w:ascii="Times New Roman" w:hAnsi="Times New Roman" w:eastAsia="宋体" w:cs="Times New Roman"/>
                      <w:color w:val="auto"/>
                      <w:sz w:val="21"/>
                      <w:szCs w:val="21"/>
                      <w:lang w:val="en-US" w:eastAsia="zh-CN" w:bidi="ar-SA"/>
                    </w:rPr>
                    <w:t>污染减排。聚焦重点行业、重点企业、重点工业园区，以更高要求、更高标准、更严措施，对全省涉VOCs排放企业，分行业、分领域、全环节开展全面自检，科学制定减排计划，将减排任务落实到重点行业重点企业的减排工程项目，推动建设一批示范项目、示范园区；推动钢铁等行业超低排放改造，积极推动老旧柴油货车淘汰，开展非标油联合执法行动，实现VOCs、NOX减排量满足“十四五”规划时序进度要求。</w:t>
                  </w:r>
                </w:p>
              </w:tc>
              <w:tc>
                <w:tcPr>
                  <w:tcW w:w="1704" w:type="dxa"/>
                  <w:vAlign w:val="center"/>
                </w:tcPr>
                <w:p w14:paraId="3BD578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本项目的废气通过活性炭吸附处理，排放量小。</w:t>
                  </w:r>
                </w:p>
              </w:tc>
              <w:tc>
                <w:tcPr>
                  <w:tcW w:w="1052" w:type="dxa"/>
                  <w:vAlign w:val="center"/>
                </w:tcPr>
                <w:p w14:paraId="1A8FA9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符合</w:t>
                  </w:r>
                </w:p>
              </w:tc>
            </w:tr>
            <w:tr w14:paraId="011D50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717" w:type="dxa"/>
                  <w:vAlign w:val="center"/>
                </w:tcPr>
                <w:p w14:paraId="4E38E2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7</w:t>
                  </w:r>
                </w:p>
              </w:tc>
              <w:tc>
                <w:tcPr>
                  <w:tcW w:w="4107" w:type="dxa"/>
                  <w:vAlign w:val="center"/>
                </w:tcPr>
                <w:p w14:paraId="5649E5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加快构建更为精准的防控体系。开展环境空气臭氧污染成因分析与来源解析工作，对臭氧的生成机理、主要来源和传输规律进行研究，增强臭氧防治工作的科学性、针对性和有效性。推动重点企业加快安装烟气排放自动监控设施，完善重点企业主要排放口VOCs自动监控设施建设联网工作；加强涉VOCs重点工业园区、产业集群和企业环境VOCs监测。</w:t>
                  </w:r>
                </w:p>
              </w:tc>
              <w:tc>
                <w:tcPr>
                  <w:tcW w:w="1704" w:type="dxa"/>
                  <w:vAlign w:val="center"/>
                </w:tcPr>
                <w:p w14:paraId="1FC464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本项目按要求定期对VOCs进行监测。</w:t>
                  </w:r>
                </w:p>
              </w:tc>
              <w:tc>
                <w:tcPr>
                  <w:tcW w:w="1052" w:type="dxa"/>
                  <w:vAlign w:val="center"/>
                </w:tcPr>
                <w:p w14:paraId="773C08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符合</w:t>
                  </w:r>
                </w:p>
              </w:tc>
            </w:tr>
          </w:tbl>
          <w:p w14:paraId="1D68C9B1">
            <w:pPr>
              <w:keepNext w:val="0"/>
              <w:keepLines w:val="0"/>
              <w:suppressLineNumbers w:val="0"/>
              <w:autoSpaceDE w:val="0"/>
              <w:autoSpaceDN w:val="0"/>
              <w:adjustRightInd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综上，本项目满足赣环委办字〔2022〕22号文件要求。</w:t>
            </w:r>
          </w:p>
          <w:p w14:paraId="5B69903E">
            <w:pPr>
              <w:keepNext w:val="0"/>
              <w:keepLines w:val="0"/>
              <w:widowControl w:val="0"/>
              <w:suppressLineNumbers w:val="0"/>
              <w:autoSpaceDE w:val="0"/>
              <w:autoSpaceDN w:val="0"/>
              <w:adjustRightInd w:val="0"/>
              <w:spacing w:before="0" w:beforeAutospacing="0" w:after="0" w:afterAutospacing="0" w:line="360" w:lineRule="auto"/>
              <w:ind w:left="0" w:right="0" w:firstLine="482" w:firstLineChars="200"/>
              <w:jc w:val="both"/>
              <w:rPr>
                <w:rFonts w:hint="default"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bCs/>
                <w:color w:val="auto"/>
                <w:kern w:val="2"/>
                <w:sz w:val="24"/>
                <w:szCs w:val="24"/>
                <w:highlight w:val="none"/>
                <w:lang w:val="en-US" w:eastAsia="zh-CN" w:bidi="ar-SA"/>
              </w:rPr>
              <w:t>1</w:t>
            </w:r>
            <w:r>
              <w:rPr>
                <w:rFonts w:hint="eastAsia" w:cs="Times New Roman"/>
                <w:b/>
                <w:bCs/>
                <w:color w:val="auto"/>
                <w:kern w:val="2"/>
                <w:sz w:val="24"/>
                <w:szCs w:val="24"/>
                <w:highlight w:val="none"/>
                <w:lang w:val="en-US" w:eastAsia="zh-CN" w:bidi="ar-SA"/>
              </w:rPr>
              <w:t>0</w:t>
            </w:r>
            <w:r>
              <w:rPr>
                <w:rFonts w:hint="default" w:ascii="Times New Roman" w:hAnsi="Times New Roman" w:eastAsia="宋体" w:cs="Times New Roman"/>
                <w:b/>
                <w:bCs/>
                <w:color w:val="auto"/>
                <w:kern w:val="2"/>
                <w:sz w:val="24"/>
                <w:szCs w:val="24"/>
                <w:highlight w:val="none"/>
                <w:lang w:val="en-US" w:eastAsia="zh-CN" w:bidi="ar-SA"/>
              </w:rPr>
              <w:t>、与《长江中游城市群大气污染防治攻坚三年行动方案（2026-2028年）》（环大气〔2026〕14号）相符性分析</w:t>
            </w:r>
          </w:p>
          <w:p w14:paraId="43FD8FC1">
            <w:pPr>
              <w:keepNext w:val="0"/>
              <w:keepLines w:val="0"/>
              <w:suppressLineNumbers w:val="0"/>
              <w:adjustRightInd w:val="0"/>
              <w:spacing w:before="0" w:beforeAutospacing="0" w:after="0" w:afterAutospacing="0"/>
              <w:ind w:left="0" w:right="0" w:firstLine="480"/>
              <w:rPr>
                <w:rFonts w:hint="default" w:ascii="Times New Roman" w:hAnsi="Times New Roman" w:eastAsia="宋体" w:cs="Times New Roman"/>
                <w:color w:val="auto"/>
                <w:kern w:val="0"/>
                <w:szCs w:val="24"/>
                <w:highlight w:val="none"/>
                <w:lang w:bidi="ar"/>
              </w:rPr>
            </w:pPr>
            <w:r>
              <w:rPr>
                <w:rFonts w:hint="default" w:ascii="Times New Roman" w:hAnsi="Times New Roman" w:eastAsia="宋体" w:cs="Times New Roman"/>
                <w:color w:val="auto"/>
                <w:kern w:val="0"/>
                <w:szCs w:val="24"/>
                <w:highlight w:val="none"/>
                <w:lang w:bidi="ar"/>
              </w:rPr>
              <w:t>根据《长江中游城市群大气污染防治攻坚三年行动方案（2026-2028年）》（环大气〔2026〕14号）有关要求，本项目</w:t>
            </w:r>
            <w:r>
              <w:rPr>
                <w:rFonts w:hint="eastAsia" w:ascii="Times New Roman" w:hAnsi="Times New Roman" w:eastAsia="宋体" w:cs="Times New Roman"/>
                <w:color w:val="auto"/>
                <w:kern w:val="0"/>
                <w:szCs w:val="24"/>
                <w:highlight w:val="none"/>
                <w:lang w:val="en-US" w:eastAsia="zh-CN" w:bidi="ar"/>
              </w:rPr>
              <w:t>与其</w:t>
            </w:r>
            <w:r>
              <w:rPr>
                <w:rFonts w:hint="default" w:ascii="Times New Roman" w:hAnsi="Times New Roman" w:eastAsia="宋体" w:cs="Times New Roman"/>
                <w:color w:val="auto"/>
                <w:kern w:val="0"/>
                <w:szCs w:val="24"/>
                <w:highlight w:val="none"/>
                <w:lang w:bidi="ar"/>
              </w:rPr>
              <w:t>相符性分析如下：</w:t>
            </w:r>
          </w:p>
          <w:p w14:paraId="3F932748">
            <w:pPr>
              <w:keepNext w:val="0"/>
              <w:keepLines w:val="0"/>
              <w:widowControl w:val="0"/>
              <w:suppressLineNumbers w:val="0"/>
              <w:shd w:val="clear" w:color="auto" w:fill="FFFFFF"/>
              <w:bidi w:val="0"/>
              <w:snapToGrid/>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0"/>
                <w:sz w:val="21"/>
                <w:szCs w:val="21"/>
                <w:highlight w:val="none"/>
                <w:lang w:val="en-US" w:eastAsia="zh-CN" w:bidi="zh-CN"/>
              </w:rPr>
            </w:pPr>
            <w:r>
              <w:rPr>
                <w:rFonts w:hint="eastAsia" w:ascii="Times New Roman" w:hAnsi="Times New Roman" w:eastAsia="宋体" w:cs="Times New Roman"/>
                <w:b/>
                <w:color w:val="auto"/>
                <w:kern w:val="0"/>
                <w:sz w:val="21"/>
                <w:szCs w:val="21"/>
                <w:highlight w:val="none"/>
                <w:lang w:val="en-US" w:eastAsia="zh-CN" w:bidi="zh-CN"/>
              </w:rPr>
              <w:t>表1-12  与《长江中游城市群大气污染防治攻坚三年行动方案（2026-2028年）》（环大气〔2026〕14号）相符性分析</w:t>
            </w:r>
          </w:p>
          <w:tbl>
            <w:tblPr>
              <w:tblStyle w:val="32"/>
              <w:tblW w:w="5000" w:type="pct"/>
              <w:jc w:val="center"/>
              <w:tblBorders>
                <w:top w:val="single" w:color="000000" w:sz="4" w:space="0"/>
                <w:left w:val="none" w:color="auto" w:sz="0" w:space="0"/>
                <w:bottom w:val="single" w:color="000000" w:sz="4" w:space="0"/>
                <w:right w:val="none" w:color="auto" w:sz="0" w:space="0"/>
                <w:insideH w:val="single" w:color="000000" w:sz="2" w:space="0"/>
                <w:insideV w:val="single" w:color="000000" w:sz="2" w:space="0"/>
              </w:tblBorders>
              <w:tblLayout w:type="fixed"/>
              <w:tblCellMar>
                <w:top w:w="0" w:type="dxa"/>
                <w:left w:w="108" w:type="dxa"/>
                <w:bottom w:w="0" w:type="dxa"/>
                <w:right w:w="108" w:type="dxa"/>
              </w:tblCellMar>
            </w:tblPr>
            <w:tblGrid>
              <w:gridCol w:w="567"/>
              <w:gridCol w:w="3382"/>
              <w:gridCol w:w="1824"/>
              <w:gridCol w:w="675"/>
            </w:tblGrid>
            <w:tr w14:paraId="0EFE20BF">
              <w:tblPrEx>
                <w:tblBorders>
                  <w:top w:val="single" w:color="000000" w:sz="4" w:space="0"/>
                  <w:left w:val="none" w:color="auto" w:sz="0" w:space="0"/>
                  <w:bottom w:val="single" w:color="000000" w:sz="4"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3062" w:type="pct"/>
                  <w:gridSpan w:val="2"/>
                  <w:tcBorders>
                    <w:tl2br w:val="nil"/>
                    <w:tr2bl w:val="nil"/>
                  </w:tcBorders>
                  <w:noWrap w:val="0"/>
                  <w:vAlign w:val="center"/>
                </w:tcPr>
                <w:p w14:paraId="5A17026C">
                  <w:pPr>
                    <w:keepNext w:val="0"/>
                    <w:keepLines w:val="0"/>
                    <w:widowControl/>
                    <w:suppressLineNumbers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1"/>
                      <w:szCs w:val="20"/>
                      <w:highlight w:val="none"/>
                      <w:lang w:val="en-US" w:eastAsia="zh-CN" w:bidi="ar-SA"/>
                    </w:rPr>
                  </w:pPr>
                  <w:r>
                    <w:rPr>
                      <w:rFonts w:hint="eastAsia" w:ascii="Times New Roman" w:hAnsi="Times New Roman" w:eastAsia="宋体" w:cs="Times New Roman"/>
                      <w:b/>
                      <w:bCs/>
                      <w:color w:val="auto"/>
                      <w:kern w:val="0"/>
                      <w:sz w:val="21"/>
                      <w:szCs w:val="20"/>
                      <w:highlight w:val="none"/>
                      <w:lang w:val="en-US" w:eastAsia="zh-CN" w:bidi="ar-SA"/>
                    </w:rPr>
                    <w:t>方案要求</w:t>
                  </w:r>
                </w:p>
              </w:tc>
              <w:tc>
                <w:tcPr>
                  <w:tcW w:w="1414" w:type="pct"/>
                  <w:tcBorders>
                    <w:tl2br w:val="nil"/>
                    <w:tr2bl w:val="nil"/>
                  </w:tcBorders>
                  <w:noWrap w:val="0"/>
                  <w:vAlign w:val="center"/>
                </w:tcPr>
                <w:p w14:paraId="05F8EAF7">
                  <w:pPr>
                    <w:keepNext w:val="0"/>
                    <w:keepLines w:val="0"/>
                    <w:widowControl/>
                    <w:suppressLineNumbers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本项目</w:t>
                  </w:r>
                </w:p>
              </w:tc>
              <w:tc>
                <w:tcPr>
                  <w:tcW w:w="523" w:type="pct"/>
                  <w:tcBorders>
                    <w:tl2br w:val="nil"/>
                    <w:tr2bl w:val="nil"/>
                  </w:tcBorders>
                  <w:noWrap w:val="0"/>
                  <w:vAlign w:val="center"/>
                </w:tcPr>
                <w:p w14:paraId="75879AC6">
                  <w:pPr>
                    <w:keepNext w:val="0"/>
                    <w:keepLines w:val="0"/>
                    <w:widowControl/>
                    <w:suppressLineNumbers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是否符合</w:t>
                  </w:r>
                </w:p>
              </w:tc>
            </w:tr>
            <w:tr w14:paraId="1B05FD9B">
              <w:tblPrEx>
                <w:tblBorders>
                  <w:top w:val="single" w:color="000000" w:sz="4" w:space="0"/>
                  <w:left w:val="none" w:color="auto" w:sz="0" w:space="0"/>
                  <w:bottom w:val="single" w:color="000000" w:sz="4"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440" w:type="pct"/>
                  <w:vMerge w:val="restart"/>
                  <w:tcBorders>
                    <w:tl2br w:val="nil"/>
                    <w:tr2bl w:val="nil"/>
                  </w:tcBorders>
                  <w:noWrap w:val="0"/>
                  <w:vAlign w:val="center"/>
                </w:tcPr>
                <w:p w14:paraId="580B1AC4">
                  <w:pPr>
                    <w:keepNext w:val="0"/>
                    <w:keepLines w:val="0"/>
                    <w:widowControl/>
                    <w:suppressLineNumbers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二、推动产业绿色低碳转型</w:t>
                  </w:r>
                </w:p>
              </w:tc>
              <w:tc>
                <w:tcPr>
                  <w:tcW w:w="2621" w:type="pct"/>
                  <w:tcBorders>
                    <w:tl2br w:val="nil"/>
                    <w:tr2bl w:val="nil"/>
                  </w:tcBorders>
                  <w:noWrap w:val="0"/>
                  <w:vAlign w:val="center"/>
                </w:tcPr>
                <w:p w14:paraId="06213A52">
                  <w:pPr>
                    <w:keepNext w:val="0"/>
                    <w:keepLines w:val="0"/>
                    <w:widowControl/>
                    <w:suppressLineNumbers w:val="0"/>
                    <w:bidi w:val="0"/>
                    <w:adjustRightInd w:val="0"/>
                    <w:snapToGrid w:val="0"/>
                    <w:spacing w:before="0" w:beforeAutospacing="0" w:after="0" w:afterAutospacing="0" w:line="240" w:lineRule="auto"/>
                    <w:ind w:left="0" w:right="0" w:firstLine="0" w:firstLineChars="0"/>
                    <w:jc w:val="both"/>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(一)严格</w:t>
                  </w:r>
                  <w:r>
                    <w:rPr>
                      <w:rFonts w:hint="eastAsia" w:ascii="Times New Roman" w:hAnsi="Times New Roman" w:eastAsia="宋体" w:cs="Times New Roman"/>
                      <w:color w:val="auto"/>
                      <w:kern w:val="0"/>
                      <w:sz w:val="21"/>
                      <w:szCs w:val="20"/>
                      <w:highlight w:val="none"/>
                      <w:lang w:val="en-US" w:eastAsia="zh-CN" w:bidi="ar-SA"/>
                    </w:rPr>
                    <w:t>“</w:t>
                  </w:r>
                  <w:r>
                    <w:rPr>
                      <w:rFonts w:hint="default" w:ascii="Times New Roman" w:hAnsi="Times New Roman" w:eastAsia="宋体" w:cs="Times New Roman"/>
                      <w:color w:val="auto"/>
                      <w:kern w:val="0"/>
                      <w:sz w:val="21"/>
                      <w:szCs w:val="20"/>
                      <w:highlight w:val="none"/>
                      <w:lang w:val="en-US" w:eastAsia="zh-CN" w:bidi="ar-SA"/>
                    </w:rPr>
                    <w:t>两高</w:t>
                  </w:r>
                  <w:r>
                    <w:rPr>
                      <w:rFonts w:hint="eastAsia" w:ascii="Times New Roman" w:hAnsi="Times New Roman" w:eastAsia="宋体" w:cs="Times New Roman"/>
                      <w:color w:val="auto"/>
                      <w:kern w:val="0"/>
                      <w:sz w:val="21"/>
                      <w:szCs w:val="20"/>
                      <w:highlight w:val="none"/>
                      <w:lang w:val="en-US" w:eastAsia="zh-CN" w:bidi="ar-SA"/>
                    </w:rPr>
                    <w:t>”</w:t>
                  </w:r>
                  <w:r>
                    <w:rPr>
                      <w:rFonts w:hint="default" w:ascii="Times New Roman" w:hAnsi="Times New Roman" w:eastAsia="宋体" w:cs="Times New Roman"/>
                      <w:color w:val="auto"/>
                      <w:kern w:val="0"/>
                      <w:sz w:val="21"/>
                      <w:szCs w:val="20"/>
                      <w:highlight w:val="none"/>
                      <w:lang w:val="en-US" w:eastAsia="zh-CN" w:bidi="ar-SA"/>
                    </w:rPr>
                    <w:t>项目准入。落实长江经济带发展战略和生态环境分区管控要求，严守准入门槛，严禁不符合国家产业政策的</w:t>
                  </w:r>
                  <w:r>
                    <w:rPr>
                      <w:rFonts w:hint="eastAsia" w:ascii="Times New Roman" w:hAnsi="Times New Roman" w:eastAsia="宋体" w:cs="Times New Roman"/>
                      <w:color w:val="auto"/>
                      <w:kern w:val="0"/>
                      <w:sz w:val="21"/>
                      <w:szCs w:val="20"/>
                      <w:highlight w:val="none"/>
                      <w:lang w:val="en-US" w:eastAsia="zh-CN" w:bidi="ar-SA"/>
                    </w:rPr>
                    <w:t>“</w:t>
                  </w:r>
                  <w:r>
                    <w:rPr>
                      <w:rFonts w:hint="default" w:ascii="Times New Roman" w:hAnsi="Times New Roman" w:eastAsia="宋体" w:cs="Times New Roman"/>
                      <w:color w:val="auto"/>
                      <w:kern w:val="0"/>
                      <w:sz w:val="21"/>
                      <w:szCs w:val="20"/>
                      <w:highlight w:val="none"/>
                      <w:lang w:val="en-US" w:eastAsia="zh-CN" w:bidi="ar-SA"/>
                    </w:rPr>
                    <w:t>两高</w:t>
                  </w:r>
                  <w:r>
                    <w:rPr>
                      <w:rFonts w:hint="eastAsia" w:ascii="Times New Roman" w:hAnsi="Times New Roman" w:eastAsia="宋体" w:cs="Times New Roman"/>
                      <w:color w:val="auto"/>
                      <w:kern w:val="0"/>
                      <w:sz w:val="21"/>
                      <w:szCs w:val="20"/>
                      <w:highlight w:val="none"/>
                      <w:lang w:val="en-US" w:eastAsia="zh-CN" w:bidi="ar-SA"/>
                    </w:rPr>
                    <w:t>”</w:t>
                  </w:r>
                  <w:r>
                    <w:rPr>
                      <w:rFonts w:hint="default" w:ascii="Times New Roman" w:hAnsi="Times New Roman" w:eastAsia="宋体" w:cs="Times New Roman"/>
                      <w:color w:val="auto"/>
                      <w:kern w:val="0"/>
                      <w:sz w:val="21"/>
                      <w:szCs w:val="20"/>
                      <w:highlight w:val="none"/>
                      <w:lang w:val="en-US" w:eastAsia="zh-CN" w:bidi="ar-SA"/>
                    </w:rPr>
                    <w:t>项目盲目发展和低水平转入</w:t>
                  </w:r>
                  <w:r>
                    <w:rPr>
                      <w:rFonts w:hint="eastAsia" w:ascii="Times New Roman" w:hAnsi="Times New Roman" w:eastAsia="宋体" w:cs="Times New Roman"/>
                      <w:color w:val="auto"/>
                      <w:kern w:val="0"/>
                      <w:sz w:val="21"/>
                      <w:szCs w:val="20"/>
                      <w:highlight w:val="none"/>
                      <w:lang w:val="en-US" w:eastAsia="zh-CN" w:bidi="ar-SA"/>
                    </w:rPr>
                    <w:t>；</w:t>
                  </w:r>
                  <w:r>
                    <w:rPr>
                      <w:rFonts w:hint="default" w:ascii="Times New Roman" w:hAnsi="Times New Roman" w:eastAsia="宋体" w:cs="Times New Roman"/>
                      <w:color w:val="auto"/>
                      <w:kern w:val="0"/>
                      <w:sz w:val="21"/>
                      <w:szCs w:val="20"/>
                      <w:highlight w:val="none"/>
                      <w:lang w:val="en-US" w:eastAsia="zh-CN" w:bidi="ar-SA"/>
                    </w:rPr>
                    <w:t>对整体承接产业转移的工业园区依法开展规划环评。严禁新增钢铁、焦化、水泥熟料、平板玻璃、电解铝、氧化铝、煤化工产能，严控新增炼油、磷铵、铜冶炼、铅锌冶炼产能。推进新改扩建</w:t>
                  </w:r>
                  <w:r>
                    <w:rPr>
                      <w:rFonts w:hint="eastAsia" w:ascii="Times New Roman" w:hAnsi="Times New Roman" w:eastAsia="宋体" w:cs="Times New Roman"/>
                      <w:color w:val="auto"/>
                      <w:kern w:val="0"/>
                      <w:sz w:val="21"/>
                      <w:szCs w:val="20"/>
                      <w:highlight w:val="none"/>
                      <w:lang w:val="en-US" w:eastAsia="zh-CN" w:bidi="ar-SA"/>
                    </w:rPr>
                    <w:t>“</w:t>
                  </w:r>
                  <w:r>
                    <w:rPr>
                      <w:rFonts w:hint="default" w:ascii="Times New Roman" w:hAnsi="Times New Roman" w:eastAsia="宋体" w:cs="Times New Roman"/>
                      <w:color w:val="auto"/>
                      <w:kern w:val="0"/>
                      <w:sz w:val="21"/>
                      <w:szCs w:val="20"/>
                      <w:highlight w:val="none"/>
                      <w:lang w:val="en-US" w:eastAsia="zh-CN" w:bidi="ar-SA"/>
                    </w:rPr>
                    <w:t>两高</w:t>
                  </w:r>
                  <w:r>
                    <w:rPr>
                      <w:rFonts w:hint="eastAsia" w:ascii="Times New Roman" w:hAnsi="Times New Roman" w:eastAsia="宋体" w:cs="Times New Roman"/>
                      <w:color w:val="auto"/>
                      <w:kern w:val="0"/>
                      <w:sz w:val="21"/>
                      <w:szCs w:val="20"/>
                      <w:highlight w:val="none"/>
                      <w:lang w:val="en-US" w:eastAsia="zh-CN" w:bidi="ar-SA"/>
                    </w:rPr>
                    <w:t>”</w:t>
                  </w:r>
                  <w:r>
                    <w:rPr>
                      <w:rFonts w:hint="default" w:ascii="Times New Roman" w:hAnsi="Times New Roman" w:eastAsia="宋体" w:cs="Times New Roman"/>
                      <w:color w:val="auto"/>
                      <w:kern w:val="0"/>
                      <w:sz w:val="21"/>
                      <w:szCs w:val="20"/>
                      <w:highlight w:val="none"/>
                      <w:lang w:val="en-US" w:eastAsia="zh-CN" w:bidi="ar-SA"/>
                    </w:rPr>
                    <w:t>项目能效达到标杆水平，环保绩效达到A级水平</w:t>
                  </w:r>
                  <w:r>
                    <w:rPr>
                      <w:rFonts w:hint="eastAsia" w:ascii="Times New Roman" w:hAnsi="Times New Roman" w:eastAsia="宋体" w:cs="Times New Roman"/>
                      <w:color w:val="auto"/>
                      <w:kern w:val="0"/>
                      <w:sz w:val="21"/>
                      <w:szCs w:val="20"/>
                      <w:highlight w:val="none"/>
                      <w:lang w:val="en-US" w:eastAsia="zh-CN" w:bidi="ar-SA"/>
                    </w:rPr>
                    <w:t>；</w:t>
                  </w:r>
                  <w:r>
                    <w:rPr>
                      <w:rFonts w:hint="default" w:ascii="Times New Roman" w:hAnsi="Times New Roman" w:eastAsia="宋体" w:cs="Times New Roman"/>
                      <w:color w:val="auto"/>
                      <w:kern w:val="0"/>
                      <w:sz w:val="21"/>
                      <w:szCs w:val="20"/>
                      <w:highlight w:val="none"/>
                      <w:lang w:val="en-US" w:eastAsia="zh-CN" w:bidi="ar-SA"/>
                    </w:rPr>
                    <w:t>其他新建项目原则上达到B级及以上绩效水平</w:t>
                  </w:r>
                  <w:r>
                    <w:rPr>
                      <w:rFonts w:hint="eastAsia" w:ascii="Times New Roman" w:hAnsi="Times New Roman" w:eastAsia="宋体" w:cs="Times New Roman"/>
                      <w:color w:val="auto"/>
                      <w:kern w:val="0"/>
                      <w:sz w:val="21"/>
                      <w:szCs w:val="20"/>
                      <w:highlight w:val="none"/>
                      <w:lang w:val="en-US" w:eastAsia="zh-CN" w:bidi="ar-SA"/>
                    </w:rPr>
                    <w:t>；</w:t>
                  </w:r>
                  <w:r>
                    <w:rPr>
                      <w:rFonts w:hint="default" w:ascii="Times New Roman" w:hAnsi="Times New Roman" w:eastAsia="宋体" w:cs="Times New Roman"/>
                      <w:color w:val="auto"/>
                      <w:kern w:val="0"/>
                      <w:sz w:val="21"/>
                      <w:szCs w:val="20"/>
                      <w:highlight w:val="none"/>
                      <w:lang w:val="en-US" w:eastAsia="zh-CN" w:bidi="ar-SA"/>
                    </w:rPr>
                    <w:t>涉及含挥发性有机物(VOCs)原辅材料项目，技术可行的应使用低(无)VOCs含量产品。</w:t>
                  </w:r>
                </w:p>
              </w:tc>
              <w:tc>
                <w:tcPr>
                  <w:tcW w:w="1414" w:type="pct"/>
                  <w:tcBorders>
                    <w:tl2br w:val="nil"/>
                    <w:tr2bl w:val="nil"/>
                  </w:tcBorders>
                  <w:noWrap w:val="0"/>
                  <w:vAlign w:val="center"/>
                </w:tcPr>
                <w:p w14:paraId="74EB23B0">
                  <w:pPr>
                    <w:keepNext w:val="0"/>
                    <w:keepLines w:val="0"/>
                    <w:widowControl/>
                    <w:suppressLineNumbers w:val="0"/>
                    <w:bidi w:val="0"/>
                    <w:adjustRightInd w:val="0"/>
                    <w:snapToGrid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highlight w:val="none"/>
                      <w:lang w:val="en-US" w:eastAsia="zh-CN" w:bidi="ar-SA"/>
                    </w:rPr>
                    <w:t>本项目为塑料零件及其他塑料制品制造C2929，对照《江西省"两高"项目重点管理范围（2025年版）》，本项目不在"两高"项目</w:t>
                  </w:r>
                  <w:r>
                    <w:rPr>
                      <w:rFonts w:hint="eastAsia" w:ascii="Times New Roman" w:hAnsi="Times New Roman" w:eastAsia="宋体" w:cs="Times New Roman"/>
                      <w:color w:val="000000" w:themeColor="text1"/>
                      <w:kern w:val="0"/>
                      <w:sz w:val="21"/>
                      <w:szCs w:val="20"/>
                      <w:highlight w:val="none"/>
                      <w:lang w:val="en-US" w:eastAsia="zh-CN" w:bidi="ar-SA"/>
                      <w14:textFill>
                        <w14:solidFill>
                          <w14:schemeClr w14:val="tx1"/>
                        </w14:solidFill>
                      </w14:textFill>
                    </w:rPr>
                    <w:t>重点管理范围之列。</w:t>
                  </w:r>
                  <w:r>
                    <w:rPr>
                      <w:rFonts w:hint="eastAsia" w:cs="Times New Roman"/>
                      <w:color w:val="000000" w:themeColor="text1"/>
                      <w:kern w:val="0"/>
                      <w:sz w:val="21"/>
                      <w:szCs w:val="20"/>
                      <w:highlight w:val="none"/>
                      <w:lang w:val="en-US" w:eastAsia="zh-CN" w:bidi="ar-SA"/>
                      <w14:textFill>
                        <w14:solidFill>
                          <w14:schemeClr w14:val="tx1"/>
                        </w14:solidFill>
                      </w14:textFill>
                    </w:rPr>
                    <w:t>根据绩效分级分析，本项目达到B级水平，</w:t>
                  </w:r>
                  <w:r>
                    <w:rPr>
                      <w:rFonts w:hint="eastAsia" w:ascii="Times New Roman" w:hAnsi="Times New Roman" w:eastAsia="宋体" w:cs="Times New Roman"/>
                      <w:color w:val="000000" w:themeColor="text1"/>
                      <w:kern w:val="0"/>
                      <w:sz w:val="21"/>
                      <w:szCs w:val="20"/>
                      <w:highlight w:val="none"/>
                      <w:lang w:val="en-US" w:eastAsia="zh-CN" w:bidi="ar-SA"/>
                      <w14:textFill>
                        <w14:solidFill>
                          <w14:schemeClr w14:val="tx1"/>
                        </w14:solidFill>
                      </w14:textFill>
                    </w:rPr>
                    <w:t>本项目采用的低VOCs环保</w:t>
                  </w:r>
                  <w:r>
                    <w:rPr>
                      <w:rFonts w:hint="eastAsia" w:ascii="Times New Roman" w:hAnsi="Times New Roman" w:eastAsia="宋体" w:cs="Times New Roman"/>
                      <w:color w:val="auto"/>
                      <w:kern w:val="0"/>
                      <w:sz w:val="21"/>
                      <w:szCs w:val="20"/>
                      <w:highlight w:val="none"/>
                      <w:lang w:val="en-US" w:eastAsia="zh-CN" w:bidi="ar-SA"/>
                    </w:rPr>
                    <w:t>型原料。</w:t>
                  </w:r>
                </w:p>
              </w:tc>
              <w:tc>
                <w:tcPr>
                  <w:tcW w:w="523" w:type="pct"/>
                  <w:tcBorders>
                    <w:tl2br w:val="nil"/>
                    <w:tr2bl w:val="nil"/>
                  </w:tcBorders>
                  <w:noWrap w:val="0"/>
                  <w:vAlign w:val="center"/>
                </w:tcPr>
                <w:p w14:paraId="40749DB4">
                  <w:pPr>
                    <w:keepNext w:val="0"/>
                    <w:keepLines w:val="0"/>
                    <w:widowControl/>
                    <w:suppressLineNumbers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符合</w:t>
                  </w:r>
                </w:p>
              </w:tc>
            </w:tr>
            <w:tr w14:paraId="15E77285">
              <w:tblPrEx>
                <w:tblBorders>
                  <w:top w:val="single" w:color="000000" w:sz="4" w:space="0"/>
                  <w:left w:val="none" w:color="auto" w:sz="0" w:space="0"/>
                  <w:bottom w:val="single" w:color="000000" w:sz="4"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440" w:type="pct"/>
                  <w:vMerge w:val="continue"/>
                  <w:tcBorders>
                    <w:tl2br w:val="nil"/>
                    <w:tr2bl w:val="nil"/>
                  </w:tcBorders>
                  <w:noWrap w:val="0"/>
                  <w:vAlign w:val="center"/>
                </w:tcPr>
                <w:p w14:paraId="75F0301E">
                  <w:pPr>
                    <w:keepNext w:val="0"/>
                    <w:keepLines w:val="0"/>
                    <w:widowControl/>
                    <w:suppressLineNumbers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0"/>
                      <w:highlight w:val="none"/>
                      <w:lang w:val="en-US" w:eastAsia="zh-CN" w:bidi="ar-SA"/>
                    </w:rPr>
                  </w:pPr>
                </w:p>
              </w:tc>
              <w:tc>
                <w:tcPr>
                  <w:tcW w:w="2621" w:type="pct"/>
                  <w:tcBorders>
                    <w:tl2br w:val="nil"/>
                    <w:tr2bl w:val="nil"/>
                  </w:tcBorders>
                  <w:noWrap w:val="0"/>
                  <w:vAlign w:val="center"/>
                </w:tcPr>
                <w:p w14:paraId="473D2D37">
                  <w:pPr>
                    <w:keepNext w:val="0"/>
                    <w:keepLines w:val="0"/>
                    <w:widowControl/>
                    <w:suppressLineNumbers w:val="0"/>
                    <w:bidi w:val="0"/>
                    <w:adjustRightInd w:val="0"/>
                    <w:snapToGrid w:val="0"/>
                    <w:spacing w:before="0" w:beforeAutospacing="0" w:after="0" w:afterAutospacing="0" w:line="240" w:lineRule="auto"/>
                    <w:ind w:left="0" w:right="0" w:firstLine="0" w:firstLineChars="0"/>
                    <w:jc w:val="both"/>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lang w:val="en-US" w:eastAsia="zh-CN" w:bidi="ar-SA"/>
                    </w:rPr>
                    <w:t>(二)深化产业结构调整。依法依规全面退出淘汰类产能和设备。以能耗、环保、碳排放、质量、安全、技术等标准为引领，推动低效产能加快退出。推进电力、钢铁、有色、建材、石化化工等行业节能降碳改造。落实国家粗钢产量调控要求。推进老旧化工生产装置、储罐退出或更新改造。到2028年，整合退出6000万标砖/年以下烧结砖企业500家以上、产能180亿块/年以上；退出敞开式铁合金、碳化硅、工业硅、延迟焦化等装置或实施密闭化改造；重点城市(2023-2025年PM</w:t>
                  </w:r>
                  <w:r>
                    <w:rPr>
                      <w:rFonts w:hint="eastAsia" w:ascii="Times New Roman" w:hAnsi="Times New Roman" w:eastAsia="宋体" w:cs="Times New Roman"/>
                      <w:color w:val="auto"/>
                      <w:kern w:val="0"/>
                      <w:sz w:val="21"/>
                      <w:szCs w:val="20"/>
                      <w:vertAlign w:val="subscript"/>
                      <w:lang w:val="en-US" w:eastAsia="zh-CN" w:bidi="ar-SA"/>
                    </w:rPr>
                    <w:t>2.5</w:t>
                  </w:r>
                  <w:r>
                    <w:rPr>
                      <w:rFonts w:hint="eastAsia" w:ascii="Times New Roman" w:hAnsi="Times New Roman" w:eastAsia="宋体" w:cs="Times New Roman"/>
                      <w:color w:val="auto"/>
                      <w:kern w:val="0"/>
                      <w:sz w:val="21"/>
                      <w:szCs w:val="20"/>
                      <w:lang w:val="en-US" w:eastAsia="zh-CN" w:bidi="ar-SA"/>
                    </w:rPr>
                    <w:t>年平均浓度大于30微克/立方米的城市，下同)整合退出炭化室高度4.3米焦炉5座、合计产能160万吨，2500吨/日以下水泥熟料生产线8条、合计产能1.4万吨/日；江西萍安钢安源生产区完成搬迁或全面停产。</w:t>
                  </w:r>
                </w:p>
              </w:tc>
              <w:tc>
                <w:tcPr>
                  <w:tcW w:w="1414" w:type="pct"/>
                  <w:tcBorders>
                    <w:tl2br w:val="nil"/>
                    <w:tr2bl w:val="nil"/>
                  </w:tcBorders>
                  <w:noWrap w:val="0"/>
                  <w:vAlign w:val="center"/>
                </w:tcPr>
                <w:p w14:paraId="0C359BBE">
                  <w:pPr>
                    <w:keepNext w:val="0"/>
                    <w:keepLines w:val="0"/>
                    <w:widowControl/>
                    <w:suppressLineNumbers w:val="0"/>
                    <w:bidi w:val="0"/>
                    <w:adjustRightInd w:val="0"/>
                    <w:snapToGrid w:val="0"/>
                    <w:spacing w:before="0" w:beforeAutospacing="0" w:after="0" w:afterAutospacing="0" w:line="240" w:lineRule="auto"/>
                    <w:ind w:left="0" w:right="0" w:firstLine="0" w:firstLineChars="0"/>
                    <w:jc w:val="both"/>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本项目不属于淘汰类、限制类项目</w:t>
                  </w:r>
                  <w:r>
                    <w:rPr>
                      <w:rFonts w:hint="eastAsia" w:ascii="Times New Roman" w:hAnsi="Times New Roman" w:eastAsia="宋体" w:cs="Times New Roman"/>
                      <w:color w:val="auto"/>
                      <w:kern w:val="0"/>
                      <w:sz w:val="21"/>
                      <w:szCs w:val="20"/>
                      <w:highlight w:val="none"/>
                      <w:lang w:val="en-US" w:eastAsia="zh-CN" w:bidi="ar-SA"/>
                    </w:rPr>
                    <w:t>，无淘汰类设备和生产装置。</w:t>
                  </w:r>
                </w:p>
              </w:tc>
              <w:tc>
                <w:tcPr>
                  <w:tcW w:w="523" w:type="pct"/>
                  <w:tcBorders>
                    <w:tl2br w:val="nil"/>
                    <w:tr2bl w:val="nil"/>
                  </w:tcBorders>
                  <w:noWrap w:val="0"/>
                  <w:vAlign w:val="center"/>
                </w:tcPr>
                <w:p w14:paraId="4179AD34">
                  <w:pPr>
                    <w:keepNext w:val="0"/>
                    <w:keepLines w:val="0"/>
                    <w:widowControl/>
                    <w:suppressLineNumbers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符合</w:t>
                  </w:r>
                </w:p>
              </w:tc>
            </w:tr>
            <w:tr w14:paraId="77B079B4">
              <w:tblPrEx>
                <w:tblBorders>
                  <w:top w:val="single" w:color="000000" w:sz="4" w:space="0"/>
                  <w:left w:val="none" w:color="auto" w:sz="0" w:space="0"/>
                  <w:bottom w:val="single" w:color="000000" w:sz="4"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440" w:type="pct"/>
                  <w:vMerge w:val="continue"/>
                  <w:tcBorders>
                    <w:tl2br w:val="nil"/>
                    <w:tr2bl w:val="nil"/>
                  </w:tcBorders>
                  <w:noWrap w:val="0"/>
                  <w:vAlign w:val="center"/>
                </w:tcPr>
                <w:p w14:paraId="62BDD8F4">
                  <w:pPr>
                    <w:keepNext w:val="0"/>
                    <w:keepLines w:val="0"/>
                    <w:widowControl/>
                    <w:suppressLineNumbers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0"/>
                      <w:highlight w:val="none"/>
                      <w:lang w:val="en-US" w:eastAsia="zh-CN" w:bidi="ar-SA"/>
                    </w:rPr>
                  </w:pPr>
                </w:p>
              </w:tc>
              <w:tc>
                <w:tcPr>
                  <w:tcW w:w="2621" w:type="pct"/>
                  <w:tcBorders>
                    <w:tl2br w:val="nil"/>
                    <w:tr2bl w:val="nil"/>
                  </w:tcBorders>
                  <w:noWrap w:val="0"/>
                  <w:vAlign w:val="center"/>
                </w:tcPr>
                <w:p w14:paraId="40B450B2">
                  <w:pPr>
                    <w:keepNext w:val="0"/>
                    <w:keepLines w:val="0"/>
                    <w:widowControl/>
                    <w:suppressLineNumbers w:val="0"/>
                    <w:bidi w:val="0"/>
                    <w:adjustRightInd w:val="0"/>
                    <w:snapToGrid w:val="0"/>
                    <w:spacing w:before="0" w:beforeAutospacing="0" w:after="0" w:afterAutospacing="0" w:line="240" w:lineRule="auto"/>
                    <w:ind w:left="0" w:right="0" w:firstLine="0" w:firstLineChars="0"/>
                    <w:jc w:val="both"/>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(三)开展产业集群升级改造。深入排查陶瓷、铸造、再生金属冶炼、制药、汽车零部件、改装汽车制造、家具、包装印刷等行业集群情况，实行全口径台账管理，</w:t>
                  </w:r>
                  <w:r>
                    <w:rPr>
                      <w:rFonts w:hint="eastAsia" w:ascii="Times New Roman" w:hAnsi="Times New Roman" w:eastAsia="宋体" w:cs="Times New Roman"/>
                      <w:color w:val="auto"/>
                      <w:kern w:val="0"/>
                      <w:sz w:val="21"/>
                      <w:szCs w:val="20"/>
                      <w:highlight w:val="none"/>
                      <w:lang w:val="en-US" w:eastAsia="zh-CN" w:bidi="ar-SA"/>
                    </w:rPr>
                    <w:t>“</w:t>
                  </w:r>
                  <w:r>
                    <w:rPr>
                      <w:rFonts w:hint="default" w:ascii="Times New Roman" w:hAnsi="Times New Roman" w:eastAsia="宋体" w:cs="Times New Roman"/>
                      <w:color w:val="auto"/>
                      <w:kern w:val="0"/>
                      <w:sz w:val="21"/>
                      <w:szCs w:val="20"/>
                      <w:highlight w:val="none"/>
                      <w:lang w:val="en-US" w:eastAsia="zh-CN" w:bidi="ar-SA"/>
                    </w:rPr>
                    <w:t>一群一策</w:t>
                  </w:r>
                  <w:r>
                    <w:rPr>
                      <w:rFonts w:hint="eastAsia" w:ascii="Times New Roman" w:hAnsi="Times New Roman" w:eastAsia="宋体" w:cs="Times New Roman"/>
                      <w:color w:val="auto"/>
                      <w:kern w:val="0"/>
                      <w:sz w:val="21"/>
                      <w:szCs w:val="20"/>
                      <w:highlight w:val="none"/>
                      <w:lang w:val="en-US" w:eastAsia="zh-CN" w:bidi="ar-SA"/>
                    </w:rPr>
                    <w:t>”</w:t>
                  </w:r>
                  <w:r>
                    <w:rPr>
                      <w:rFonts w:hint="default" w:ascii="Times New Roman" w:hAnsi="Times New Roman" w:eastAsia="宋体" w:cs="Times New Roman"/>
                      <w:color w:val="auto"/>
                      <w:kern w:val="0"/>
                      <w:sz w:val="21"/>
                      <w:szCs w:val="20"/>
                      <w:highlight w:val="none"/>
                      <w:lang w:val="en-US" w:eastAsia="zh-CN" w:bidi="ar-SA"/>
                    </w:rPr>
                    <w:t>实施分类整治。2026年6月底前完成排查，聚焦污染贡献大、问题突出的集群制定专项整治方案</w:t>
                  </w:r>
                  <w:r>
                    <w:rPr>
                      <w:rFonts w:hint="eastAsia" w:ascii="Times New Roman" w:hAnsi="Times New Roman" w:eastAsia="宋体" w:cs="Times New Roman"/>
                      <w:color w:val="auto"/>
                      <w:kern w:val="0"/>
                      <w:sz w:val="21"/>
                      <w:szCs w:val="20"/>
                      <w:highlight w:val="none"/>
                      <w:lang w:val="en-US" w:eastAsia="zh-CN" w:bidi="ar-SA"/>
                    </w:rPr>
                    <w:t>；</w:t>
                  </w:r>
                  <w:r>
                    <w:rPr>
                      <w:rFonts w:hint="default" w:ascii="Times New Roman" w:hAnsi="Times New Roman" w:eastAsia="宋体" w:cs="Times New Roman"/>
                      <w:color w:val="auto"/>
                      <w:kern w:val="0"/>
                      <w:sz w:val="21"/>
                      <w:szCs w:val="20"/>
                      <w:highlight w:val="none"/>
                      <w:lang w:val="en-US" w:eastAsia="zh-CN" w:bidi="ar-SA"/>
                    </w:rPr>
                    <w:t>到2028年，各省分别完成不少于15个集群整治提升，集群PM</w:t>
                  </w:r>
                  <w:r>
                    <w:rPr>
                      <w:rFonts w:hint="eastAsia" w:ascii="Times New Roman" w:hAnsi="Times New Roman" w:eastAsia="宋体" w:cs="Times New Roman"/>
                      <w:color w:val="auto"/>
                      <w:kern w:val="0"/>
                      <w:sz w:val="21"/>
                      <w:szCs w:val="20"/>
                      <w:highlight w:val="none"/>
                      <w:vertAlign w:val="subscript"/>
                      <w:lang w:val="en-US" w:eastAsia="zh-CN" w:bidi="ar-SA"/>
                    </w:rPr>
                    <w:t>2.5</w:t>
                  </w:r>
                  <w:r>
                    <w:rPr>
                      <w:rFonts w:hint="default" w:ascii="Times New Roman" w:hAnsi="Times New Roman" w:eastAsia="宋体" w:cs="Times New Roman"/>
                      <w:color w:val="auto"/>
                      <w:kern w:val="0"/>
                      <w:sz w:val="21"/>
                      <w:szCs w:val="20"/>
                      <w:highlight w:val="none"/>
                      <w:lang w:val="en-US" w:eastAsia="zh-CN" w:bidi="ar-SA"/>
                    </w:rPr>
                    <w:t>浓度基木达到所在区县平均水平。</w:t>
                  </w:r>
                </w:p>
              </w:tc>
              <w:tc>
                <w:tcPr>
                  <w:tcW w:w="1414" w:type="pct"/>
                  <w:tcBorders>
                    <w:tl2br w:val="nil"/>
                    <w:tr2bl w:val="nil"/>
                  </w:tcBorders>
                  <w:noWrap w:val="0"/>
                  <w:vAlign w:val="center"/>
                </w:tcPr>
                <w:p w14:paraId="42B5AD69">
                  <w:pPr>
                    <w:keepNext w:val="0"/>
                    <w:keepLines w:val="0"/>
                    <w:widowControl/>
                    <w:suppressLineNumbers w:val="0"/>
                    <w:bidi w:val="0"/>
                    <w:adjustRightInd w:val="0"/>
                    <w:snapToGrid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本项目不属于方案重点排查的陶瓷、铸造、再生金属冶炼、制药、汽车零部件、家具、包装印刷等行业。项目位于</w:t>
                  </w:r>
                  <w:r>
                    <w:rPr>
                      <w:rFonts w:hint="eastAsia" w:ascii="Times New Roman" w:hAnsi="Times New Roman" w:eastAsia="宋体" w:cs="Times New Roman"/>
                      <w:color w:val="auto"/>
                      <w:kern w:val="0"/>
                      <w:sz w:val="21"/>
                      <w:szCs w:val="20"/>
                      <w:highlight w:val="none"/>
                      <w:lang w:val="en-US" w:eastAsia="zh-CN" w:bidi="ar-SA"/>
                    </w:rPr>
                    <w:t>江西安义高新技术产业园区</w:t>
                  </w:r>
                  <w:r>
                    <w:rPr>
                      <w:rFonts w:hint="default" w:ascii="Times New Roman" w:hAnsi="Times New Roman" w:eastAsia="宋体" w:cs="Times New Roman"/>
                      <w:color w:val="auto"/>
                      <w:kern w:val="0"/>
                      <w:sz w:val="21"/>
                      <w:szCs w:val="20"/>
                      <w:highlight w:val="none"/>
                      <w:lang w:val="en-US" w:eastAsia="zh-CN" w:bidi="ar-SA"/>
                    </w:rPr>
                    <w:t>，符合园区产业定位</w:t>
                  </w:r>
                  <w:r>
                    <w:rPr>
                      <w:rFonts w:hint="eastAsia" w:ascii="Times New Roman" w:hAnsi="Times New Roman" w:eastAsia="宋体" w:cs="Times New Roman"/>
                      <w:color w:val="auto"/>
                      <w:kern w:val="0"/>
                      <w:sz w:val="21"/>
                      <w:szCs w:val="20"/>
                      <w:highlight w:val="none"/>
                      <w:lang w:val="en-US" w:eastAsia="zh-CN" w:bidi="ar-SA"/>
                    </w:rPr>
                    <w:t>。</w:t>
                  </w:r>
                </w:p>
              </w:tc>
              <w:tc>
                <w:tcPr>
                  <w:tcW w:w="523" w:type="pct"/>
                  <w:tcBorders>
                    <w:tl2br w:val="nil"/>
                    <w:tr2bl w:val="nil"/>
                  </w:tcBorders>
                  <w:noWrap w:val="0"/>
                  <w:vAlign w:val="center"/>
                </w:tcPr>
                <w:p w14:paraId="06A8D066">
                  <w:pPr>
                    <w:keepNext w:val="0"/>
                    <w:keepLines w:val="0"/>
                    <w:widowControl/>
                    <w:suppressLineNumbers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符合</w:t>
                  </w:r>
                </w:p>
              </w:tc>
            </w:tr>
            <w:tr w14:paraId="1B984B09">
              <w:tblPrEx>
                <w:tblBorders>
                  <w:top w:val="single" w:color="000000" w:sz="4" w:space="0"/>
                  <w:left w:val="none" w:color="auto" w:sz="0" w:space="0"/>
                  <w:bottom w:val="single" w:color="000000" w:sz="4"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440" w:type="pct"/>
                  <w:vMerge w:val="restart"/>
                  <w:tcBorders>
                    <w:tl2br w:val="nil"/>
                    <w:tr2bl w:val="nil"/>
                  </w:tcBorders>
                  <w:noWrap w:val="0"/>
                  <w:vAlign w:val="center"/>
                </w:tcPr>
                <w:p w14:paraId="65B44B5E">
                  <w:pPr>
                    <w:keepNext w:val="0"/>
                    <w:keepLines w:val="0"/>
                    <w:widowControl/>
                    <w:suppressLineNumbers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三、加快能源清洁低碳发展</w:t>
                  </w:r>
                </w:p>
              </w:tc>
              <w:tc>
                <w:tcPr>
                  <w:tcW w:w="2621" w:type="pct"/>
                  <w:tcBorders>
                    <w:tl2br w:val="nil"/>
                    <w:tr2bl w:val="nil"/>
                  </w:tcBorders>
                  <w:noWrap w:val="0"/>
                  <w:vAlign w:val="center"/>
                </w:tcPr>
                <w:p w14:paraId="403A1D2E">
                  <w:pPr>
                    <w:keepNext w:val="0"/>
                    <w:keepLines w:val="0"/>
                    <w:widowControl/>
                    <w:suppressLineNumbers w:val="0"/>
                    <w:bidi w:val="0"/>
                    <w:adjustRightInd w:val="0"/>
                    <w:snapToGrid w:val="0"/>
                    <w:spacing w:before="0" w:beforeAutospacing="0" w:after="0" w:afterAutospacing="0" w:line="240" w:lineRule="auto"/>
                    <w:ind w:left="0" w:right="0" w:firstLine="0" w:firstLineChars="0"/>
                    <w:jc w:val="both"/>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四)优化能源供给结构。大力发展可再生能源，区域新增电力装机以新能源为主。积极拓展外电输入通道，提升省间互济和区域输送能力，区域新增用电量主要通过可再生能源发电和外送电解决。有效控制煤炭消费，重点削减非电力用煤和分散低效用煤，到2029年，湖北、湖南、江西三省实现煤炭消费量稳中有降。</w:t>
                  </w:r>
                </w:p>
              </w:tc>
              <w:tc>
                <w:tcPr>
                  <w:tcW w:w="1414" w:type="pct"/>
                  <w:tcBorders>
                    <w:tl2br w:val="nil"/>
                    <w:tr2bl w:val="nil"/>
                  </w:tcBorders>
                  <w:noWrap w:val="0"/>
                  <w:vAlign w:val="center"/>
                </w:tcPr>
                <w:p w14:paraId="375848C2">
                  <w:pPr>
                    <w:keepNext w:val="0"/>
                    <w:keepLines w:val="0"/>
                    <w:widowControl/>
                    <w:suppressLineNumbers w:val="0"/>
                    <w:bidi w:val="0"/>
                    <w:adjustRightInd w:val="0"/>
                    <w:snapToGrid w:val="0"/>
                    <w:spacing w:before="0" w:beforeAutospacing="0" w:after="0" w:afterAutospacing="0" w:line="240" w:lineRule="auto"/>
                    <w:ind w:left="0" w:right="0" w:firstLine="0" w:firstLineChars="0"/>
                    <w:jc w:val="both"/>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本项目用电来自市政供电，生产生活用水来自市政供水。项目不使用煤炭作为能源。</w:t>
                  </w:r>
                </w:p>
              </w:tc>
              <w:tc>
                <w:tcPr>
                  <w:tcW w:w="523" w:type="pct"/>
                  <w:tcBorders>
                    <w:tl2br w:val="nil"/>
                    <w:tr2bl w:val="nil"/>
                  </w:tcBorders>
                  <w:noWrap w:val="0"/>
                  <w:vAlign w:val="center"/>
                </w:tcPr>
                <w:p w14:paraId="70993158">
                  <w:pPr>
                    <w:keepNext w:val="0"/>
                    <w:keepLines w:val="0"/>
                    <w:widowControl/>
                    <w:suppressLineNumbers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符合</w:t>
                  </w:r>
                </w:p>
              </w:tc>
            </w:tr>
            <w:tr w14:paraId="2F6ADA3F">
              <w:tblPrEx>
                <w:tblBorders>
                  <w:top w:val="single" w:color="000000" w:sz="4" w:space="0"/>
                  <w:left w:val="none" w:color="auto" w:sz="0" w:space="0"/>
                  <w:bottom w:val="single" w:color="000000" w:sz="4"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440" w:type="pct"/>
                  <w:vMerge w:val="continue"/>
                  <w:tcBorders>
                    <w:tl2br w:val="nil"/>
                    <w:tr2bl w:val="nil"/>
                  </w:tcBorders>
                  <w:noWrap w:val="0"/>
                  <w:vAlign w:val="center"/>
                </w:tcPr>
                <w:p w14:paraId="0FD247B5">
                  <w:pPr>
                    <w:keepNext w:val="0"/>
                    <w:keepLines w:val="0"/>
                    <w:widowControl/>
                    <w:suppressLineNumbers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0"/>
                      <w:highlight w:val="none"/>
                      <w:lang w:val="en-US" w:eastAsia="zh-CN" w:bidi="ar-SA"/>
                    </w:rPr>
                  </w:pPr>
                </w:p>
              </w:tc>
              <w:tc>
                <w:tcPr>
                  <w:tcW w:w="2621" w:type="pct"/>
                  <w:tcBorders>
                    <w:tl2br w:val="nil"/>
                    <w:tr2bl w:val="nil"/>
                  </w:tcBorders>
                  <w:noWrap w:val="0"/>
                  <w:vAlign w:val="center"/>
                </w:tcPr>
                <w:p w14:paraId="3F29F04B">
                  <w:pPr>
                    <w:keepNext w:val="0"/>
                    <w:keepLines w:val="0"/>
                    <w:widowControl/>
                    <w:suppressLineNumbers w:val="0"/>
                    <w:bidi w:val="0"/>
                    <w:adjustRightInd w:val="0"/>
                    <w:snapToGrid w:val="0"/>
                    <w:spacing w:before="0" w:beforeAutospacing="0" w:after="0" w:afterAutospacing="0" w:line="240" w:lineRule="auto"/>
                    <w:ind w:left="0" w:right="0" w:firstLine="0" w:firstLineChars="0"/>
                    <w:jc w:val="both"/>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五)实施燃煤锅炉关停替代。原则上不再新建除集中供热外的燃煤锅炉和保障电力、热力安全支撑必要外的燃煤机组。充分挖掘30万千瓦及以上燃煤机组供热能力，整合替代供热半径30公里内的燃煤锅炉和燃煤小热电(含自备电厂)。推动分散低效生物质锅炉整合升级。到2028年，退出服役期满30年的30万千瓦以下燃煤机组合计55万千瓦，有序退出落实接续电源的10万千瓦及以下燃煤机组</w:t>
                  </w:r>
                  <w:r>
                    <w:rPr>
                      <w:rFonts w:hint="eastAsia" w:ascii="Times New Roman" w:hAnsi="Times New Roman" w:eastAsia="宋体" w:cs="Times New Roman"/>
                      <w:color w:val="auto"/>
                      <w:kern w:val="0"/>
                      <w:sz w:val="21"/>
                      <w:szCs w:val="20"/>
                      <w:highlight w:val="none"/>
                      <w:lang w:val="en-US" w:eastAsia="zh-CN" w:bidi="ar-SA"/>
                    </w:rPr>
                    <w:t>；</w:t>
                  </w:r>
                  <w:r>
                    <w:rPr>
                      <w:rFonts w:hint="default" w:ascii="Times New Roman" w:hAnsi="Times New Roman" w:eastAsia="宋体" w:cs="Times New Roman"/>
                      <w:color w:val="auto"/>
                      <w:kern w:val="0"/>
                      <w:sz w:val="21"/>
                      <w:szCs w:val="20"/>
                      <w:highlight w:val="none"/>
                      <w:lang w:val="en-US" w:eastAsia="zh-CN" w:bidi="ar-SA"/>
                    </w:rPr>
                    <w:t>重点城市全域，其他城市建成区基本淘汰35蒸吨/小时及以下燃煤锅炉，合计不少于120台、2600蒸吨/小时。</w:t>
                  </w:r>
                </w:p>
              </w:tc>
              <w:tc>
                <w:tcPr>
                  <w:tcW w:w="1414" w:type="pct"/>
                  <w:tcBorders>
                    <w:tl2br w:val="nil"/>
                    <w:tr2bl w:val="nil"/>
                  </w:tcBorders>
                  <w:noWrap w:val="0"/>
                  <w:vAlign w:val="center"/>
                </w:tcPr>
                <w:p w14:paraId="2AF32E54">
                  <w:pPr>
                    <w:keepNext w:val="0"/>
                    <w:keepLines w:val="0"/>
                    <w:widowControl/>
                    <w:suppressLineNumbers w:val="0"/>
                    <w:bidi w:val="0"/>
                    <w:adjustRightInd w:val="0"/>
                    <w:snapToGrid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本项目不涉及燃煤锅炉、燃煤导热油炉。项目烘干</w:t>
                  </w:r>
                  <w:r>
                    <w:rPr>
                      <w:rFonts w:hint="eastAsia" w:cs="Times New Roman"/>
                      <w:color w:val="auto"/>
                      <w:kern w:val="0"/>
                      <w:sz w:val="21"/>
                      <w:szCs w:val="20"/>
                      <w:highlight w:val="none"/>
                      <w:lang w:val="en-US" w:eastAsia="zh-CN" w:bidi="ar-SA"/>
                    </w:rPr>
                    <w:t>、</w:t>
                  </w:r>
                  <w:r>
                    <w:rPr>
                      <w:rFonts w:hint="eastAsia" w:ascii="Times New Roman" w:hAnsi="Times New Roman" w:eastAsia="宋体" w:cs="Times New Roman"/>
                      <w:color w:val="auto"/>
                      <w:kern w:val="0"/>
                      <w:sz w:val="21"/>
                      <w:szCs w:val="20"/>
                      <w:highlight w:val="none"/>
                      <w:lang w:val="en-US" w:eastAsia="zh-CN" w:bidi="ar-SA"/>
                    </w:rPr>
                    <w:t>挤出</w:t>
                  </w:r>
                  <w:r>
                    <w:rPr>
                      <w:rFonts w:hint="default" w:ascii="Times New Roman" w:hAnsi="Times New Roman" w:eastAsia="宋体" w:cs="Times New Roman"/>
                      <w:color w:val="auto"/>
                      <w:kern w:val="0"/>
                      <w:sz w:val="21"/>
                      <w:szCs w:val="20"/>
                      <w:highlight w:val="none"/>
                      <w:lang w:val="en-US" w:eastAsia="zh-CN" w:bidi="ar-SA"/>
                    </w:rPr>
                    <w:t>等工序主要使用电能</w:t>
                  </w:r>
                  <w:r>
                    <w:rPr>
                      <w:rFonts w:hint="eastAsia" w:ascii="Times New Roman" w:hAnsi="Times New Roman" w:eastAsia="宋体" w:cs="Times New Roman"/>
                      <w:color w:val="auto"/>
                      <w:kern w:val="0"/>
                      <w:sz w:val="21"/>
                      <w:szCs w:val="20"/>
                      <w:highlight w:val="none"/>
                      <w:lang w:val="en-US" w:eastAsia="zh-CN" w:bidi="ar-SA"/>
                    </w:rPr>
                    <w:t>。</w:t>
                  </w:r>
                </w:p>
              </w:tc>
              <w:tc>
                <w:tcPr>
                  <w:tcW w:w="523" w:type="pct"/>
                  <w:tcBorders>
                    <w:tl2br w:val="nil"/>
                    <w:tr2bl w:val="nil"/>
                  </w:tcBorders>
                  <w:noWrap w:val="0"/>
                  <w:vAlign w:val="center"/>
                </w:tcPr>
                <w:p w14:paraId="42FB1D69">
                  <w:pPr>
                    <w:keepNext w:val="0"/>
                    <w:keepLines w:val="0"/>
                    <w:widowControl/>
                    <w:suppressLineNumbers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符合</w:t>
                  </w:r>
                </w:p>
              </w:tc>
            </w:tr>
            <w:tr w14:paraId="5ABF42BD">
              <w:tblPrEx>
                <w:tblBorders>
                  <w:top w:val="single" w:color="000000" w:sz="4" w:space="0"/>
                  <w:left w:val="none" w:color="auto" w:sz="0" w:space="0"/>
                  <w:bottom w:val="single" w:color="000000" w:sz="4"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440" w:type="pct"/>
                  <w:vMerge w:val="continue"/>
                  <w:tcBorders>
                    <w:tl2br w:val="nil"/>
                    <w:tr2bl w:val="nil"/>
                  </w:tcBorders>
                  <w:noWrap w:val="0"/>
                  <w:vAlign w:val="center"/>
                </w:tcPr>
                <w:p w14:paraId="5D6103EF">
                  <w:pPr>
                    <w:keepNext w:val="0"/>
                    <w:keepLines w:val="0"/>
                    <w:widowControl/>
                    <w:suppressLineNumbers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0"/>
                      <w:highlight w:val="none"/>
                      <w:lang w:val="en-US" w:eastAsia="zh-CN" w:bidi="ar-SA"/>
                    </w:rPr>
                  </w:pPr>
                </w:p>
              </w:tc>
              <w:tc>
                <w:tcPr>
                  <w:tcW w:w="2621" w:type="pct"/>
                  <w:tcBorders>
                    <w:tl2br w:val="nil"/>
                    <w:tr2bl w:val="nil"/>
                  </w:tcBorders>
                  <w:noWrap w:val="0"/>
                  <w:vAlign w:val="center"/>
                </w:tcPr>
                <w:p w14:paraId="10AF5D2A">
                  <w:pPr>
                    <w:keepNext w:val="0"/>
                    <w:keepLines w:val="0"/>
                    <w:widowControl/>
                    <w:suppressLineNumbers w:val="0"/>
                    <w:bidi w:val="0"/>
                    <w:adjustRightInd w:val="0"/>
                    <w:snapToGrid w:val="0"/>
                    <w:spacing w:before="0" w:beforeAutospacing="0" w:after="0" w:afterAutospacing="0" w:line="240" w:lineRule="auto"/>
                    <w:ind w:left="0" w:right="0" w:firstLine="0" w:firstLineChars="0"/>
                    <w:jc w:val="both"/>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六)加快工业炉窑清洁能源替代。重点城市原则上不再新建燃用高污染燃料的工业炉窖。推进以煤、石油焦、重油等为燃料的工业炉窑改用工业余热、电、天然气等清洁能源。玻璃、陶瓷、有色、铸造、石化化工等行业积极推广电炉窖、电加热技术。到2028年，平板玻璃1.3亿重量箱产能、重点城市87台燃料类煤气发生炉基本完成清洁能源替代。</w:t>
                  </w:r>
                </w:p>
              </w:tc>
              <w:tc>
                <w:tcPr>
                  <w:tcW w:w="1414" w:type="pct"/>
                  <w:tcBorders>
                    <w:tl2br w:val="nil"/>
                    <w:tr2bl w:val="nil"/>
                  </w:tcBorders>
                  <w:noWrap w:val="0"/>
                  <w:vAlign w:val="center"/>
                </w:tcPr>
                <w:p w14:paraId="181ADB74">
                  <w:pPr>
                    <w:keepNext w:val="0"/>
                    <w:keepLines w:val="0"/>
                    <w:widowControl/>
                    <w:suppressLineNumbers w:val="0"/>
                    <w:bidi w:val="0"/>
                    <w:adjustRightInd w:val="0"/>
                    <w:snapToGrid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本项目不使用高污染燃料，不使用</w:t>
                  </w:r>
                  <w:r>
                    <w:rPr>
                      <w:rFonts w:hint="eastAsia" w:ascii="Times New Roman" w:hAnsi="Times New Roman" w:eastAsia="宋体" w:cs="Times New Roman"/>
                      <w:color w:val="auto"/>
                      <w:kern w:val="0"/>
                      <w:sz w:val="21"/>
                      <w:szCs w:val="20"/>
                      <w:highlight w:val="none"/>
                      <w:lang w:val="en-US" w:eastAsia="zh-CN" w:bidi="ar-SA"/>
                    </w:rPr>
                    <w:t>工业炉窑</w:t>
                  </w:r>
                  <w:r>
                    <w:rPr>
                      <w:rFonts w:hint="default" w:ascii="Times New Roman" w:hAnsi="Times New Roman" w:eastAsia="宋体" w:cs="Times New Roman"/>
                      <w:color w:val="auto"/>
                      <w:kern w:val="0"/>
                      <w:sz w:val="21"/>
                      <w:szCs w:val="20"/>
                      <w:highlight w:val="none"/>
                      <w:lang w:val="en-US" w:eastAsia="zh-CN" w:bidi="ar-SA"/>
                    </w:rPr>
                    <w:t>。项目加热工序均采用电能，不涉及燃煤、燃油等高污染燃料</w:t>
                  </w:r>
                  <w:r>
                    <w:rPr>
                      <w:rFonts w:hint="eastAsia" w:ascii="Times New Roman" w:hAnsi="Times New Roman" w:eastAsia="宋体" w:cs="Times New Roman"/>
                      <w:color w:val="auto"/>
                      <w:kern w:val="0"/>
                      <w:sz w:val="21"/>
                      <w:szCs w:val="20"/>
                      <w:highlight w:val="none"/>
                      <w:lang w:val="en-US" w:eastAsia="zh-CN" w:bidi="ar-SA"/>
                    </w:rPr>
                    <w:t>。</w:t>
                  </w:r>
                </w:p>
              </w:tc>
              <w:tc>
                <w:tcPr>
                  <w:tcW w:w="523" w:type="pct"/>
                  <w:tcBorders>
                    <w:tl2br w:val="nil"/>
                    <w:tr2bl w:val="nil"/>
                  </w:tcBorders>
                  <w:noWrap w:val="0"/>
                  <w:vAlign w:val="center"/>
                </w:tcPr>
                <w:p w14:paraId="4E990281">
                  <w:pPr>
                    <w:keepNext w:val="0"/>
                    <w:keepLines w:val="0"/>
                    <w:widowControl/>
                    <w:suppressLineNumbers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符合</w:t>
                  </w:r>
                </w:p>
              </w:tc>
            </w:tr>
            <w:tr w14:paraId="5C0FA88B">
              <w:tblPrEx>
                <w:tblBorders>
                  <w:top w:val="single" w:color="000000" w:sz="4" w:space="0"/>
                  <w:left w:val="none" w:color="auto" w:sz="0" w:space="0"/>
                  <w:bottom w:val="single" w:color="000000" w:sz="4"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440" w:type="pct"/>
                  <w:tcBorders>
                    <w:tl2br w:val="nil"/>
                    <w:tr2bl w:val="nil"/>
                  </w:tcBorders>
                  <w:noWrap w:val="0"/>
                  <w:vAlign w:val="center"/>
                </w:tcPr>
                <w:p w14:paraId="18F477CD">
                  <w:pPr>
                    <w:keepNext w:val="0"/>
                    <w:keepLines w:val="0"/>
                    <w:widowControl/>
                    <w:suppressLineNumbers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四、构建绿色交通运输体系</w:t>
                  </w:r>
                </w:p>
              </w:tc>
              <w:tc>
                <w:tcPr>
                  <w:tcW w:w="2621" w:type="pct"/>
                  <w:tcBorders>
                    <w:tl2br w:val="nil"/>
                    <w:tr2bl w:val="nil"/>
                  </w:tcBorders>
                  <w:noWrap w:val="0"/>
                  <w:vAlign w:val="center"/>
                </w:tcPr>
                <w:p w14:paraId="39398036">
                  <w:pPr>
                    <w:keepNext w:val="0"/>
                    <w:keepLines w:val="0"/>
                    <w:widowControl/>
                    <w:suppressLineNumbers w:val="0"/>
                    <w:bidi w:val="0"/>
                    <w:adjustRightInd w:val="0"/>
                    <w:snapToGrid w:val="0"/>
                    <w:spacing w:before="0" w:beforeAutospacing="0" w:after="0" w:afterAutospacing="0" w:line="240" w:lineRule="auto"/>
                    <w:ind w:left="0" w:right="0" w:firstLine="0" w:firstLineChars="0"/>
                    <w:jc w:val="both"/>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(九)强化非道路移动源综合治理。加快淘汰老旧工程机械。重点场所新增或更新作业车辆、机械和机车</w:t>
                  </w:r>
                  <w:r>
                    <w:rPr>
                      <w:rFonts w:hint="eastAsia" w:ascii="Times New Roman" w:hAnsi="Times New Roman" w:eastAsia="宋体" w:cs="Times New Roman"/>
                      <w:color w:val="auto"/>
                      <w:kern w:val="0"/>
                      <w:sz w:val="21"/>
                      <w:szCs w:val="20"/>
                      <w:highlight w:val="none"/>
                      <w:lang w:val="en-US" w:eastAsia="zh-CN" w:bidi="ar-SA"/>
                    </w:rPr>
                    <w:t>“</w:t>
                  </w:r>
                  <w:r>
                    <w:rPr>
                      <w:rFonts w:hint="default" w:ascii="Times New Roman" w:hAnsi="Times New Roman" w:eastAsia="宋体" w:cs="Times New Roman"/>
                      <w:color w:val="auto"/>
                      <w:kern w:val="0"/>
                      <w:sz w:val="21"/>
                      <w:szCs w:val="20"/>
                      <w:highlight w:val="none"/>
                      <w:lang w:val="en-US" w:eastAsia="zh-CN" w:bidi="ar-SA"/>
                    </w:rPr>
                    <w:t>应电尽电</w:t>
                  </w:r>
                  <w:r>
                    <w:rPr>
                      <w:rFonts w:hint="eastAsia" w:ascii="Times New Roman" w:hAnsi="Times New Roman" w:eastAsia="宋体" w:cs="Times New Roman"/>
                      <w:color w:val="auto"/>
                      <w:kern w:val="0"/>
                      <w:sz w:val="21"/>
                      <w:szCs w:val="20"/>
                      <w:highlight w:val="none"/>
                      <w:lang w:val="en-US" w:eastAsia="zh-CN" w:bidi="ar-SA"/>
                    </w:rPr>
                    <w:t>”</w:t>
                  </w:r>
                  <w:r>
                    <w:rPr>
                      <w:rFonts w:hint="default" w:ascii="Times New Roman" w:hAnsi="Times New Roman" w:eastAsia="宋体" w:cs="Times New Roman"/>
                      <w:color w:val="auto"/>
                      <w:kern w:val="0"/>
                      <w:sz w:val="21"/>
                      <w:szCs w:val="20"/>
                      <w:highlight w:val="none"/>
                      <w:lang w:val="en-US" w:eastAsia="zh-CN" w:bidi="ar-SA"/>
                    </w:rPr>
                    <w:t>。将重点场所全部纳入排放控制区，禁用国二及以下非道路移动机械</w:t>
                  </w:r>
                  <w:r>
                    <w:rPr>
                      <w:rFonts w:hint="eastAsia" w:ascii="Times New Roman" w:hAnsi="Times New Roman" w:eastAsia="宋体" w:cs="Times New Roman"/>
                      <w:color w:val="auto"/>
                      <w:kern w:val="0"/>
                      <w:sz w:val="21"/>
                      <w:szCs w:val="20"/>
                      <w:highlight w:val="none"/>
                      <w:lang w:val="en-US" w:eastAsia="zh-CN" w:bidi="ar-SA"/>
                    </w:rPr>
                    <w:t>。</w:t>
                  </w:r>
                  <w:r>
                    <w:rPr>
                      <w:rFonts w:hint="default" w:ascii="Times New Roman" w:hAnsi="Times New Roman" w:eastAsia="宋体" w:cs="Times New Roman"/>
                      <w:color w:val="auto"/>
                      <w:kern w:val="0"/>
                      <w:sz w:val="21"/>
                      <w:szCs w:val="20"/>
                      <w:highlight w:val="none"/>
                      <w:lang w:val="en-US" w:eastAsia="zh-CN" w:bidi="ar-SA"/>
                    </w:rPr>
                    <w:t>到2028年，力争淘汰60%国二及以下(含10年以上未知排放阶段)工程机械，合计11万台以上</w:t>
                  </w:r>
                  <w:r>
                    <w:rPr>
                      <w:rFonts w:hint="eastAsia" w:ascii="Times New Roman" w:hAnsi="Times New Roman" w:eastAsia="宋体" w:cs="Times New Roman"/>
                      <w:color w:val="auto"/>
                      <w:kern w:val="0"/>
                      <w:sz w:val="21"/>
                      <w:szCs w:val="20"/>
                      <w:highlight w:val="none"/>
                      <w:lang w:val="en-US" w:eastAsia="zh-CN" w:bidi="ar-SA"/>
                    </w:rPr>
                    <w:t>；</w:t>
                  </w:r>
                  <w:r>
                    <w:rPr>
                      <w:rFonts w:hint="default" w:ascii="Times New Roman" w:hAnsi="Times New Roman" w:eastAsia="宋体" w:cs="Times New Roman"/>
                      <w:color w:val="auto"/>
                      <w:kern w:val="0"/>
                      <w:sz w:val="21"/>
                      <w:szCs w:val="20"/>
                      <w:highlight w:val="none"/>
                      <w:lang w:val="en-US" w:eastAsia="zh-CN" w:bidi="ar-SA"/>
                    </w:rPr>
                    <w:t>新增或更新3吨及以下叉车基本新能源化，装载机新能源比例达到30%</w:t>
                  </w:r>
                  <w:r>
                    <w:rPr>
                      <w:rFonts w:hint="eastAsia" w:ascii="Times New Roman" w:hAnsi="Times New Roman" w:eastAsia="宋体" w:cs="Times New Roman"/>
                      <w:color w:val="auto"/>
                      <w:kern w:val="0"/>
                      <w:sz w:val="21"/>
                      <w:szCs w:val="20"/>
                      <w:highlight w:val="none"/>
                      <w:lang w:val="en-US" w:eastAsia="zh-CN" w:bidi="ar-SA"/>
                    </w:rPr>
                    <w:t>；</w:t>
                  </w:r>
                  <w:r>
                    <w:rPr>
                      <w:rFonts w:hint="default" w:ascii="Times New Roman" w:hAnsi="Times New Roman" w:eastAsia="宋体" w:cs="Times New Roman"/>
                      <w:color w:val="auto"/>
                      <w:kern w:val="0"/>
                      <w:sz w:val="21"/>
                      <w:szCs w:val="20"/>
                      <w:highlight w:val="none"/>
                      <w:lang w:val="en-US" w:eastAsia="zh-CN" w:bidi="ar-SA"/>
                    </w:rPr>
                    <w:t>政府采购建设项目和绿色工地新能源机械使用比例不低于30%</w:t>
                  </w:r>
                  <w:r>
                    <w:rPr>
                      <w:rFonts w:hint="eastAsia" w:ascii="Times New Roman" w:hAnsi="Times New Roman" w:eastAsia="宋体" w:cs="Times New Roman"/>
                      <w:color w:val="auto"/>
                      <w:kern w:val="0"/>
                      <w:sz w:val="21"/>
                      <w:szCs w:val="20"/>
                      <w:highlight w:val="none"/>
                      <w:lang w:val="en-US" w:eastAsia="zh-CN" w:bidi="ar-SA"/>
                    </w:rPr>
                    <w:t>；</w:t>
                  </w:r>
                  <w:r>
                    <w:rPr>
                      <w:rFonts w:hint="default" w:ascii="Times New Roman" w:hAnsi="Times New Roman" w:eastAsia="宋体" w:cs="Times New Roman"/>
                      <w:color w:val="auto"/>
                      <w:kern w:val="0"/>
                      <w:sz w:val="21"/>
                      <w:szCs w:val="20"/>
                      <w:highlight w:val="none"/>
                      <w:lang w:val="en-US" w:eastAsia="zh-CN" w:bidi="ar-SA"/>
                    </w:rPr>
                    <w:t>主要机场近机位地面电源100%覆盖，远机位覆盖率不低于40%。</w:t>
                  </w:r>
                </w:p>
              </w:tc>
              <w:tc>
                <w:tcPr>
                  <w:tcW w:w="1414" w:type="pct"/>
                  <w:tcBorders>
                    <w:tl2br w:val="nil"/>
                    <w:tr2bl w:val="nil"/>
                  </w:tcBorders>
                  <w:noWrap w:val="0"/>
                  <w:vAlign w:val="center"/>
                </w:tcPr>
                <w:p w14:paraId="06AAE469">
                  <w:pPr>
                    <w:keepNext w:val="0"/>
                    <w:keepLines w:val="0"/>
                    <w:widowControl/>
                    <w:suppressLineNumbers w:val="0"/>
                    <w:bidi w:val="0"/>
                    <w:adjustRightInd w:val="0"/>
                    <w:snapToGrid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本项目生产设备均为新增设备，主要采用电能驱动</w:t>
                  </w:r>
                  <w:r>
                    <w:rPr>
                      <w:rFonts w:hint="eastAsia" w:ascii="Times New Roman" w:hAnsi="Times New Roman" w:eastAsia="宋体" w:cs="Times New Roman"/>
                      <w:color w:val="auto"/>
                      <w:kern w:val="0"/>
                      <w:sz w:val="21"/>
                      <w:szCs w:val="20"/>
                      <w:highlight w:val="none"/>
                      <w:lang w:val="en-US" w:eastAsia="zh-CN" w:bidi="ar-SA"/>
                    </w:rPr>
                    <w:t>，</w:t>
                  </w:r>
                  <w:r>
                    <w:rPr>
                      <w:rFonts w:hint="default" w:ascii="Times New Roman" w:hAnsi="Times New Roman" w:eastAsia="宋体" w:cs="Times New Roman"/>
                      <w:color w:val="auto"/>
                      <w:kern w:val="0"/>
                      <w:sz w:val="21"/>
                      <w:szCs w:val="20"/>
                      <w:highlight w:val="none"/>
                      <w:lang w:val="en-US" w:eastAsia="zh-CN" w:bidi="ar-SA"/>
                    </w:rPr>
                    <w:t>项目不涉及老旧工程机械的使用</w:t>
                  </w:r>
                  <w:r>
                    <w:rPr>
                      <w:rFonts w:hint="eastAsia" w:ascii="Times New Roman" w:hAnsi="Times New Roman" w:eastAsia="宋体" w:cs="Times New Roman"/>
                      <w:color w:val="auto"/>
                      <w:kern w:val="0"/>
                      <w:sz w:val="21"/>
                      <w:szCs w:val="20"/>
                      <w:highlight w:val="none"/>
                      <w:lang w:val="en-US" w:eastAsia="zh-CN" w:bidi="ar-SA"/>
                    </w:rPr>
                    <w:t>。</w:t>
                  </w:r>
                </w:p>
              </w:tc>
              <w:tc>
                <w:tcPr>
                  <w:tcW w:w="523" w:type="pct"/>
                  <w:tcBorders>
                    <w:tl2br w:val="nil"/>
                    <w:tr2bl w:val="nil"/>
                  </w:tcBorders>
                  <w:noWrap w:val="0"/>
                  <w:vAlign w:val="center"/>
                </w:tcPr>
                <w:p w14:paraId="5F87F10A">
                  <w:pPr>
                    <w:keepNext w:val="0"/>
                    <w:keepLines w:val="0"/>
                    <w:widowControl/>
                    <w:suppressLineNumbers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符合</w:t>
                  </w:r>
                </w:p>
              </w:tc>
            </w:tr>
            <w:tr w14:paraId="0A5AFDBC">
              <w:tblPrEx>
                <w:tblBorders>
                  <w:top w:val="single" w:color="000000" w:sz="4" w:space="0"/>
                  <w:left w:val="none" w:color="auto" w:sz="0" w:space="0"/>
                  <w:bottom w:val="single" w:color="000000" w:sz="4"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440" w:type="pct"/>
                  <w:vMerge w:val="restart"/>
                  <w:tcBorders>
                    <w:tl2br w:val="nil"/>
                    <w:tr2bl w:val="nil"/>
                  </w:tcBorders>
                  <w:noWrap w:val="0"/>
                  <w:vAlign w:val="center"/>
                </w:tcPr>
                <w:p w14:paraId="29EABB0B">
                  <w:pPr>
                    <w:keepNext w:val="0"/>
                    <w:keepLines w:val="0"/>
                    <w:widowControl/>
                    <w:suppressLineNumbers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五、强化重点行业领域深度治理</w:t>
                  </w:r>
                </w:p>
              </w:tc>
              <w:tc>
                <w:tcPr>
                  <w:tcW w:w="2621" w:type="pct"/>
                  <w:tcBorders>
                    <w:tl2br w:val="nil"/>
                    <w:tr2bl w:val="nil"/>
                  </w:tcBorders>
                  <w:noWrap w:val="0"/>
                  <w:vAlign w:val="center"/>
                </w:tcPr>
                <w:p w14:paraId="3B0D5234">
                  <w:pPr>
                    <w:keepNext w:val="0"/>
                    <w:keepLines w:val="0"/>
                    <w:widowControl/>
                    <w:suppressLineNumbers w:val="0"/>
                    <w:bidi w:val="0"/>
                    <w:adjustRightInd w:val="0"/>
                    <w:snapToGrid w:val="0"/>
                    <w:spacing w:before="0" w:beforeAutospacing="0" w:after="0" w:afterAutospacing="0" w:line="240" w:lineRule="auto"/>
                    <w:ind w:left="0" w:right="0" w:firstLine="0" w:firstLineChars="0"/>
                    <w:jc w:val="both"/>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十一)开展低效失效治理设施排查整治。以砖瓦、玻璃、陶瓷、石灰、铸造、有色、锅炉、石化化工、涂装、包装印刷等行业为重点，深入开展排查，对发现的问题实行清单化管理。指导企业优先选用国家鼓励的先进技术装备，通过清洁能源替代、升级改造、整合退出等方式依法实施分类整治。严格对照标准规范核实销号，确保取得实效。</w:t>
                  </w:r>
                </w:p>
              </w:tc>
              <w:tc>
                <w:tcPr>
                  <w:tcW w:w="1414" w:type="pct"/>
                  <w:tcBorders>
                    <w:tl2br w:val="nil"/>
                    <w:tr2bl w:val="nil"/>
                  </w:tcBorders>
                  <w:noWrap w:val="0"/>
                  <w:vAlign w:val="center"/>
                </w:tcPr>
                <w:p w14:paraId="50F71E31">
                  <w:pPr>
                    <w:keepNext w:val="0"/>
                    <w:keepLines w:val="0"/>
                    <w:widowControl/>
                    <w:suppressLineNumbers w:val="0"/>
                    <w:bidi w:val="0"/>
                    <w:adjustRightInd w:val="0"/>
                    <w:snapToGrid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本项目废气采用活性炭吸附处理工艺，</w:t>
                  </w:r>
                  <w:r>
                    <w:rPr>
                      <w:rFonts w:hint="eastAsia" w:ascii="Times New Roman" w:hAnsi="Times New Roman" w:eastAsia="宋体" w:cs="Times New Roman"/>
                      <w:color w:val="auto"/>
                      <w:kern w:val="0"/>
                      <w:sz w:val="21"/>
                      <w:szCs w:val="20"/>
                      <w:highlight w:val="none"/>
                      <w:lang w:val="en-US" w:eastAsia="zh-CN" w:bidi="ar-SA"/>
                    </w:rPr>
                    <w:t>不属于低效失效治理设施</w:t>
                  </w:r>
                  <w:r>
                    <w:rPr>
                      <w:rFonts w:hint="default" w:ascii="Times New Roman" w:hAnsi="Times New Roman" w:eastAsia="宋体" w:cs="Times New Roman"/>
                      <w:color w:val="auto"/>
                      <w:kern w:val="0"/>
                      <w:sz w:val="21"/>
                      <w:szCs w:val="20"/>
                      <w:highlight w:val="none"/>
                      <w:lang w:val="en-US" w:eastAsia="zh-CN" w:bidi="ar-SA"/>
                    </w:rPr>
                    <w:t>。项目经采取环评提出的治理措施后，产生的污染物可长期稳定达标排放</w:t>
                  </w:r>
                  <w:r>
                    <w:rPr>
                      <w:rFonts w:hint="eastAsia" w:ascii="Times New Roman" w:hAnsi="Times New Roman" w:eastAsia="宋体" w:cs="Times New Roman"/>
                      <w:color w:val="auto"/>
                      <w:kern w:val="0"/>
                      <w:sz w:val="21"/>
                      <w:szCs w:val="20"/>
                      <w:highlight w:val="none"/>
                      <w:lang w:val="en-US" w:eastAsia="zh-CN" w:bidi="ar-SA"/>
                    </w:rPr>
                    <w:t>。</w:t>
                  </w:r>
                </w:p>
              </w:tc>
              <w:tc>
                <w:tcPr>
                  <w:tcW w:w="523" w:type="pct"/>
                  <w:tcBorders>
                    <w:tl2br w:val="nil"/>
                    <w:tr2bl w:val="nil"/>
                  </w:tcBorders>
                  <w:noWrap w:val="0"/>
                  <w:vAlign w:val="center"/>
                </w:tcPr>
                <w:p w14:paraId="3ABC06F9">
                  <w:pPr>
                    <w:keepNext w:val="0"/>
                    <w:keepLines w:val="0"/>
                    <w:widowControl/>
                    <w:suppressLineNumbers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符合</w:t>
                  </w:r>
                </w:p>
              </w:tc>
            </w:tr>
            <w:tr w14:paraId="78811068">
              <w:tblPrEx>
                <w:tblBorders>
                  <w:top w:val="single" w:color="000000" w:sz="4" w:space="0"/>
                  <w:left w:val="none" w:color="auto" w:sz="0" w:space="0"/>
                  <w:bottom w:val="single" w:color="000000" w:sz="4"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440" w:type="pct"/>
                  <w:vMerge w:val="continue"/>
                  <w:tcBorders>
                    <w:tl2br w:val="nil"/>
                    <w:tr2bl w:val="nil"/>
                  </w:tcBorders>
                  <w:noWrap w:val="0"/>
                  <w:vAlign w:val="center"/>
                </w:tcPr>
                <w:p w14:paraId="525212C1">
                  <w:pPr>
                    <w:keepNext w:val="0"/>
                    <w:keepLines w:val="0"/>
                    <w:widowControl/>
                    <w:suppressLineNumbers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0"/>
                      <w:highlight w:val="none"/>
                      <w:lang w:val="en-US" w:eastAsia="zh-CN" w:bidi="ar-SA"/>
                    </w:rPr>
                  </w:pPr>
                </w:p>
              </w:tc>
              <w:tc>
                <w:tcPr>
                  <w:tcW w:w="2621" w:type="pct"/>
                  <w:tcBorders>
                    <w:tl2br w:val="nil"/>
                    <w:tr2bl w:val="nil"/>
                  </w:tcBorders>
                  <w:noWrap w:val="0"/>
                  <w:vAlign w:val="center"/>
                </w:tcPr>
                <w:p w14:paraId="5814F8F0">
                  <w:pPr>
                    <w:keepNext w:val="0"/>
                    <w:keepLines w:val="0"/>
                    <w:widowControl/>
                    <w:suppressLineNumbers w:val="0"/>
                    <w:bidi w:val="0"/>
                    <w:adjustRightInd w:val="0"/>
                    <w:snapToGrid w:val="0"/>
                    <w:spacing w:before="0" w:beforeAutospacing="0" w:after="0" w:afterAutospacing="0" w:line="240" w:lineRule="auto"/>
                    <w:ind w:left="0" w:right="0" w:firstLine="0" w:firstLineChars="0"/>
                    <w:jc w:val="both"/>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(十二)深化重点行业污染治理，高质量推进重点行业超低排放改造，深入实施环保绩效提升行动。到2028年，推动焦化、水泥、铸造用生铁、城市建成区内的生活垃圾焚烧企业基本完成超低排放改造</w:t>
                  </w:r>
                  <w:r>
                    <w:rPr>
                      <w:rFonts w:hint="eastAsia" w:ascii="Times New Roman" w:hAnsi="Times New Roman" w:eastAsia="宋体" w:cs="Times New Roman"/>
                      <w:color w:val="auto"/>
                      <w:kern w:val="0"/>
                      <w:sz w:val="21"/>
                      <w:szCs w:val="20"/>
                      <w:highlight w:val="none"/>
                      <w:lang w:val="en-US" w:eastAsia="zh-CN" w:bidi="ar-SA"/>
                    </w:rPr>
                    <w:t>；</w:t>
                  </w:r>
                  <w:r>
                    <w:rPr>
                      <w:rFonts w:hint="default" w:ascii="Times New Roman" w:hAnsi="Times New Roman" w:eastAsia="宋体" w:cs="Times New Roman"/>
                      <w:color w:val="auto"/>
                      <w:kern w:val="0"/>
                      <w:sz w:val="21"/>
                      <w:szCs w:val="20"/>
                      <w:highlight w:val="none"/>
                      <w:lang w:val="en-US" w:eastAsia="zh-CN" w:bidi="ar-SA"/>
                    </w:rPr>
                    <w:t>重点城市6500万千瓦以上燃煤机组基本完成全负荷脱硝改造，燃煤发电、长流程钢铁、炼化一体化、水泥熟料、汽车整车制造企业达到绩效A级水平，平板玻璃、铜冶炼、铅锌冶炼企业达到B级及以上水平</w:t>
                  </w:r>
                  <w:r>
                    <w:rPr>
                      <w:rFonts w:hint="eastAsia" w:ascii="Times New Roman" w:hAnsi="Times New Roman" w:eastAsia="宋体" w:cs="Times New Roman"/>
                      <w:color w:val="auto"/>
                      <w:kern w:val="0"/>
                      <w:sz w:val="21"/>
                      <w:szCs w:val="20"/>
                      <w:highlight w:val="none"/>
                      <w:lang w:val="en-US" w:eastAsia="zh-CN" w:bidi="ar-SA"/>
                    </w:rPr>
                    <w:t>；</w:t>
                  </w:r>
                  <w:r>
                    <w:rPr>
                      <w:rFonts w:hint="default" w:ascii="Times New Roman" w:hAnsi="Times New Roman" w:eastAsia="宋体" w:cs="Times New Roman"/>
                      <w:color w:val="auto"/>
                      <w:kern w:val="0"/>
                      <w:sz w:val="21"/>
                      <w:szCs w:val="20"/>
                      <w:highlight w:val="none"/>
                      <w:lang w:val="en-US" w:eastAsia="zh-CN" w:bidi="ar-SA"/>
                    </w:rPr>
                    <w:t>湖北、湖南、江西三省B级及以上企业数量分别不少于600家、400家、200家，</w:t>
                  </w:r>
                </w:p>
              </w:tc>
              <w:tc>
                <w:tcPr>
                  <w:tcW w:w="1414" w:type="pct"/>
                  <w:tcBorders>
                    <w:tl2br w:val="nil"/>
                    <w:tr2bl w:val="nil"/>
                  </w:tcBorders>
                  <w:noWrap w:val="0"/>
                  <w:vAlign w:val="center"/>
                </w:tcPr>
                <w:p w14:paraId="615D396D">
                  <w:pPr>
                    <w:keepNext w:val="0"/>
                    <w:keepLines w:val="0"/>
                    <w:widowControl/>
                    <w:suppressLineNumbers w:val="0"/>
                    <w:bidi w:val="0"/>
                    <w:adjustRightInd w:val="0"/>
                    <w:snapToGrid w:val="0"/>
                    <w:spacing w:before="0" w:beforeAutospacing="0" w:after="0" w:afterAutospacing="0" w:line="240" w:lineRule="auto"/>
                    <w:ind w:left="0" w:right="0" w:firstLine="0" w:firstLineChars="0"/>
                    <w:jc w:val="both"/>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本项目各项污染物均采取有效治理措施，废气、废水、噪声均能实现达标排放，固体废物妥善处置。</w:t>
                  </w:r>
                </w:p>
              </w:tc>
              <w:tc>
                <w:tcPr>
                  <w:tcW w:w="523" w:type="pct"/>
                  <w:tcBorders>
                    <w:tl2br w:val="nil"/>
                    <w:tr2bl w:val="nil"/>
                  </w:tcBorders>
                  <w:noWrap w:val="0"/>
                  <w:vAlign w:val="center"/>
                </w:tcPr>
                <w:p w14:paraId="1F0FFAEB">
                  <w:pPr>
                    <w:keepNext w:val="0"/>
                    <w:keepLines w:val="0"/>
                    <w:widowControl/>
                    <w:suppressLineNumbers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符合</w:t>
                  </w:r>
                </w:p>
              </w:tc>
            </w:tr>
            <w:tr w14:paraId="71E01DA0">
              <w:tblPrEx>
                <w:tblBorders>
                  <w:top w:val="single" w:color="000000" w:sz="4" w:space="0"/>
                  <w:left w:val="none" w:color="auto" w:sz="0" w:space="0"/>
                  <w:bottom w:val="single" w:color="000000" w:sz="4"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440" w:type="pct"/>
                  <w:vMerge w:val="continue"/>
                  <w:tcBorders>
                    <w:tl2br w:val="nil"/>
                    <w:tr2bl w:val="nil"/>
                  </w:tcBorders>
                  <w:noWrap w:val="0"/>
                  <w:vAlign w:val="center"/>
                </w:tcPr>
                <w:p w14:paraId="5D21BDA4">
                  <w:pPr>
                    <w:keepNext w:val="0"/>
                    <w:keepLines w:val="0"/>
                    <w:widowControl/>
                    <w:suppressLineNumbers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0"/>
                      <w:highlight w:val="none"/>
                      <w:lang w:val="en-US" w:eastAsia="zh-CN" w:bidi="ar-SA"/>
                    </w:rPr>
                  </w:pPr>
                </w:p>
              </w:tc>
              <w:tc>
                <w:tcPr>
                  <w:tcW w:w="2621" w:type="pct"/>
                  <w:tcBorders>
                    <w:tl2br w:val="nil"/>
                    <w:tr2bl w:val="nil"/>
                  </w:tcBorders>
                  <w:noWrap w:val="0"/>
                  <w:vAlign w:val="center"/>
                </w:tcPr>
                <w:p w14:paraId="28612AA5">
                  <w:pPr>
                    <w:keepNext w:val="0"/>
                    <w:keepLines w:val="0"/>
                    <w:widowControl/>
                    <w:suppressLineNumbers w:val="0"/>
                    <w:bidi w:val="0"/>
                    <w:adjustRightInd w:val="0"/>
                    <w:snapToGrid w:val="0"/>
                    <w:spacing w:before="0" w:beforeAutospacing="0" w:after="0" w:afterAutospacing="0" w:line="240" w:lineRule="auto"/>
                    <w:ind w:left="0" w:right="0" w:firstLine="0" w:firstLineChars="0"/>
                    <w:jc w:val="both"/>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十三)加强VOCs全流程治理。汽车、工程机械、家具、汽修、地坪等涂装过程基本实现低(无)VOCs原辅材料替代。石化、制药、农药、油品储存、煤化工等行业储罐通过更换低泄漏呼吸阀、实施高效密封等方式减少泄漏排放。规范开展泄漏检测与修复工作。指导企业建设适宜高效VOCs治理设施，提高运行管理水平，减少非正常排放。</w:t>
                  </w:r>
                </w:p>
              </w:tc>
              <w:tc>
                <w:tcPr>
                  <w:tcW w:w="1414" w:type="pct"/>
                  <w:tcBorders>
                    <w:tl2br w:val="nil"/>
                    <w:tr2bl w:val="nil"/>
                  </w:tcBorders>
                  <w:noWrap w:val="0"/>
                  <w:vAlign w:val="center"/>
                </w:tcPr>
                <w:p w14:paraId="41C82122">
                  <w:pPr>
                    <w:keepNext w:val="0"/>
                    <w:keepLines w:val="0"/>
                    <w:widowControl/>
                    <w:suppressLineNumbers w:val="0"/>
                    <w:bidi w:val="0"/>
                    <w:adjustRightInd w:val="0"/>
                    <w:snapToGrid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本项目采用低VOCs原料</w:t>
                  </w:r>
                  <w:r>
                    <w:rPr>
                      <w:rFonts w:hint="eastAsia" w:ascii="Times New Roman" w:hAnsi="Times New Roman" w:eastAsia="宋体" w:cs="Times New Roman"/>
                      <w:color w:val="auto"/>
                      <w:kern w:val="0"/>
                      <w:sz w:val="21"/>
                      <w:szCs w:val="20"/>
                      <w:highlight w:val="none"/>
                      <w:lang w:val="en-US" w:eastAsia="zh-CN" w:bidi="ar-SA"/>
                    </w:rPr>
                    <w:t>；</w:t>
                  </w:r>
                  <w:r>
                    <w:rPr>
                      <w:rFonts w:hint="default" w:ascii="Times New Roman" w:hAnsi="Times New Roman" w:eastAsia="宋体" w:cs="Times New Roman"/>
                      <w:color w:val="auto"/>
                      <w:kern w:val="0"/>
                      <w:sz w:val="21"/>
                      <w:szCs w:val="20"/>
                      <w:highlight w:val="none"/>
                      <w:lang w:val="en-US" w:eastAsia="zh-CN" w:bidi="ar-SA"/>
                    </w:rPr>
                    <w:t>本项目含VOCs物料（</w:t>
                  </w:r>
                  <w:r>
                    <w:rPr>
                      <w:rFonts w:hint="eastAsia" w:ascii="Times New Roman" w:hAnsi="Times New Roman" w:eastAsia="宋体" w:cs="Times New Roman"/>
                      <w:color w:val="auto"/>
                      <w:kern w:val="0"/>
                      <w:sz w:val="21"/>
                      <w:szCs w:val="20"/>
                      <w:highlight w:val="none"/>
                      <w:lang w:val="en-US" w:eastAsia="zh-CN" w:bidi="ar-SA"/>
                    </w:rPr>
                    <w:t>PA66尼龙颗粒</w:t>
                  </w:r>
                  <w:r>
                    <w:rPr>
                      <w:rFonts w:hint="default" w:ascii="Times New Roman" w:hAnsi="Times New Roman" w:eastAsia="宋体" w:cs="Times New Roman"/>
                      <w:color w:val="auto"/>
                      <w:kern w:val="0"/>
                      <w:sz w:val="21"/>
                      <w:szCs w:val="20"/>
                      <w:highlight w:val="none"/>
                      <w:lang w:val="en-US" w:eastAsia="zh-CN" w:bidi="ar-SA"/>
                    </w:rPr>
                    <w:t>）密封暂存于原材料仓库；</w:t>
                  </w:r>
                  <w:r>
                    <w:rPr>
                      <w:rFonts w:hint="eastAsia" w:cs="Times New Roman"/>
                      <w:color w:val="auto"/>
                      <w:kern w:val="0"/>
                      <w:sz w:val="21"/>
                      <w:szCs w:val="20"/>
                      <w:highlight w:val="none"/>
                      <w:lang w:val="en-US" w:eastAsia="zh-CN" w:bidi="ar-SA"/>
                    </w:rPr>
                    <w:t>烘干、</w:t>
                  </w:r>
                  <w:r>
                    <w:rPr>
                      <w:rFonts w:hint="eastAsia" w:ascii="Times New Roman" w:hAnsi="Times New Roman" w:eastAsia="宋体" w:cs="Times New Roman"/>
                      <w:color w:val="auto"/>
                      <w:kern w:val="0"/>
                      <w:sz w:val="21"/>
                      <w:szCs w:val="20"/>
                      <w:highlight w:val="none"/>
                      <w:lang w:val="en-US" w:eastAsia="zh-CN" w:bidi="ar-SA"/>
                    </w:rPr>
                    <w:t>挤出</w:t>
                  </w:r>
                  <w:r>
                    <w:rPr>
                      <w:rFonts w:hint="default" w:ascii="Times New Roman" w:hAnsi="Times New Roman" w:eastAsia="宋体" w:cs="Times New Roman"/>
                      <w:color w:val="auto"/>
                      <w:kern w:val="0"/>
                      <w:sz w:val="21"/>
                      <w:szCs w:val="20"/>
                      <w:highlight w:val="none"/>
                      <w:lang w:val="en-US" w:eastAsia="zh-CN" w:bidi="ar-SA"/>
                    </w:rPr>
                    <w:t>工序产生的VOCs通过集气罩收集后经活性炭吸附处理达标后排放</w:t>
                  </w:r>
                  <w:r>
                    <w:rPr>
                      <w:rFonts w:hint="eastAsia" w:ascii="Times New Roman" w:hAnsi="Times New Roman" w:eastAsia="宋体" w:cs="Times New Roman"/>
                      <w:color w:val="auto"/>
                      <w:kern w:val="0"/>
                      <w:sz w:val="21"/>
                      <w:szCs w:val="20"/>
                      <w:highlight w:val="none"/>
                      <w:lang w:val="en-US" w:eastAsia="zh-CN" w:bidi="ar-SA"/>
                    </w:rPr>
                    <w:t>。</w:t>
                  </w:r>
                </w:p>
              </w:tc>
              <w:tc>
                <w:tcPr>
                  <w:tcW w:w="523" w:type="pct"/>
                  <w:tcBorders>
                    <w:tl2br w:val="nil"/>
                    <w:tr2bl w:val="nil"/>
                  </w:tcBorders>
                  <w:noWrap w:val="0"/>
                  <w:vAlign w:val="center"/>
                </w:tcPr>
                <w:p w14:paraId="001BAF90">
                  <w:pPr>
                    <w:keepNext w:val="0"/>
                    <w:keepLines w:val="0"/>
                    <w:widowControl/>
                    <w:suppressLineNumbers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符合</w:t>
                  </w:r>
                </w:p>
              </w:tc>
            </w:tr>
          </w:tbl>
          <w:p w14:paraId="2A3CC8A6">
            <w:pPr>
              <w:keepNext w:val="0"/>
              <w:keepLines w:val="0"/>
              <w:suppressLineNumbers w:val="0"/>
              <w:adjustRightInd w:val="0"/>
              <w:spacing w:before="0" w:beforeAutospacing="0" w:after="0" w:afterAutospacing="0"/>
              <w:ind w:left="0" w:right="0" w:firstLine="480"/>
              <w:rPr>
                <w:rFonts w:hint="default" w:ascii="Times New Roman" w:hAnsi="Times New Roman" w:eastAsia="宋体" w:cs="Times New Roman"/>
                <w:color w:val="auto"/>
                <w:kern w:val="0"/>
                <w:szCs w:val="24"/>
                <w:highlight w:val="none"/>
                <w:lang w:bidi="ar"/>
              </w:rPr>
            </w:pPr>
            <w:r>
              <w:rPr>
                <w:rFonts w:hint="default" w:ascii="Times New Roman" w:hAnsi="Times New Roman" w:eastAsia="宋体" w:cs="Times New Roman"/>
                <w:color w:val="auto"/>
                <w:kern w:val="0"/>
                <w:szCs w:val="24"/>
                <w:highlight w:val="none"/>
                <w:lang w:bidi="ar"/>
              </w:rPr>
              <w:t>综上</w:t>
            </w:r>
            <w:r>
              <w:rPr>
                <w:rFonts w:hint="eastAsia" w:ascii="Times New Roman" w:hAnsi="Times New Roman" w:eastAsia="宋体" w:cs="Times New Roman"/>
                <w:color w:val="auto"/>
                <w:kern w:val="0"/>
                <w:szCs w:val="24"/>
                <w:highlight w:val="none"/>
                <w:lang w:val="en-US" w:eastAsia="zh-CN" w:bidi="ar"/>
              </w:rPr>
              <w:t>所述</w:t>
            </w:r>
            <w:r>
              <w:rPr>
                <w:rFonts w:hint="default" w:ascii="Times New Roman" w:hAnsi="Times New Roman" w:eastAsia="宋体" w:cs="Times New Roman"/>
                <w:color w:val="auto"/>
                <w:kern w:val="0"/>
                <w:szCs w:val="24"/>
                <w:highlight w:val="none"/>
                <w:lang w:bidi="ar"/>
              </w:rPr>
              <w:t>，本项目符合《长江中游城市群大气污染防治攻坚三年行动方案（2026-2028年）》（环大气〔2026〕14号）相关要求。</w:t>
            </w:r>
          </w:p>
          <w:p w14:paraId="76688CF9">
            <w:pPr>
              <w:keepNext w:val="0"/>
              <w:keepLines w:val="0"/>
              <w:widowControl w:val="0"/>
              <w:suppressLineNumbers w:val="0"/>
              <w:autoSpaceDE w:val="0"/>
              <w:autoSpaceDN w:val="0"/>
              <w:adjustRightInd w:val="0"/>
              <w:spacing w:before="0" w:beforeAutospacing="0" w:after="0" w:afterAutospacing="0" w:line="360" w:lineRule="auto"/>
              <w:ind w:left="0" w:right="0" w:firstLine="482" w:firstLineChars="200"/>
              <w:jc w:val="both"/>
              <w:rPr>
                <w:rFonts w:hint="default"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bCs/>
                <w:color w:val="auto"/>
                <w:kern w:val="2"/>
                <w:sz w:val="24"/>
                <w:szCs w:val="24"/>
                <w:highlight w:val="none"/>
                <w:lang w:val="en-US" w:eastAsia="zh-CN" w:bidi="ar-SA"/>
              </w:rPr>
              <w:t>1</w:t>
            </w:r>
            <w:r>
              <w:rPr>
                <w:rFonts w:hint="eastAsia" w:cs="Times New Roman"/>
                <w:b/>
                <w:bCs/>
                <w:color w:val="auto"/>
                <w:kern w:val="2"/>
                <w:sz w:val="24"/>
                <w:szCs w:val="24"/>
                <w:highlight w:val="none"/>
                <w:lang w:val="en-US" w:eastAsia="zh-CN" w:bidi="ar-SA"/>
              </w:rPr>
              <w:t>0</w:t>
            </w:r>
            <w:r>
              <w:rPr>
                <w:rFonts w:hint="default" w:ascii="Times New Roman" w:hAnsi="Times New Roman" w:eastAsia="宋体" w:cs="Times New Roman"/>
                <w:b/>
                <w:bCs/>
                <w:color w:val="auto"/>
                <w:kern w:val="2"/>
                <w:sz w:val="24"/>
                <w:szCs w:val="24"/>
                <w:highlight w:val="none"/>
                <w:lang w:val="en-US" w:eastAsia="zh-CN" w:bidi="ar-SA"/>
              </w:rPr>
              <w:t>、与《江西省重污染天气重点行业绩效分级指南（试行）》相符性分析</w:t>
            </w:r>
          </w:p>
          <w:p w14:paraId="4C72521E">
            <w:pPr>
              <w:keepNext w:val="0"/>
              <w:keepLines w:val="0"/>
              <w:suppressLineNumbers w:val="0"/>
              <w:adjustRightInd w:val="0"/>
              <w:spacing w:before="0" w:beforeAutospacing="0" w:after="0" w:afterAutospacing="0"/>
              <w:ind w:left="0" w:right="0" w:firstLine="480"/>
              <w:rPr>
                <w:rFonts w:hint="eastAsia" w:ascii="Times New Roman" w:hAnsi="Times New Roman" w:eastAsia="宋体" w:cs="Times New Roman"/>
                <w:color w:val="auto"/>
                <w:kern w:val="0"/>
                <w:szCs w:val="24"/>
                <w:highlight w:val="none"/>
                <w:lang w:val="en-US" w:eastAsia="zh-CN" w:bidi="ar"/>
              </w:rPr>
            </w:pPr>
            <w:r>
              <w:rPr>
                <w:rFonts w:hint="eastAsia" w:ascii="Times New Roman" w:hAnsi="Times New Roman" w:eastAsia="宋体" w:cs="Times New Roman"/>
                <w:color w:val="auto"/>
                <w:kern w:val="0"/>
                <w:szCs w:val="24"/>
                <w:highlight w:val="none"/>
                <w:lang w:val="en-US" w:eastAsia="zh-CN" w:bidi="ar"/>
              </w:rPr>
              <w:t>对比</w:t>
            </w:r>
            <w:r>
              <w:rPr>
                <w:rFonts w:hint="default" w:ascii="Times New Roman" w:hAnsi="Times New Roman" w:eastAsia="宋体" w:cs="Times New Roman"/>
                <w:color w:val="auto"/>
                <w:kern w:val="0"/>
                <w:szCs w:val="24"/>
                <w:highlight w:val="none"/>
                <w:lang w:val="en-US" w:eastAsia="zh-CN" w:bidi="ar"/>
              </w:rPr>
              <w:t>《江西省重污染天气重点行业绩效分级指南（试行）》中塑料制品企业分级指标</w:t>
            </w:r>
            <w:r>
              <w:rPr>
                <w:rFonts w:hint="default" w:ascii="Times New Roman" w:hAnsi="Times New Roman" w:eastAsia="宋体" w:cs="Times New Roman"/>
                <w:color w:val="auto"/>
                <w:kern w:val="0"/>
                <w:szCs w:val="24"/>
                <w:highlight w:val="none"/>
                <w:lang w:bidi="ar"/>
              </w:rPr>
              <w:t>有关要求，</w:t>
            </w:r>
            <w:r>
              <w:rPr>
                <w:rFonts w:hint="eastAsia" w:ascii="Times New Roman" w:hAnsi="Times New Roman" w:eastAsia="宋体" w:cs="Times New Roman"/>
                <w:color w:val="auto"/>
                <w:kern w:val="0"/>
                <w:szCs w:val="24"/>
                <w:highlight w:val="none"/>
                <w:lang w:val="en-US" w:eastAsia="zh-CN" w:bidi="ar"/>
              </w:rPr>
              <w:t>企业塑料制品业绩效分级为B级企业。</w:t>
            </w:r>
          </w:p>
          <w:p w14:paraId="0DDE3065">
            <w:pPr>
              <w:keepNext w:val="0"/>
              <w:keepLines w:val="0"/>
              <w:suppressLineNumbers w:val="0"/>
              <w:adjustRightIn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bCs/>
                <w:color w:val="auto"/>
                <w:kern w:val="0"/>
                <w:sz w:val="21"/>
                <w:szCs w:val="21"/>
                <w:highlight w:val="none"/>
                <w:lang w:val="en-US" w:eastAsia="zh-CN" w:bidi="ar"/>
              </w:rPr>
            </w:pPr>
            <w:r>
              <w:rPr>
                <w:rFonts w:hint="eastAsia" w:ascii="Times New Roman" w:hAnsi="Times New Roman" w:eastAsia="宋体" w:cs="Times New Roman"/>
                <w:b/>
                <w:color w:val="auto"/>
                <w:kern w:val="0"/>
                <w:sz w:val="21"/>
                <w:szCs w:val="21"/>
                <w:highlight w:val="none"/>
                <w:lang w:val="en-US" w:eastAsia="zh-CN" w:bidi="zh-CN"/>
              </w:rPr>
              <w:t xml:space="preserve">表1-13  </w:t>
            </w:r>
            <w:r>
              <w:rPr>
                <w:rFonts w:hint="eastAsia" w:ascii="Times New Roman" w:hAnsi="Times New Roman" w:eastAsia="宋体" w:cs="Times New Roman"/>
                <w:b/>
                <w:bCs/>
                <w:color w:val="auto"/>
                <w:kern w:val="0"/>
                <w:sz w:val="21"/>
                <w:szCs w:val="21"/>
                <w:highlight w:val="none"/>
                <w:lang w:val="en-US" w:eastAsia="zh-CN" w:bidi="ar"/>
              </w:rPr>
              <w:t>与《江西省重污染天气重点行业绩效分级指南（试行）》相符性分析</w:t>
            </w:r>
          </w:p>
          <w:tbl>
            <w:tblPr>
              <w:tblStyle w:val="33"/>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1984"/>
              <w:gridCol w:w="2131"/>
              <w:gridCol w:w="396"/>
              <w:gridCol w:w="1199"/>
            </w:tblGrid>
            <w:tr w14:paraId="69B65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8" w:type="dxa"/>
                  <w:tcBorders>
                    <w:top w:val="single" w:color="auto" w:sz="12" w:space="0"/>
                    <w:left w:val="nil"/>
                    <w:bottom w:val="single" w:color="auto" w:sz="12" w:space="0"/>
                  </w:tcBorders>
                  <w:vAlign w:val="center"/>
                </w:tcPr>
                <w:p w14:paraId="1C3FABBA">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bCs/>
                      <w:color w:val="auto"/>
                      <w:kern w:val="0"/>
                      <w:sz w:val="21"/>
                      <w:szCs w:val="21"/>
                      <w:highlight w:val="none"/>
                      <w:vertAlign w:val="baseline"/>
                      <w:lang w:val="en-US" w:eastAsia="zh-CN" w:bidi="ar"/>
                    </w:rPr>
                  </w:pPr>
                  <w:r>
                    <w:rPr>
                      <w:rFonts w:hint="eastAsia" w:cs="Times New Roman"/>
                      <w:b/>
                      <w:bCs/>
                      <w:color w:val="auto"/>
                      <w:kern w:val="0"/>
                      <w:sz w:val="21"/>
                      <w:szCs w:val="21"/>
                      <w:highlight w:val="none"/>
                      <w:vertAlign w:val="baseline"/>
                      <w:lang w:val="en-US" w:eastAsia="zh-CN" w:bidi="ar"/>
                    </w:rPr>
                    <w:t>差异化指标</w:t>
                  </w:r>
                </w:p>
              </w:tc>
              <w:tc>
                <w:tcPr>
                  <w:tcW w:w="1984" w:type="dxa"/>
                  <w:tcBorders>
                    <w:top w:val="single" w:color="auto" w:sz="12" w:space="0"/>
                    <w:bottom w:val="single" w:color="auto" w:sz="12" w:space="0"/>
                  </w:tcBorders>
                  <w:vAlign w:val="center"/>
                </w:tcPr>
                <w:p w14:paraId="2B9F00E8">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bCs/>
                      <w:color w:val="auto"/>
                      <w:kern w:val="0"/>
                      <w:sz w:val="21"/>
                      <w:szCs w:val="21"/>
                      <w:highlight w:val="none"/>
                      <w:vertAlign w:val="baseline"/>
                      <w:lang w:val="en-US" w:eastAsia="zh-CN" w:bidi="ar"/>
                    </w:rPr>
                  </w:pPr>
                  <w:r>
                    <w:rPr>
                      <w:rFonts w:hint="eastAsia" w:cs="Times New Roman"/>
                      <w:b/>
                      <w:bCs/>
                      <w:color w:val="auto"/>
                      <w:kern w:val="0"/>
                      <w:sz w:val="21"/>
                      <w:szCs w:val="21"/>
                      <w:highlight w:val="none"/>
                      <w:vertAlign w:val="baseline"/>
                      <w:lang w:val="en-US" w:eastAsia="zh-CN" w:bidi="ar"/>
                    </w:rPr>
                    <w:t>A级企业</w:t>
                  </w:r>
                </w:p>
              </w:tc>
              <w:tc>
                <w:tcPr>
                  <w:tcW w:w="2131" w:type="dxa"/>
                  <w:tcBorders>
                    <w:top w:val="single" w:color="auto" w:sz="12" w:space="0"/>
                    <w:bottom w:val="single" w:color="auto" w:sz="12" w:space="0"/>
                  </w:tcBorders>
                  <w:vAlign w:val="center"/>
                </w:tcPr>
                <w:p w14:paraId="4B51C496">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b/>
                      <w:bCs/>
                      <w:color w:val="auto"/>
                      <w:kern w:val="0"/>
                      <w:sz w:val="21"/>
                      <w:szCs w:val="21"/>
                      <w:highlight w:val="none"/>
                      <w:vertAlign w:val="baseline"/>
                      <w:lang w:val="en-US" w:eastAsia="zh-CN" w:bidi="ar"/>
                    </w:rPr>
                  </w:pPr>
                  <w:r>
                    <w:rPr>
                      <w:rFonts w:hint="eastAsia" w:cs="Times New Roman"/>
                      <w:b/>
                      <w:bCs/>
                      <w:color w:val="auto"/>
                      <w:kern w:val="0"/>
                      <w:sz w:val="21"/>
                      <w:szCs w:val="21"/>
                      <w:highlight w:val="none"/>
                      <w:vertAlign w:val="baseline"/>
                      <w:lang w:val="en-US" w:eastAsia="zh-CN" w:bidi="ar"/>
                    </w:rPr>
                    <w:t>B级企业</w:t>
                  </w:r>
                </w:p>
              </w:tc>
              <w:tc>
                <w:tcPr>
                  <w:tcW w:w="396" w:type="dxa"/>
                  <w:tcBorders>
                    <w:top w:val="single" w:color="auto" w:sz="12" w:space="0"/>
                    <w:bottom w:val="single" w:color="auto" w:sz="12" w:space="0"/>
                    <w:right w:val="nil"/>
                  </w:tcBorders>
                  <w:vAlign w:val="center"/>
                </w:tcPr>
                <w:p w14:paraId="69002E77">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b/>
                      <w:bCs/>
                      <w:color w:val="auto"/>
                      <w:kern w:val="0"/>
                      <w:sz w:val="21"/>
                      <w:szCs w:val="21"/>
                      <w:highlight w:val="none"/>
                      <w:vertAlign w:val="baseline"/>
                      <w:lang w:val="en-US" w:eastAsia="zh-CN" w:bidi="ar"/>
                    </w:rPr>
                  </w:pPr>
                  <w:r>
                    <w:rPr>
                      <w:rFonts w:hint="eastAsia" w:cs="Times New Roman"/>
                      <w:b/>
                      <w:bCs/>
                      <w:color w:val="auto"/>
                      <w:kern w:val="0"/>
                      <w:sz w:val="21"/>
                      <w:szCs w:val="21"/>
                      <w:highlight w:val="none"/>
                      <w:vertAlign w:val="baseline"/>
                      <w:lang w:val="en-US" w:eastAsia="zh-CN" w:bidi="ar"/>
                    </w:rPr>
                    <w:t>C级企业</w:t>
                  </w:r>
                </w:p>
              </w:tc>
              <w:tc>
                <w:tcPr>
                  <w:tcW w:w="1199" w:type="dxa"/>
                  <w:tcBorders>
                    <w:top w:val="single" w:color="auto" w:sz="12" w:space="0"/>
                    <w:bottom w:val="single" w:color="auto" w:sz="12" w:space="0"/>
                    <w:right w:val="nil"/>
                  </w:tcBorders>
                  <w:vAlign w:val="center"/>
                </w:tcPr>
                <w:p w14:paraId="1449D098">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cs="Times New Roman"/>
                      <w:b/>
                      <w:bCs/>
                      <w:color w:val="auto"/>
                      <w:kern w:val="0"/>
                      <w:sz w:val="21"/>
                      <w:szCs w:val="21"/>
                      <w:highlight w:val="none"/>
                      <w:vertAlign w:val="baseline"/>
                      <w:lang w:val="en-US" w:eastAsia="zh-CN" w:bidi="ar"/>
                    </w:rPr>
                  </w:pPr>
                  <w:r>
                    <w:rPr>
                      <w:rFonts w:hint="eastAsia" w:cs="Times New Roman"/>
                      <w:b/>
                      <w:bCs/>
                      <w:color w:val="auto"/>
                      <w:kern w:val="0"/>
                      <w:sz w:val="21"/>
                      <w:szCs w:val="21"/>
                      <w:highlight w:val="none"/>
                      <w:vertAlign w:val="baseline"/>
                      <w:lang w:val="en-US" w:eastAsia="zh-CN" w:bidi="ar"/>
                    </w:rPr>
                    <w:t>本项目</w:t>
                  </w:r>
                </w:p>
              </w:tc>
            </w:tr>
            <w:tr w14:paraId="4C151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tcBorders>
                    <w:top w:val="single" w:color="auto" w:sz="12" w:space="0"/>
                    <w:left w:val="nil"/>
                  </w:tcBorders>
                  <w:vAlign w:val="center"/>
                </w:tcPr>
                <w:p w14:paraId="0538DAA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cs="Times New Roman"/>
                      <w:color w:val="auto"/>
                      <w:kern w:val="0"/>
                      <w:sz w:val="21"/>
                      <w:szCs w:val="21"/>
                      <w:highlight w:val="none"/>
                      <w:vertAlign w:val="baseline"/>
                      <w:lang w:val="en-US" w:eastAsia="zh-CN" w:bidi="ar"/>
                    </w:rPr>
                    <w:t>原料类型</w:t>
                  </w:r>
                </w:p>
              </w:tc>
              <w:tc>
                <w:tcPr>
                  <w:tcW w:w="1984" w:type="dxa"/>
                  <w:tcBorders>
                    <w:top w:val="single" w:color="auto" w:sz="12" w:space="0"/>
                  </w:tcBorders>
                  <w:vAlign w:val="center"/>
                </w:tcPr>
                <w:p w14:paraId="2658BA65">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cs="Times New Roman"/>
                      <w:color w:val="auto"/>
                      <w:kern w:val="0"/>
                      <w:sz w:val="21"/>
                      <w:szCs w:val="21"/>
                      <w:highlight w:val="none"/>
                      <w:vertAlign w:val="baseline"/>
                      <w:lang w:val="en-US" w:eastAsia="zh-CN" w:bidi="ar"/>
                    </w:rPr>
                    <w:t>全部使用非再生料（原包料）</w:t>
                  </w:r>
                </w:p>
              </w:tc>
              <w:tc>
                <w:tcPr>
                  <w:tcW w:w="2527" w:type="dxa"/>
                  <w:gridSpan w:val="2"/>
                  <w:tcBorders>
                    <w:top w:val="single" w:color="auto" w:sz="12" w:space="0"/>
                    <w:right w:val="nil"/>
                  </w:tcBorders>
                  <w:vAlign w:val="center"/>
                </w:tcPr>
                <w:p w14:paraId="16CD36FA">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cs="Times New Roman"/>
                      <w:color w:val="auto"/>
                      <w:kern w:val="0"/>
                      <w:sz w:val="21"/>
                      <w:szCs w:val="21"/>
                      <w:highlight w:val="none"/>
                      <w:vertAlign w:val="baseline"/>
                      <w:lang w:val="en-US" w:eastAsia="zh-CN" w:bidi="ar"/>
                    </w:rPr>
                    <w:t>未达到A级要求</w:t>
                  </w:r>
                </w:p>
              </w:tc>
              <w:tc>
                <w:tcPr>
                  <w:tcW w:w="1199" w:type="dxa"/>
                  <w:tcBorders>
                    <w:top w:val="single" w:color="auto" w:sz="12" w:space="0"/>
                    <w:right w:val="nil"/>
                  </w:tcBorders>
                  <w:vAlign w:val="center"/>
                </w:tcPr>
                <w:p w14:paraId="66017DE1">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cs="Times New Roman"/>
                      <w:color w:val="auto"/>
                      <w:kern w:val="0"/>
                      <w:sz w:val="21"/>
                      <w:szCs w:val="21"/>
                      <w:highlight w:val="none"/>
                      <w:vertAlign w:val="baseline"/>
                      <w:lang w:val="en-US" w:eastAsia="zh-CN" w:bidi="ar"/>
                    </w:rPr>
                    <w:t>原料使用非再生料，满足A级企业指标</w:t>
                  </w:r>
                </w:p>
              </w:tc>
            </w:tr>
            <w:tr w14:paraId="25714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tcBorders>
                    <w:left w:val="nil"/>
                  </w:tcBorders>
                  <w:vAlign w:val="center"/>
                </w:tcPr>
                <w:p w14:paraId="66271BA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cs="Times New Roman"/>
                      <w:color w:val="auto"/>
                      <w:kern w:val="0"/>
                      <w:sz w:val="21"/>
                      <w:szCs w:val="21"/>
                      <w:highlight w:val="none"/>
                      <w:vertAlign w:val="baseline"/>
                      <w:lang w:val="en-US" w:eastAsia="zh-CN" w:bidi="ar"/>
                    </w:rPr>
                    <w:t>污染治理技术</w:t>
                  </w:r>
                </w:p>
              </w:tc>
              <w:tc>
                <w:tcPr>
                  <w:tcW w:w="1984" w:type="dxa"/>
                  <w:vAlign w:val="center"/>
                </w:tcPr>
                <w:p w14:paraId="2F24CDA9">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1、生产工艺产生的VOCs采用燃烧方式或喷淋、吸附、低温等离子、生物法等二级及以上组合工艺处理；</w:t>
                  </w:r>
                </w:p>
                <w:p w14:paraId="5112F626">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2、投料、挤塑、注塑、滚塑、吹塑、压延、挤出、热定型、冷却、发泡、熟化、干燥等产生的VOCs环节需采用密闭设备或在密闭空间内操作，废气排至VOCs废气收集处理系统</w:t>
                  </w:r>
                  <w:r>
                    <w:rPr>
                      <w:rFonts w:hint="eastAsia" w:cs="Times New Roman"/>
                      <w:color w:val="auto"/>
                      <w:kern w:val="0"/>
                      <w:sz w:val="21"/>
                      <w:szCs w:val="21"/>
                      <w:highlight w:val="none"/>
                      <w:vertAlign w:val="baseline"/>
                      <w:lang w:val="en-US" w:eastAsia="zh-CN" w:bidi="ar"/>
                    </w:rPr>
                    <w:t>；</w:t>
                  </w:r>
                </w:p>
                <w:p w14:paraId="411DDE3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3、废吸附剂应采用密闭的包装袋或容器储存、转运，并建立储存、处置台账。</w:t>
                  </w:r>
                </w:p>
              </w:tc>
              <w:tc>
                <w:tcPr>
                  <w:tcW w:w="2131" w:type="dxa"/>
                  <w:vAlign w:val="center"/>
                </w:tcPr>
                <w:p w14:paraId="4E89E7CE">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1、生产工艺产生的VOCs采用燃烧方式或喷淋、吸附、低温等离子、生物法等工艺处理；</w:t>
                  </w:r>
                </w:p>
                <w:p w14:paraId="2FAE74A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2、投料、挤塑、注塑、滚塑、吹塑、压延、挤出、热定型、冷却、发泡、熟化、干燥等产生的VOCs环节需采用密闭设备或在密闭空间内操作，废气排至VOCs废气收集处理系统；</w:t>
                  </w:r>
                </w:p>
                <w:p w14:paraId="7B18C735">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3、废吸附剂应采用密闭的包装袋或容器储存、转运，并建立储存、处置台账。</w:t>
                  </w:r>
                </w:p>
              </w:tc>
              <w:tc>
                <w:tcPr>
                  <w:tcW w:w="396" w:type="dxa"/>
                  <w:tcBorders>
                    <w:right w:val="nil"/>
                  </w:tcBorders>
                  <w:vAlign w:val="center"/>
                </w:tcPr>
                <w:p w14:paraId="457AF783">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cs="Times New Roman"/>
                      <w:color w:val="auto"/>
                      <w:kern w:val="0"/>
                      <w:sz w:val="21"/>
                      <w:szCs w:val="21"/>
                      <w:highlight w:val="none"/>
                      <w:vertAlign w:val="baseline"/>
                      <w:lang w:val="en-US" w:eastAsia="zh-CN" w:bidi="ar"/>
                    </w:rPr>
                    <w:t>未达到B级要求</w:t>
                  </w:r>
                </w:p>
              </w:tc>
              <w:tc>
                <w:tcPr>
                  <w:tcW w:w="1199" w:type="dxa"/>
                  <w:tcBorders>
                    <w:right w:val="nil"/>
                  </w:tcBorders>
                  <w:vAlign w:val="center"/>
                </w:tcPr>
                <w:p w14:paraId="1E4007D9">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cs="Times New Roman"/>
                      <w:color w:val="auto"/>
                      <w:kern w:val="0"/>
                      <w:sz w:val="21"/>
                      <w:szCs w:val="21"/>
                      <w:highlight w:val="none"/>
                      <w:vertAlign w:val="baseline"/>
                      <w:lang w:val="en-US" w:eastAsia="zh-CN" w:bidi="ar"/>
                    </w:rPr>
                    <w:t>项目采用吸附处理工艺，在密闭设备内操作，废吸附剂袋装密闭，建立</w:t>
                  </w:r>
                  <w:r>
                    <w:rPr>
                      <w:rFonts w:hint="eastAsia" w:ascii="Times New Roman" w:hAnsi="Times New Roman" w:eastAsia="宋体" w:cs="Times New Roman"/>
                      <w:color w:val="auto"/>
                      <w:kern w:val="0"/>
                      <w:sz w:val="21"/>
                      <w:szCs w:val="21"/>
                      <w:highlight w:val="none"/>
                      <w:vertAlign w:val="baseline"/>
                      <w:lang w:val="en-US" w:eastAsia="zh-CN" w:bidi="ar"/>
                    </w:rPr>
                    <w:t>储存、处置台账，满足B级企业指标</w:t>
                  </w:r>
                </w:p>
              </w:tc>
            </w:tr>
            <w:tr w14:paraId="69FF6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tcBorders>
                    <w:left w:val="nil"/>
                  </w:tcBorders>
                  <w:vAlign w:val="center"/>
                </w:tcPr>
                <w:p w14:paraId="0CC8D0B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cs="Times New Roman"/>
                      <w:color w:val="auto"/>
                      <w:kern w:val="0"/>
                      <w:sz w:val="21"/>
                      <w:szCs w:val="21"/>
                      <w:highlight w:val="none"/>
                      <w:vertAlign w:val="baseline"/>
                      <w:lang w:val="en-US" w:eastAsia="zh-CN" w:bidi="ar"/>
                    </w:rPr>
                    <w:t>排放限值</w:t>
                  </w:r>
                </w:p>
              </w:tc>
              <w:tc>
                <w:tcPr>
                  <w:tcW w:w="1984" w:type="dxa"/>
                  <w:vAlign w:val="center"/>
                </w:tcPr>
                <w:p w14:paraId="1D6FE3D3">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1、车间或生产设施排气筒非甲烷总烃浓度低于10mg/m</w:t>
                  </w:r>
                  <w:r>
                    <w:rPr>
                      <w:rFonts w:hint="eastAsia" w:cs="Times New Roman"/>
                      <w:color w:val="auto"/>
                      <w:kern w:val="0"/>
                      <w:sz w:val="21"/>
                      <w:szCs w:val="21"/>
                      <w:highlight w:val="none"/>
                      <w:vertAlign w:val="superscript"/>
                      <w:lang w:val="en-US" w:eastAsia="zh-CN" w:bidi="ar"/>
                    </w:rPr>
                    <w:t>3</w:t>
                  </w:r>
                  <w:r>
                    <w:rPr>
                      <w:rFonts w:hint="eastAsia" w:cs="Times New Roman"/>
                      <w:color w:val="auto"/>
                      <w:kern w:val="0"/>
                      <w:sz w:val="21"/>
                      <w:szCs w:val="21"/>
                      <w:highlight w:val="none"/>
                      <w:vertAlign w:val="baseline"/>
                      <w:lang w:val="en-US" w:eastAsia="zh-CN" w:bidi="ar"/>
                    </w:rPr>
                    <w:t>；</w:t>
                  </w:r>
                </w:p>
                <w:p w14:paraId="6EC5C798">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2、企业厂区内VOCs无组织排放监控点非甲烷总烃的小时平均浓度值不高于1mg/m</w:t>
                  </w:r>
                  <w:r>
                    <w:rPr>
                      <w:rFonts w:hint="eastAsia" w:cs="Times New Roman"/>
                      <w:color w:val="auto"/>
                      <w:kern w:val="0"/>
                      <w:sz w:val="21"/>
                      <w:szCs w:val="21"/>
                      <w:highlight w:val="none"/>
                      <w:vertAlign w:val="superscript"/>
                      <w:lang w:val="en-US" w:eastAsia="zh-CN" w:bidi="ar"/>
                    </w:rPr>
                    <w:t>3</w:t>
                  </w:r>
                  <w:r>
                    <w:rPr>
                      <w:rFonts w:hint="eastAsia" w:ascii="Times New Roman" w:hAnsi="Times New Roman" w:eastAsia="宋体" w:cs="Times New Roman"/>
                      <w:color w:val="auto"/>
                      <w:kern w:val="0"/>
                      <w:sz w:val="21"/>
                      <w:szCs w:val="21"/>
                      <w:highlight w:val="none"/>
                      <w:vertAlign w:val="baseline"/>
                      <w:lang w:val="en-US" w:eastAsia="zh-CN" w:bidi="ar"/>
                    </w:rPr>
                    <w:t>；</w:t>
                  </w:r>
                </w:p>
                <w:p w14:paraId="239A8398">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3、其他污染物满足《大气污染物综合排放标准》（GB16297</w:t>
                  </w:r>
                  <w:r>
                    <w:rPr>
                      <w:rFonts w:hint="eastAsia" w:cs="Times New Roman"/>
                      <w:color w:val="auto"/>
                      <w:kern w:val="0"/>
                      <w:sz w:val="21"/>
                      <w:szCs w:val="21"/>
                      <w:highlight w:val="none"/>
                      <w:vertAlign w:val="baseline"/>
                      <w:lang w:val="en-US" w:eastAsia="zh-CN" w:bidi="ar"/>
                    </w:rPr>
                    <w:t>-</w:t>
                  </w:r>
                  <w:r>
                    <w:rPr>
                      <w:rFonts w:hint="eastAsia" w:ascii="Times New Roman" w:hAnsi="Times New Roman" w:eastAsia="宋体" w:cs="Times New Roman"/>
                      <w:color w:val="auto"/>
                      <w:kern w:val="0"/>
                      <w:sz w:val="21"/>
                      <w:szCs w:val="21"/>
                      <w:highlight w:val="none"/>
                      <w:vertAlign w:val="baseline"/>
                      <w:lang w:val="en-US" w:eastAsia="zh-CN" w:bidi="ar"/>
                    </w:rPr>
                    <w:t>1996）排放限值要求，并满足江西省地方标准《挥发性有机物排放标准第4部分：塑料制品业》（DB36/1101.4-2019）。</w:t>
                  </w:r>
                </w:p>
              </w:tc>
              <w:tc>
                <w:tcPr>
                  <w:tcW w:w="2131" w:type="dxa"/>
                  <w:vAlign w:val="center"/>
                </w:tcPr>
                <w:p w14:paraId="0D43C7E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1、车间或生产设施排气筒非甲烷总烃浓度低于20mg/m</w:t>
                  </w:r>
                  <w:r>
                    <w:rPr>
                      <w:rFonts w:hint="eastAsia" w:cs="Times New Roman"/>
                      <w:color w:val="auto"/>
                      <w:kern w:val="0"/>
                      <w:sz w:val="21"/>
                      <w:szCs w:val="21"/>
                      <w:highlight w:val="none"/>
                      <w:vertAlign w:val="superscript"/>
                      <w:lang w:val="en-US" w:eastAsia="zh-CN" w:bidi="ar"/>
                    </w:rPr>
                    <w:t>3</w:t>
                  </w:r>
                  <w:r>
                    <w:rPr>
                      <w:rFonts w:hint="eastAsia" w:cs="Times New Roman"/>
                      <w:color w:val="auto"/>
                      <w:kern w:val="0"/>
                      <w:sz w:val="21"/>
                      <w:szCs w:val="21"/>
                      <w:highlight w:val="none"/>
                      <w:vertAlign w:val="baseline"/>
                      <w:lang w:val="en-US" w:eastAsia="zh-CN" w:bidi="ar"/>
                    </w:rPr>
                    <w:t>；</w:t>
                  </w:r>
                </w:p>
                <w:p w14:paraId="5A53EE55">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2、企业厂区内VOCs无组织排放监控点非甲烷总烃的小时平均浓度值不高于1.5mg/m</w:t>
                  </w:r>
                  <w:r>
                    <w:rPr>
                      <w:rFonts w:hint="eastAsia" w:cs="Times New Roman"/>
                      <w:color w:val="auto"/>
                      <w:kern w:val="0"/>
                      <w:sz w:val="21"/>
                      <w:szCs w:val="21"/>
                      <w:highlight w:val="none"/>
                      <w:vertAlign w:val="superscript"/>
                      <w:lang w:val="en-US" w:eastAsia="zh-CN" w:bidi="ar"/>
                    </w:rPr>
                    <w:t>3</w:t>
                  </w:r>
                  <w:r>
                    <w:rPr>
                      <w:rFonts w:hint="eastAsia" w:ascii="Times New Roman" w:hAnsi="Times New Roman" w:eastAsia="宋体" w:cs="Times New Roman"/>
                      <w:color w:val="auto"/>
                      <w:kern w:val="0"/>
                      <w:sz w:val="21"/>
                      <w:szCs w:val="21"/>
                      <w:highlight w:val="none"/>
                      <w:vertAlign w:val="baseline"/>
                      <w:lang w:val="en-US" w:eastAsia="zh-CN" w:bidi="ar"/>
                    </w:rPr>
                    <w:t>；</w:t>
                  </w:r>
                </w:p>
                <w:p w14:paraId="48F6C2C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3、其他污染物满足《大气污染物综合排放标准》（GB16297</w:t>
                  </w:r>
                  <w:r>
                    <w:rPr>
                      <w:rFonts w:hint="eastAsia" w:cs="Times New Roman"/>
                      <w:color w:val="auto"/>
                      <w:kern w:val="0"/>
                      <w:sz w:val="21"/>
                      <w:szCs w:val="21"/>
                      <w:highlight w:val="none"/>
                      <w:vertAlign w:val="baseline"/>
                      <w:lang w:val="en-US" w:eastAsia="zh-CN" w:bidi="ar"/>
                    </w:rPr>
                    <w:t>-</w:t>
                  </w:r>
                  <w:r>
                    <w:rPr>
                      <w:rFonts w:hint="eastAsia" w:ascii="Times New Roman" w:hAnsi="Times New Roman" w:eastAsia="宋体" w:cs="Times New Roman"/>
                      <w:color w:val="auto"/>
                      <w:kern w:val="0"/>
                      <w:sz w:val="21"/>
                      <w:szCs w:val="21"/>
                      <w:highlight w:val="none"/>
                      <w:vertAlign w:val="baseline"/>
                      <w:lang w:val="en-US" w:eastAsia="zh-CN" w:bidi="ar"/>
                    </w:rPr>
                    <w:t>1996）排放限值要求，并满足江西省地方标准《挥发性有机物排放标准第4部分：塑料制品业》（DB36/1101.4-2019）。</w:t>
                  </w:r>
                </w:p>
              </w:tc>
              <w:tc>
                <w:tcPr>
                  <w:tcW w:w="396" w:type="dxa"/>
                  <w:tcBorders>
                    <w:right w:val="nil"/>
                  </w:tcBorders>
                  <w:vAlign w:val="center"/>
                </w:tcPr>
                <w:p w14:paraId="25C6237D">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cs="Times New Roman"/>
                      <w:color w:val="auto"/>
                      <w:kern w:val="0"/>
                      <w:sz w:val="21"/>
                      <w:szCs w:val="21"/>
                      <w:highlight w:val="none"/>
                      <w:vertAlign w:val="baseline"/>
                      <w:lang w:val="en-US" w:eastAsia="zh-CN" w:bidi="ar"/>
                    </w:rPr>
                    <w:t>未达到B级要求</w:t>
                  </w:r>
                </w:p>
              </w:tc>
              <w:tc>
                <w:tcPr>
                  <w:tcW w:w="1199" w:type="dxa"/>
                  <w:tcBorders>
                    <w:right w:val="nil"/>
                  </w:tcBorders>
                  <w:vAlign w:val="center"/>
                </w:tcPr>
                <w:p w14:paraId="54C91CA8">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cs="Times New Roman"/>
                      <w:color w:val="auto"/>
                      <w:kern w:val="0"/>
                      <w:sz w:val="21"/>
                      <w:szCs w:val="21"/>
                      <w:highlight w:val="none"/>
                      <w:vertAlign w:val="baseline"/>
                      <w:lang w:val="en-US" w:eastAsia="zh-CN" w:bidi="ar"/>
                    </w:rPr>
                    <w:t>项目污染物非甲烷总烃</w:t>
                  </w:r>
                  <w:r>
                    <w:rPr>
                      <w:rFonts w:hint="eastAsia" w:ascii="Times New Roman" w:hAnsi="Times New Roman" w:eastAsia="宋体" w:cs="Times New Roman"/>
                      <w:color w:val="auto"/>
                      <w:kern w:val="0"/>
                      <w:sz w:val="21"/>
                      <w:szCs w:val="21"/>
                      <w:highlight w:val="none"/>
                      <w:vertAlign w:val="baseline"/>
                      <w:lang w:val="en-US" w:eastAsia="zh-CN" w:bidi="ar"/>
                    </w:rPr>
                    <w:t>浓度低于10mg/m</w:t>
                  </w:r>
                  <w:r>
                    <w:rPr>
                      <w:rFonts w:hint="eastAsia" w:cs="Times New Roman"/>
                      <w:color w:val="auto"/>
                      <w:kern w:val="0"/>
                      <w:sz w:val="21"/>
                      <w:szCs w:val="21"/>
                      <w:highlight w:val="none"/>
                      <w:vertAlign w:val="superscript"/>
                      <w:lang w:val="en-US" w:eastAsia="zh-CN" w:bidi="ar"/>
                    </w:rPr>
                    <w:t>3</w:t>
                  </w:r>
                  <w:r>
                    <w:rPr>
                      <w:rFonts w:hint="eastAsia" w:cs="Times New Roman"/>
                      <w:color w:val="auto"/>
                      <w:kern w:val="0"/>
                      <w:sz w:val="21"/>
                      <w:szCs w:val="21"/>
                      <w:highlight w:val="none"/>
                      <w:vertAlign w:val="baseline"/>
                      <w:lang w:val="en-US" w:eastAsia="zh-CN" w:bidi="ar"/>
                    </w:rPr>
                    <w:t>；污染物排放满足</w:t>
                  </w:r>
                  <w:r>
                    <w:rPr>
                      <w:rFonts w:hint="eastAsia" w:ascii="Times New Roman" w:hAnsi="Times New Roman" w:eastAsia="宋体" w:cs="Times New Roman"/>
                      <w:color w:val="auto"/>
                      <w:kern w:val="0"/>
                      <w:sz w:val="21"/>
                      <w:szCs w:val="21"/>
                      <w:highlight w:val="none"/>
                      <w:vertAlign w:val="baseline"/>
                      <w:lang w:val="en-US" w:eastAsia="zh-CN" w:bidi="ar"/>
                    </w:rPr>
                    <w:t>《大气污染物综合排放标准》（GB16297</w:t>
                  </w:r>
                  <w:r>
                    <w:rPr>
                      <w:rFonts w:hint="eastAsia" w:cs="Times New Roman"/>
                      <w:color w:val="auto"/>
                      <w:kern w:val="0"/>
                      <w:sz w:val="21"/>
                      <w:szCs w:val="21"/>
                      <w:highlight w:val="none"/>
                      <w:vertAlign w:val="baseline"/>
                      <w:lang w:val="en-US" w:eastAsia="zh-CN" w:bidi="ar"/>
                    </w:rPr>
                    <w:t>-</w:t>
                  </w:r>
                  <w:r>
                    <w:rPr>
                      <w:rFonts w:hint="eastAsia" w:ascii="Times New Roman" w:hAnsi="Times New Roman" w:eastAsia="宋体" w:cs="Times New Roman"/>
                      <w:color w:val="auto"/>
                      <w:kern w:val="0"/>
                      <w:sz w:val="21"/>
                      <w:szCs w:val="21"/>
                      <w:highlight w:val="none"/>
                      <w:vertAlign w:val="baseline"/>
                      <w:lang w:val="en-US" w:eastAsia="zh-CN" w:bidi="ar"/>
                    </w:rPr>
                    <w:t>1996）排放限值要求，并满足江西省地方标准《挥发性有机物排放标准第4部分：塑料制品业》（DB36/1101.4-2019），</w:t>
                  </w:r>
                  <w:r>
                    <w:rPr>
                      <w:rFonts w:hint="eastAsia" w:cs="Times New Roman"/>
                      <w:color w:val="auto"/>
                      <w:kern w:val="0"/>
                      <w:sz w:val="21"/>
                      <w:szCs w:val="21"/>
                      <w:highlight w:val="none"/>
                      <w:vertAlign w:val="baseline"/>
                      <w:lang w:val="en-US" w:eastAsia="zh-CN" w:bidi="ar"/>
                    </w:rPr>
                    <w:t>满足A级企业指标</w:t>
                  </w:r>
                </w:p>
              </w:tc>
            </w:tr>
            <w:tr w14:paraId="057A6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tcBorders>
                    <w:left w:val="nil"/>
                  </w:tcBorders>
                  <w:vAlign w:val="center"/>
                </w:tcPr>
                <w:p w14:paraId="1BAC01B6">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cs="Times New Roman"/>
                      <w:color w:val="auto"/>
                      <w:kern w:val="0"/>
                      <w:sz w:val="21"/>
                      <w:szCs w:val="21"/>
                      <w:highlight w:val="none"/>
                      <w:vertAlign w:val="baseline"/>
                      <w:lang w:val="en-US" w:eastAsia="zh-CN" w:bidi="ar"/>
                    </w:rPr>
                  </w:pPr>
                  <w:r>
                    <w:rPr>
                      <w:rFonts w:hint="eastAsia" w:cs="Times New Roman"/>
                      <w:color w:val="auto"/>
                      <w:kern w:val="0"/>
                      <w:sz w:val="21"/>
                      <w:szCs w:val="21"/>
                      <w:highlight w:val="none"/>
                      <w:vertAlign w:val="baseline"/>
                      <w:lang w:val="en-US" w:eastAsia="zh-CN" w:bidi="ar"/>
                    </w:rPr>
                    <w:t>无组织管控要求</w:t>
                  </w:r>
                </w:p>
              </w:tc>
              <w:tc>
                <w:tcPr>
                  <w:tcW w:w="4115" w:type="dxa"/>
                  <w:gridSpan w:val="2"/>
                  <w:vAlign w:val="center"/>
                </w:tcPr>
                <w:p w14:paraId="142B511E">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1、VOCs原料存储于密闭的容器、包装袋、储罐、储库、料仓中；盛装VOCs原料的容器或包装袋存放于室内；盛装VOCs物料的容器或包装袋在非取用状态时应加盖、封口，保持密闭；</w:t>
                  </w:r>
                </w:p>
                <w:p w14:paraId="3A6A9C0E">
                  <w:pPr>
                    <w:keepNext w:val="0"/>
                    <w:keepLines w:val="0"/>
                    <w:pageBreakBefore w:val="0"/>
                    <w:widowControl w:val="0"/>
                    <w:numPr>
                      <w:ilvl w:val="0"/>
                      <w:numId w:val="0"/>
                    </w:numPr>
                    <w:suppressLineNumbers w:val="0"/>
                    <w:kinsoku/>
                    <w:wordWrap/>
                    <w:overflowPunct/>
                    <w:topLinePunct w:val="0"/>
                    <w:autoSpaceDE/>
                    <w:autoSpaceDN/>
                    <w:bidi w:val="0"/>
                    <w:adjustRightInd w:val="0"/>
                    <w:snapToGrid/>
                    <w:spacing w:before="0" w:beforeAutospacing="0" w:after="0" w:afterAutospacing="0" w:line="240" w:lineRule="auto"/>
                    <w:ind w:left="0" w:right="0" w:right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cs="Times New Roman"/>
                      <w:color w:val="auto"/>
                      <w:kern w:val="0"/>
                      <w:sz w:val="21"/>
                      <w:szCs w:val="21"/>
                      <w:highlight w:val="none"/>
                      <w:vertAlign w:val="baseline"/>
                      <w:lang w:val="en-US" w:eastAsia="zh-CN" w:bidi="ar"/>
                    </w:rPr>
                    <w:t>2、</w:t>
                  </w:r>
                  <w:r>
                    <w:rPr>
                      <w:rFonts w:hint="eastAsia" w:ascii="Times New Roman" w:hAnsi="Times New Roman" w:eastAsia="宋体" w:cs="Times New Roman"/>
                      <w:color w:val="auto"/>
                      <w:kern w:val="0"/>
                      <w:sz w:val="21"/>
                      <w:szCs w:val="21"/>
                      <w:highlight w:val="none"/>
                      <w:vertAlign w:val="baseline"/>
                      <w:lang w:val="en-US" w:eastAsia="zh-CN" w:bidi="ar"/>
                    </w:rPr>
                    <w:t>颗粒状、粉状VOCs物料应采用气力输送设备、管状带式输送机、螺旋输送机等密闭输送，或采用密闭的包装袋、容器或罐车进行物料转移；</w:t>
                  </w:r>
                </w:p>
                <w:p w14:paraId="4469EAE3">
                  <w:pPr>
                    <w:keepNext w:val="0"/>
                    <w:keepLines w:val="0"/>
                    <w:pageBreakBefore w:val="0"/>
                    <w:widowControl w:val="0"/>
                    <w:numPr>
                      <w:ilvl w:val="0"/>
                      <w:numId w:val="0"/>
                    </w:numPr>
                    <w:suppressLineNumbers w:val="0"/>
                    <w:kinsoku/>
                    <w:wordWrap/>
                    <w:overflowPunct/>
                    <w:topLinePunct w:val="0"/>
                    <w:autoSpaceDE/>
                    <w:autoSpaceDN/>
                    <w:bidi w:val="0"/>
                    <w:adjustRightInd w:val="0"/>
                    <w:snapToGrid/>
                    <w:spacing w:before="0" w:beforeAutospacing="0" w:after="0" w:afterAutospacing="0" w:line="240" w:lineRule="auto"/>
                    <w:ind w:left="0" w:right="0" w:right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3、液态VOCs物料采用密闭管道输送，或者采用密闭容器或罐车输送；</w:t>
                  </w:r>
                </w:p>
                <w:p w14:paraId="67787C3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4、产生VOCs的生产工序和装置应设置集气装置并引至VOCs末端处理设施。</w:t>
                  </w:r>
                </w:p>
              </w:tc>
              <w:tc>
                <w:tcPr>
                  <w:tcW w:w="396" w:type="dxa"/>
                  <w:tcBorders>
                    <w:right w:val="nil"/>
                  </w:tcBorders>
                  <w:vAlign w:val="center"/>
                </w:tcPr>
                <w:p w14:paraId="5F0BA937">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cs="Times New Roman"/>
                      <w:color w:val="auto"/>
                      <w:kern w:val="0"/>
                      <w:sz w:val="21"/>
                      <w:szCs w:val="21"/>
                      <w:highlight w:val="none"/>
                      <w:vertAlign w:val="baseline"/>
                      <w:lang w:val="en-US" w:eastAsia="zh-CN" w:bidi="ar"/>
                    </w:rPr>
                    <w:t>未达到B级要求</w:t>
                  </w:r>
                </w:p>
              </w:tc>
              <w:tc>
                <w:tcPr>
                  <w:tcW w:w="1199" w:type="dxa"/>
                  <w:tcBorders>
                    <w:right w:val="nil"/>
                  </w:tcBorders>
                  <w:vAlign w:val="center"/>
                </w:tcPr>
                <w:p w14:paraId="7CFAA086">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项目原料密封储存，满足A级企业指标</w:t>
                  </w:r>
                </w:p>
              </w:tc>
            </w:tr>
            <w:tr w14:paraId="12DF0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tcBorders>
                    <w:left w:val="nil"/>
                  </w:tcBorders>
                  <w:vAlign w:val="center"/>
                </w:tcPr>
                <w:p w14:paraId="42104B5E">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cs="Times New Roman"/>
                      <w:color w:val="auto"/>
                      <w:kern w:val="0"/>
                      <w:sz w:val="21"/>
                      <w:szCs w:val="21"/>
                      <w:highlight w:val="none"/>
                      <w:vertAlign w:val="baseline"/>
                      <w:lang w:val="en-US" w:eastAsia="zh-CN" w:bidi="ar"/>
                    </w:rPr>
                  </w:pPr>
                  <w:r>
                    <w:rPr>
                      <w:rFonts w:hint="eastAsia" w:cs="Times New Roman"/>
                      <w:color w:val="auto"/>
                      <w:kern w:val="0"/>
                      <w:sz w:val="21"/>
                      <w:szCs w:val="21"/>
                      <w:highlight w:val="none"/>
                      <w:vertAlign w:val="baseline"/>
                      <w:lang w:val="en-US" w:eastAsia="zh-CN" w:bidi="ar"/>
                    </w:rPr>
                    <w:t>环境管理水平</w:t>
                  </w:r>
                </w:p>
              </w:tc>
              <w:tc>
                <w:tcPr>
                  <w:tcW w:w="4115" w:type="dxa"/>
                  <w:gridSpan w:val="2"/>
                  <w:vAlign w:val="center"/>
                </w:tcPr>
                <w:p w14:paraId="24BB5732">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1、环保档案：（1）环评批复文件；（2）竣工验收文件；（3）废气治理设施运行管理制度（4）一年内废气监测报告；</w:t>
                  </w:r>
                </w:p>
                <w:p w14:paraId="792D022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2、台账记录：（1）生产设施运行管理信息（生产时间、运行负荷、产品产量等）；（2）污染控制设备为冷凝装置，应每月记录冷凝剂液量；污染控制设备为吸附装置，应记录吸附剂种类、更换/再生周期、更换量；污染控制设备为催化燃烧装置，应记录催化燃烧剂、催化剂更换日期；其他污染控制设备，应记录保养维护事项；以上记录至少需保存三年（3）主要原辅材料消耗记录</w:t>
                  </w:r>
                  <w:r>
                    <w:rPr>
                      <w:rFonts w:hint="eastAsia" w:cs="Times New Roman"/>
                      <w:color w:val="auto"/>
                      <w:kern w:val="0"/>
                      <w:sz w:val="21"/>
                      <w:szCs w:val="21"/>
                      <w:highlight w:val="none"/>
                      <w:vertAlign w:val="baseline"/>
                      <w:lang w:val="en-US" w:eastAsia="zh-CN" w:bidi="ar"/>
                    </w:rPr>
                    <w:t>；</w:t>
                  </w:r>
                </w:p>
                <w:p w14:paraId="4F55EAB1">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3、配备专职环保人员，并具备相应的环境管理能力。</w:t>
                  </w:r>
                </w:p>
              </w:tc>
              <w:tc>
                <w:tcPr>
                  <w:tcW w:w="396" w:type="dxa"/>
                  <w:tcBorders>
                    <w:right w:val="nil"/>
                  </w:tcBorders>
                  <w:vAlign w:val="center"/>
                </w:tcPr>
                <w:p w14:paraId="4EF052A5">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cs="Times New Roman"/>
                      <w:color w:val="auto"/>
                      <w:kern w:val="0"/>
                      <w:sz w:val="21"/>
                      <w:szCs w:val="21"/>
                      <w:highlight w:val="none"/>
                      <w:vertAlign w:val="baseline"/>
                      <w:lang w:val="en-US" w:eastAsia="zh-CN" w:bidi="ar"/>
                    </w:rPr>
                    <w:t>未达到A、B级要求</w:t>
                  </w:r>
                </w:p>
              </w:tc>
              <w:tc>
                <w:tcPr>
                  <w:tcW w:w="1199" w:type="dxa"/>
                  <w:tcBorders>
                    <w:right w:val="nil"/>
                  </w:tcBorders>
                  <w:vAlign w:val="center"/>
                </w:tcPr>
                <w:p w14:paraId="7C6C5D51">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cs="Times New Roman"/>
                      <w:color w:val="000000" w:themeColor="text1"/>
                      <w:kern w:val="0"/>
                      <w:sz w:val="21"/>
                      <w:szCs w:val="21"/>
                      <w:highlight w:val="none"/>
                      <w:vertAlign w:val="baseli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vertAlign w:val="baseline"/>
                      <w:lang w:val="en-US" w:eastAsia="zh-CN" w:bidi="ar"/>
                      <w14:textFill>
                        <w14:solidFill>
                          <w14:schemeClr w14:val="tx1"/>
                        </w14:solidFill>
                      </w14:textFill>
                    </w:rPr>
                    <w:t>项目</w:t>
                  </w:r>
                  <w:r>
                    <w:rPr>
                      <w:rFonts w:hint="eastAsia" w:cs="Times New Roman"/>
                      <w:color w:val="000000" w:themeColor="text1"/>
                      <w:kern w:val="0"/>
                      <w:sz w:val="21"/>
                      <w:szCs w:val="21"/>
                      <w:highlight w:val="none"/>
                      <w:vertAlign w:val="baseline"/>
                      <w:lang w:val="en-US" w:eastAsia="zh-CN" w:bidi="ar"/>
                      <w14:textFill>
                        <w14:solidFill>
                          <w14:schemeClr w14:val="tx1"/>
                        </w14:solidFill>
                      </w14:textFill>
                    </w:rPr>
                    <w:t>后续管理严格按照环保档案、台账记录、配备专职环保人员相关要求进行管理，项目建成后可</w:t>
                  </w:r>
                </w:p>
                <w:p w14:paraId="077A5FC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000000" w:themeColor="text1"/>
                      <w:kern w:val="0"/>
                      <w:sz w:val="21"/>
                      <w:szCs w:val="21"/>
                      <w:highlight w:val="none"/>
                      <w:vertAlign w:val="baseli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vertAlign w:val="baseline"/>
                      <w:lang w:val="en-US" w:eastAsia="zh-CN" w:bidi="ar"/>
                      <w14:textFill>
                        <w14:solidFill>
                          <w14:schemeClr w14:val="tx1"/>
                        </w14:solidFill>
                      </w14:textFill>
                    </w:rPr>
                    <w:t>满足A级企业指标</w:t>
                  </w:r>
                </w:p>
              </w:tc>
            </w:tr>
            <w:tr w14:paraId="5B2FA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tcBorders>
                    <w:left w:val="nil"/>
                  </w:tcBorders>
                  <w:vAlign w:val="center"/>
                </w:tcPr>
                <w:p w14:paraId="68F8F4E3">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cs="Times New Roman"/>
                      <w:color w:val="auto"/>
                      <w:kern w:val="0"/>
                      <w:sz w:val="21"/>
                      <w:szCs w:val="21"/>
                      <w:highlight w:val="none"/>
                      <w:vertAlign w:val="baseline"/>
                      <w:lang w:val="en-US" w:eastAsia="zh-CN" w:bidi="ar"/>
                    </w:rPr>
                  </w:pPr>
                  <w:r>
                    <w:rPr>
                      <w:rFonts w:hint="eastAsia" w:cs="Times New Roman"/>
                      <w:color w:val="auto"/>
                      <w:kern w:val="0"/>
                      <w:sz w:val="21"/>
                      <w:szCs w:val="21"/>
                      <w:highlight w:val="none"/>
                      <w:vertAlign w:val="baseline"/>
                      <w:lang w:val="en-US" w:eastAsia="zh-CN" w:bidi="ar"/>
                    </w:rPr>
                    <w:t>运输方式</w:t>
                  </w:r>
                </w:p>
              </w:tc>
              <w:tc>
                <w:tcPr>
                  <w:tcW w:w="1984" w:type="dxa"/>
                  <w:vAlign w:val="center"/>
                </w:tcPr>
                <w:p w14:paraId="2F1D611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1、物料公路运输全部使用达到国五及以上排放标准的重型载货车辆（含燃气）或新能源汽车</w:t>
                  </w:r>
                  <w:r>
                    <w:rPr>
                      <w:rFonts w:hint="eastAsia" w:cs="Times New Roman"/>
                      <w:color w:val="auto"/>
                      <w:kern w:val="0"/>
                      <w:sz w:val="21"/>
                      <w:szCs w:val="21"/>
                      <w:highlight w:val="none"/>
                      <w:vertAlign w:val="baseline"/>
                      <w:lang w:val="en-US" w:eastAsia="zh-CN" w:bidi="ar"/>
                    </w:rPr>
                    <w:t>；</w:t>
                  </w:r>
                </w:p>
                <w:p w14:paraId="17DC175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2、厂内运输车辆全部达到国五及以上排放标准（含燃气）或使用新能源汽车；</w:t>
                  </w:r>
                </w:p>
                <w:p w14:paraId="4B6C5129">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3、厂内非道路移动机械全部达到国三及以上排放标准或使用新能源机械。</w:t>
                  </w:r>
                </w:p>
              </w:tc>
              <w:tc>
                <w:tcPr>
                  <w:tcW w:w="2131" w:type="dxa"/>
                  <w:vAlign w:val="center"/>
                </w:tcPr>
                <w:p w14:paraId="7989BAD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1、物料公路运输使用达到国五及以上排放标准的重型载货车辆（含燃气）或新能源汽车比例不低于50%</w:t>
                  </w:r>
                  <w:r>
                    <w:rPr>
                      <w:rFonts w:hint="eastAsia" w:cs="Times New Roman"/>
                      <w:color w:val="auto"/>
                      <w:kern w:val="0"/>
                      <w:sz w:val="21"/>
                      <w:szCs w:val="21"/>
                      <w:highlight w:val="none"/>
                      <w:vertAlign w:val="baseline"/>
                      <w:lang w:val="en-US" w:eastAsia="zh-CN" w:bidi="ar"/>
                    </w:rPr>
                    <w:t>；</w:t>
                  </w:r>
                </w:p>
                <w:p w14:paraId="6A2BC2F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2、厂内运输车辆达到国五及以上排放标准（含燃气）或使用新能源汽车比例不低于50%</w:t>
                  </w:r>
                  <w:r>
                    <w:rPr>
                      <w:rFonts w:hint="eastAsia" w:cs="Times New Roman"/>
                      <w:color w:val="auto"/>
                      <w:kern w:val="0"/>
                      <w:sz w:val="21"/>
                      <w:szCs w:val="21"/>
                      <w:highlight w:val="none"/>
                      <w:vertAlign w:val="baseline"/>
                      <w:lang w:val="en-US" w:eastAsia="zh-CN" w:bidi="ar"/>
                    </w:rPr>
                    <w:t>；</w:t>
                  </w:r>
                </w:p>
                <w:p w14:paraId="660B563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3、厂内非道路移动机械达到国三及以上排放标准或使用新能源机械比例不低于50%。</w:t>
                  </w:r>
                </w:p>
              </w:tc>
              <w:tc>
                <w:tcPr>
                  <w:tcW w:w="396" w:type="dxa"/>
                  <w:tcBorders>
                    <w:right w:val="nil"/>
                  </w:tcBorders>
                  <w:vAlign w:val="center"/>
                </w:tcPr>
                <w:p w14:paraId="55C6AB47">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cs="Times New Roman"/>
                      <w:color w:val="auto"/>
                      <w:kern w:val="0"/>
                      <w:sz w:val="21"/>
                      <w:szCs w:val="21"/>
                      <w:highlight w:val="none"/>
                      <w:vertAlign w:val="baseline"/>
                      <w:lang w:val="en-US" w:eastAsia="zh-CN" w:bidi="ar"/>
                    </w:rPr>
                    <w:t>未达到B级要求</w:t>
                  </w:r>
                </w:p>
              </w:tc>
              <w:tc>
                <w:tcPr>
                  <w:tcW w:w="1199" w:type="dxa"/>
                  <w:tcBorders>
                    <w:right w:val="nil"/>
                  </w:tcBorders>
                  <w:vAlign w:val="center"/>
                </w:tcPr>
                <w:p w14:paraId="1AF13A8B">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cs="Times New Roman"/>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color w:val="000000" w:themeColor="text1"/>
                      <w:kern w:val="0"/>
                      <w:sz w:val="21"/>
                      <w:szCs w:val="21"/>
                      <w:highlight w:val="none"/>
                      <w:vertAlign w:val="baseline"/>
                      <w:lang w:val="en-US" w:eastAsia="zh-CN" w:bidi="ar"/>
                      <w14:textFill>
                        <w14:solidFill>
                          <w14:schemeClr w14:val="tx1"/>
                        </w14:solidFill>
                      </w14:textFill>
                    </w:rPr>
                    <w:t>项目建成后物料公路运输使用达到国五及以上排放标准的重型载货车辆（含燃气）或新能源汽车比例不低于50%；厂内运输车辆达到国五及以上排放标准（含燃气）或使用新能源汽车比例不低于50%；厂内非道路移动机械达到国三及以上排放标准或使用新能源机械比例不低于50%。</w:t>
                  </w:r>
                </w:p>
                <w:p w14:paraId="187D88B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000000" w:themeColor="text1"/>
                      <w:kern w:val="0"/>
                      <w:sz w:val="21"/>
                      <w:szCs w:val="21"/>
                      <w:highlight w:val="none"/>
                      <w:vertAlign w:val="baseli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vertAlign w:val="baseline"/>
                      <w:lang w:val="en-US" w:eastAsia="zh-CN" w:bidi="ar"/>
                      <w14:textFill>
                        <w14:solidFill>
                          <w14:schemeClr w14:val="tx1"/>
                        </w14:solidFill>
                      </w14:textFill>
                    </w:rPr>
                    <w:t>项目</w:t>
                  </w:r>
                  <w:r>
                    <w:rPr>
                      <w:rFonts w:hint="eastAsia" w:cs="Times New Roman"/>
                      <w:color w:val="000000" w:themeColor="text1"/>
                      <w:kern w:val="0"/>
                      <w:sz w:val="21"/>
                      <w:szCs w:val="21"/>
                      <w:highlight w:val="none"/>
                      <w:vertAlign w:val="baseline"/>
                      <w:lang w:val="en-US" w:eastAsia="zh-CN" w:bidi="ar"/>
                      <w14:textFill>
                        <w14:solidFill>
                          <w14:schemeClr w14:val="tx1"/>
                        </w14:solidFill>
                      </w14:textFill>
                    </w:rPr>
                    <w:t>建成后</w:t>
                  </w:r>
                  <w:r>
                    <w:rPr>
                      <w:rFonts w:hint="eastAsia" w:ascii="Times New Roman" w:hAnsi="Times New Roman" w:eastAsia="宋体" w:cs="Times New Roman"/>
                      <w:color w:val="000000" w:themeColor="text1"/>
                      <w:kern w:val="0"/>
                      <w:sz w:val="21"/>
                      <w:szCs w:val="21"/>
                      <w:highlight w:val="none"/>
                      <w:vertAlign w:val="baseline"/>
                      <w:lang w:val="en-US" w:eastAsia="zh-CN" w:bidi="ar"/>
                      <w14:textFill>
                        <w14:solidFill>
                          <w14:schemeClr w14:val="tx1"/>
                        </w14:solidFill>
                      </w14:textFill>
                    </w:rPr>
                    <w:t>满足</w:t>
                  </w:r>
                  <w:r>
                    <w:rPr>
                      <w:rFonts w:hint="eastAsia" w:cs="Times New Roman"/>
                      <w:color w:val="000000" w:themeColor="text1"/>
                      <w:kern w:val="0"/>
                      <w:sz w:val="21"/>
                      <w:szCs w:val="21"/>
                      <w:highlight w:val="none"/>
                      <w:vertAlign w:val="baseline"/>
                      <w:lang w:val="en-US" w:eastAsia="zh-CN" w:bidi="ar"/>
                      <w14:textFill>
                        <w14:solidFill>
                          <w14:schemeClr w14:val="tx1"/>
                        </w14:solidFill>
                      </w14:textFill>
                    </w:rPr>
                    <w:t>B</w:t>
                  </w:r>
                  <w:r>
                    <w:rPr>
                      <w:rFonts w:hint="eastAsia" w:ascii="Times New Roman" w:hAnsi="Times New Roman" w:eastAsia="宋体" w:cs="Times New Roman"/>
                      <w:color w:val="000000" w:themeColor="text1"/>
                      <w:kern w:val="0"/>
                      <w:sz w:val="21"/>
                      <w:szCs w:val="21"/>
                      <w:highlight w:val="none"/>
                      <w:vertAlign w:val="baseline"/>
                      <w:lang w:val="en-US" w:eastAsia="zh-CN" w:bidi="ar"/>
                      <w14:textFill>
                        <w14:solidFill>
                          <w14:schemeClr w14:val="tx1"/>
                        </w14:solidFill>
                      </w14:textFill>
                    </w:rPr>
                    <w:t>级企业指标</w:t>
                  </w:r>
                </w:p>
              </w:tc>
            </w:tr>
            <w:tr w14:paraId="46FD7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tcBorders>
                    <w:left w:val="nil"/>
                    <w:bottom w:val="single" w:color="auto" w:sz="12" w:space="0"/>
                  </w:tcBorders>
                  <w:vAlign w:val="center"/>
                </w:tcPr>
                <w:p w14:paraId="26C6BA3A">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cs="Times New Roman"/>
                      <w:color w:val="auto"/>
                      <w:kern w:val="0"/>
                      <w:sz w:val="21"/>
                      <w:szCs w:val="21"/>
                      <w:highlight w:val="none"/>
                      <w:vertAlign w:val="baseline"/>
                      <w:lang w:val="en-US" w:eastAsia="zh-CN" w:bidi="ar"/>
                    </w:rPr>
                  </w:pPr>
                  <w:r>
                    <w:rPr>
                      <w:rFonts w:hint="eastAsia" w:cs="Times New Roman"/>
                      <w:color w:val="auto"/>
                      <w:kern w:val="0"/>
                      <w:sz w:val="21"/>
                      <w:szCs w:val="21"/>
                      <w:highlight w:val="none"/>
                      <w:vertAlign w:val="baseline"/>
                      <w:lang w:val="en-US" w:eastAsia="zh-CN" w:bidi="ar"/>
                    </w:rPr>
                    <w:t>运输监管</w:t>
                  </w:r>
                </w:p>
              </w:tc>
              <w:tc>
                <w:tcPr>
                  <w:tcW w:w="4115" w:type="dxa"/>
                  <w:gridSpan w:val="2"/>
                  <w:tcBorders>
                    <w:bottom w:val="single" w:color="auto" w:sz="12" w:space="0"/>
                  </w:tcBorders>
                  <w:vAlign w:val="center"/>
                </w:tcPr>
                <w:p w14:paraId="35184D4D">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vertAlign w:val="baseline"/>
                      <w:lang w:val="en-US" w:eastAsia="zh-CN" w:bidi="ar"/>
                    </w:rPr>
                  </w:pPr>
                  <w:r>
                    <w:rPr>
                      <w:rFonts w:hint="eastAsia" w:ascii="Times New Roman" w:hAnsi="Times New Roman" w:eastAsia="宋体" w:cs="Times New Roman"/>
                      <w:color w:val="auto"/>
                      <w:kern w:val="0"/>
                      <w:sz w:val="21"/>
                      <w:szCs w:val="21"/>
                      <w:highlight w:val="none"/>
                      <w:vertAlign w:val="baseline"/>
                      <w:lang w:val="en-US" w:eastAsia="zh-CN" w:bidi="ar"/>
                    </w:rPr>
                    <w:t>参照《重污染天气重点行业移动源应急管理技术指南》建立门禁系统和电子台账。</w:t>
                  </w:r>
                </w:p>
              </w:tc>
              <w:tc>
                <w:tcPr>
                  <w:tcW w:w="396" w:type="dxa"/>
                  <w:tcBorders>
                    <w:bottom w:val="single" w:color="auto" w:sz="12" w:space="0"/>
                    <w:right w:val="nil"/>
                  </w:tcBorders>
                  <w:vAlign w:val="center"/>
                </w:tcPr>
                <w:p w14:paraId="127429A7">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cs="Times New Roman"/>
                      <w:color w:val="auto"/>
                      <w:kern w:val="0"/>
                      <w:sz w:val="21"/>
                      <w:szCs w:val="21"/>
                      <w:highlight w:val="none"/>
                      <w:vertAlign w:val="baseline"/>
                      <w:lang w:val="en-US" w:eastAsia="zh-CN" w:bidi="ar"/>
                    </w:rPr>
                    <w:t>未达到A、B级要求</w:t>
                  </w:r>
                </w:p>
              </w:tc>
              <w:tc>
                <w:tcPr>
                  <w:tcW w:w="1199" w:type="dxa"/>
                  <w:tcBorders>
                    <w:bottom w:val="single" w:color="auto" w:sz="12" w:space="0"/>
                    <w:right w:val="nil"/>
                  </w:tcBorders>
                  <w:vAlign w:val="center"/>
                </w:tcPr>
                <w:p w14:paraId="76F2708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cs="Times New Roman"/>
                      <w:color w:val="auto"/>
                      <w:kern w:val="0"/>
                      <w:sz w:val="21"/>
                      <w:szCs w:val="21"/>
                      <w:highlight w:val="none"/>
                      <w:vertAlign w:val="baseline"/>
                      <w:lang w:val="en-US" w:eastAsia="zh-CN" w:bidi="ar"/>
                    </w:rPr>
                    <w:t>设立</w:t>
                  </w:r>
                  <w:r>
                    <w:rPr>
                      <w:rFonts w:hint="eastAsia" w:ascii="Times New Roman" w:hAnsi="Times New Roman" w:eastAsia="宋体" w:cs="Times New Roman"/>
                      <w:color w:val="auto"/>
                      <w:kern w:val="0"/>
                      <w:sz w:val="21"/>
                      <w:szCs w:val="21"/>
                      <w:highlight w:val="none"/>
                      <w:vertAlign w:val="baseline"/>
                      <w:lang w:val="en-US" w:eastAsia="zh-CN" w:bidi="ar"/>
                    </w:rPr>
                    <w:t>门禁系统和电子台账，项目满足A级企业指标</w:t>
                  </w:r>
                </w:p>
              </w:tc>
            </w:tr>
          </w:tbl>
          <w:p w14:paraId="61582EC3">
            <w:pPr>
              <w:keepNext w:val="0"/>
              <w:keepLines w:val="0"/>
              <w:suppressLineNumbers w:val="0"/>
              <w:adjustRightInd w:val="0"/>
              <w:spacing w:before="0" w:beforeAutospacing="0" w:after="0" w:afterAutospacing="0" w:line="240" w:lineRule="auto"/>
              <w:ind w:left="0" w:leftChars="0" w:right="0" w:firstLine="0" w:firstLineChars="0"/>
              <w:rPr>
                <w:rFonts w:hint="eastAsia" w:ascii="Times New Roman" w:hAnsi="Times New Roman" w:eastAsia="宋体" w:cs="Times New Roman"/>
                <w:color w:val="auto"/>
                <w:kern w:val="0"/>
                <w:sz w:val="21"/>
                <w:szCs w:val="21"/>
                <w:highlight w:val="none"/>
                <w:lang w:val="en-US" w:eastAsia="zh-CN" w:bidi="ar"/>
              </w:rPr>
            </w:pPr>
          </w:p>
          <w:p w14:paraId="2FECDB1F">
            <w:pPr>
              <w:keepNext w:val="0"/>
              <w:keepLines w:val="0"/>
              <w:suppressLineNumbers w:val="0"/>
              <w:adjustRightInd w:val="0"/>
              <w:spacing w:before="0" w:beforeAutospacing="0" w:after="0" w:afterAutospacing="0"/>
              <w:ind w:left="0" w:right="0" w:firstLine="480"/>
              <w:rPr>
                <w:rFonts w:hint="eastAsia" w:ascii="Times New Roman" w:hAnsi="Times New Roman" w:eastAsia="宋体" w:cs="Times New Roman"/>
                <w:color w:val="auto"/>
                <w:kern w:val="0"/>
                <w:szCs w:val="24"/>
                <w:highlight w:val="none"/>
                <w:lang w:val="en-US" w:eastAsia="zh-CN" w:bidi="ar"/>
              </w:rPr>
            </w:pPr>
          </w:p>
          <w:p w14:paraId="252FE31B">
            <w:pPr>
              <w:keepNext w:val="0"/>
              <w:keepLines w:val="0"/>
              <w:suppressLineNumbers w:val="0"/>
              <w:adjustRightInd w:val="0"/>
              <w:spacing w:before="0" w:beforeAutospacing="0" w:after="0" w:afterAutospacing="0"/>
              <w:ind w:left="0" w:right="0" w:firstLine="480"/>
              <w:rPr>
                <w:rFonts w:hint="default" w:ascii="Times New Roman" w:hAnsi="Times New Roman" w:eastAsia="宋体" w:cs="Times New Roman"/>
                <w:color w:val="auto"/>
                <w:sz w:val="24"/>
                <w:szCs w:val="24"/>
                <w:highlight w:val="none"/>
                <w:shd w:val="clear" w:color="auto" w:fill="auto"/>
                <w:lang w:val="en-US" w:eastAsia="zh-CN"/>
              </w:rPr>
            </w:pPr>
          </w:p>
        </w:tc>
      </w:tr>
    </w:tbl>
    <w:p w14:paraId="60718233">
      <w:pPr>
        <w:pStyle w:val="53"/>
        <w:rPr>
          <w:rFonts w:hint="default"/>
          <w:color w:val="auto"/>
          <w:highlight w:val="none"/>
        </w:rPr>
        <w:sectPr>
          <w:footerReference r:id="rId9" w:type="default"/>
          <w:pgSz w:w="11906" w:h="16838"/>
          <w:pgMar w:top="1701" w:right="1701" w:bottom="1701" w:left="170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4283D937">
      <w:pPr>
        <w:pStyle w:val="22"/>
        <w:jc w:val="center"/>
        <w:outlineLvl w:val="0"/>
        <w:rPr>
          <w:rFonts w:hint="default" w:ascii="Times New Roman" w:hAnsi="Times New Roman" w:eastAsia="黑体" w:cs="Times New Roman"/>
          <w:snapToGrid w:val="0"/>
          <w:color w:val="auto"/>
          <w:sz w:val="30"/>
          <w:szCs w:val="30"/>
          <w:highlight w:val="none"/>
        </w:rPr>
      </w:pPr>
      <w:bookmarkStart w:id="12" w:name="_Toc32220"/>
      <w:r>
        <w:rPr>
          <w:rFonts w:hint="default" w:ascii="Times New Roman" w:hAnsi="Times New Roman" w:eastAsia="黑体" w:cs="Times New Roman"/>
          <w:snapToGrid w:val="0"/>
          <w:color w:val="auto"/>
          <w:sz w:val="30"/>
          <w:szCs w:val="30"/>
          <w:highlight w:val="none"/>
        </w:rPr>
        <w:t>二、建设项目工程分析</w:t>
      </w:r>
      <w:bookmarkEnd w:id="12"/>
    </w:p>
    <w:tbl>
      <w:tblPr>
        <w:tblStyle w:val="32"/>
        <w:tblW w:w="90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5"/>
        <w:gridCol w:w="8605"/>
      </w:tblGrid>
      <w:tr w14:paraId="3668C7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5" w:type="dxa"/>
            <w:vAlign w:val="center"/>
          </w:tcPr>
          <w:p w14:paraId="1C1B4167">
            <w:pPr>
              <w:pStyle w:val="22"/>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建</w:t>
            </w:r>
          </w:p>
          <w:p w14:paraId="2FC3E98B">
            <w:pPr>
              <w:pStyle w:val="22"/>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设</w:t>
            </w:r>
          </w:p>
          <w:p w14:paraId="665A9EBB">
            <w:pPr>
              <w:pStyle w:val="22"/>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内</w:t>
            </w:r>
          </w:p>
          <w:p w14:paraId="4CEA6B54">
            <w:pPr>
              <w:pStyle w:val="22"/>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容</w:t>
            </w:r>
          </w:p>
        </w:tc>
        <w:tc>
          <w:tcPr>
            <w:tcW w:w="8605" w:type="dxa"/>
            <w:vAlign w:val="center"/>
          </w:tcPr>
          <w:p w14:paraId="79560BC0">
            <w:pPr>
              <w:keepNext w:val="0"/>
              <w:keepLines w:val="0"/>
              <w:suppressLineNumbers w:val="0"/>
              <w:bidi w:val="0"/>
              <w:spacing w:before="0" w:beforeAutospacing="0" w:after="0" w:afterAutospacing="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1、</w:t>
            </w:r>
            <w:r>
              <w:rPr>
                <w:rFonts w:hint="default" w:ascii="Times New Roman" w:hAnsi="Times New Roman" w:cs="Times New Roman"/>
                <w:b/>
                <w:bCs/>
                <w:color w:val="auto"/>
                <w:highlight w:val="none"/>
              </w:rPr>
              <w:t>项目由来</w:t>
            </w:r>
          </w:p>
          <w:p w14:paraId="0D8E21A9">
            <w:pPr>
              <w:keepNext w:val="0"/>
              <w:keepLines w:val="0"/>
              <w:suppressLineNumbers w:val="0"/>
              <w:bidi w:val="0"/>
              <w:spacing w:before="0" w:beforeAutospacing="0" w:after="0" w:afterAutospacing="0"/>
              <w:ind w:left="0" w:right="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江西奋发科技有限公司</w:t>
            </w:r>
            <w:r>
              <w:rPr>
                <w:rFonts w:hint="default" w:ascii="Times New Roman" w:hAnsi="Times New Roman" w:cs="Times New Roman"/>
                <w:color w:val="auto"/>
                <w:highlight w:val="none"/>
                <w:lang w:val="en-US" w:eastAsia="zh-CN"/>
              </w:rPr>
              <w:t>成立于20</w:t>
            </w:r>
            <w:r>
              <w:rPr>
                <w:rFonts w:hint="eastAsia" w:cs="Times New Roman"/>
                <w:color w:val="auto"/>
                <w:highlight w:val="none"/>
                <w:lang w:val="en-US" w:eastAsia="zh-CN"/>
              </w:rPr>
              <w:t>11年</w:t>
            </w:r>
            <w:r>
              <w:rPr>
                <w:rFonts w:hint="default" w:ascii="Times New Roman" w:hAnsi="Times New Roman" w:cs="Times New Roman"/>
                <w:color w:val="auto"/>
                <w:highlight w:val="none"/>
                <w:lang w:val="en-US" w:eastAsia="zh-CN"/>
              </w:rPr>
              <w:t>，位于</w:t>
            </w:r>
            <w:r>
              <w:rPr>
                <w:rFonts w:hint="eastAsia"/>
                <w:color w:val="auto"/>
                <w:sz w:val="24"/>
                <w:highlight w:val="none"/>
                <w:lang w:val="en-US" w:eastAsia="zh-CN"/>
              </w:rPr>
              <w:t>江西安义高新技术产业园区</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主要从事橡胶和塑料制品的生产和销售</w:t>
            </w:r>
            <w:r>
              <w:rPr>
                <w:rFonts w:hint="default" w:ascii="Times New Roman" w:hAnsi="Times New Roman" w:cs="Times New Roman"/>
                <w:color w:val="auto"/>
                <w:highlight w:val="none"/>
                <w:lang w:val="en-US" w:eastAsia="zh-CN"/>
              </w:rPr>
              <w:t>。</w:t>
            </w:r>
          </w:p>
          <w:p w14:paraId="2A386BC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shd w:val="clear" w:color="auto" w:fill="auto"/>
                <w:lang w:val="en-US" w:eastAsia="zh-CN"/>
              </w:rPr>
            </w:pPr>
            <w:r>
              <w:rPr>
                <w:rFonts w:hint="eastAsia" w:cs="Times New Roman"/>
                <w:color w:val="auto"/>
                <w:highlight w:val="none"/>
                <w:lang w:val="en-US" w:eastAsia="zh-CN"/>
              </w:rPr>
              <w:t>江西奋发科技有限公司</w:t>
            </w:r>
            <w:r>
              <w:rPr>
                <w:rFonts w:hint="eastAsia" w:ascii="Times New Roman" w:hAnsi="Times New Roman" w:eastAsia="宋体" w:cs="Times New Roman"/>
                <w:color w:val="auto"/>
                <w:sz w:val="24"/>
                <w:highlight w:val="none"/>
                <w:shd w:val="clear" w:color="auto" w:fill="auto"/>
                <w:lang w:val="en-US" w:eastAsia="zh-CN"/>
              </w:rPr>
              <w:t>于2014年</w:t>
            </w:r>
            <w:r>
              <w:rPr>
                <w:rFonts w:hint="eastAsia" w:cs="Times New Roman"/>
                <w:color w:val="auto"/>
                <w:sz w:val="24"/>
                <w:highlight w:val="none"/>
                <w:shd w:val="clear" w:color="auto" w:fill="auto"/>
                <w:lang w:val="en-US" w:eastAsia="zh-CN"/>
              </w:rPr>
              <w:t>建设“</w:t>
            </w:r>
            <w:r>
              <w:rPr>
                <w:rFonts w:hint="eastAsia" w:ascii="Times New Roman" w:hAnsi="Times New Roman" w:cs="Times New Roman"/>
                <w:color w:val="auto"/>
                <w:sz w:val="24"/>
                <w:highlight w:val="none"/>
                <w:shd w:val="clear" w:color="auto" w:fill="auto"/>
                <w:lang w:val="en-US" w:eastAsia="zh-CN"/>
              </w:rPr>
              <w:t>江西奋发科技有限公司年产18000吨硅酮密封胶和8000吨三元乙丙密封胶条项目</w:t>
            </w:r>
            <w:r>
              <w:rPr>
                <w:rFonts w:hint="eastAsia" w:cs="Times New Roman"/>
                <w:color w:val="auto"/>
                <w:sz w:val="24"/>
                <w:highlight w:val="none"/>
                <w:shd w:val="clear" w:color="auto" w:fill="auto"/>
                <w:lang w:val="en-US" w:eastAsia="zh-CN"/>
              </w:rPr>
              <w:t>”</w:t>
            </w:r>
            <w:r>
              <w:rPr>
                <w:rFonts w:hint="eastAsia" w:ascii="Times New Roman" w:hAnsi="Times New Roman" w:eastAsia="宋体" w:cs="Times New Roman"/>
                <w:color w:val="auto"/>
                <w:sz w:val="24"/>
                <w:highlight w:val="none"/>
                <w:shd w:val="clear" w:color="auto" w:fill="auto"/>
                <w:lang w:val="en-US" w:eastAsia="zh-CN"/>
              </w:rPr>
              <w:t>，</w:t>
            </w:r>
            <w:r>
              <w:rPr>
                <w:rFonts w:hint="eastAsia" w:cs="Times New Roman"/>
                <w:color w:val="auto"/>
                <w:sz w:val="24"/>
                <w:highlight w:val="none"/>
                <w:shd w:val="clear" w:color="auto" w:fill="auto"/>
                <w:lang w:val="en-US" w:eastAsia="zh-CN"/>
              </w:rPr>
              <w:t>该项目环评</w:t>
            </w:r>
            <w:r>
              <w:rPr>
                <w:rFonts w:hint="eastAsia" w:ascii="Times New Roman" w:hAnsi="Times New Roman" w:eastAsia="宋体" w:cs="Times New Roman"/>
                <w:color w:val="auto"/>
                <w:sz w:val="24"/>
                <w:highlight w:val="none"/>
                <w:shd w:val="clear" w:color="auto" w:fill="auto"/>
                <w:lang w:val="en-US" w:eastAsia="zh-CN"/>
              </w:rPr>
              <w:t>并取得了</w:t>
            </w:r>
            <w:r>
              <w:rPr>
                <w:rFonts w:hint="eastAsia" w:ascii="Times New Roman" w:hAnsi="Times New Roman" w:cs="Times New Roman"/>
                <w:color w:val="auto"/>
                <w:sz w:val="24"/>
                <w:highlight w:val="none"/>
                <w:shd w:val="clear" w:color="auto" w:fill="auto"/>
                <w:lang w:val="en-US" w:eastAsia="zh-CN"/>
              </w:rPr>
              <w:t>南昌市</w:t>
            </w:r>
            <w:r>
              <w:rPr>
                <w:rFonts w:hint="eastAsia" w:ascii="Times New Roman" w:hAnsi="Times New Roman" w:eastAsia="宋体" w:cs="Times New Roman"/>
                <w:color w:val="auto"/>
                <w:sz w:val="24"/>
                <w:highlight w:val="none"/>
                <w:shd w:val="clear" w:color="auto" w:fill="auto"/>
                <w:lang w:val="en-US" w:eastAsia="zh-CN"/>
              </w:rPr>
              <w:t>环境保护局下发的批复（</w:t>
            </w:r>
            <w:r>
              <w:rPr>
                <w:rFonts w:hint="eastAsia" w:ascii="Times New Roman" w:hAnsi="Times New Roman" w:cs="Times New Roman"/>
                <w:color w:val="auto"/>
                <w:sz w:val="24"/>
                <w:highlight w:val="none"/>
                <w:shd w:val="clear" w:color="auto" w:fill="auto"/>
                <w:lang w:val="en-US" w:eastAsia="zh-CN"/>
              </w:rPr>
              <w:t>洪环审批</w:t>
            </w:r>
            <w:r>
              <w:rPr>
                <w:rFonts w:hint="default" w:ascii="Times New Roman" w:hAnsi="Times New Roman" w:cs="Times New Roman"/>
                <w:color w:val="auto"/>
                <w:kern w:val="0"/>
                <w:szCs w:val="21"/>
                <w:highlight w:val="none"/>
                <w:lang w:val="en-US" w:eastAsia="zh-CN"/>
              </w:rPr>
              <w:t>〔</w:t>
            </w:r>
            <w:r>
              <w:rPr>
                <w:rFonts w:hint="eastAsia" w:ascii="Times New Roman" w:hAnsi="Times New Roman" w:eastAsia="宋体" w:cs="Times New Roman"/>
                <w:color w:val="auto"/>
                <w:sz w:val="24"/>
                <w:highlight w:val="none"/>
                <w:shd w:val="clear" w:color="auto" w:fill="auto"/>
                <w:lang w:val="en-US" w:eastAsia="zh-CN"/>
              </w:rPr>
              <w:t>2014</w:t>
            </w:r>
            <w:r>
              <w:rPr>
                <w:rFonts w:hint="default" w:ascii="Times New Roman" w:hAnsi="Times New Roman" w:cs="Times New Roman"/>
                <w:color w:val="auto"/>
                <w:kern w:val="0"/>
                <w:szCs w:val="21"/>
                <w:highlight w:val="none"/>
                <w:lang w:val="en-US" w:eastAsia="zh-CN"/>
              </w:rPr>
              <w:t>〕</w:t>
            </w:r>
            <w:r>
              <w:rPr>
                <w:rFonts w:hint="eastAsia" w:ascii="Times New Roman" w:hAnsi="Times New Roman" w:cs="Times New Roman"/>
                <w:color w:val="auto"/>
                <w:sz w:val="24"/>
                <w:highlight w:val="none"/>
                <w:shd w:val="clear" w:color="auto" w:fill="auto"/>
                <w:lang w:val="en-US" w:eastAsia="zh-CN"/>
              </w:rPr>
              <w:t>105</w:t>
            </w:r>
            <w:r>
              <w:rPr>
                <w:rFonts w:hint="eastAsia" w:ascii="Times New Roman" w:hAnsi="Times New Roman" w:eastAsia="宋体" w:cs="Times New Roman"/>
                <w:color w:val="auto"/>
                <w:sz w:val="24"/>
                <w:highlight w:val="none"/>
                <w:shd w:val="clear" w:color="auto" w:fill="auto"/>
                <w:lang w:val="en-US" w:eastAsia="zh-CN"/>
              </w:rPr>
              <w:t>号），</w:t>
            </w:r>
            <w:r>
              <w:rPr>
                <w:rFonts w:hint="eastAsia" w:ascii="Times New Roman" w:hAnsi="Times New Roman" w:cs="Times New Roman"/>
                <w:color w:val="auto"/>
                <w:sz w:val="24"/>
                <w:highlight w:val="none"/>
                <w:shd w:val="clear" w:color="auto" w:fill="auto"/>
                <w:lang w:val="en-US" w:eastAsia="zh-CN"/>
              </w:rPr>
              <w:t>2017年1月6日</w:t>
            </w:r>
            <w:r>
              <w:rPr>
                <w:rFonts w:hint="eastAsia" w:ascii="Times New Roman" w:hAnsi="Times New Roman" w:eastAsia="宋体" w:cs="Times New Roman"/>
                <w:color w:val="auto"/>
                <w:sz w:val="24"/>
                <w:highlight w:val="none"/>
                <w:shd w:val="clear" w:color="auto" w:fill="auto"/>
                <w:lang w:val="en-US" w:eastAsia="zh-CN"/>
              </w:rPr>
              <w:t>取得了</w:t>
            </w:r>
            <w:r>
              <w:rPr>
                <w:rFonts w:hint="eastAsia" w:ascii="Times New Roman" w:hAnsi="Times New Roman" w:cs="Times New Roman"/>
                <w:color w:val="auto"/>
                <w:sz w:val="24"/>
                <w:highlight w:val="none"/>
                <w:shd w:val="clear" w:color="auto" w:fill="auto"/>
                <w:lang w:val="en-US" w:eastAsia="zh-CN"/>
              </w:rPr>
              <w:t>安义县</w:t>
            </w:r>
            <w:r>
              <w:rPr>
                <w:rFonts w:hint="eastAsia" w:ascii="Times New Roman" w:hAnsi="Times New Roman" w:eastAsia="宋体" w:cs="Times New Roman"/>
                <w:color w:val="auto"/>
                <w:sz w:val="24"/>
                <w:highlight w:val="none"/>
                <w:shd w:val="clear" w:color="auto" w:fill="auto"/>
                <w:lang w:val="en-US" w:eastAsia="zh-CN"/>
              </w:rPr>
              <w:t>环境保护局对该项目的验收</w:t>
            </w:r>
            <w:r>
              <w:rPr>
                <w:rFonts w:hint="eastAsia" w:ascii="Times New Roman" w:hAnsi="Times New Roman" w:cs="Times New Roman"/>
                <w:color w:val="auto"/>
                <w:sz w:val="24"/>
                <w:highlight w:val="none"/>
                <w:shd w:val="clear" w:color="auto" w:fill="auto"/>
                <w:lang w:val="en-US" w:eastAsia="zh-CN"/>
              </w:rPr>
              <w:t>意见的函</w:t>
            </w:r>
            <w:r>
              <w:rPr>
                <w:rFonts w:hint="eastAsia" w:ascii="Times New Roman" w:hAnsi="Times New Roman" w:eastAsia="宋体"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安环审批</w:t>
            </w:r>
            <w:r>
              <w:rPr>
                <w:rFonts w:hint="default" w:ascii="Times New Roman" w:hAnsi="Times New Roman" w:cs="Times New Roman"/>
                <w:color w:val="auto"/>
                <w:kern w:val="0"/>
                <w:szCs w:val="21"/>
                <w:highlight w:val="none"/>
                <w:lang w:val="en-US" w:eastAsia="zh-CN"/>
              </w:rPr>
              <w:t>〔</w:t>
            </w:r>
            <w:r>
              <w:rPr>
                <w:rFonts w:hint="eastAsia" w:ascii="Times New Roman" w:hAnsi="Times New Roman" w:eastAsia="宋体" w:cs="Times New Roman"/>
                <w:color w:val="auto"/>
                <w:sz w:val="24"/>
                <w:highlight w:val="none"/>
                <w:shd w:val="clear" w:color="auto" w:fill="auto"/>
                <w:lang w:val="en-US" w:eastAsia="zh-CN"/>
              </w:rPr>
              <w:t>201</w:t>
            </w:r>
            <w:r>
              <w:rPr>
                <w:rFonts w:hint="eastAsia" w:ascii="Times New Roman" w:hAnsi="Times New Roman" w:cs="Times New Roman"/>
                <w:color w:val="auto"/>
                <w:sz w:val="24"/>
                <w:highlight w:val="none"/>
                <w:shd w:val="clear" w:color="auto" w:fill="auto"/>
                <w:lang w:val="en-US" w:eastAsia="zh-CN"/>
              </w:rPr>
              <w:t>7</w:t>
            </w:r>
            <w:r>
              <w:rPr>
                <w:rFonts w:hint="default" w:ascii="Times New Roman" w:hAnsi="Times New Roman" w:cs="Times New Roman"/>
                <w:color w:val="auto"/>
                <w:kern w:val="0"/>
                <w:szCs w:val="21"/>
                <w:highlight w:val="none"/>
                <w:lang w:val="en-US" w:eastAsia="zh-CN"/>
              </w:rPr>
              <w:t>〕</w:t>
            </w:r>
            <w:r>
              <w:rPr>
                <w:rFonts w:hint="eastAsia" w:ascii="Times New Roman" w:hAnsi="Times New Roman" w:eastAsia="宋体" w:cs="Times New Roman"/>
                <w:color w:val="auto"/>
                <w:sz w:val="24"/>
                <w:highlight w:val="none"/>
                <w:shd w:val="clear" w:color="auto" w:fill="auto"/>
                <w:lang w:val="en-US" w:eastAsia="zh-CN"/>
              </w:rPr>
              <w:t>4号）。</w:t>
            </w:r>
          </w:p>
          <w:p w14:paraId="043E97AD">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根据市场需求，企业在厂区5#备用车间内扩建尼龙隔热条生产线，项目投资5000万元，项目建成后年产尼龙隔热条2500吨。</w:t>
            </w:r>
          </w:p>
          <w:p w14:paraId="2D7647F6">
            <w:pPr>
              <w:keepNext w:val="0"/>
              <w:keepLines w:val="0"/>
              <w:suppressLineNumbers w:val="0"/>
              <w:bidi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为了科学客观地评价项目建设过程中以及建成后对周围环境造成的影响，根据《建设项目环境保护管理条例》和《中华人民共和国生态环境法典》中有关规定，该项目应进行</w:t>
            </w:r>
            <w:r>
              <w:rPr>
                <w:rFonts w:hint="eastAsia" w:cs="Times New Roman"/>
                <w:color w:val="auto"/>
                <w:highlight w:val="none"/>
                <w:lang w:val="en-US" w:eastAsia="zh-CN"/>
              </w:rPr>
              <w:t>生态</w:t>
            </w:r>
            <w:r>
              <w:rPr>
                <w:rFonts w:hint="default" w:ascii="Times New Roman" w:hAnsi="Times New Roman" w:cs="Times New Roman"/>
                <w:color w:val="auto"/>
                <w:highlight w:val="none"/>
              </w:rPr>
              <w:t>环境影响评价。受</w:t>
            </w:r>
            <w:r>
              <w:rPr>
                <w:rFonts w:hint="eastAsia" w:cs="Times New Roman"/>
                <w:color w:val="auto"/>
                <w:highlight w:val="none"/>
                <w:lang w:val="en-US" w:eastAsia="zh-CN"/>
              </w:rPr>
              <w:t>江西奋发科技有限公司</w:t>
            </w:r>
            <w:r>
              <w:rPr>
                <w:rFonts w:hint="default" w:ascii="Times New Roman" w:hAnsi="Times New Roman" w:cs="Times New Roman"/>
                <w:color w:val="auto"/>
                <w:highlight w:val="none"/>
              </w:rPr>
              <w:t>委托，江西赣环科技有限公司承担了该项目的</w:t>
            </w:r>
            <w:r>
              <w:rPr>
                <w:rFonts w:hint="eastAsia" w:cs="Times New Roman"/>
                <w:color w:val="auto"/>
                <w:highlight w:val="none"/>
                <w:lang w:val="en-US" w:eastAsia="zh-CN"/>
              </w:rPr>
              <w:t>生态</w:t>
            </w:r>
            <w:r>
              <w:rPr>
                <w:rFonts w:hint="default" w:ascii="Times New Roman" w:hAnsi="Times New Roman" w:cs="Times New Roman"/>
                <w:color w:val="auto"/>
                <w:highlight w:val="none"/>
              </w:rPr>
              <w:t>环境影响评价工作。根据《建设项目环境影响评价分类管理名录（2021</w:t>
            </w:r>
            <w:r>
              <w:rPr>
                <w:rFonts w:hint="default" w:ascii="Times New Roman" w:hAnsi="Times New Roman" w:cs="Times New Roman"/>
                <w:color w:val="auto"/>
                <w:highlight w:val="none"/>
                <w:lang w:val="en-US" w:eastAsia="zh-CN"/>
              </w:rPr>
              <w:t>年</w:t>
            </w:r>
            <w:r>
              <w:rPr>
                <w:rFonts w:hint="default" w:ascii="Times New Roman" w:hAnsi="Times New Roman" w:cs="Times New Roman"/>
                <w:color w:val="auto"/>
                <w:highlight w:val="none"/>
              </w:rPr>
              <w:t>版）》，</w:t>
            </w:r>
            <w:r>
              <w:rPr>
                <w:rFonts w:hint="eastAsia" w:cs="Times New Roman"/>
                <w:color w:val="auto"/>
                <w:highlight w:val="none"/>
                <w:lang w:val="en-US" w:eastAsia="zh-CN"/>
              </w:rPr>
              <w:t>本</w:t>
            </w:r>
            <w:r>
              <w:rPr>
                <w:rFonts w:hint="default" w:ascii="Times New Roman" w:hAnsi="Times New Roman" w:cs="Times New Roman"/>
                <w:color w:val="auto"/>
                <w:highlight w:val="none"/>
              </w:rPr>
              <w:t>项目属于</w:t>
            </w:r>
            <w:r>
              <w:rPr>
                <w:rFonts w:hint="default" w:ascii="Times New Roman" w:hAnsi="Times New Roman" w:cs="Times New Roman"/>
                <w:color w:val="auto"/>
                <w:highlight w:val="none"/>
                <w:u w:val="single"/>
              </w:rPr>
              <w:t>“</w:t>
            </w:r>
            <w:r>
              <w:rPr>
                <w:rFonts w:hint="default" w:ascii="Times New Roman" w:hAnsi="Times New Roman" w:cs="Times New Roman"/>
                <w:color w:val="auto"/>
                <w:highlight w:val="none"/>
                <w:u w:val="single"/>
                <w:lang w:val="en-US" w:eastAsia="zh-CN"/>
              </w:rPr>
              <w:t>二十六、橡胶和塑料制品业 29，</w:t>
            </w:r>
            <w:r>
              <w:rPr>
                <w:rFonts w:hint="eastAsia" w:cs="Times New Roman"/>
                <w:color w:val="auto"/>
                <w:highlight w:val="none"/>
                <w:u w:val="single"/>
                <w:lang w:val="en-US" w:eastAsia="zh-CN"/>
              </w:rPr>
              <w:t>53</w:t>
            </w:r>
            <w:r>
              <w:rPr>
                <w:rFonts w:hint="default" w:ascii="Times New Roman" w:hAnsi="Times New Roman" w:cs="Times New Roman"/>
                <w:color w:val="auto"/>
                <w:highlight w:val="none"/>
                <w:u w:val="single"/>
                <w:lang w:val="en-US" w:eastAsia="zh-CN"/>
              </w:rPr>
              <w:t>塑料制品业 292中“其他（年用非溶剂型低VOCs含量涂料10吨以下的除外）”</w:t>
            </w:r>
            <w:r>
              <w:rPr>
                <w:rFonts w:hint="default" w:ascii="Times New Roman" w:hAnsi="Times New Roman" w:cs="Times New Roman"/>
                <w:color w:val="auto"/>
                <w:highlight w:val="none"/>
                <w:u w:val="none"/>
              </w:rPr>
              <w:t>，</w:t>
            </w:r>
            <w:r>
              <w:rPr>
                <w:rFonts w:hint="default" w:ascii="Times New Roman" w:hAnsi="Times New Roman" w:cs="Times New Roman"/>
                <w:color w:val="auto"/>
                <w:highlight w:val="none"/>
              </w:rPr>
              <w:t>因此需编制</w:t>
            </w:r>
            <w:r>
              <w:rPr>
                <w:rFonts w:hint="eastAsia" w:cs="Times New Roman"/>
                <w:color w:val="auto"/>
                <w:highlight w:val="none"/>
                <w:lang w:val="en-US" w:eastAsia="zh-CN"/>
              </w:rPr>
              <w:t>生态</w:t>
            </w:r>
            <w:r>
              <w:rPr>
                <w:rFonts w:hint="default" w:ascii="Times New Roman" w:hAnsi="Times New Roman" w:cs="Times New Roman"/>
                <w:color w:val="auto"/>
                <w:highlight w:val="none"/>
              </w:rPr>
              <w:t>环境影响报告表</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在接受委托后</w:t>
            </w:r>
            <w:r>
              <w:rPr>
                <w:rFonts w:hint="default" w:ascii="Times New Roman" w:hAnsi="Times New Roman" w:cs="Times New Roman"/>
                <w:color w:val="auto"/>
                <w:highlight w:val="none"/>
              </w:rPr>
              <w:t>，我公司在现场踏勘、调研和收集有关资料的基础上，根据环评技术导则的要求，编制了本项目的</w:t>
            </w:r>
            <w:r>
              <w:rPr>
                <w:rFonts w:hint="eastAsia" w:cs="Times New Roman"/>
                <w:color w:val="auto"/>
                <w:highlight w:val="none"/>
                <w:lang w:val="en-US" w:eastAsia="zh-CN"/>
              </w:rPr>
              <w:t>生态</w:t>
            </w:r>
            <w:r>
              <w:rPr>
                <w:rFonts w:hint="default" w:ascii="Times New Roman" w:hAnsi="Times New Roman" w:cs="Times New Roman"/>
                <w:color w:val="auto"/>
                <w:highlight w:val="none"/>
              </w:rPr>
              <w:t>环境影响报告表，供建设单位提请有关部门审查。</w:t>
            </w:r>
          </w:p>
          <w:p w14:paraId="3DC78701">
            <w:pPr>
              <w:keepNext w:val="0"/>
              <w:keepLines w:val="0"/>
              <w:suppressLineNumbers w:val="0"/>
              <w:bidi w:val="0"/>
              <w:spacing w:before="0" w:beforeAutospacing="0" w:after="0" w:afterAutospacing="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2、</w:t>
            </w:r>
            <w:r>
              <w:rPr>
                <w:rFonts w:hint="default" w:ascii="Times New Roman" w:hAnsi="Times New Roman" w:cs="Times New Roman"/>
                <w:b/>
                <w:bCs/>
                <w:color w:val="auto"/>
                <w:highlight w:val="none"/>
              </w:rPr>
              <w:t>工程内容及规模</w:t>
            </w:r>
          </w:p>
          <w:p w14:paraId="0A08543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21"/>
                <w:sz w:val="24"/>
                <w:highlight w:val="none"/>
                <w:lang w:val="en-US" w:eastAsia="zh-CN"/>
              </w:rPr>
            </w:pPr>
            <w:r>
              <w:rPr>
                <w:rFonts w:hint="default" w:ascii="Times New Roman" w:hAnsi="Times New Roman" w:cs="Times New Roman"/>
                <w:color w:val="auto"/>
                <w:sz w:val="24"/>
              </w:rPr>
              <w:t>本项目属于扩建项目，依托企业现有厂区5#备用车间实施建设，仅利用该车间部分区域，实际厂房利用面积为2552.5m</w:t>
            </w:r>
            <w:r>
              <w:rPr>
                <w:rFonts w:hint="eastAsia" w:ascii="Times New Roman" w:hAnsi="Times New Roman" w:cs="Times New Roman"/>
                <w:color w:val="auto"/>
                <w:sz w:val="24"/>
                <w:vertAlign w:val="superscript"/>
                <w:lang w:val="en-US" w:eastAsia="zh-CN"/>
              </w:rPr>
              <w:t>2</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厂区剩余区域外租给中铁十九局集团南昌万沃鑫材料科技有限公司，使用铁皮围挡进行物理隔离划分。</w:t>
            </w:r>
          </w:p>
          <w:p w14:paraId="329F65B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sz w:val="24"/>
                <w:highlight w:val="none"/>
              </w:rPr>
              <w:t>项目详细工程内容见表2-1。</w:t>
            </w:r>
          </w:p>
          <w:p w14:paraId="3E3F5EF0">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 xml:space="preserve">表2-1   </w:t>
            </w:r>
            <w:r>
              <w:rPr>
                <w:rFonts w:hint="eastAsia" w:cs="Times New Roman"/>
                <w:b/>
                <w:bCs/>
                <w:color w:val="auto"/>
                <w:highlight w:val="none"/>
                <w:lang w:val="en-US" w:eastAsia="zh-CN"/>
              </w:rPr>
              <w:t>本</w:t>
            </w:r>
            <w:r>
              <w:rPr>
                <w:rFonts w:hint="default" w:ascii="Times New Roman" w:hAnsi="Times New Roman" w:cs="Times New Roman"/>
                <w:b/>
                <w:bCs/>
                <w:color w:val="auto"/>
                <w:highlight w:val="none"/>
                <w:lang w:val="en-US" w:eastAsia="zh-CN"/>
              </w:rPr>
              <w:t>项目建设内容一览表</w:t>
            </w:r>
          </w:p>
          <w:tbl>
            <w:tblPr>
              <w:tblStyle w:val="32"/>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099"/>
              <w:gridCol w:w="1213"/>
              <w:gridCol w:w="4465"/>
              <w:gridCol w:w="1609"/>
            </w:tblGrid>
            <w:tr w14:paraId="58BE30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05" w:hRule="atLeast"/>
                <w:tblHeader/>
              </w:trPr>
              <w:tc>
                <w:tcPr>
                  <w:tcW w:w="655" w:type="pct"/>
                  <w:tcBorders>
                    <w:bottom w:val="single" w:color="auto" w:sz="12" w:space="0"/>
                  </w:tcBorders>
                  <w:vAlign w:val="center"/>
                </w:tcPr>
                <w:p w14:paraId="2A6B24E8">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highlight w:val="none"/>
                    </w:rPr>
                  </w:pPr>
                  <w:bookmarkStart w:id="13" w:name="OLE_LINK1"/>
                  <w:r>
                    <w:rPr>
                      <w:rFonts w:hint="default" w:ascii="Times New Roman" w:hAnsi="Times New Roman" w:cs="Times New Roman"/>
                      <w:b/>
                      <w:bCs/>
                      <w:color w:val="auto"/>
                      <w:highlight w:val="none"/>
                    </w:rPr>
                    <w:t>工程名称</w:t>
                  </w:r>
                </w:p>
              </w:tc>
              <w:tc>
                <w:tcPr>
                  <w:tcW w:w="3384" w:type="pct"/>
                  <w:gridSpan w:val="2"/>
                  <w:tcBorders>
                    <w:bottom w:val="single" w:color="auto" w:sz="12" w:space="0"/>
                  </w:tcBorders>
                  <w:vAlign w:val="center"/>
                </w:tcPr>
                <w:p w14:paraId="5E316C1B">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主要建设内容</w:t>
                  </w:r>
                </w:p>
              </w:tc>
              <w:tc>
                <w:tcPr>
                  <w:tcW w:w="959" w:type="pct"/>
                  <w:tcBorders>
                    <w:bottom w:val="single" w:color="auto" w:sz="12" w:space="0"/>
                  </w:tcBorders>
                  <w:vAlign w:val="center"/>
                </w:tcPr>
                <w:p w14:paraId="316949BD">
                  <w:pPr>
                    <w:pStyle w:val="6"/>
                    <w:keepNext w:val="0"/>
                    <w:keepLines w:val="0"/>
                    <w:suppressLineNumbers w:val="0"/>
                    <w:bidi w:val="0"/>
                    <w:spacing w:before="0" w:beforeAutospacing="0" w:after="0" w:afterAutospacing="0"/>
                    <w:ind w:right="0"/>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备注</w:t>
                  </w:r>
                </w:p>
              </w:tc>
            </w:tr>
            <w:tr w14:paraId="4DAB54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655" w:type="pct"/>
                  <w:tcBorders>
                    <w:top w:val="single" w:color="auto" w:sz="12" w:space="0"/>
                    <w:tl2br w:val="nil"/>
                    <w:tr2bl w:val="nil"/>
                  </w:tcBorders>
                  <w:vAlign w:val="center"/>
                </w:tcPr>
                <w:p w14:paraId="0574F854">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主体工程</w:t>
                  </w:r>
                </w:p>
              </w:tc>
              <w:tc>
                <w:tcPr>
                  <w:tcW w:w="723" w:type="pct"/>
                  <w:tcBorders>
                    <w:top w:val="single" w:color="auto" w:sz="12" w:space="0"/>
                    <w:tl2br w:val="nil"/>
                    <w:tr2bl w:val="nil"/>
                  </w:tcBorders>
                  <w:vAlign w:val="center"/>
                </w:tcPr>
                <w:p w14:paraId="6E8A4529">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生产厂房</w:t>
                  </w:r>
                </w:p>
              </w:tc>
              <w:tc>
                <w:tcPr>
                  <w:tcW w:w="2661" w:type="pct"/>
                  <w:tcBorders>
                    <w:top w:val="single" w:color="auto" w:sz="12" w:space="0"/>
                    <w:tl2br w:val="nil"/>
                    <w:tr2bl w:val="nil"/>
                  </w:tcBorders>
                  <w:vAlign w:val="center"/>
                </w:tcPr>
                <w:p w14:paraId="4A04A3D1">
                  <w:pPr>
                    <w:pStyle w:val="6"/>
                    <w:keepNext w:val="0"/>
                    <w:keepLines w:val="0"/>
                    <w:suppressLineNumbers w:val="0"/>
                    <w:bidi w:val="0"/>
                    <w:spacing w:before="0" w:beforeAutospacing="0" w:after="0" w:afterAutospacing="0"/>
                    <w:ind w:left="0" w:leftChars="0" w:right="0" w:rightChars="0" w:firstLine="0" w:firstLineChars="0"/>
                    <w:jc w:val="both"/>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利用厂房部分面积，</w:t>
                  </w:r>
                  <w:r>
                    <w:rPr>
                      <w:rFonts w:hint="default" w:ascii="Times New Roman" w:hAnsi="Times New Roman" w:cs="Times New Roman"/>
                      <w:color w:val="auto"/>
                      <w:highlight w:val="none"/>
                    </w:rPr>
                    <w:t>建筑面积</w:t>
                  </w:r>
                  <w:r>
                    <w:rPr>
                      <w:rFonts w:hint="eastAsia" w:cs="Times New Roman"/>
                      <w:color w:val="auto"/>
                      <w:highlight w:val="none"/>
                      <w:lang w:val="en-US" w:eastAsia="zh-CN"/>
                    </w:rPr>
                    <w:t>2552.5</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1层，</w:t>
                  </w:r>
                  <w:r>
                    <w:rPr>
                      <w:rFonts w:hint="eastAsia" w:cs="Times New Roman"/>
                      <w:color w:val="auto"/>
                      <w:highlight w:val="none"/>
                      <w:lang w:val="en-US" w:eastAsia="zh-CN"/>
                    </w:rPr>
                    <w:t>高10m，分区布设生产区（1500m</w:t>
                  </w:r>
                  <w:r>
                    <w:rPr>
                      <w:rFonts w:hint="eastAsia" w:cs="Times New Roman"/>
                      <w:color w:val="auto"/>
                      <w:highlight w:val="none"/>
                      <w:vertAlign w:val="superscript"/>
                      <w:lang w:val="en-US" w:eastAsia="zh-CN"/>
                    </w:rPr>
                    <w:t>2</w:t>
                  </w:r>
                  <w:r>
                    <w:rPr>
                      <w:rFonts w:hint="eastAsia" w:cs="Times New Roman"/>
                      <w:color w:val="auto"/>
                      <w:highlight w:val="none"/>
                      <w:lang w:val="en-US" w:eastAsia="zh-CN"/>
                    </w:rPr>
                    <w:t>）、原料区、成品区、车间办公区、一般固废暂存区等</w:t>
                  </w:r>
                  <w:r>
                    <w:rPr>
                      <w:rFonts w:hint="default" w:ascii="Times New Roman" w:hAnsi="Times New Roman" w:cs="Times New Roman"/>
                      <w:color w:val="auto"/>
                      <w:highlight w:val="none"/>
                      <w:lang w:val="en-US" w:eastAsia="zh-CN"/>
                    </w:rPr>
                    <w:t>。</w:t>
                  </w:r>
                </w:p>
              </w:tc>
              <w:tc>
                <w:tcPr>
                  <w:tcW w:w="959" w:type="pct"/>
                  <w:tcBorders>
                    <w:top w:val="single" w:color="auto" w:sz="12" w:space="0"/>
                    <w:tl2br w:val="nil"/>
                    <w:tr2bl w:val="nil"/>
                  </w:tcBorders>
                  <w:vAlign w:val="center"/>
                </w:tcPr>
                <w:p w14:paraId="6FFCB2DA">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依托5#备用车间，利用该车间部分区域</w:t>
                  </w:r>
                </w:p>
              </w:tc>
            </w:tr>
            <w:tr w14:paraId="157C80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655" w:type="pct"/>
                  <w:tcBorders>
                    <w:tl2br w:val="nil"/>
                    <w:tr2bl w:val="nil"/>
                  </w:tcBorders>
                  <w:vAlign w:val="center"/>
                </w:tcPr>
                <w:p w14:paraId="12D2CC8E">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rPr>
                    <w:t>辅助工程</w:t>
                  </w:r>
                </w:p>
              </w:tc>
              <w:tc>
                <w:tcPr>
                  <w:tcW w:w="723" w:type="pct"/>
                  <w:tcBorders>
                    <w:tl2br w:val="nil"/>
                    <w:tr2bl w:val="nil"/>
                  </w:tcBorders>
                  <w:shd w:val="clear" w:color="auto" w:fill="auto"/>
                  <w:vAlign w:val="center"/>
                </w:tcPr>
                <w:p w14:paraId="3DA84587">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车间办公区</w:t>
                  </w:r>
                </w:p>
              </w:tc>
              <w:tc>
                <w:tcPr>
                  <w:tcW w:w="2661" w:type="pct"/>
                  <w:tcBorders>
                    <w:tl2br w:val="nil"/>
                    <w:tr2bl w:val="nil"/>
                  </w:tcBorders>
                  <w:shd w:val="clear" w:color="auto" w:fill="auto"/>
                  <w:vAlign w:val="center"/>
                </w:tcPr>
                <w:p w14:paraId="563382D7">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生产厂房</w:t>
                  </w:r>
                  <w:r>
                    <w:rPr>
                      <w:rFonts w:hint="default" w:ascii="Times New Roman" w:hAnsi="Times New Roman" w:cs="Times New Roman"/>
                      <w:color w:val="auto"/>
                      <w:highlight w:val="none"/>
                      <w:lang w:val="en-US" w:eastAsia="zh-CN"/>
                    </w:rPr>
                    <w:t>内布设办公区，</w:t>
                  </w:r>
                  <w:r>
                    <w:rPr>
                      <w:rFonts w:hint="default" w:ascii="Times New Roman" w:hAnsi="Times New Roman" w:cs="Times New Roman"/>
                      <w:color w:val="auto"/>
                      <w:highlight w:val="none"/>
                      <w:vertAlign w:val="baseline"/>
                      <w:lang w:val="en-US" w:eastAsia="zh-CN"/>
                    </w:rPr>
                    <w:t>建筑面积</w:t>
                  </w:r>
                  <w:r>
                    <w:rPr>
                      <w:rFonts w:hint="eastAsia" w:cs="Times New Roman"/>
                      <w:color w:val="auto"/>
                      <w:highlight w:val="none"/>
                      <w:vertAlign w:val="baseline"/>
                      <w:lang w:val="en-US" w:eastAsia="zh-CN"/>
                    </w:rPr>
                    <w:t>200</w:t>
                  </w:r>
                  <w:r>
                    <w:rPr>
                      <w:rFonts w:hint="default" w:ascii="Times New Roman" w:hAnsi="Times New Roman" w:cs="Times New Roman"/>
                      <w:color w:val="auto"/>
                      <w:highlight w:val="none"/>
                      <w:vertAlign w:val="baseline"/>
                      <w:lang w:val="en-US" w:eastAsia="zh-CN"/>
                    </w:rPr>
                    <w:t>m</w:t>
                  </w:r>
                  <w:r>
                    <w:rPr>
                      <w:rFonts w:hint="default" w:ascii="Times New Roman" w:hAnsi="Times New Roman" w:cs="Times New Roman"/>
                      <w:color w:val="auto"/>
                      <w:highlight w:val="none"/>
                      <w:vertAlign w:val="superscript"/>
                      <w:lang w:val="en-US" w:eastAsia="zh-CN"/>
                    </w:rPr>
                    <w:t>2</w:t>
                  </w:r>
                  <w:r>
                    <w:rPr>
                      <w:rFonts w:hint="default" w:ascii="Times New Roman" w:hAnsi="Times New Roman" w:cs="Times New Roman"/>
                      <w:color w:val="auto"/>
                      <w:highlight w:val="none"/>
                      <w:vertAlign w:val="baseline"/>
                      <w:lang w:val="en-US" w:eastAsia="zh-CN"/>
                    </w:rPr>
                    <w:t>，用于车间办公。</w:t>
                  </w:r>
                </w:p>
              </w:tc>
              <w:tc>
                <w:tcPr>
                  <w:tcW w:w="959" w:type="pct"/>
                  <w:tcBorders>
                    <w:tl2br w:val="nil"/>
                    <w:tr2bl w:val="nil"/>
                  </w:tcBorders>
                  <w:vAlign w:val="center"/>
                </w:tcPr>
                <w:p w14:paraId="2E517AF5">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依托</w:t>
                  </w:r>
                  <w:r>
                    <w:rPr>
                      <w:rFonts w:hint="default" w:ascii="Times New Roman" w:hAnsi="Times New Roman" w:cs="Times New Roman"/>
                      <w:color w:val="auto"/>
                      <w:kern w:val="2"/>
                      <w:sz w:val="21"/>
                      <w:szCs w:val="24"/>
                      <w:highlight w:val="none"/>
                      <w:lang w:val="en-US" w:eastAsia="zh-CN" w:bidi="ar-SA"/>
                    </w:rPr>
                    <w:t>已建厂房</w:t>
                  </w:r>
                </w:p>
              </w:tc>
            </w:tr>
            <w:tr w14:paraId="4EAD90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655" w:type="pct"/>
                  <w:vMerge w:val="restart"/>
                  <w:tcBorders>
                    <w:tl2br w:val="nil"/>
                    <w:tr2bl w:val="nil"/>
                  </w:tcBorders>
                  <w:vAlign w:val="center"/>
                </w:tcPr>
                <w:p w14:paraId="78C4C7AC">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lang w:val="en-US" w:eastAsia="zh-CN"/>
                    </w:rPr>
                    <w:t>贮运工程</w:t>
                  </w:r>
                </w:p>
              </w:tc>
              <w:tc>
                <w:tcPr>
                  <w:tcW w:w="723" w:type="pct"/>
                  <w:tcBorders>
                    <w:tl2br w:val="nil"/>
                    <w:tr2bl w:val="nil"/>
                  </w:tcBorders>
                  <w:vAlign w:val="center"/>
                </w:tcPr>
                <w:p w14:paraId="6C2CE58B">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原料</w:t>
                  </w:r>
                  <w:r>
                    <w:rPr>
                      <w:rFonts w:hint="eastAsia" w:cs="Times New Roman"/>
                      <w:color w:val="auto"/>
                      <w:highlight w:val="none"/>
                      <w:lang w:val="en-US" w:eastAsia="zh-CN"/>
                    </w:rPr>
                    <w:t>区</w:t>
                  </w:r>
                </w:p>
              </w:tc>
              <w:tc>
                <w:tcPr>
                  <w:tcW w:w="2661" w:type="pct"/>
                  <w:tcBorders>
                    <w:tl2br w:val="nil"/>
                    <w:tr2bl w:val="nil"/>
                  </w:tcBorders>
                  <w:vAlign w:val="center"/>
                </w:tcPr>
                <w:p w14:paraId="09DEB39C">
                  <w:pPr>
                    <w:pStyle w:val="6"/>
                    <w:keepNext w:val="0"/>
                    <w:keepLines w:val="0"/>
                    <w:suppressLineNumbers w:val="0"/>
                    <w:bidi w:val="0"/>
                    <w:spacing w:before="0" w:beforeAutospacing="0" w:after="0" w:afterAutospacing="0"/>
                    <w:ind w:left="0" w:leftChars="0" w:right="0" w:rightChars="0" w:firstLine="0" w:firstLineChars="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设置于</w:t>
                  </w:r>
                  <w:r>
                    <w:rPr>
                      <w:rFonts w:hint="eastAsia" w:cs="Times New Roman"/>
                      <w:color w:val="auto"/>
                      <w:highlight w:val="none"/>
                      <w:lang w:val="en-US" w:eastAsia="zh-CN"/>
                    </w:rPr>
                    <w:t>生产厂房</w:t>
                  </w:r>
                  <w:r>
                    <w:rPr>
                      <w:rFonts w:hint="default" w:ascii="Times New Roman" w:hAnsi="Times New Roman" w:cs="Times New Roman"/>
                      <w:color w:val="auto"/>
                      <w:highlight w:val="none"/>
                      <w:lang w:val="en-US" w:eastAsia="zh-CN"/>
                    </w:rPr>
                    <w:t>内，面积约为</w:t>
                  </w:r>
                  <w:r>
                    <w:rPr>
                      <w:rFonts w:hint="eastAsia" w:cs="Times New Roman"/>
                      <w:color w:val="auto"/>
                      <w:highlight w:val="none"/>
                      <w:lang w:val="en-US" w:eastAsia="zh-CN"/>
                    </w:rPr>
                    <w:t>15</w:t>
                  </w:r>
                  <w:r>
                    <w:rPr>
                      <w:rFonts w:hint="default" w:ascii="Times New Roman" w:hAnsi="Times New Roman" w:cs="Times New Roman"/>
                      <w:color w:val="auto"/>
                      <w:highlight w:val="none"/>
                      <w:lang w:val="en-US" w:eastAsia="zh-CN"/>
                    </w:rPr>
                    <w:t>0</w:t>
                  </w:r>
                  <w:r>
                    <w:rPr>
                      <w:rFonts w:hint="default" w:ascii="Times New Roman" w:hAnsi="Times New Roman" w:cs="Times New Roman"/>
                      <w:color w:val="auto"/>
                      <w:highlight w:val="none"/>
                      <w:vertAlign w:val="baseline"/>
                      <w:lang w:val="en-US" w:eastAsia="zh-CN"/>
                    </w:rPr>
                    <w:t>m</w:t>
                  </w:r>
                  <w:r>
                    <w:rPr>
                      <w:rFonts w:hint="default" w:ascii="Times New Roman" w:hAnsi="Times New Roman" w:cs="Times New Roman"/>
                      <w:color w:val="auto"/>
                      <w:highlight w:val="none"/>
                      <w:vertAlign w:val="superscript"/>
                      <w:lang w:val="en-US" w:eastAsia="zh-CN"/>
                    </w:rPr>
                    <w:t>2</w:t>
                  </w:r>
                  <w:r>
                    <w:rPr>
                      <w:rFonts w:hint="default" w:ascii="Times New Roman" w:hAnsi="Times New Roman" w:cs="Times New Roman"/>
                      <w:color w:val="auto"/>
                      <w:highlight w:val="none"/>
                      <w:vertAlign w:val="baseline"/>
                      <w:lang w:val="en-US" w:eastAsia="zh-CN"/>
                    </w:rPr>
                    <w:t>，用于存放原料。</w:t>
                  </w:r>
                </w:p>
              </w:tc>
              <w:tc>
                <w:tcPr>
                  <w:tcW w:w="959" w:type="pct"/>
                  <w:tcBorders>
                    <w:tl2br w:val="nil"/>
                    <w:tr2bl w:val="nil"/>
                  </w:tcBorders>
                  <w:vAlign w:val="center"/>
                </w:tcPr>
                <w:p w14:paraId="18B6B34A">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lang w:val="en-US" w:eastAsia="zh-CN"/>
                    </w:rPr>
                  </w:pPr>
                  <w:r>
                    <w:rPr>
                      <w:rFonts w:hint="eastAsia" w:cs="Times New Roman"/>
                      <w:color w:val="auto"/>
                      <w:kern w:val="2"/>
                      <w:sz w:val="21"/>
                      <w:szCs w:val="24"/>
                      <w:highlight w:val="none"/>
                      <w:lang w:val="en-US" w:eastAsia="zh-CN" w:bidi="ar-SA"/>
                    </w:rPr>
                    <w:t>依托</w:t>
                  </w:r>
                  <w:r>
                    <w:rPr>
                      <w:rFonts w:hint="default" w:ascii="Times New Roman" w:hAnsi="Times New Roman" w:cs="Times New Roman"/>
                      <w:color w:val="auto"/>
                      <w:kern w:val="2"/>
                      <w:sz w:val="21"/>
                      <w:szCs w:val="24"/>
                      <w:highlight w:val="none"/>
                      <w:lang w:val="en-US" w:eastAsia="zh-CN" w:bidi="ar-SA"/>
                    </w:rPr>
                    <w:t>已建厂房</w:t>
                  </w:r>
                </w:p>
              </w:tc>
            </w:tr>
            <w:tr w14:paraId="7DCBA6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655" w:type="pct"/>
                  <w:vMerge w:val="continue"/>
                  <w:tcBorders>
                    <w:tl2br w:val="nil"/>
                    <w:tr2bl w:val="nil"/>
                  </w:tcBorders>
                  <w:vAlign w:val="center"/>
                </w:tcPr>
                <w:p w14:paraId="695E8593">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lang w:val="en-US" w:eastAsia="zh-CN"/>
                    </w:rPr>
                  </w:pPr>
                </w:p>
              </w:tc>
              <w:tc>
                <w:tcPr>
                  <w:tcW w:w="723" w:type="pct"/>
                  <w:tcBorders>
                    <w:tl2br w:val="nil"/>
                    <w:tr2bl w:val="nil"/>
                  </w:tcBorders>
                  <w:vAlign w:val="center"/>
                </w:tcPr>
                <w:p w14:paraId="4063C29D">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成品</w:t>
                  </w:r>
                  <w:r>
                    <w:rPr>
                      <w:rFonts w:hint="eastAsia" w:cs="Times New Roman"/>
                      <w:color w:val="auto"/>
                      <w:highlight w:val="none"/>
                      <w:lang w:val="en-US" w:eastAsia="zh-CN"/>
                    </w:rPr>
                    <w:t>区</w:t>
                  </w:r>
                </w:p>
              </w:tc>
              <w:tc>
                <w:tcPr>
                  <w:tcW w:w="2661" w:type="pct"/>
                  <w:tcBorders>
                    <w:tl2br w:val="nil"/>
                    <w:tr2bl w:val="nil"/>
                  </w:tcBorders>
                  <w:vAlign w:val="center"/>
                </w:tcPr>
                <w:p w14:paraId="49168D2B">
                  <w:pPr>
                    <w:pStyle w:val="6"/>
                    <w:keepNext w:val="0"/>
                    <w:keepLines w:val="0"/>
                    <w:suppressLineNumbers w:val="0"/>
                    <w:bidi w:val="0"/>
                    <w:spacing w:before="0" w:beforeAutospacing="0" w:after="0" w:afterAutospacing="0"/>
                    <w:ind w:left="0" w:leftChars="0" w:right="0" w:rightChars="0" w:firstLine="0" w:firstLineChars="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设置于</w:t>
                  </w:r>
                  <w:r>
                    <w:rPr>
                      <w:rFonts w:hint="eastAsia" w:cs="Times New Roman"/>
                      <w:color w:val="auto"/>
                      <w:highlight w:val="none"/>
                      <w:lang w:val="en-US" w:eastAsia="zh-CN"/>
                    </w:rPr>
                    <w:t>生产厂房</w:t>
                  </w:r>
                  <w:r>
                    <w:rPr>
                      <w:rFonts w:hint="default" w:ascii="Times New Roman" w:hAnsi="Times New Roman" w:cs="Times New Roman"/>
                      <w:color w:val="auto"/>
                      <w:highlight w:val="none"/>
                      <w:lang w:val="en-US" w:eastAsia="zh-CN"/>
                    </w:rPr>
                    <w:t>内，面积约为</w:t>
                  </w:r>
                  <w:r>
                    <w:rPr>
                      <w:rFonts w:hint="eastAsia" w:cs="Times New Roman"/>
                      <w:color w:val="auto"/>
                      <w:highlight w:val="none"/>
                      <w:lang w:val="en-US" w:eastAsia="zh-CN"/>
                    </w:rPr>
                    <w:t>150</w:t>
                  </w:r>
                  <w:r>
                    <w:rPr>
                      <w:rFonts w:hint="default" w:ascii="Times New Roman" w:hAnsi="Times New Roman" w:cs="Times New Roman"/>
                      <w:color w:val="auto"/>
                      <w:highlight w:val="none"/>
                      <w:vertAlign w:val="baseline"/>
                      <w:lang w:val="en-US" w:eastAsia="zh-CN"/>
                    </w:rPr>
                    <w:t>m</w:t>
                  </w:r>
                  <w:r>
                    <w:rPr>
                      <w:rFonts w:hint="default" w:ascii="Times New Roman" w:hAnsi="Times New Roman" w:cs="Times New Roman"/>
                      <w:color w:val="auto"/>
                      <w:highlight w:val="none"/>
                      <w:vertAlign w:val="superscript"/>
                      <w:lang w:val="en-US" w:eastAsia="zh-CN"/>
                    </w:rPr>
                    <w:t>2</w:t>
                  </w:r>
                  <w:r>
                    <w:rPr>
                      <w:rFonts w:hint="default" w:ascii="Times New Roman" w:hAnsi="Times New Roman" w:cs="Times New Roman"/>
                      <w:color w:val="auto"/>
                      <w:highlight w:val="none"/>
                      <w:vertAlign w:val="baseline"/>
                      <w:lang w:val="en-US" w:eastAsia="zh-CN"/>
                    </w:rPr>
                    <w:t>，用于存放成品。</w:t>
                  </w:r>
                </w:p>
              </w:tc>
              <w:tc>
                <w:tcPr>
                  <w:tcW w:w="959" w:type="pct"/>
                  <w:tcBorders>
                    <w:tl2br w:val="nil"/>
                    <w:tr2bl w:val="nil"/>
                  </w:tcBorders>
                  <w:vAlign w:val="center"/>
                </w:tcPr>
                <w:p w14:paraId="684BDF3C">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lang w:val="en-US" w:eastAsia="zh-CN"/>
                    </w:rPr>
                  </w:pPr>
                  <w:r>
                    <w:rPr>
                      <w:rFonts w:hint="eastAsia" w:cs="Times New Roman"/>
                      <w:color w:val="auto"/>
                      <w:kern w:val="2"/>
                      <w:sz w:val="21"/>
                      <w:szCs w:val="24"/>
                      <w:highlight w:val="none"/>
                      <w:lang w:val="en-US" w:eastAsia="zh-CN" w:bidi="ar-SA"/>
                    </w:rPr>
                    <w:t>依托</w:t>
                  </w:r>
                  <w:r>
                    <w:rPr>
                      <w:rFonts w:hint="default" w:ascii="Times New Roman" w:hAnsi="Times New Roman" w:cs="Times New Roman"/>
                      <w:color w:val="auto"/>
                      <w:kern w:val="2"/>
                      <w:sz w:val="21"/>
                      <w:szCs w:val="24"/>
                      <w:highlight w:val="none"/>
                      <w:lang w:val="en-US" w:eastAsia="zh-CN" w:bidi="ar-SA"/>
                    </w:rPr>
                    <w:t>已建厂房</w:t>
                  </w:r>
                </w:p>
              </w:tc>
            </w:tr>
            <w:tr w14:paraId="457B4B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655" w:type="pct"/>
                  <w:vMerge w:val="restart"/>
                  <w:tcBorders>
                    <w:tl2br w:val="nil"/>
                    <w:tr2bl w:val="nil"/>
                  </w:tcBorders>
                  <w:vAlign w:val="center"/>
                </w:tcPr>
                <w:p w14:paraId="18220F2C">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公用工程</w:t>
                  </w:r>
                </w:p>
              </w:tc>
              <w:tc>
                <w:tcPr>
                  <w:tcW w:w="723" w:type="pct"/>
                  <w:tcBorders>
                    <w:tl2br w:val="nil"/>
                    <w:tr2bl w:val="nil"/>
                  </w:tcBorders>
                  <w:vAlign w:val="center"/>
                </w:tcPr>
                <w:p w14:paraId="368797B4">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供电</w:t>
                  </w:r>
                </w:p>
              </w:tc>
              <w:tc>
                <w:tcPr>
                  <w:tcW w:w="2661" w:type="pct"/>
                  <w:tcBorders>
                    <w:tl2br w:val="nil"/>
                    <w:tr2bl w:val="nil"/>
                  </w:tcBorders>
                  <w:vAlign w:val="center"/>
                </w:tcPr>
                <w:p w14:paraId="59827BED">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市政供给</w:t>
                  </w:r>
                </w:p>
              </w:tc>
              <w:tc>
                <w:tcPr>
                  <w:tcW w:w="959" w:type="pct"/>
                  <w:tcBorders>
                    <w:tl2br w:val="nil"/>
                    <w:tr2bl w:val="nil"/>
                  </w:tcBorders>
                  <w:vAlign w:val="center"/>
                </w:tcPr>
                <w:p w14:paraId="412DB795">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依托园区</w:t>
                  </w:r>
                </w:p>
              </w:tc>
            </w:tr>
            <w:tr w14:paraId="30EE43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655" w:type="pct"/>
                  <w:vMerge w:val="continue"/>
                  <w:tcBorders>
                    <w:tl2br w:val="nil"/>
                    <w:tr2bl w:val="nil"/>
                  </w:tcBorders>
                  <w:vAlign w:val="center"/>
                </w:tcPr>
                <w:p w14:paraId="111DAED1">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p>
              </w:tc>
              <w:tc>
                <w:tcPr>
                  <w:tcW w:w="723" w:type="pct"/>
                  <w:tcBorders>
                    <w:tl2br w:val="nil"/>
                    <w:tr2bl w:val="nil"/>
                  </w:tcBorders>
                  <w:vAlign w:val="center"/>
                </w:tcPr>
                <w:p w14:paraId="72C6A8F9">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供水</w:t>
                  </w:r>
                </w:p>
              </w:tc>
              <w:tc>
                <w:tcPr>
                  <w:tcW w:w="2661" w:type="pct"/>
                  <w:tcBorders>
                    <w:tl2br w:val="nil"/>
                    <w:tr2bl w:val="nil"/>
                  </w:tcBorders>
                  <w:vAlign w:val="center"/>
                </w:tcPr>
                <w:p w14:paraId="6B05F404">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市政供给</w:t>
                  </w:r>
                </w:p>
              </w:tc>
              <w:tc>
                <w:tcPr>
                  <w:tcW w:w="959" w:type="pct"/>
                  <w:tcBorders>
                    <w:tl2br w:val="nil"/>
                    <w:tr2bl w:val="nil"/>
                  </w:tcBorders>
                  <w:vAlign w:val="center"/>
                </w:tcPr>
                <w:p w14:paraId="11F28F62">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依托园区</w:t>
                  </w:r>
                </w:p>
              </w:tc>
            </w:tr>
            <w:tr w14:paraId="4902A8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55" w:type="pct"/>
                  <w:vMerge w:val="continue"/>
                  <w:tcBorders>
                    <w:tl2br w:val="nil"/>
                    <w:tr2bl w:val="nil"/>
                  </w:tcBorders>
                  <w:vAlign w:val="center"/>
                </w:tcPr>
                <w:p w14:paraId="6C9B3603">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p>
              </w:tc>
              <w:tc>
                <w:tcPr>
                  <w:tcW w:w="723" w:type="pct"/>
                  <w:tcBorders>
                    <w:tl2br w:val="nil"/>
                    <w:tr2bl w:val="nil"/>
                  </w:tcBorders>
                  <w:vAlign w:val="center"/>
                </w:tcPr>
                <w:p w14:paraId="58AC948B">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排水系统</w:t>
                  </w:r>
                </w:p>
              </w:tc>
              <w:tc>
                <w:tcPr>
                  <w:tcW w:w="2661" w:type="pct"/>
                  <w:tcBorders>
                    <w:tl2br w:val="nil"/>
                    <w:tr2bl w:val="nil"/>
                  </w:tcBorders>
                  <w:vAlign w:val="center"/>
                </w:tcPr>
                <w:p w14:paraId="2B97AA57">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雨</w:t>
                  </w:r>
                  <w:r>
                    <w:rPr>
                      <w:rFonts w:hint="default" w:ascii="Times New Roman" w:hAnsi="Times New Roman" w:cs="Times New Roman"/>
                      <w:color w:val="auto"/>
                      <w:highlight w:val="none"/>
                    </w:rPr>
                    <w:t>污分流</w:t>
                  </w:r>
                </w:p>
              </w:tc>
              <w:tc>
                <w:tcPr>
                  <w:tcW w:w="959" w:type="pct"/>
                  <w:tcBorders>
                    <w:tl2br w:val="nil"/>
                    <w:tr2bl w:val="nil"/>
                  </w:tcBorders>
                  <w:vAlign w:val="center"/>
                </w:tcPr>
                <w:p w14:paraId="59346307">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依托园区</w:t>
                  </w:r>
                </w:p>
              </w:tc>
            </w:tr>
            <w:tr w14:paraId="603EA5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14" w:hRule="atLeast"/>
              </w:trPr>
              <w:tc>
                <w:tcPr>
                  <w:tcW w:w="655" w:type="pct"/>
                  <w:vMerge w:val="restart"/>
                  <w:tcBorders>
                    <w:tl2br w:val="nil"/>
                    <w:tr2bl w:val="nil"/>
                  </w:tcBorders>
                  <w:vAlign w:val="center"/>
                </w:tcPr>
                <w:p w14:paraId="5CF823D0">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环保工程</w:t>
                  </w:r>
                </w:p>
              </w:tc>
              <w:tc>
                <w:tcPr>
                  <w:tcW w:w="723" w:type="pct"/>
                  <w:tcBorders>
                    <w:tl2br w:val="nil"/>
                    <w:tr2bl w:val="nil"/>
                  </w:tcBorders>
                  <w:vAlign w:val="center"/>
                </w:tcPr>
                <w:p w14:paraId="0F9396CC">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废气</w:t>
                  </w:r>
                </w:p>
              </w:tc>
              <w:tc>
                <w:tcPr>
                  <w:tcW w:w="2661" w:type="pct"/>
                  <w:tcBorders>
                    <w:tl2br w:val="nil"/>
                    <w:tr2bl w:val="nil"/>
                  </w:tcBorders>
                  <w:vAlign w:val="center"/>
                </w:tcPr>
                <w:p w14:paraId="399FE5B6">
                  <w:pPr>
                    <w:pStyle w:val="7"/>
                    <w:keepNext w:val="0"/>
                    <w:keepLines w:val="0"/>
                    <w:suppressLineNumbers w:val="0"/>
                    <w:bidi w:val="0"/>
                    <w:spacing w:before="0" w:beforeAutospacing="0" w:after="0" w:afterAutospacing="0" w:line="240" w:lineRule="auto"/>
                    <w:ind w:left="0" w:right="0" w:firstLine="0" w:firstLineChars="0"/>
                    <w:jc w:val="left"/>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烘干、</w:t>
                  </w:r>
                  <w:r>
                    <w:rPr>
                      <w:rFonts w:hint="default" w:ascii="Times New Roman" w:hAnsi="Times New Roman" w:cs="Times New Roman"/>
                      <w:color w:val="auto"/>
                      <w:highlight w:val="none"/>
                      <w:lang w:val="en-US" w:eastAsia="zh-CN"/>
                    </w:rPr>
                    <w:t>挤出废气：集气罩+活性炭吸附装置</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15m高</w:t>
                  </w:r>
                  <w:r>
                    <w:rPr>
                      <w:rFonts w:hint="default" w:ascii="Times New Roman" w:hAnsi="Times New Roman" w:cs="Times New Roman"/>
                      <w:color w:val="auto"/>
                      <w:highlight w:val="none"/>
                    </w:rPr>
                    <w:t>排气筒</w:t>
                  </w:r>
                  <w:r>
                    <w:rPr>
                      <w:rFonts w:hint="eastAsia" w:cs="Times New Roman"/>
                      <w:color w:val="auto"/>
                      <w:highlight w:val="none"/>
                      <w:lang w:eastAsia="zh-CN"/>
                    </w:rPr>
                    <w:t>（</w:t>
                  </w:r>
                  <w:r>
                    <w:rPr>
                      <w:rFonts w:hint="eastAsia" w:cs="Times New Roman"/>
                      <w:color w:val="auto"/>
                      <w:highlight w:val="none"/>
                      <w:lang w:val="en-US" w:eastAsia="zh-CN"/>
                    </w:rPr>
                    <w:t>DA005</w:t>
                  </w:r>
                  <w:r>
                    <w:rPr>
                      <w:rFonts w:hint="eastAsia" w:cs="Times New Roman"/>
                      <w:color w:val="auto"/>
                      <w:highlight w:val="none"/>
                      <w:lang w:eastAsia="zh-CN"/>
                    </w:rPr>
                    <w:t>）</w:t>
                  </w:r>
                </w:p>
              </w:tc>
              <w:tc>
                <w:tcPr>
                  <w:tcW w:w="959" w:type="pct"/>
                  <w:tcBorders>
                    <w:tl2br w:val="nil"/>
                    <w:tr2bl w:val="nil"/>
                  </w:tcBorders>
                  <w:vAlign w:val="center"/>
                </w:tcPr>
                <w:p w14:paraId="62D56B9D">
                  <w:pPr>
                    <w:pStyle w:val="7"/>
                    <w:keepNext w:val="0"/>
                    <w:keepLines w:val="0"/>
                    <w:suppressLineNumbers w:val="0"/>
                    <w:bidi w:val="0"/>
                    <w:spacing w:before="0" w:beforeAutospacing="0" w:after="0" w:afterAutospacing="0" w:line="240" w:lineRule="auto"/>
                    <w:ind w:left="0" w:right="0" w:firstLine="0" w:firstLineChars="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新建</w:t>
                  </w:r>
                </w:p>
              </w:tc>
            </w:tr>
            <w:tr w14:paraId="385712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0" w:hRule="atLeast"/>
              </w:trPr>
              <w:tc>
                <w:tcPr>
                  <w:tcW w:w="655" w:type="pct"/>
                  <w:vMerge w:val="continue"/>
                  <w:tcBorders>
                    <w:tl2br w:val="nil"/>
                    <w:tr2bl w:val="nil"/>
                  </w:tcBorders>
                  <w:vAlign w:val="center"/>
                </w:tcPr>
                <w:p w14:paraId="7DCA7F2D">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lang w:eastAsia="zh-CN"/>
                    </w:rPr>
                  </w:pPr>
                </w:p>
              </w:tc>
              <w:tc>
                <w:tcPr>
                  <w:tcW w:w="723" w:type="pct"/>
                  <w:vMerge w:val="restart"/>
                  <w:tcBorders>
                    <w:tl2br w:val="nil"/>
                    <w:tr2bl w:val="nil"/>
                  </w:tcBorders>
                  <w:vAlign w:val="center"/>
                </w:tcPr>
                <w:p w14:paraId="7BA35B43">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废水</w:t>
                  </w:r>
                </w:p>
              </w:tc>
              <w:tc>
                <w:tcPr>
                  <w:tcW w:w="2661" w:type="pct"/>
                  <w:tcBorders>
                    <w:tl2br w:val="nil"/>
                    <w:tr2bl w:val="nil"/>
                  </w:tcBorders>
                  <w:vAlign w:val="center"/>
                </w:tcPr>
                <w:p w14:paraId="7BB9C238">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生活污水</w:t>
                  </w:r>
                  <w:r>
                    <w:rPr>
                      <w:rFonts w:hint="default" w:ascii="Times New Roman" w:hAnsi="Times New Roman" w:cs="Times New Roman"/>
                      <w:color w:val="auto"/>
                      <w:highlight w:val="none"/>
                      <w:lang w:val="en-US" w:eastAsia="zh-CN"/>
                    </w:rPr>
                    <w:t>通过</w:t>
                  </w:r>
                  <w:r>
                    <w:rPr>
                      <w:rFonts w:hint="eastAsia" w:cs="Times New Roman"/>
                      <w:color w:val="auto"/>
                      <w:highlight w:val="none"/>
                      <w:lang w:val="en-US" w:eastAsia="zh-CN"/>
                    </w:rPr>
                    <w:t>现有隔油池+</w:t>
                  </w:r>
                  <w:r>
                    <w:rPr>
                      <w:rFonts w:hint="default" w:ascii="Times New Roman" w:hAnsi="Times New Roman" w:cs="Times New Roman"/>
                      <w:color w:val="auto"/>
                      <w:highlight w:val="none"/>
                    </w:rPr>
                    <w:t>化粪池</w:t>
                  </w:r>
                  <w:r>
                    <w:rPr>
                      <w:rFonts w:hint="default" w:ascii="Times New Roman" w:hAnsi="Times New Roman" w:cs="Times New Roman"/>
                      <w:color w:val="auto"/>
                      <w:highlight w:val="none"/>
                      <w:lang w:val="en-US" w:eastAsia="zh-CN"/>
                    </w:rPr>
                    <w:t>处理</w:t>
                  </w:r>
                </w:p>
              </w:tc>
              <w:tc>
                <w:tcPr>
                  <w:tcW w:w="959" w:type="pct"/>
                  <w:tcBorders>
                    <w:tl2br w:val="nil"/>
                    <w:tr2bl w:val="nil"/>
                  </w:tcBorders>
                  <w:vAlign w:val="center"/>
                </w:tcPr>
                <w:p w14:paraId="0E85763F">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依托</w:t>
                  </w:r>
                </w:p>
              </w:tc>
            </w:tr>
            <w:tr w14:paraId="0BE66D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0" w:hRule="atLeast"/>
              </w:trPr>
              <w:tc>
                <w:tcPr>
                  <w:tcW w:w="655" w:type="pct"/>
                  <w:vMerge w:val="continue"/>
                  <w:tcBorders>
                    <w:tl2br w:val="nil"/>
                    <w:tr2bl w:val="nil"/>
                  </w:tcBorders>
                  <w:vAlign w:val="center"/>
                </w:tcPr>
                <w:p w14:paraId="19549724">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lang w:eastAsia="zh-CN"/>
                    </w:rPr>
                  </w:pPr>
                </w:p>
              </w:tc>
              <w:tc>
                <w:tcPr>
                  <w:tcW w:w="723" w:type="pct"/>
                  <w:vMerge w:val="continue"/>
                  <w:tcBorders>
                    <w:tl2br w:val="nil"/>
                    <w:tr2bl w:val="nil"/>
                  </w:tcBorders>
                  <w:vAlign w:val="center"/>
                </w:tcPr>
                <w:p w14:paraId="20E32C29">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p>
              </w:tc>
              <w:tc>
                <w:tcPr>
                  <w:tcW w:w="2661" w:type="pct"/>
                  <w:tcBorders>
                    <w:tl2br w:val="nil"/>
                    <w:tr2bl w:val="nil"/>
                  </w:tcBorders>
                  <w:vAlign w:val="center"/>
                </w:tcPr>
                <w:p w14:paraId="3C273A4B">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冷却水循环使用</w:t>
                  </w:r>
                  <w:r>
                    <w:rPr>
                      <w:rFonts w:hint="eastAsia" w:cs="Times New Roman"/>
                      <w:color w:val="auto"/>
                      <w:highlight w:val="none"/>
                      <w:lang w:val="en-US" w:eastAsia="zh-CN"/>
                    </w:rPr>
                    <w:t>，一年排一次（循环水池容积2m</w:t>
                  </w:r>
                  <w:r>
                    <w:rPr>
                      <w:rFonts w:hint="eastAsia" w:cs="Times New Roman"/>
                      <w:color w:val="auto"/>
                      <w:highlight w:val="none"/>
                      <w:vertAlign w:val="superscript"/>
                      <w:lang w:val="en-US" w:eastAsia="zh-CN"/>
                    </w:rPr>
                    <w:t>2</w:t>
                  </w:r>
                  <w:r>
                    <w:rPr>
                      <w:rFonts w:hint="eastAsia" w:cs="Times New Roman"/>
                      <w:color w:val="auto"/>
                      <w:highlight w:val="none"/>
                      <w:lang w:val="en-US" w:eastAsia="zh-CN"/>
                    </w:rPr>
                    <w:t>）</w:t>
                  </w:r>
                </w:p>
              </w:tc>
              <w:tc>
                <w:tcPr>
                  <w:tcW w:w="959" w:type="pct"/>
                  <w:tcBorders>
                    <w:tl2br w:val="nil"/>
                    <w:tr2bl w:val="nil"/>
                  </w:tcBorders>
                  <w:vAlign w:val="center"/>
                </w:tcPr>
                <w:p w14:paraId="22DA7EAD">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新建</w:t>
                  </w:r>
                </w:p>
              </w:tc>
            </w:tr>
            <w:tr w14:paraId="5E7F97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0" w:hRule="atLeast"/>
              </w:trPr>
              <w:tc>
                <w:tcPr>
                  <w:tcW w:w="655" w:type="pct"/>
                  <w:vMerge w:val="continue"/>
                  <w:tcBorders>
                    <w:tl2br w:val="nil"/>
                    <w:tr2bl w:val="nil"/>
                  </w:tcBorders>
                  <w:vAlign w:val="center"/>
                </w:tcPr>
                <w:p w14:paraId="1F54FF87">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p>
              </w:tc>
              <w:tc>
                <w:tcPr>
                  <w:tcW w:w="723" w:type="pct"/>
                  <w:tcBorders>
                    <w:tl2br w:val="nil"/>
                    <w:tr2bl w:val="nil"/>
                  </w:tcBorders>
                  <w:vAlign w:val="center"/>
                </w:tcPr>
                <w:p w14:paraId="4617C0EB">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噪声</w:t>
                  </w:r>
                </w:p>
              </w:tc>
              <w:tc>
                <w:tcPr>
                  <w:tcW w:w="2661" w:type="pct"/>
                  <w:tcBorders>
                    <w:tl2br w:val="nil"/>
                    <w:tr2bl w:val="nil"/>
                  </w:tcBorders>
                  <w:vAlign w:val="center"/>
                </w:tcPr>
                <w:p w14:paraId="19974B28">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厂房隔音、设备减震垫等</w:t>
                  </w:r>
                  <w:r>
                    <w:rPr>
                      <w:rFonts w:hint="default" w:ascii="Times New Roman" w:hAnsi="Times New Roman" w:cs="Times New Roman"/>
                      <w:color w:val="auto"/>
                      <w:highlight w:val="none"/>
                      <w:lang w:eastAsia="zh-CN"/>
                    </w:rPr>
                    <w:t>。</w:t>
                  </w:r>
                </w:p>
              </w:tc>
              <w:tc>
                <w:tcPr>
                  <w:tcW w:w="959" w:type="pct"/>
                  <w:tcBorders>
                    <w:tl2br w:val="nil"/>
                    <w:tr2bl w:val="nil"/>
                  </w:tcBorders>
                  <w:vAlign w:val="center"/>
                </w:tcPr>
                <w:p w14:paraId="540363F6">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r>
            <w:tr w14:paraId="41D00A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0" w:hRule="atLeast"/>
              </w:trPr>
              <w:tc>
                <w:tcPr>
                  <w:tcW w:w="655" w:type="pct"/>
                  <w:vMerge w:val="continue"/>
                  <w:tcBorders>
                    <w:tl2br w:val="nil"/>
                    <w:tr2bl w:val="nil"/>
                  </w:tcBorders>
                  <w:vAlign w:val="center"/>
                </w:tcPr>
                <w:p w14:paraId="383E1F90">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p>
              </w:tc>
              <w:tc>
                <w:tcPr>
                  <w:tcW w:w="723" w:type="pct"/>
                  <w:vMerge w:val="restart"/>
                  <w:tcBorders>
                    <w:tl2br w:val="nil"/>
                    <w:tr2bl w:val="nil"/>
                  </w:tcBorders>
                  <w:vAlign w:val="center"/>
                </w:tcPr>
                <w:p w14:paraId="46E47787">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固体</w:t>
                  </w:r>
                </w:p>
                <w:p w14:paraId="604E3B19">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废物</w:t>
                  </w:r>
                </w:p>
              </w:tc>
              <w:tc>
                <w:tcPr>
                  <w:tcW w:w="2661" w:type="pct"/>
                  <w:tcBorders>
                    <w:tl2br w:val="nil"/>
                    <w:tr2bl w:val="nil"/>
                  </w:tcBorders>
                  <w:vAlign w:val="center"/>
                </w:tcPr>
                <w:p w14:paraId="0F07F381">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vertAlign w:val="baseline"/>
                      <w:lang w:eastAsia="zh-CN"/>
                    </w:rPr>
                  </w:pPr>
                  <w:r>
                    <w:rPr>
                      <w:rFonts w:hint="default" w:ascii="Times New Roman" w:hAnsi="Times New Roman" w:cs="Times New Roman"/>
                      <w:color w:val="auto"/>
                      <w:highlight w:val="none"/>
                    </w:rPr>
                    <w:t>一般</w:t>
                  </w:r>
                  <w:r>
                    <w:rPr>
                      <w:rFonts w:hint="default" w:ascii="Times New Roman" w:hAnsi="Times New Roman" w:cs="Times New Roman"/>
                      <w:color w:val="auto"/>
                      <w:highlight w:val="none"/>
                      <w:lang w:val="en-US" w:eastAsia="zh-CN"/>
                    </w:rPr>
                    <w:t>工业</w:t>
                  </w:r>
                  <w:r>
                    <w:rPr>
                      <w:rFonts w:hint="default" w:ascii="Times New Roman" w:hAnsi="Times New Roman" w:cs="Times New Roman"/>
                      <w:color w:val="auto"/>
                      <w:highlight w:val="none"/>
                    </w:rPr>
                    <w:t>固废</w:t>
                  </w:r>
                  <w:r>
                    <w:rPr>
                      <w:rFonts w:hint="eastAsia" w:cs="Times New Roman"/>
                      <w:color w:val="auto"/>
                      <w:highlight w:val="none"/>
                      <w:lang w:val="en-US" w:eastAsia="zh-CN"/>
                    </w:rPr>
                    <w:t>区</w:t>
                  </w:r>
                  <w:r>
                    <w:rPr>
                      <w:rFonts w:hint="default" w:ascii="Times New Roman" w:hAnsi="Times New Roman" w:cs="Times New Roman"/>
                      <w:color w:val="auto"/>
                      <w:highlight w:val="none"/>
                      <w:lang w:val="en-US" w:eastAsia="zh-CN"/>
                    </w:rPr>
                    <w:t>位于</w:t>
                  </w:r>
                  <w:r>
                    <w:rPr>
                      <w:rFonts w:hint="eastAsia" w:cs="Times New Roman"/>
                      <w:color w:val="auto"/>
                      <w:highlight w:val="none"/>
                      <w:lang w:val="en-US" w:eastAsia="zh-CN"/>
                    </w:rPr>
                    <w:t>生产厂房内</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占地</w:t>
                  </w:r>
                  <w:r>
                    <w:rPr>
                      <w:rFonts w:hint="default" w:ascii="Times New Roman" w:hAnsi="Times New Roman" w:cs="Times New Roman"/>
                      <w:color w:val="auto"/>
                      <w:highlight w:val="none"/>
                      <w:lang w:val="en-US" w:eastAsia="zh-CN"/>
                    </w:rPr>
                    <w:t>面积</w:t>
                  </w:r>
                  <w:r>
                    <w:rPr>
                      <w:rFonts w:hint="eastAsia" w:cs="Times New Roman"/>
                      <w:color w:val="auto"/>
                      <w:highlight w:val="none"/>
                      <w:lang w:val="en-US" w:eastAsia="zh-CN"/>
                    </w:rPr>
                    <w:t>50</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vertAlign w:val="baseline"/>
                      <w:lang w:eastAsia="zh-CN"/>
                    </w:rPr>
                    <w:t>。</w:t>
                  </w:r>
                </w:p>
              </w:tc>
              <w:tc>
                <w:tcPr>
                  <w:tcW w:w="959" w:type="pct"/>
                  <w:tcBorders>
                    <w:tl2br w:val="nil"/>
                    <w:tr2bl w:val="nil"/>
                  </w:tcBorders>
                  <w:vAlign w:val="center"/>
                </w:tcPr>
                <w:p w14:paraId="232CA592">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新建</w:t>
                  </w:r>
                </w:p>
              </w:tc>
            </w:tr>
            <w:tr w14:paraId="0D70DC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0" w:hRule="atLeast"/>
              </w:trPr>
              <w:tc>
                <w:tcPr>
                  <w:tcW w:w="655" w:type="pct"/>
                  <w:vMerge w:val="continue"/>
                  <w:tcBorders>
                    <w:tl2br w:val="nil"/>
                    <w:tr2bl w:val="nil"/>
                  </w:tcBorders>
                  <w:vAlign w:val="center"/>
                </w:tcPr>
                <w:p w14:paraId="32042FBC">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p>
              </w:tc>
              <w:tc>
                <w:tcPr>
                  <w:tcW w:w="723" w:type="pct"/>
                  <w:vMerge w:val="continue"/>
                  <w:tcBorders>
                    <w:tl2br w:val="nil"/>
                    <w:tr2bl w:val="nil"/>
                  </w:tcBorders>
                  <w:vAlign w:val="center"/>
                </w:tcPr>
                <w:p w14:paraId="691DD4B5">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p>
              </w:tc>
              <w:tc>
                <w:tcPr>
                  <w:tcW w:w="2661" w:type="pct"/>
                  <w:tcBorders>
                    <w:tl2br w:val="nil"/>
                    <w:tr2bl w:val="nil"/>
                  </w:tcBorders>
                  <w:vAlign w:val="center"/>
                </w:tcPr>
                <w:p w14:paraId="27AA5C2B">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vertAlign w:val="baseline"/>
                      <w:lang w:eastAsia="zh-CN"/>
                    </w:rPr>
                  </w:pPr>
                  <w:r>
                    <w:rPr>
                      <w:rFonts w:hint="default" w:ascii="Times New Roman" w:hAnsi="Times New Roman" w:cs="Times New Roman"/>
                      <w:color w:val="auto"/>
                      <w:highlight w:val="none"/>
                    </w:rPr>
                    <w:t>危险</w:t>
                  </w:r>
                  <w:r>
                    <w:rPr>
                      <w:rFonts w:hint="default" w:ascii="Times New Roman" w:hAnsi="Times New Roman" w:cs="Times New Roman"/>
                      <w:color w:val="auto"/>
                      <w:highlight w:val="none"/>
                      <w:lang w:val="en-US" w:eastAsia="zh-CN"/>
                    </w:rPr>
                    <w:t>废物暂存间位于</w:t>
                  </w:r>
                  <w:r>
                    <w:rPr>
                      <w:rFonts w:hint="eastAsia" w:cs="Times New Roman"/>
                      <w:color w:val="auto"/>
                      <w:highlight w:val="none"/>
                      <w:lang w:val="en-US" w:eastAsia="zh-CN"/>
                    </w:rPr>
                    <w:t>厂区南侧</w:t>
                  </w:r>
                  <w:r>
                    <w:rPr>
                      <w:rFonts w:hint="default" w:ascii="Times New Roman" w:hAnsi="Times New Roman" w:cs="Times New Roman"/>
                      <w:color w:val="auto"/>
                      <w:highlight w:val="none"/>
                      <w:lang w:val="en-US" w:eastAsia="zh-CN"/>
                    </w:rPr>
                    <w:t>，占地面积</w:t>
                  </w:r>
                  <w:r>
                    <w:rPr>
                      <w:rFonts w:hint="eastAsia" w:cs="Times New Roman"/>
                      <w:color w:val="auto"/>
                      <w:highlight w:val="none"/>
                      <w:lang w:val="en-US" w:eastAsia="zh-CN"/>
                    </w:rPr>
                    <w:t>50</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2</w:t>
                  </w:r>
                  <w:r>
                    <w:rPr>
                      <w:rFonts w:hint="default" w:ascii="Times New Roman" w:hAnsi="Times New Roman" w:cs="Times New Roman"/>
                      <w:color w:val="auto"/>
                      <w:highlight w:val="none"/>
                      <w:vertAlign w:val="baseline"/>
                      <w:lang w:val="en-US" w:eastAsia="zh-CN"/>
                    </w:rPr>
                    <w:t>。</w:t>
                  </w:r>
                </w:p>
              </w:tc>
              <w:tc>
                <w:tcPr>
                  <w:tcW w:w="959" w:type="pct"/>
                  <w:tcBorders>
                    <w:tl2br w:val="nil"/>
                    <w:tr2bl w:val="nil"/>
                  </w:tcBorders>
                  <w:vAlign w:val="center"/>
                </w:tcPr>
                <w:p w14:paraId="47F4EFD8">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依托</w:t>
                  </w:r>
                </w:p>
              </w:tc>
            </w:tr>
            <w:tr w14:paraId="76802C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0" w:hRule="atLeast"/>
              </w:trPr>
              <w:tc>
                <w:tcPr>
                  <w:tcW w:w="655" w:type="pct"/>
                  <w:vMerge w:val="continue"/>
                  <w:tcBorders>
                    <w:tl2br w:val="nil"/>
                    <w:tr2bl w:val="nil"/>
                  </w:tcBorders>
                  <w:vAlign w:val="center"/>
                </w:tcPr>
                <w:p w14:paraId="5F9D9902">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p>
              </w:tc>
              <w:tc>
                <w:tcPr>
                  <w:tcW w:w="723" w:type="pct"/>
                  <w:tcBorders>
                    <w:tl2br w:val="nil"/>
                    <w:tr2bl w:val="nil"/>
                  </w:tcBorders>
                  <w:vAlign w:val="center"/>
                </w:tcPr>
                <w:p w14:paraId="38942FB3">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地下水分区防渗措施</w:t>
                  </w:r>
                </w:p>
              </w:tc>
              <w:tc>
                <w:tcPr>
                  <w:tcW w:w="2661" w:type="pct"/>
                  <w:tcBorders>
                    <w:tl2br w:val="nil"/>
                    <w:tr2bl w:val="nil"/>
                  </w:tcBorders>
                  <w:vAlign w:val="center"/>
                </w:tcPr>
                <w:p w14:paraId="683A898F">
                  <w:pPr>
                    <w:pStyle w:val="6"/>
                    <w:keepNext w:val="0"/>
                    <w:keepLines w:val="0"/>
                    <w:suppressLineNumbers w:val="0"/>
                    <w:bidi w:val="0"/>
                    <w:spacing w:before="0" w:beforeAutospacing="0" w:after="0" w:afterAutospacing="0"/>
                    <w:ind w:left="0" w:leftChars="0" w:right="0" w:rightChars="0" w:firstLine="0" w:firstLineChars="0"/>
                    <w:jc w:val="both"/>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厂区分区防渗，分为重点防渗（</w:t>
                  </w:r>
                  <w:r>
                    <w:rPr>
                      <w:rFonts w:hint="default"/>
                      <w:color w:val="auto"/>
                      <w:sz w:val="21"/>
                      <w:szCs w:val="21"/>
                      <w:highlight w:val="none"/>
                      <w:lang w:val="en-US" w:eastAsia="zh-CN"/>
                    </w:rPr>
                    <w:t>防渗层</w:t>
                  </w:r>
                  <w:r>
                    <w:rPr>
                      <w:rFonts w:hint="eastAsia"/>
                      <w:color w:val="auto"/>
                      <w:sz w:val="21"/>
                      <w:szCs w:val="21"/>
                      <w:highlight w:val="none"/>
                      <w:lang w:val="en-US" w:eastAsia="zh-CN"/>
                    </w:rPr>
                    <w:t>为至少6m厚</w:t>
                  </w:r>
                  <w:r>
                    <w:rPr>
                      <w:rFonts w:hint="default"/>
                      <w:color w:val="auto"/>
                      <w:sz w:val="21"/>
                      <w:szCs w:val="21"/>
                      <w:highlight w:val="none"/>
                      <w:lang w:val="en-US" w:eastAsia="zh-CN"/>
                    </w:rPr>
                    <w:t>黏土</w:t>
                  </w:r>
                  <w:r>
                    <w:rPr>
                      <w:rFonts w:hint="eastAsia"/>
                      <w:color w:val="auto"/>
                      <w:sz w:val="21"/>
                      <w:szCs w:val="21"/>
                      <w:highlight w:val="none"/>
                      <w:lang w:val="en-US" w:eastAsia="zh-CN"/>
                    </w:rPr>
                    <w:t>层</w:t>
                  </w:r>
                  <w:r>
                    <w:rPr>
                      <w:rFonts w:hint="default"/>
                      <w:color w:val="auto"/>
                      <w:sz w:val="21"/>
                      <w:szCs w:val="21"/>
                      <w:highlight w:val="none"/>
                      <w:lang w:val="en-US" w:eastAsia="zh-CN"/>
                    </w:rPr>
                    <w:t>K≤1.0×10</w:t>
                  </w:r>
                  <w:r>
                    <w:rPr>
                      <w:rFonts w:hint="default"/>
                      <w:color w:val="auto"/>
                      <w:sz w:val="21"/>
                      <w:szCs w:val="21"/>
                      <w:highlight w:val="none"/>
                      <w:vertAlign w:val="superscript"/>
                      <w:lang w:val="en-US" w:eastAsia="zh-CN"/>
                    </w:rPr>
                    <w:t>-</w:t>
                  </w:r>
                  <w:r>
                    <w:rPr>
                      <w:rFonts w:hint="eastAsia"/>
                      <w:color w:val="auto"/>
                      <w:sz w:val="21"/>
                      <w:szCs w:val="21"/>
                      <w:highlight w:val="none"/>
                      <w:vertAlign w:val="superscript"/>
                      <w:lang w:val="en-US" w:eastAsia="zh-CN"/>
                    </w:rPr>
                    <w:t>10</w:t>
                  </w:r>
                  <w:r>
                    <w:rPr>
                      <w:rFonts w:hint="default"/>
                      <w:color w:val="auto"/>
                      <w:sz w:val="21"/>
                      <w:szCs w:val="21"/>
                      <w:highlight w:val="none"/>
                      <w:lang w:val="en-US" w:eastAsia="zh-CN"/>
                    </w:rPr>
                    <w:t>cm/s</w:t>
                  </w:r>
                  <w:r>
                    <w:rPr>
                      <w:rFonts w:hint="eastAsia"/>
                      <w:color w:val="auto"/>
                      <w:sz w:val="21"/>
                      <w:szCs w:val="21"/>
                      <w:highlight w:val="none"/>
                      <w:lang w:val="en-US" w:eastAsia="zh-CN"/>
                    </w:rPr>
                    <w:t>；或参照GB18597执行</w:t>
                  </w:r>
                  <w:r>
                    <w:rPr>
                      <w:rFonts w:hint="eastAsia" w:cs="Times New Roman"/>
                      <w:color w:val="auto"/>
                      <w:highlight w:val="none"/>
                      <w:lang w:val="en-US" w:eastAsia="zh-CN"/>
                    </w:rPr>
                    <w:t>）、一般防渗（</w:t>
                  </w:r>
                  <w:r>
                    <w:rPr>
                      <w:rFonts w:hint="default"/>
                      <w:color w:val="auto"/>
                      <w:sz w:val="21"/>
                      <w:szCs w:val="21"/>
                      <w:highlight w:val="none"/>
                      <w:lang w:val="en-US" w:eastAsia="zh-CN"/>
                    </w:rPr>
                    <w:t>等效黏土防渗层Mb≥1.5m，K≤</w:t>
                  </w:r>
                  <w:r>
                    <w:rPr>
                      <w:rFonts w:hint="eastAsia"/>
                      <w:color w:val="auto"/>
                      <w:sz w:val="21"/>
                      <w:szCs w:val="21"/>
                      <w:highlight w:val="none"/>
                      <w:lang w:val="en-US" w:eastAsia="zh-CN"/>
                    </w:rPr>
                    <w:t>1.0</w:t>
                  </w:r>
                  <w:r>
                    <w:rPr>
                      <w:rFonts w:hint="default"/>
                      <w:color w:val="auto"/>
                      <w:sz w:val="21"/>
                      <w:szCs w:val="21"/>
                      <w:highlight w:val="none"/>
                      <w:lang w:val="en-US" w:eastAsia="zh-CN"/>
                    </w:rPr>
                    <w:t>×10</w:t>
                  </w:r>
                  <w:r>
                    <w:rPr>
                      <w:rFonts w:hint="default"/>
                      <w:color w:val="auto"/>
                      <w:sz w:val="21"/>
                      <w:szCs w:val="21"/>
                      <w:highlight w:val="none"/>
                      <w:vertAlign w:val="superscript"/>
                      <w:lang w:val="en-US" w:eastAsia="zh-CN"/>
                    </w:rPr>
                    <w:t>-7</w:t>
                  </w:r>
                  <w:r>
                    <w:rPr>
                      <w:rFonts w:hint="default"/>
                      <w:color w:val="auto"/>
                      <w:sz w:val="21"/>
                      <w:szCs w:val="21"/>
                      <w:highlight w:val="none"/>
                      <w:lang w:val="en-US" w:eastAsia="zh-CN"/>
                    </w:rPr>
                    <w:t>cm/s</w:t>
                  </w:r>
                  <w:r>
                    <w:rPr>
                      <w:rFonts w:hint="eastAsia"/>
                      <w:color w:val="auto"/>
                      <w:sz w:val="21"/>
                      <w:szCs w:val="21"/>
                      <w:highlight w:val="none"/>
                      <w:lang w:val="en-US" w:eastAsia="zh-CN"/>
                    </w:rPr>
                    <w:t>；或参照GB16889执行</w:t>
                  </w:r>
                  <w:r>
                    <w:rPr>
                      <w:rFonts w:hint="eastAsia" w:cs="Times New Roman"/>
                      <w:color w:val="auto"/>
                      <w:highlight w:val="none"/>
                      <w:lang w:val="en-US" w:eastAsia="zh-CN"/>
                    </w:rPr>
                    <w:t>）和简单防渗（采取普通混凝土地面硬化，使渗透系数不大于 1.0×10</w:t>
                  </w:r>
                  <w:r>
                    <w:rPr>
                      <w:rFonts w:hint="eastAsia" w:cs="Times New Roman"/>
                      <w:color w:val="auto"/>
                      <w:highlight w:val="none"/>
                      <w:vertAlign w:val="superscript"/>
                      <w:lang w:val="en-US" w:eastAsia="zh-CN"/>
                    </w:rPr>
                    <w:t>-6</w:t>
                  </w:r>
                  <w:r>
                    <w:rPr>
                      <w:rFonts w:hint="eastAsia" w:cs="Times New Roman"/>
                      <w:color w:val="auto"/>
                      <w:highlight w:val="none"/>
                      <w:lang w:val="en-US" w:eastAsia="zh-CN"/>
                    </w:rPr>
                    <w:t>cm/s）</w:t>
                  </w:r>
                </w:p>
              </w:tc>
              <w:tc>
                <w:tcPr>
                  <w:tcW w:w="959" w:type="pct"/>
                  <w:tcBorders>
                    <w:tl2br w:val="nil"/>
                    <w:tr2bl w:val="nil"/>
                  </w:tcBorders>
                  <w:vAlign w:val="center"/>
                </w:tcPr>
                <w:p w14:paraId="38002483">
                  <w:pPr>
                    <w:pStyle w:val="6"/>
                    <w:keepNext w:val="0"/>
                    <w:keepLines w:val="0"/>
                    <w:suppressLineNumbers w:val="0"/>
                    <w:bidi w:val="0"/>
                    <w:spacing w:before="0" w:beforeAutospacing="0" w:after="0" w:afterAutospacing="0"/>
                    <w:ind w:left="0" w:leftChars="0" w:right="0" w:rightChars="0" w:firstLine="0" w:firstLineChars="0"/>
                    <w:rPr>
                      <w:rFonts w:hint="default" w:cs="Times New Roman"/>
                      <w:color w:val="auto"/>
                      <w:highlight w:val="none"/>
                      <w:lang w:val="en-US" w:eastAsia="zh-CN"/>
                    </w:rPr>
                  </w:pPr>
                  <w:r>
                    <w:rPr>
                      <w:rFonts w:hint="eastAsia" w:cs="Times New Roman"/>
                      <w:color w:val="auto"/>
                      <w:highlight w:val="none"/>
                      <w:lang w:val="en-US" w:eastAsia="zh-CN"/>
                    </w:rPr>
                    <w:t>新建</w:t>
                  </w:r>
                </w:p>
              </w:tc>
            </w:tr>
            <w:tr w14:paraId="1A0DFF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0" w:hRule="atLeast"/>
              </w:trPr>
              <w:tc>
                <w:tcPr>
                  <w:tcW w:w="655" w:type="pct"/>
                  <w:vMerge w:val="continue"/>
                  <w:tcBorders>
                    <w:tl2br w:val="nil"/>
                    <w:tr2bl w:val="nil"/>
                  </w:tcBorders>
                  <w:vAlign w:val="center"/>
                </w:tcPr>
                <w:p w14:paraId="65E4693B">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p>
              </w:tc>
              <w:tc>
                <w:tcPr>
                  <w:tcW w:w="723" w:type="pct"/>
                  <w:tcBorders>
                    <w:tl2br w:val="nil"/>
                    <w:tr2bl w:val="nil"/>
                  </w:tcBorders>
                  <w:vAlign w:val="center"/>
                </w:tcPr>
                <w:p w14:paraId="6D6629ED">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r>
                    <w:rPr>
                      <w:rFonts w:hint="default" w:ascii="Times New Roman" w:hAnsi="Times New Roman" w:cs="Times New Roman"/>
                      <w:color w:val="auto"/>
                      <w:highlight w:val="none"/>
                    </w:rPr>
                    <w:t>风险防范措施</w:t>
                  </w:r>
                </w:p>
              </w:tc>
              <w:tc>
                <w:tcPr>
                  <w:tcW w:w="2661" w:type="pct"/>
                  <w:tcBorders>
                    <w:tl2br w:val="nil"/>
                    <w:tr2bl w:val="nil"/>
                  </w:tcBorders>
                  <w:vAlign w:val="center"/>
                </w:tcPr>
                <w:p w14:paraId="47D52E88">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依托现有项目事故池600m</w:t>
                  </w:r>
                  <w:r>
                    <w:rPr>
                      <w:rFonts w:hint="eastAsia" w:cs="Times New Roman"/>
                      <w:color w:val="auto"/>
                      <w:highlight w:val="none"/>
                      <w:vertAlign w:val="superscript"/>
                      <w:lang w:val="en-US" w:eastAsia="zh-CN"/>
                    </w:rPr>
                    <w:t>3</w:t>
                  </w:r>
                </w:p>
              </w:tc>
              <w:tc>
                <w:tcPr>
                  <w:tcW w:w="959" w:type="pct"/>
                  <w:tcBorders>
                    <w:tl2br w:val="nil"/>
                    <w:tr2bl w:val="nil"/>
                  </w:tcBorders>
                  <w:vAlign w:val="center"/>
                </w:tcPr>
                <w:p w14:paraId="2ECC9822">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highlight w:val="none"/>
                      <w:lang w:val="en-US" w:eastAsia="zh-CN"/>
                    </w:rPr>
                  </w:pPr>
                  <w:r>
                    <w:rPr>
                      <w:rFonts w:hint="eastAsia" w:cs="Times New Roman"/>
                      <w:color w:val="auto"/>
                      <w:highlight w:val="none"/>
                      <w:lang w:val="en-US" w:eastAsia="zh-CN"/>
                    </w:rPr>
                    <w:t>依托</w:t>
                  </w:r>
                </w:p>
              </w:tc>
            </w:tr>
            <w:bookmarkEnd w:id="13"/>
          </w:tbl>
          <w:p w14:paraId="46F1B33B">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表2-</w:t>
            </w:r>
            <w:r>
              <w:rPr>
                <w:rFonts w:hint="eastAsia" w:ascii="Times New Roman" w:hAnsi="Times New Roman" w:cs="Times New Roman"/>
                <w:b/>
                <w:bCs/>
                <w:color w:val="auto"/>
                <w:highlight w:val="none"/>
                <w:lang w:val="en-US" w:eastAsia="zh-CN"/>
              </w:rPr>
              <w:t>2</w:t>
            </w:r>
            <w:r>
              <w:rPr>
                <w:rFonts w:hint="default" w:ascii="Times New Roman" w:hAnsi="Times New Roman" w:cs="Times New Roman"/>
                <w:b/>
                <w:bCs/>
                <w:color w:val="auto"/>
                <w:highlight w:val="none"/>
                <w:lang w:val="en-US" w:eastAsia="zh-CN"/>
              </w:rPr>
              <w:t xml:space="preserve">   </w:t>
            </w:r>
            <w:r>
              <w:rPr>
                <w:rFonts w:hint="eastAsia" w:ascii="Times New Roman" w:hAnsi="Times New Roman" w:cs="Times New Roman"/>
                <w:b/>
                <w:bCs/>
                <w:color w:val="auto"/>
                <w:highlight w:val="none"/>
                <w:lang w:val="en-US" w:eastAsia="zh-CN"/>
              </w:rPr>
              <w:t>项目建成后</w:t>
            </w:r>
            <w:r>
              <w:rPr>
                <w:rFonts w:hint="eastAsia" w:cs="Times New Roman"/>
                <w:b/>
                <w:bCs/>
                <w:color w:val="auto"/>
                <w:highlight w:val="none"/>
                <w:lang w:val="en-US" w:eastAsia="zh-CN"/>
              </w:rPr>
              <w:t>全厂</w:t>
            </w:r>
            <w:r>
              <w:rPr>
                <w:rFonts w:hint="default" w:ascii="Times New Roman" w:hAnsi="Times New Roman" w:cs="Times New Roman"/>
                <w:b/>
                <w:bCs/>
                <w:color w:val="auto"/>
                <w:highlight w:val="none"/>
                <w:lang w:val="en-US" w:eastAsia="zh-CN"/>
              </w:rPr>
              <w:t>建设内容一览表</w:t>
            </w:r>
          </w:p>
          <w:tbl>
            <w:tblPr>
              <w:tblStyle w:val="32"/>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094"/>
              <w:gridCol w:w="1215"/>
              <w:gridCol w:w="1876"/>
              <w:gridCol w:w="2062"/>
              <w:gridCol w:w="2139"/>
            </w:tblGrid>
            <w:tr w14:paraId="71DE0D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05" w:hRule="atLeast"/>
                <w:tblHeader/>
              </w:trPr>
              <w:tc>
                <w:tcPr>
                  <w:tcW w:w="1376" w:type="pct"/>
                  <w:gridSpan w:val="2"/>
                  <w:tcBorders>
                    <w:bottom w:val="single" w:color="auto" w:sz="12" w:space="0"/>
                  </w:tcBorders>
                  <w:vAlign w:val="center"/>
                </w:tcPr>
                <w:p w14:paraId="47F77378">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工程名称</w:t>
                  </w:r>
                </w:p>
              </w:tc>
              <w:tc>
                <w:tcPr>
                  <w:tcW w:w="1118" w:type="pct"/>
                  <w:tcBorders>
                    <w:bottom w:val="single" w:color="auto" w:sz="12" w:space="0"/>
                  </w:tcBorders>
                  <w:vAlign w:val="center"/>
                </w:tcPr>
                <w:p w14:paraId="5A7871F3">
                  <w:pPr>
                    <w:pStyle w:val="6"/>
                    <w:keepNext w:val="0"/>
                    <w:keepLines w:val="0"/>
                    <w:suppressLineNumbers w:val="0"/>
                    <w:bidi w:val="0"/>
                    <w:spacing w:before="0" w:beforeAutospacing="0" w:after="0" w:afterAutospacing="0"/>
                    <w:ind w:right="0"/>
                    <w:rPr>
                      <w:rFonts w:hint="eastAsia" w:ascii="Times New Roman" w:hAnsi="Times New Roman" w:cs="Times New Roman"/>
                      <w:b/>
                      <w:bCs/>
                      <w:color w:val="auto"/>
                      <w:highlight w:val="none"/>
                      <w:lang w:val="en-US" w:eastAsia="zh-CN"/>
                    </w:rPr>
                  </w:pPr>
                  <w:r>
                    <w:rPr>
                      <w:rFonts w:hint="eastAsia" w:ascii="Times New Roman" w:hAnsi="Times New Roman" w:cs="Times New Roman"/>
                      <w:b/>
                      <w:bCs/>
                      <w:color w:val="auto"/>
                      <w:highlight w:val="none"/>
                      <w:lang w:val="en-US" w:eastAsia="zh-CN"/>
                    </w:rPr>
                    <w:t>现有项目</w:t>
                  </w:r>
                </w:p>
              </w:tc>
              <w:tc>
                <w:tcPr>
                  <w:tcW w:w="1229" w:type="pct"/>
                  <w:tcBorders>
                    <w:bottom w:val="single" w:color="auto" w:sz="12" w:space="0"/>
                  </w:tcBorders>
                  <w:vAlign w:val="center"/>
                </w:tcPr>
                <w:p w14:paraId="145C12B1">
                  <w:pPr>
                    <w:pStyle w:val="6"/>
                    <w:keepNext w:val="0"/>
                    <w:keepLines w:val="0"/>
                    <w:suppressLineNumbers w:val="0"/>
                    <w:bidi w:val="0"/>
                    <w:spacing w:before="0" w:beforeAutospacing="0" w:after="0" w:afterAutospacing="0"/>
                    <w:ind w:right="0"/>
                    <w:rPr>
                      <w:rFonts w:hint="eastAsia"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highlight w:val="none"/>
                      <w:lang w:val="en-US" w:eastAsia="zh-CN"/>
                    </w:rPr>
                    <w:t>本项目</w:t>
                  </w:r>
                </w:p>
              </w:tc>
              <w:tc>
                <w:tcPr>
                  <w:tcW w:w="1275" w:type="pct"/>
                  <w:tcBorders>
                    <w:bottom w:val="single" w:color="auto" w:sz="12" w:space="0"/>
                  </w:tcBorders>
                  <w:vAlign w:val="center"/>
                </w:tcPr>
                <w:p w14:paraId="592788B1">
                  <w:pPr>
                    <w:pStyle w:val="6"/>
                    <w:keepNext w:val="0"/>
                    <w:keepLines w:val="0"/>
                    <w:suppressLineNumbers w:val="0"/>
                    <w:bidi w:val="0"/>
                    <w:spacing w:before="0" w:beforeAutospacing="0" w:after="0" w:afterAutospacing="0"/>
                    <w:ind w:right="0"/>
                    <w:rPr>
                      <w:rFonts w:hint="default"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highlight w:val="none"/>
                      <w:lang w:val="en-US" w:eastAsia="zh-CN"/>
                    </w:rPr>
                    <w:t>全厂</w:t>
                  </w:r>
                </w:p>
              </w:tc>
            </w:tr>
            <w:tr w14:paraId="7840A4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652" w:type="pct"/>
                  <w:vMerge w:val="restart"/>
                  <w:tcBorders>
                    <w:top w:val="single" w:color="auto" w:sz="12" w:space="0"/>
                    <w:tl2br w:val="nil"/>
                    <w:tr2bl w:val="nil"/>
                  </w:tcBorders>
                  <w:vAlign w:val="center"/>
                </w:tcPr>
                <w:p w14:paraId="31798EF9">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主体工程</w:t>
                  </w:r>
                </w:p>
              </w:tc>
              <w:tc>
                <w:tcPr>
                  <w:tcW w:w="724" w:type="pct"/>
                  <w:tcBorders>
                    <w:top w:val="single" w:color="auto" w:sz="12" w:space="0"/>
                    <w:tl2br w:val="nil"/>
                    <w:tr2bl w:val="nil"/>
                  </w:tcBorders>
                  <w:vAlign w:val="center"/>
                </w:tcPr>
                <w:p w14:paraId="59B40850">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1#车间</w:t>
                  </w:r>
                </w:p>
              </w:tc>
              <w:tc>
                <w:tcPr>
                  <w:tcW w:w="1118" w:type="pct"/>
                  <w:tcBorders>
                    <w:top w:val="single" w:color="auto" w:sz="12" w:space="0"/>
                    <w:tl2br w:val="nil"/>
                    <w:tr2bl w:val="nil"/>
                  </w:tcBorders>
                  <w:vAlign w:val="center"/>
                </w:tcPr>
                <w:p w14:paraId="3980E14F">
                  <w:pPr>
                    <w:pStyle w:val="6"/>
                    <w:keepNext w:val="0"/>
                    <w:keepLines w:val="0"/>
                    <w:suppressLineNumbers w:val="0"/>
                    <w:bidi w:val="0"/>
                    <w:spacing w:before="0" w:beforeAutospacing="0" w:after="0" w:afterAutospacing="0"/>
                    <w:ind w:left="0" w:leftChars="0" w:right="0" w:rightChars="0" w:firstLine="0" w:firstLineChars="0"/>
                    <w:jc w:val="both"/>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硅酮密封胶车间，1F，建筑面积5</w:t>
                  </w:r>
                  <w:r>
                    <w:rPr>
                      <w:rFonts w:hint="eastAsia" w:cs="Times New Roman"/>
                      <w:color w:val="auto"/>
                      <w:kern w:val="2"/>
                      <w:sz w:val="21"/>
                      <w:szCs w:val="24"/>
                      <w:highlight w:val="none"/>
                      <w:lang w:val="en-US" w:eastAsia="zh-CN" w:bidi="ar-SA"/>
                    </w:rPr>
                    <w:t>105</w:t>
                  </w:r>
                  <w:r>
                    <w:rPr>
                      <w:rFonts w:hint="eastAsia" w:ascii="Times New Roman" w:hAnsi="Times New Roman" w:eastAsia="宋体" w:cs="Times New Roman"/>
                      <w:color w:val="auto"/>
                      <w:kern w:val="2"/>
                      <w:sz w:val="21"/>
                      <w:szCs w:val="24"/>
                      <w:highlight w:val="none"/>
                      <w:lang w:val="en-US" w:eastAsia="zh-CN" w:bidi="ar-SA"/>
                    </w:rPr>
                    <w:t>m</w:t>
                  </w:r>
                  <w:r>
                    <w:rPr>
                      <w:rFonts w:hint="eastAsia" w:ascii="Times New Roman" w:hAnsi="Times New Roman" w:eastAsia="宋体" w:cs="Times New Roman"/>
                      <w:color w:val="auto"/>
                      <w:kern w:val="2"/>
                      <w:sz w:val="21"/>
                      <w:szCs w:val="24"/>
                      <w:highlight w:val="none"/>
                      <w:vertAlign w:val="superscript"/>
                      <w:lang w:val="en-US" w:eastAsia="zh-CN" w:bidi="ar-SA"/>
                    </w:rPr>
                    <w:t>2</w:t>
                  </w:r>
                  <w:r>
                    <w:rPr>
                      <w:rFonts w:hint="eastAsia" w:ascii="Times New Roman" w:hAnsi="Times New Roman" w:eastAsia="宋体" w:cs="Times New Roman"/>
                      <w:color w:val="auto"/>
                      <w:kern w:val="2"/>
                      <w:sz w:val="21"/>
                      <w:szCs w:val="24"/>
                      <w:highlight w:val="none"/>
                      <w:lang w:val="en-US" w:eastAsia="zh-CN" w:bidi="ar-SA"/>
                    </w:rPr>
                    <w:t>，钢构，乙级车间</w:t>
                  </w:r>
                </w:p>
              </w:tc>
              <w:tc>
                <w:tcPr>
                  <w:tcW w:w="1229" w:type="pct"/>
                  <w:tcBorders>
                    <w:top w:val="single" w:color="auto" w:sz="12" w:space="0"/>
                    <w:tl2br w:val="nil"/>
                    <w:tr2bl w:val="nil"/>
                  </w:tcBorders>
                  <w:vAlign w:val="center"/>
                </w:tcPr>
                <w:p w14:paraId="33D31EEA">
                  <w:pPr>
                    <w:pStyle w:val="6"/>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1275" w:type="pct"/>
                  <w:tcBorders>
                    <w:top w:val="single" w:color="auto" w:sz="12" w:space="0"/>
                    <w:tl2br w:val="nil"/>
                    <w:tr2bl w:val="nil"/>
                  </w:tcBorders>
                  <w:vAlign w:val="center"/>
                </w:tcPr>
                <w:p w14:paraId="10F19D24">
                  <w:pPr>
                    <w:pStyle w:val="6"/>
                    <w:keepNext w:val="0"/>
                    <w:keepLines w:val="0"/>
                    <w:suppressLineNumbers w:val="0"/>
                    <w:bidi w:val="0"/>
                    <w:spacing w:before="0" w:beforeAutospacing="0" w:after="0" w:afterAutospacing="0"/>
                    <w:ind w:left="0" w:leftChars="0" w:right="0" w:rightChars="0" w:firstLine="0" w:firstLineChars="0"/>
                    <w:jc w:val="both"/>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硅酮密封胶车间，1F，建筑面积5</w:t>
                  </w:r>
                  <w:r>
                    <w:rPr>
                      <w:rFonts w:hint="eastAsia" w:cs="Times New Roman"/>
                      <w:color w:val="auto"/>
                      <w:kern w:val="2"/>
                      <w:sz w:val="21"/>
                      <w:szCs w:val="24"/>
                      <w:highlight w:val="none"/>
                      <w:lang w:val="en-US" w:eastAsia="zh-CN" w:bidi="ar-SA"/>
                    </w:rPr>
                    <w:t>105</w:t>
                  </w:r>
                  <w:r>
                    <w:rPr>
                      <w:rFonts w:hint="eastAsia" w:ascii="Times New Roman" w:hAnsi="Times New Roman" w:eastAsia="宋体" w:cs="Times New Roman"/>
                      <w:color w:val="auto"/>
                      <w:kern w:val="2"/>
                      <w:sz w:val="21"/>
                      <w:szCs w:val="24"/>
                      <w:highlight w:val="none"/>
                      <w:lang w:val="en-US" w:eastAsia="zh-CN" w:bidi="ar-SA"/>
                    </w:rPr>
                    <w:t>m</w:t>
                  </w:r>
                  <w:r>
                    <w:rPr>
                      <w:rFonts w:hint="eastAsia" w:ascii="Times New Roman" w:hAnsi="Times New Roman" w:eastAsia="宋体" w:cs="Times New Roman"/>
                      <w:color w:val="auto"/>
                      <w:kern w:val="2"/>
                      <w:sz w:val="21"/>
                      <w:szCs w:val="24"/>
                      <w:highlight w:val="none"/>
                      <w:vertAlign w:val="superscript"/>
                      <w:lang w:val="en-US" w:eastAsia="zh-CN" w:bidi="ar-SA"/>
                    </w:rPr>
                    <w:t>2</w:t>
                  </w:r>
                  <w:r>
                    <w:rPr>
                      <w:rFonts w:hint="eastAsia" w:ascii="Times New Roman" w:hAnsi="Times New Roman" w:eastAsia="宋体" w:cs="Times New Roman"/>
                      <w:color w:val="auto"/>
                      <w:kern w:val="2"/>
                      <w:sz w:val="21"/>
                      <w:szCs w:val="24"/>
                      <w:highlight w:val="none"/>
                      <w:lang w:val="en-US" w:eastAsia="zh-CN" w:bidi="ar-SA"/>
                    </w:rPr>
                    <w:t>，钢构，乙级车间</w:t>
                  </w:r>
                </w:p>
              </w:tc>
            </w:tr>
            <w:tr w14:paraId="164725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652" w:type="pct"/>
                  <w:vMerge w:val="continue"/>
                  <w:tcBorders>
                    <w:tl2br w:val="nil"/>
                    <w:tr2bl w:val="nil"/>
                  </w:tcBorders>
                  <w:vAlign w:val="center"/>
                </w:tcPr>
                <w:p w14:paraId="5C0293CD">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highlight w:val="none"/>
                      <w:lang w:val="en-US" w:eastAsia="zh-CN" w:bidi="ar-SA"/>
                    </w:rPr>
                  </w:pPr>
                </w:p>
              </w:tc>
              <w:tc>
                <w:tcPr>
                  <w:tcW w:w="724" w:type="pct"/>
                  <w:tcBorders>
                    <w:tl2br w:val="nil"/>
                    <w:tr2bl w:val="nil"/>
                  </w:tcBorders>
                  <w:shd w:val="clear" w:color="auto" w:fill="auto"/>
                  <w:vAlign w:val="center"/>
                </w:tcPr>
                <w:p w14:paraId="2E19891B">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3</w:t>
                  </w:r>
                  <w:r>
                    <w:rPr>
                      <w:rFonts w:hint="eastAsia" w:cs="Times New Roman"/>
                      <w:color w:val="auto"/>
                      <w:highlight w:val="none"/>
                      <w:lang w:val="en-US" w:eastAsia="zh-CN"/>
                    </w:rPr>
                    <w:t>#车间</w:t>
                  </w:r>
                </w:p>
              </w:tc>
              <w:tc>
                <w:tcPr>
                  <w:tcW w:w="1118" w:type="pct"/>
                  <w:tcBorders>
                    <w:tl2br w:val="nil"/>
                    <w:tr2bl w:val="nil"/>
                  </w:tcBorders>
                  <w:shd w:val="clear" w:color="auto" w:fill="auto"/>
                  <w:vAlign w:val="center"/>
                </w:tcPr>
                <w:p w14:paraId="6F3C263C">
                  <w:pPr>
                    <w:pStyle w:val="6"/>
                    <w:keepNext w:val="0"/>
                    <w:keepLines w:val="0"/>
                    <w:suppressLineNumbers w:val="0"/>
                    <w:bidi w:val="0"/>
                    <w:spacing w:before="0" w:beforeAutospacing="0" w:after="0" w:afterAutospacing="0"/>
                    <w:ind w:left="0" w:leftChars="0" w:right="0" w:rightChars="0" w:firstLine="0" w:firstLineChars="0"/>
                    <w:jc w:val="both"/>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三元乙丙密封胶条车间，1F，建筑面积5</w:t>
                  </w:r>
                  <w:r>
                    <w:rPr>
                      <w:rFonts w:hint="eastAsia" w:cs="Times New Roman"/>
                      <w:color w:val="auto"/>
                      <w:kern w:val="2"/>
                      <w:sz w:val="21"/>
                      <w:szCs w:val="24"/>
                      <w:highlight w:val="none"/>
                      <w:lang w:val="en-US" w:eastAsia="zh-CN" w:bidi="ar-SA"/>
                    </w:rPr>
                    <w:t>105</w:t>
                  </w:r>
                  <w:r>
                    <w:rPr>
                      <w:rFonts w:hint="eastAsia" w:ascii="Times New Roman" w:hAnsi="Times New Roman" w:eastAsia="宋体" w:cs="Times New Roman"/>
                      <w:color w:val="auto"/>
                      <w:kern w:val="2"/>
                      <w:sz w:val="21"/>
                      <w:szCs w:val="24"/>
                      <w:highlight w:val="none"/>
                      <w:lang w:val="en-US" w:eastAsia="zh-CN" w:bidi="ar-SA"/>
                    </w:rPr>
                    <w:t>m</w:t>
                  </w:r>
                  <w:r>
                    <w:rPr>
                      <w:rFonts w:hint="eastAsia" w:ascii="Times New Roman" w:hAnsi="Times New Roman" w:eastAsia="宋体" w:cs="Times New Roman"/>
                      <w:color w:val="auto"/>
                      <w:kern w:val="2"/>
                      <w:sz w:val="21"/>
                      <w:szCs w:val="24"/>
                      <w:highlight w:val="none"/>
                      <w:vertAlign w:val="superscript"/>
                      <w:lang w:val="en-US" w:eastAsia="zh-CN" w:bidi="ar-SA"/>
                    </w:rPr>
                    <w:t>2</w:t>
                  </w:r>
                  <w:r>
                    <w:rPr>
                      <w:rFonts w:hint="eastAsia" w:ascii="Times New Roman" w:hAnsi="Times New Roman" w:eastAsia="宋体" w:cs="Times New Roman"/>
                      <w:color w:val="auto"/>
                      <w:kern w:val="2"/>
                      <w:sz w:val="21"/>
                      <w:szCs w:val="24"/>
                      <w:highlight w:val="none"/>
                      <w:lang w:val="en-US" w:eastAsia="zh-CN" w:bidi="ar-SA"/>
                    </w:rPr>
                    <w:t>，钢构，乙级车间</w:t>
                  </w:r>
                </w:p>
              </w:tc>
              <w:tc>
                <w:tcPr>
                  <w:tcW w:w="1229" w:type="pct"/>
                  <w:tcBorders>
                    <w:tl2br w:val="nil"/>
                    <w:tr2bl w:val="nil"/>
                  </w:tcBorders>
                  <w:shd w:val="clear" w:color="auto" w:fill="auto"/>
                  <w:vAlign w:val="center"/>
                </w:tcPr>
                <w:p w14:paraId="10CA9976">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1275" w:type="pct"/>
                  <w:tcBorders>
                    <w:tl2br w:val="nil"/>
                    <w:tr2bl w:val="nil"/>
                  </w:tcBorders>
                  <w:vAlign w:val="center"/>
                </w:tcPr>
                <w:p w14:paraId="6C4E57A0">
                  <w:pPr>
                    <w:pStyle w:val="6"/>
                    <w:keepNext w:val="0"/>
                    <w:keepLines w:val="0"/>
                    <w:suppressLineNumbers w:val="0"/>
                    <w:bidi w:val="0"/>
                    <w:spacing w:before="0" w:beforeAutospacing="0" w:after="0" w:afterAutospacing="0"/>
                    <w:ind w:left="0" w:leftChars="0" w:right="0" w:rightChars="0" w:firstLine="0" w:firstLineChars="0"/>
                    <w:jc w:val="both"/>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三元乙丙密封胶条车间，1F，建筑面积5</w:t>
                  </w:r>
                  <w:r>
                    <w:rPr>
                      <w:rFonts w:hint="eastAsia" w:cs="Times New Roman"/>
                      <w:color w:val="auto"/>
                      <w:kern w:val="2"/>
                      <w:sz w:val="21"/>
                      <w:szCs w:val="24"/>
                      <w:highlight w:val="none"/>
                      <w:lang w:val="en-US" w:eastAsia="zh-CN" w:bidi="ar-SA"/>
                    </w:rPr>
                    <w:t>105</w:t>
                  </w:r>
                  <w:r>
                    <w:rPr>
                      <w:rFonts w:hint="eastAsia" w:ascii="Times New Roman" w:hAnsi="Times New Roman" w:eastAsia="宋体" w:cs="Times New Roman"/>
                      <w:color w:val="auto"/>
                      <w:kern w:val="2"/>
                      <w:sz w:val="21"/>
                      <w:szCs w:val="24"/>
                      <w:highlight w:val="none"/>
                      <w:lang w:val="en-US" w:eastAsia="zh-CN" w:bidi="ar-SA"/>
                    </w:rPr>
                    <w:t>m</w:t>
                  </w:r>
                  <w:r>
                    <w:rPr>
                      <w:rFonts w:hint="eastAsia" w:ascii="Times New Roman" w:hAnsi="Times New Roman" w:eastAsia="宋体" w:cs="Times New Roman"/>
                      <w:color w:val="auto"/>
                      <w:kern w:val="2"/>
                      <w:sz w:val="21"/>
                      <w:szCs w:val="24"/>
                      <w:highlight w:val="none"/>
                      <w:vertAlign w:val="superscript"/>
                      <w:lang w:val="en-US" w:eastAsia="zh-CN" w:bidi="ar-SA"/>
                    </w:rPr>
                    <w:t>2</w:t>
                  </w:r>
                  <w:r>
                    <w:rPr>
                      <w:rFonts w:hint="eastAsia" w:ascii="Times New Roman" w:hAnsi="Times New Roman" w:eastAsia="宋体" w:cs="Times New Roman"/>
                      <w:color w:val="auto"/>
                      <w:kern w:val="2"/>
                      <w:sz w:val="21"/>
                      <w:szCs w:val="24"/>
                      <w:highlight w:val="none"/>
                      <w:lang w:val="en-US" w:eastAsia="zh-CN" w:bidi="ar-SA"/>
                    </w:rPr>
                    <w:t>，钢构，乙级车间</w:t>
                  </w:r>
                </w:p>
              </w:tc>
            </w:tr>
            <w:tr w14:paraId="118F13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652" w:type="pct"/>
                  <w:vMerge w:val="continue"/>
                  <w:tcBorders>
                    <w:tl2br w:val="nil"/>
                    <w:tr2bl w:val="nil"/>
                  </w:tcBorders>
                  <w:vAlign w:val="center"/>
                </w:tcPr>
                <w:p w14:paraId="3F91438E">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p>
              </w:tc>
              <w:tc>
                <w:tcPr>
                  <w:tcW w:w="724" w:type="pct"/>
                  <w:tcBorders>
                    <w:tl2br w:val="nil"/>
                    <w:tr2bl w:val="nil"/>
                  </w:tcBorders>
                  <w:shd w:val="clear" w:color="auto" w:fill="auto"/>
                  <w:vAlign w:val="center"/>
                </w:tcPr>
                <w:p w14:paraId="4AA77B55">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w:t>
                  </w:r>
                  <w:r>
                    <w:rPr>
                      <w:rFonts w:hint="eastAsia" w:cs="Times New Roman"/>
                      <w:color w:val="auto"/>
                      <w:highlight w:val="none"/>
                      <w:lang w:val="en-US" w:eastAsia="zh-CN"/>
                    </w:rPr>
                    <w:t>#备用车间</w:t>
                  </w:r>
                </w:p>
              </w:tc>
              <w:tc>
                <w:tcPr>
                  <w:tcW w:w="1118" w:type="pct"/>
                  <w:tcBorders>
                    <w:tl2br w:val="nil"/>
                    <w:tr2bl w:val="nil"/>
                  </w:tcBorders>
                  <w:shd w:val="clear" w:color="auto" w:fill="auto"/>
                  <w:vAlign w:val="center"/>
                </w:tcPr>
                <w:p w14:paraId="3D30E19C">
                  <w:pPr>
                    <w:pStyle w:val="6"/>
                    <w:keepNext w:val="0"/>
                    <w:keepLines w:val="0"/>
                    <w:suppressLineNumbers w:val="0"/>
                    <w:bidi w:val="0"/>
                    <w:spacing w:before="0" w:beforeAutospacing="0" w:after="0" w:afterAutospacing="0"/>
                    <w:ind w:left="0" w:leftChars="0" w:right="0" w:rightChars="0" w:firstLine="0" w:firstLineChars="0"/>
                    <w:jc w:val="both"/>
                    <w:rPr>
                      <w:rFonts w:hint="default" w:cs="Times New Roman"/>
                      <w:color w:val="auto"/>
                      <w:highlight w:val="none"/>
                      <w:lang w:val="en-US" w:eastAsia="zh-CN"/>
                    </w:rPr>
                  </w:pPr>
                  <w:r>
                    <w:rPr>
                      <w:rFonts w:hint="eastAsia" w:ascii="Times New Roman" w:hAnsi="Times New Roman" w:eastAsia="宋体" w:cs="Times New Roman"/>
                      <w:color w:val="auto"/>
                      <w:kern w:val="2"/>
                      <w:sz w:val="21"/>
                      <w:szCs w:val="24"/>
                      <w:highlight w:val="none"/>
                      <w:lang w:val="en-US" w:eastAsia="zh-CN" w:bidi="ar-SA"/>
                    </w:rPr>
                    <w:t>备用生产车间，1F，建筑面积5</w:t>
                  </w:r>
                  <w:r>
                    <w:rPr>
                      <w:rFonts w:hint="eastAsia" w:cs="Times New Roman"/>
                      <w:color w:val="auto"/>
                      <w:kern w:val="2"/>
                      <w:sz w:val="21"/>
                      <w:szCs w:val="24"/>
                      <w:highlight w:val="none"/>
                      <w:lang w:val="en-US" w:eastAsia="zh-CN" w:bidi="ar-SA"/>
                    </w:rPr>
                    <w:t>105</w:t>
                  </w:r>
                  <w:r>
                    <w:rPr>
                      <w:rFonts w:hint="eastAsia" w:ascii="Times New Roman" w:hAnsi="Times New Roman" w:eastAsia="宋体" w:cs="Times New Roman"/>
                      <w:color w:val="auto"/>
                      <w:kern w:val="2"/>
                      <w:sz w:val="21"/>
                      <w:szCs w:val="24"/>
                      <w:highlight w:val="none"/>
                      <w:lang w:val="en-US" w:eastAsia="zh-CN" w:bidi="ar-SA"/>
                    </w:rPr>
                    <w:t>m</w:t>
                  </w:r>
                  <w:r>
                    <w:rPr>
                      <w:rFonts w:hint="eastAsia" w:ascii="Times New Roman" w:hAnsi="Times New Roman" w:eastAsia="宋体" w:cs="Times New Roman"/>
                      <w:color w:val="auto"/>
                      <w:kern w:val="2"/>
                      <w:sz w:val="21"/>
                      <w:szCs w:val="24"/>
                      <w:highlight w:val="none"/>
                      <w:vertAlign w:val="superscript"/>
                      <w:lang w:val="en-US" w:eastAsia="zh-CN" w:bidi="ar-SA"/>
                    </w:rPr>
                    <w:t>2</w:t>
                  </w:r>
                  <w:r>
                    <w:rPr>
                      <w:rFonts w:hint="eastAsia" w:ascii="Times New Roman" w:hAnsi="Times New Roman" w:eastAsia="宋体" w:cs="Times New Roman"/>
                      <w:color w:val="auto"/>
                      <w:kern w:val="2"/>
                      <w:sz w:val="21"/>
                      <w:szCs w:val="24"/>
                      <w:highlight w:val="none"/>
                      <w:lang w:val="en-US" w:eastAsia="zh-CN" w:bidi="ar-SA"/>
                    </w:rPr>
                    <w:t>，钢构，乙级车间</w:t>
                  </w:r>
                </w:p>
              </w:tc>
              <w:tc>
                <w:tcPr>
                  <w:tcW w:w="1229" w:type="pct"/>
                  <w:tcBorders>
                    <w:tl2br w:val="nil"/>
                    <w:tr2bl w:val="nil"/>
                  </w:tcBorders>
                  <w:shd w:val="clear" w:color="auto" w:fill="auto"/>
                  <w:vAlign w:val="center"/>
                </w:tcPr>
                <w:p w14:paraId="2D386A46">
                  <w:pPr>
                    <w:pStyle w:val="6"/>
                    <w:keepNext w:val="0"/>
                    <w:keepLines w:val="0"/>
                    <w:suppressLineNumbers w:val="0"/>
                    <w:bidi w:val="0"/>
                    <w:spacing w:before="0" w:beforeAutospacing="0" w:after="0" w:afterAutospacing="0"/>
                    <w:ind w:left="0" w:leftChars="0" w:right="0" w:rightChars="0" w:firstLine="0" w:firstLineChars="0"/>
                    <w:jc w:val="both"/>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利用厂房部分面积，</w:t>
                  </w:r>
                  <w:r>
                    <w:rPr>
                      <w:rFonts w:hint="default" w:ascii="Times New Roman" w:hAnsi="Times New Roman" w:cs="Times New Roman"/>
                      <w:color w:val="auto"/>
                      <w:highlight w:val="none"/>
                    </w:rPr>
                    <w:t>建筑面积</w:t>
                  </w:r>
                  <w:r>
                    <w:rPr>
                      <w:rFonts w:hint="eastAsia" w:cs="Times New Roman"/>
                      <w:color w:val="auto"/>
                      <w:highlight w:val="none"/>
                      <w:lang w:val="en-US" w:eastAsia="zh-CN"/>
                    </w:rPr>
                    <w:t>2552.5</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1层，</w:t>
                  </w:r>
                  <w:r>
                    <w:rPr>
                      <w:rFonts w:hint="eastAsia" w:cs="Times New Roman"/>
                      <w:color w:val="auto"/>
                      <w:highlight w:val="none"/>
                      <w:lang w:val="en-US" w:eastAsia="zh-CN"/>
                    </w:rPr>
                    <w:t>高10m，分区布设生产区（1500m</w:t>
                  </w:r>
                  <w:r>
                    <w:rPr>
                      <w:rFonts w:hint="eastAsia" w:cs="Times New Roman"/>
                      <w:color w:val="auto"/>
                      <w:highlight w:val="none"/>
                      <w:vertAlign w:val="superscript"/>
                      <w:lang w:val="en-US" w:eastAsia="zh-CN"/>
                    </w:rPr>
                    <w:t>2</w:t>
                  </w:r>
                  <w:r>
                    <w:rPr>
                      <w:rFonts w:hint="eastAsia" w:cs="Times New Roman"/>
                      <w:color w:val="auto"/>
                      <w:highlight w:val="none"/>
                      <w:lang w:val="en-US" w:eastAsia="zh-CN"/>
                    </w:rPr>
                    <w:t>）、原料区、成品区、车间办公区、一般固废暂存区等</w:t>
                  </w:r>
                  <w:r>
                    <w:rPr>
                      <w:rFonts w:hint="default" w:ascii="Times New Roman" w:hAnsi="Times New Roman" w:cs="Times New Roman"/>
                      <w:color w:val="auto"/>
                      <w:highlight w:val="none"/>
                      <w:lang w:val="en-US" w:eastAsia="zh-CN"/>
                    </w:rPr>
                    <w:t>。</w:t>
                  </w:r>
                </w:p>
              </w:tc>
              <w:tc>
                <w:tcPr>
                  <w:tcW w:w="1275" w:type="pct"/>
                  <w:tcBorders>
                    <w:tl2br w:val="nil"/>
                    <w:tr2bl w:val="nil"/>
                  </w:tcBorders>
                  <w:vAlign w:val="center"/>
                </w:tcPr>
                <w:p w14:paraId="5F24F5B8">
                  <w:pPr>
                    <w:pStyle w:val="6"/>
                    <w:keepNext w:val="0"/>
                    <w:keepLines w:val="0"/>
                    <w:suppressLineNumbers w:val="0"/>
                    <w:bidi w:val="0"/>
                    <w:spacing w:before="0" w:beforeAutospacing="0" w:after="0" w:afterAutospacing="0"/>
                    <w:ind w:left="0" w:leftChars="0" w:right="0" w:rightChars="0" w:firstLine="0" w:firstLineChars="0"/>
                    <w:jc w:val="both"/>
                    <w:rPr>
                      <w:rFonts w:hint="default"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利用厂房部分面积，</w:t>
                  </w:r>
                  <w:r>
                    <w:rPr>
                      <w:rFonts w:hint="default" w:ascii="Times New Roman" w:hAnsi="Times New Roman" w:cs="Times New Roman"/>
                      <w:color w:val="auto"/>
                      <w:highlight w:val="none"/>
                    </w:rPr>
                    <w:t>建筑面积</w:t>
                  </w:r>
                  <w:r>
                    <w:rPr>
                      <w:rFonts w:hint="eastAsia" w:cs="Times New Roman"/>
                      <w:color w:val="auto"/>
                      <w:highlight w:val="none"/>
                      <w:lang w:val="en-US" w:eastAsia="zh-CN"/>
                    </w:rPr>
                    <w:t>2552.5</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1层，</w:t>
                  </w:r>
                  <w:r>
                    <w:rPr>
                      <w:rFonts w:hint="eastAsia" w:cs="Times New Roman"/>
                      <w:color w:val="auto"/>
                      <w:highlight w:val="none"/>
                      <w:lang w:val="en-US" w:eastAsia="zh-CN"/>
                    </w:rPr>
                    <w:t>高10m，分区布设生产区（1500m</w:t>
                  </w:r>
                  <w:r>
                    <w:rPr>
                      <w:rFonts w:hint="eastAsia" w:cs="Times New Roman"/>
                      <w:color w:val="auto"/>
                      <w:highlight w:val="none"/>
                      <w:vertAlign w:val="superscript"/>
                      <w:lang w:val="en-US" w:eastAsia="zh-CN"/>
                    </w:rPr>
                    <w:t>2</w:t>
                  </w:r>
                  <w:r>
                    <w:rPr>
                      <w:rFonts w:hint="eastAsia" w:cs="Times New Roman"/>
                      <w:color w:val="auto"/>
                      <w:highlight w:val="none"/>
                      <w:lang w:val="en-US" w:eastAsia="zh-CN"/>
                    </w:rPr>
                    <w:t>）、原料区、成品区、车间办公区、一般固废暂存区等</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剩余部分面积外租</w:t>
                  </w:r>
                </w:p>
              </w:tc>
            </w:tr>
            <w:tr w14:paraId="7ACCED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652" w:type="pct"/>
                  <w:vMerge w:val="restart"/>
                  <w:tcBorders>
                    <w:tl2br w:val="nil"/>
                    <w:tr2bl w:val="nil"/>
                  </w:tcBorders>
                  <w:shd w:val="clear" w:color="auto" w:fill="auto"/>
                  <w:vAlign w:val="center"/>
                </w:tcPr>
                <w:p w14:paraId="3D773885">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rPr>
                    <w:t>辅助工程</w:t>
                  </w:r>
                </w:p>
              </w:tc>
              <w:tc>
                <w:tcPr>
                  <w:tcW w:w="1842" w:type="pct"/>
                  <w:gridSpan w:val="2"/>
                  <w:tcBorders>
                    <w:tl2br w:val="nil"/>
                    <w:tr2bl w:val="nil"/>
                  </w:tcBorders>
                  <w:shd w:val="clear" w:color="auto" w:fill="auto"/>
                  <w:vAlign w:val="center"/>
                </w:tcPr>
                <w:p w14:paraId="6B666AE0">
                  <w:pPr>
                    <w:pStyle w:val="7"/>
                    <w:keepNext w:val="0"/>
                    <w:keepLines w:val="0"/>
                    <w:suppressLineNumbers w:val="0"/>
                    <w:bidi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宿舍</w:t>
                  </w:r>
                  <w:r>
                    <w:rPr>
                      <w:rFonts w:hint="eastAsia" w:ascii="Times New Roman" w:hAnsi="Times New Roman" w:eastAsia="宋体" w:cs="Times New Roman"/>
                      <w:color w:val="auto"/>
                      <w:highlight w:val="none"/>
                      <w:lang w:val="en-US" w:eastAsia="zh-CN"/>
                    </w:rPr>
                    <w:t>楼，</w:t>
                  </w:r>
                  <w:r>
                    <w:rPr>
                      <w:rFonts w:hint="eastAsia" w:cs="Times New Roman"/>
                      <w:color w:val="auto"/>
                      <w:highlight w:val="none"/>
                      <w:lang w:val="en-US" w:eastAsia="zh-CN"/>
                    </w:rPr>
                    <w:t>6</w:t>
                  </w:r>
                  <w:r>
                    <w:rPr>
                      <w:rFonts w:hint="eastAsia" w:ascii="Times New Roman" w:hAnsi="Times New Roman" w:eastAsia="宋体" w:cs="Times New Roman"/>
                      <w:color w:val="auto"/>
                      <w:highlight w:val="none"/>
                      <w:lang w:val="en-US" w:eastAsia="zh-CN"/>
                    </w:rPr>
                    <w:t>F，建筑面积</w:t>
                  </w:r>
                  <w:r>
                    <w:rPr>
                      <w:rFonts w:hint="eastAsia" w:cs="Times New Roman"/>
                      <w:color w:val="auto"/>
                      <w:kern w:val="2"/>
                      <w:sz w:val="21"/>
                      <w:szCs w:val="24"/>
                      <w:highlight w:val="none"/>
                      <w:lang w:val="en-US" w:eastAsia="zh-CN" w:bidi="ar-SA"/>
                    </w:rPr>
                    <w:t>4551.2</w:t>
                  </w:r>
                  <w:r>
                    <w:rPr>
                      <w:rFonts w:hint="eastAsia" w:ascii="Times New Roman" w:hAnsi="Times New Roman" w:eastAsia="宋体" w:cs="Times New Roman"/>
                      <w:color w:val="auto"/>
                      <w:kern w:val="2"/>
                      <w:sz w:val="21"/>
                      <w:szCs w:val="24"/>
                      <w:highlight w:val="none"/>
                      <w:lang w:val="en-US" w:eastAsia="zh-CN" w:bidi="ar-SA"/>
                    </w:rPr>
                    <w:t>m</w:t>
                  </w:r>
                  <w:r>
                    <w:rPr>
                      <w:rFonts w:hint="eastAsia" w:ascii="Times New Roman" w:hAnsi="Times New Roman" w:eastAsia="宋体" w:cs="Times New Roman"/>
                      <w:color w:val="auto"/>
                      <w:kern w:val="2"/>
                      <w:sz w:val="21"/>
                      <w:szCs w:val="24"/>
                      <w:highlight w:val="none"/>
                      <w:vertAlign w:val="superscript"/>
                      <w:lang w:val="en-US" w:eastAsia="zh-CN" w:bidi="ar-SA"/>
                    </w:rPr>
                    <w:t>2</w:t>
                  </w:r>
                </w:p>
              </w:tc>
              <w:tc>
                <w:tcPr>
                  <w:tcW w:w="1229" w:type="pct"/>
                  <w:tcBorders>
                    <w:tl2br w:val="nil"/>
                    <w:tr2bl w:val="nil"/>
                  </w:tcBorders>
                  <w:shd w:val="clear" w:color="auto" w:fill="auto"/>
                  <w:vAlign w:val="center"/>
                </w:tcPr>
                <w:p w14:paraId="298FFAC2">
                  <w:pPr>
                    <w:pStyle w:val="6"/>
                    <w:keepNext w:val="0"/>
                    <w:keepLines w:val="0"/>
                    <w:suppressLineNumbers w:val="0"/>
                    <w:bidi w:val="0"/>
                    <w:spacing w:before="0" w:beforeAutospacing="0" w:after="0" w:afterAutospacing="0"/>
                    <w:ind w:left="0" w:leftChars="0" w:right="0" w:rightChars="0" w:firstLine="0" w:firstLineChars="0"/>
                    <w:rPr>
                      <w:rFonts w:hint="default" w:cs="Times New Roman"/>
                      <w:color w:val="auto"/>
                      <w:highlight w:val="none"/>
                      <w:lang w:val="en-US" w:eastAsia="zh-CN"/>
                    </w:rPr>
                  </w:pPr>
                  <w:r>
                    <w:rPr>
                      <w:rFonts w:hint="eastAsia" w:cs="Times New Roman"/>
                      <w:color w:val="auto"/>
                      <w:highlight w:val="none"/>
                      <w:lang w:val="en-US" w:eastAsia="zh-CN"/>
                    </w:rPr>
                    <w:t>依托现有宿舍</w:t>
                  </w:r>
                  <w:r>
                    <w:rPr>
                      <w:rFonts w:hint="eastAsia" w:ascii="Times New Roman" w:hAnsi="Times New Roman" w:eastAsia="宋体" w:cs="Times New Roman"/>
                      <w:color w:val="auto"/>
                      <w:highlight w:val="none"/>
                      <w:lang w:val="en-US" w:eastAsia="zh-CN"/>
                    </w:rPr>
                    <w:t>楼</w:t>
                  </w:r>
                </w:p>
              </w:tc>
              <w:tc>
                <w:tcPr>
                  <w:tcW w:w="1275" w:type="pct"/>
                  <w:tcBorders>
                    <w:tl2br w:val="nil"/>
                    <w:tr2bl w:val="nil"/>
                  </w:tcBorders>
                  <w:shd w:val="clear" w:color="auto" w:fill="auto"/>
                  <w:vAlign w:val="center"/>
                </w:tcPr>
                <w:p w14:paraId="63F480F7">
                  <w:pPr>
                    <w:pStyle w:val="7"/>
                    <w:keepNext w:val="0"/>
                    <w:keepLines w:val="0"/>
                    <w:suppressLineNumbers w:val="0"/>
                    <w:bidi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宿舍</w:t>
                  </w:r>
                  <w:r>
                    <w:rPr>
                      <w:rFonts w:hint="eastAsia" w:ascii="Times New Roman" w:hAnsi="Times New Roman" w:eastAsia="宋体" w:cs="Times New Roman"/>
                      <w:color w:val="auto"/>
                      <w:highlight w:val="none"/>
                      <w:lang w:val="en-US" w:eastAsia="zh-CN"/>
                    </w:rPr>
                    <w:t>楼，</w:t>
                  </w:r>
                  <w:r>
                    <w:rPr>
                      <w:rFonts w:hint="eastAsia" w:cs="Times New Roman"/>
                      <w:color w:val="auto"/>
                      <w:highlight w:val="none"/>
                      <w:lang w:val="en-US" w:eastAsia="zh-CN"/>
                    </w:rPr>
                    <w:t>6</w:t>
                  </w:r>
                  <w:r>
                    <w:rPr>
                      <w:rFonts w:hint="eastAsia" w:ascii="Times New Roman" w:hAnsi="Times New Roman" w:eastAsia="宋体" w:cs="Times New Roman"/>
                      <w:color w:val="auto"/>
                      <w:highlight w:val="none"/>
                      <w:lang w:val="en-US" w:eastAsia="zh-CN"/>
                    </w:rPr>
                    <w:t>F，建筑面积</w:t>
                  </w:r>
                  <w:r>
                    <w:rPr>
                      <w:rFonts w:hint="eastAsia" w:cs="Times New Roman"/>
                      <w:color w:val="auto"/>
                      <w:kern w:val="2"/>
                      <w:sz w:val="21"/>
                      <w:szCs w:val="24"/>
                      <w:highlight w:val="none"/>
                      <w:lang w:val="en-US" w:eastAsia="zh-CN" w:bidi="ar-SA"/>
                    </w:rPr>
                    <w:t>4551.2</w:t>
                  </w:r>
                  <w:r>
                    <w:rPr>
                      <w:rFonts w:hint="eastAsia" w:ascii="Times New Roman" w:hAnsi="Times New Roman" w:eastAsia="宋体" w:cs="Times New Roman"/>
                      <w:color w:val="auto"/>
                      <w:kern w:val="2"/>
                      <w:sz w:val="21"/>
                      <w:szCs w:val="24"/>
                      <w:highlight w:val="none"/>
                      <w:lang w:val="en-US" w:eastAsia="zh-CN" w:bidi="ar-SA"/>
                    </w:rPr>
                    <w:t>m</w:t>
                  </w:r>
                  <w:r>
                    <w:rPr>
                      <w:rFonts w:hint="eastAsia" w:ascii="Times New Roman" w:hAnsi="Times New Roman" w:eastAsia="宋体" w:cs="Times New Roman"/>
                      <w:color w:val="auto"/>
                      <w:kern w:val="2"/>
                      <w:sz w:val="21"/>
                      <w:szCs w:val="24"/>
                      <w:highlight w:val="none"/>
                      <w:vertAlign w:val="superscript"/>
                      <w:lang w:val="en-US" w:eastAsia="zh-CN" w:bidi="ar-SA"/>
                    </w:rPr>
                    <w:t>2</w:t>
                  </w:r>
                </w:p>
              </w:tc>
            </w:tr>
            <w:tr w14:paraId="439033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652" w:type="pct"/>
                  <w:vMerge w:val="continue"/>
                  <w:tcBorders>
                    <w:tl2br w:val="nil"/>
                    <w:tr2bl w:val="nil"/>
                  </w:tcBorders>
                  <w:shd w:val="clear" w:color="auto" w:fill="auto"/>
                  <w:vAlign w:val="center"/>
                </w:tcPr>
                <w:p w14:paraId="28C1C97A">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p>
              </w:tc>
              <w:tc>
                <w:tcPr>
                  <w:tcW w:w="1842" w:type="pct"/>
                  <w:gridSpan w:val="2"/>
                  <w:tcBorders>
                    <w:tl2br w:val="nil"/>
                    <w:tr2bl w:val="nil"/>
                  </w:tcBorders>
                  <w:shd w:val="clear" w:color="auto" w:fill="auto"/>
                  <w:vAlign w:val="center"/>
                </w:tcPr>
                <w:p w14:paraId="443D2C12">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门卫1，1F，</w:t>
                  </w:r>
                  <w:r>
                    <w:rPr>
                      <w:rFonts w:hint="eastAsia" w:ascii="Times New Roman" w:hAnsi="Times New Roman" w:eastAsia="宋体" w:cs="Times New Roman"/>
                      <w:color w:val="auto"/>
                      <w:kern w:val="2"/>
                      <w:sz w:val="21"/>
                      <w:szCs w:val="24"/>
                      <w:highlight w:val="none"/>
                      <w:lang w:val="en-US" w:eastAsia="zh-CN" w:bidi="ar-SA"/>
                    </w:rPr>
                    <w:t>建筑面积41m</w:t>
                  </w:r>
                  <w:r>
                    <w:rPr>
                      <w:rFonts w:hint="eastAsia" w:ascii="Times New Roman" w:hAnsi="Times New Roman" w:eastAsia="宋体" w:cs="Times New Roman"/>
                      <w:color w:val="auto"/>
                      <w:kern w:val="2"/>
                      <w:sz w:val="21"/>
                      <w:szCs w:val="24"/>
                      <w:highlight w:val="none"/>
                      <w:vertAlign w:val="superscript"/>
                      <w:lang w:val="en-US" w:eastAsia="zh-CN" w:bidi="ar-SA"/>
                    </w:rPr>
                    <w:t>2</w:t>
                  </w:r>
                </w:p>
              </w:tc>
              <w:tc>
                <w:tcPr>
                  <w:tcW w:w="1229" w:type="pct"/>
                  <w:tcBorders>
                    <w:tl2br w:val="nil"/>
                    <w:tr2bl w:val="nil"/>
                  </w:tcBorders>
                  <w:shd w:val="clear" w:color="auto" w:fill="auto"/>
                  <w:vAlign w:val="center"/>
                </w:tcPr>
                <w:p w14:paraId="62452A42">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highlight w:val="none"/>
                      <w:lang w:val="en-US" w:eastAsia="zh-CN"/>
                    </w:rPr>
                  </w:pPr>
                  <w:r>
                    <w:rPr>
                      <w:rFonts w:hint="eastAsia" w:cs="Times New Roman"/>
                      <w:color w:val="auto"/>
                      <w:highlight w:val="none"/>
                      <w:lang w:val="en-US" w:eastAsia="zh-CN"/>
                    </w:rPr>
                    <w:t>依托现有</w:t>
                  </w:r>
                </w:p>
              </w:tc>
              <w:tc>
                <w:tcPr>
                  <w:tcW w:w="1275" w:type="pct"/>
                  <w:tcBorders>
                    <w:tl2br w:val="nil"/>
                    <w:tr2bl w:val="nil"/>
                  </w:tcBorders>
                  <w:shd w:val="clear" w:color="auto" w:fill="auto"/>
                  <w:vAlign w:val="center"/>
                </w:tcPr>
                <w:p w14:paraId="3AC98530">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门卫1，1F，</w:t>
                  </w:r>
                  <w:r>
                    <w:rPr>
                      <w:rFonts w:hint="eastAsia" w:ascii="Times New Roman" w:hAnsi="Times New Roman" w:eastAsia="宋体" w:cs="Times New Roman"/>
                      <w:color w:val="auto"/>
                      <w:kern w:val="2"/>
                      <w:sz w:val="21"/>
                      <w:szCs w:val="24"/>
                      <w:highlight w:val="none"/>
                      <w:lang w:val="en-US" w:eastAsia="zh-CN" w:bidi="ar-SA"/>
                    </w:rPr>
                    <w:t>建筑面积41m</w:t>
                  </w:r>
                  <w:r>
                    <w:rPr>
                      <w:rFonts w:hint="eastAsia" w:ascii="Times New Roman" w:hAnsi="Times New Roman" w:eastAsia="宋体" w:cs="Times New Roman"/>
                      <w:color w:val="auto"/>
                      <w:kern w:val="2"/>
                      <w:sz w:val="21"/>
                      <w:szCs w:val="24"/>
                      <w:highlight w:val="none"/>
                      <w:vertAlign w:val="superscript"/>
                      <w:lang w:val="en-US" w:eastAsia="zh-CN" w:bidi="ar-SA"/>
                    </w:rPr>
                    <w:t>2</w:t>
                  </w:r>
                </w:p>
              </w:tc>
            </w:tr>
            <w:tr w14:paraId="2758C7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652" w:type="pct"/>
                  <w:vMerge w:val="continue"/>
                  <w:tcBorders>
                    <w:tl2br w:val="nil"/>
                    <w:tr2bl w:val="nil"/>
                  </w:tcBorders>
                  <w:shd w:val="clear" w:color="auto" w:fill="auto"/>
                  <w:vAlign w:val="center"/>
                </w:tcPr>
                <w:p w14:paraId="5BC6A608">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p>
              </w:tc>
              <w:tc>
                <w:tcPr>
                  <w:tcW w:w="1842" w:type="pct"/>
                  <w:gridSpan w:val="2"/>
                  <w:tcBorders>
                    <w:tl2br w:val="nil"/>
                    <w:tr2bl w:val="nil"/>
                  </w:tcBorders>
                  <w:shd w:val="clear" w:color="auto" w:fill="auto"/>
                  <w:vAlign w:val="center"/>
                </w:tcPr>
                <w:p w14:paraId="265CA1AB">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vertAlign w:val="baseline"/>
                      <w:lang w:val="en-US" w:eastAsia="zh-CN"/>
                    </w:rPr>
                    <w:t>门卫2</w:t>
                  </w:r>
                  <w:r>
                    <w:rPr>
                      <w:rFonts w:hint="eastAsia" w:ascii="Times New Roman" w:hAnsi="Times New Roman" w:eastAsia="宋体" w:cs="Times New Roman"/>
                      <w:color w:val="auto"/>
                      <w:highlight w:val="none"/>
                      <w:lang w:val="en-US" w:eastAsia="zh-CN"/>
                    </w:rPr>
                    <w:t>，1F，</w:t>
                  </w:r>
                  <w:r>
                    <w:rPr>
                      <w:rFonts w:hint="eastAsia" w:ascii="Times New Roman" w:hAnsi="Times New Roman" w:eastAsia="宋体" w:cs="Times New Roman"/>
                      <w:color w:val="auto"/>
                      <w:kern w:val="2"/>
                      <w:sz w:val="21"/>
                      <w:szCs w:val="24"/>
                      <w:highlight w:val="none"/>
                      <w:lang w:val="en-US" w:eastAsia="zh-CN" w:bidi="ar-SA"/>
                    </w:rPr>
                    <w:t>建筑面积41m</w:t>
                  </w:r>
                  <w:r>
                    <w:rPr>
                      <w:rFonts w:hint="eastAsia" w:ascii="Times New Roman" w:hAnsi="Times New Roman" w:eastAsia="宋体" w:cs="Times New Roman"/>
                      <w:color w:val="auto"/>
                      <w:kern w:val="2"/>
                      <w:sz w:val="21"/>
                      <w:szCs w:val="24"/>
                      <w:highlight w:val="none"/>
                      <w:vertAlign w:val="superscript"/>
                      <w:lang w:val="en-US" w:eastAsia="zh-CN" w:bidi="ar-SA"/>
                    </w:rPr>
                    <w:t>2</w:t>
                  </w:r>
                </w:p>
              </w:tc>
              <w:tc>
                <w:tcPr>
                  <w:tcW w:w="1229" w:type="pct"/>
                  <w:tcBorders>
                    <w:tl2br w:val="nil"/>
                    <w:tr2bl w:val="nil"/>
                  </w:tcBorders>
                  <w:shd w:val="clear" w:color="auto" w:fill="auto"/>
                  <w:vAlign w:val="center"/>
                </w:tcPr>
                <w:p w14:paraId="1C23C4DC">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highlight w:val="none"/>
                      <w:lang w:val="en-US" w:eastAsia="zh-CN"/>
                    </w:rPr>
                  </w:pPr>
                  <w:r>
                    <w:rPr>
                      <w:rFonts w:hint="eastAsia" w:cs="Times New Roman"/>
                      <w:color w:val="auto"/>
                      <w:highlight w:val="none"/>
                      <w:lang w:val="en-US" w:eastAsia="zh-CN"/>
                    </w:rPr>
                    <w:t>依托现有</w:t>
                  </w:r>
                </w:p>
              </w:tc>
              <w:tc>
                <w:tcPr>
                  <w:tcW w:w="1275" w:type="pct"/>
                  <w:tcBorders>
                    <w:tl2br w:val="nil"/>
                    <w:tr2bl w:val="nil"/>
                  </w:tcBorders>
                  <w:shd w:val="clear" w:color="auto" w:fill="auto"/>
                  <w:vAlign w:val="center"/>
                </w:tcPr>
                <w:p w14:paraId="20CC9F5E">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vertAlign w:val="baseline"/>
                      <w:lang w:val="en-US" w:eastAsia="zh-CN"/>
                    </w:rPr>
                    <w:t>门卫2</w:t>
                  </w:r>
                  <w:r>
                    <w:rPr>
                      <w:rFonts w:hint="eastAsia" w:ascii="Times New Roman" w:hAnsi="Times New Roman" w:eastAsia="宋体" w:cs="Times New Roman"/>
                      <w:color w:val="auto"/>
                      <w:highlight w:val="none"/>
                      <w:lang w:val="en-US" w:eastAsia="zh-CN"/>
                    </w:rPr>
                    <w:t>，1F，</w:t>
                  </w:r>
                  <w:r>
                    <w:rPr>
                      <w:rFonts w:hint="eastAsia" w:ascii="Times New Roman" w:hAnsi="Times New Roman" w:eastAsia="宋体" w:cs="Times New Roman"/>
                      <w:color w:val="auto"/>
                      <w:kern w:val="2"/>
                      <w:sz w:val="21"/>
                      <w:szCs w:val="24"/>
                      <w:highlight w:val="none"/>
                      <w:lang w:val="en-US" w:eastAsia="zh-CN" w:bidi="ar-SA"/>
                    </w:rPr>
                    <w:t>建筑面积41m</w:t>
                  </w:r>
                  <w:r>
                    <w:rPr>
                      <w:rFonts w:hint="eastAsia" w:ascii="Times New Roman" w:hAnsi="Times New Roman" w:eastAsia="宋体" w:cs="Times New Roman"/>
                      <w:color w:val="auto"/>
                      <w:kern w:val="2"/>
                      <w:sz w:val="21"/>
                      <w:szCs w:val="24"/>
                      <w:highlight w:val="none"/>
                      <w:vertAlign w:val="superscript"/>
                      <w:lang w:val="en-US" w:eastAsia="zh-CN" w:bidi="ar-SA"/>
                    </w:rPr>
                    <w:t>2</w:t>
                  </w:r>
                </w:p>
              </w:tc>
            </w:tr>
            <w:tr w14:paraId="01445B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652" w:type="pct"/>
                  <w:vMerge w:val="continue"/>
                  <w:tcBorders>
                    <w:tl2br w:val="nil"/>
                    <w:tr2bl w:val="nil"/>
                  </w:tcBorders>
                  <w:vAlign w:val="center"/>
                </w:tcPr>
                <w:p w14:paraId="3D674A66">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p>
              </w:tc>
              <w:tc>
                <w:tcPr>
                  <w:tcW w:w="1842" w:type="pct"/>
                  <w:gridSpan w:val="2"/>
                  <w:tcBorders>
                    <w:tl2br w:val="nil"/>
                    <w:tr2bl w:val="nil"/>
                  </w:tcBorders>
                  <w:shd w:val="clear" w:color="auto" w:fill="auto"/>
                  <w:vAlign w:val="center"/>
                </w:tcPr>
                <w:p w14:paraId="7043C9E7">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highlight w:val="none"/>
                      <w:lang w:val="en-US" w:eastAsia="zh-CN"/>
                    </w:rPr>
                  </w:pPr>
                  <w:r>
                    <w:rPr>
                      <w:rFonts w:hint="eastAsia" w:ascii="Times New Roman" w:hAnsi="Times New Roman" w:cs="Times New Roman"/>
                      <w:color w:val="auto"/>
                      <w:highlight w:val="none"/>
                      <w:vertAlign w:val="baseline"/>
                      <w:lang w:val="en-US" w:eastAsia="zh-CN"/>
                    </w:rPr>
                    <w:t>配电房</w:t>
                  </w:r>
                  <w:r>
                    <w:rPr>
                      <w:rFonts w:hint="eastAsia" w:ascii="Times New Roman" w:hAnsi="Times New Roman" w:eastAsia="宋体" w:cs="Times New Roman"/>
                      <w:color w:val="auto"/>
                      <w:highlight w:val="none"/>
                      <w:lang w:val="en-US" w:eastAsia="zh-CN"/>
                    </w:rPr>
                    <w:t>，1F，</w:t>
                  </w:r>
                  <w:r>
                    <w:rPr>
                      <w:rFonts w:hint="eastAsia" w:ascii="Times New Roman" w:hAnsi="Times New Roman" w:eastAsia="宋体" w:cs="Times New Roman"/>
                      <w:color w:val="auto"/>
                      <w:kern w:val="2"/>
                      <w:sz w:val="21"/>
                      <w:szCs w:val="24"/>
                      <w:highlight w:val="none"/>
                      <w:lang w:val="en-US" w:eastAsia="zh-CN" w:bidi="ar-SA"/>
                    </w:rPr>
                    <w:t>建筑面积120m</w:t>
                  </w:r>
                  <w:r>
                    <w:rPr>
                      <w:rFonts w:hint="eastAsia" w:ascii="Times New Roman" w:hAnsi="Times New Roman" w:eastAsia="宋体" w:cs="Times New Roman"/>
                      <w:color w:val="auto"/>
                      <w:kern w:val="2"/>
                      <w:sz w:val="21"/>
                      <w:szCs w:val="24"/>
                      <w:highlight w:val="none"/>
                      <w:vertAlign w:val="superscript"/>
                      <w:lang w:val="en-US" w:eastAsia="zh-CN" w:bidi="ar-SA"/>
                    </w:rPr>
                    <w:t>2</w:t>
                  </w:r>
                </w:p>
              </w:tc>
              <w:tc>
                <w:tcPr>
                  <w:tcW w:w="1229" w:type="pct"/>
                  <w:tcBorders>
                    <w:tl2br w:val="nil"/>
                    <w:tr2bl w:val="nil"/>
                  </w:tcBorders>
                  <w:shd w:val="clear" w:color="auto" w:fill="auto"/>
                  <w:vAlign w:val="center"/>
                </w:tcPr>
                <w:p w14:paraId="28FE39F6">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highlight w:val="none"/>
                      <w:lang w:val="en-US" w:eastAsia="zh-CN"/>
                    </w:rPr>
                  </w:pPr>
                  <w:r>
                    <w:rPr>
                      <w:rFonts w:hint="eastAsia" w:cs="Times New Roman"/>
                      <w:color w:val="auto"/>
                      <w:highlight w:val="none"/>
                      <w:lang w:val="en-US" w:eastAsia="zh-CN"/>
                    </w:rPr>
                    <w:t>依托现有</w:t>
                  </w:r>
                </w:p>
              </w:tc>
              <w:tc>
                <w:tcPr>
                  <w:tcW w:w="1275" w:type="pct"/>
                  <w:tcBorders>
                    <w:tl2br w:val="nil"/>
                    <w:tr2bl w:val="nil"/>
                  </w:tcBorders>
                  <w:vAlign w:val="center"/>
                </w:tcPr>
                <w:p w14:paraId="177350E6">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kern w:val="2"/>
                      <w:sz w:val="21"/>
                      <w:szCs w:val="24"/>
                      <w:highlight w:val="none"/>
                      <w:lang w:val="en-US" w:eastAsia="zh-CN" w:bidi="ar-SA"/>
                    </w:rPr>
                  </w:pPr>
                  <w:r>
                    <w:rPr>
                      <w:rFonts w:hint="eastAsia" w:ascii="Times New Roman" w:hAnsi="Times New Roman" w:cs="Times New Roman"/>
                      <w:color w:val="auto"/>
                      <w:highlight w:val="none"/>
                      <w:vertAlign w:val="baseline"/>
                      <w:lang w:val="en-US" w:eastAsia="zh-CN"/>
                    </w:rPr>
                    <w:t>配电房</w:t>
                  </w:r>
                  <w:r>
                    <w:rPr>
                      <w:rFonts w:hint="eastAsia" w:ascii="Times New Roman" w:hAnsi="Times New Roman" w:eastAsia="宋体" w:cs="Times New Roman"/>
                      <w:color w:val="auto"/>
                      <w:highlight w:val="none"/>
                      <w:lang w:val="en-US" w:eastAsia="zh-CN"/>
                    </w:rPr>
                    <w:t>，1F，</w:t>
                  </w:r>
                  <w:r>
                    <w:rPr>
                      <w:rFonts w:hint="eastAsia" w:ascii="Times New Roman" w:hAnsi="Times New Roman" w:eastAsia="宋体" w:cs="Times New Roman"/>
                      <w:color w:val="auto"/>
                      <w:kern w:val="2"/>
                      <w:sz w:val="21"/>
                      <w:szCs w:val="24"/>
                      <w:highlight w:val="none"/>
                      <w:lang w:val="en-US" w:eastAsia="zh-CN" w:bidi="ar-SA"/>
                    </w:rPr>
                    <w:t>建筑面积120m</w:t>
                  </w:r>
                  <w:r>
                    <w:rPr>
                      <w:rFonts w:hint="eastAsia" w:ascii="Times New Roman" w:hAnsi="Times New Roman" w:eastAsia="宋体" w:cs="Times New Roman"/>
                      <w:color w:val="auto"/>
                      <w:kern w:val="2"/>
                      <w:sz w:val="21"/>
                      <w:szCs w:val="24"/>
                      <w:highlight w:val="none"/>
                      <w:vertAlign w:val="superscript"/>
                      <w:lang w:val="en-US" w:eastAsia="zh-CN" w:bidi="ar-SA"/>
                    </w:rPr>
                    <w:t>2</w:t>
                  </w:r>
                </w:p>
              </w:tc>
            </w:tr>
            <w:tr w14:paraId="565FF0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652" w:type="pct"/>
                  <w:vMerge w:val="restart"/>
                  <w:tcBorders>
                    <w:tl2br w:val="nil"/>
                    <w:tr2bl w:val="nil"/>
                  </w:tcBorders>
                  <w:vAlign w:val="center"/>
                </w:tcPr>
                <w:p w14:paraId="69D53B3D">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lang w:val="en-US" w:eastAsia="zh-CN"/>
                    </w:rPr>
                    <w:t>贮运工程</w:t>
                  </w:r>
                </w:p>
              </w:tc>
              <w:tc>
                <w:tcPr>
                  <w:tcW w:w="724" w:type="pct"/>
                  <w:tcBorders>
                    <w:tl2br w:val="nil"/>
                    <w:tr2bl w:val="nil"/>
                  </w:tcBorders>
                  <w:vAlign w:val="center"/>
                </w:tcPr>
                <w:p w14:paraId="69A860FE">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lang w:val="en-US" w:eastAsia="zh-CN"/>
                    </w:rPr>
                  </w:pPr>
                  <w:r>
                    <w:rPr>
                      <w:rFonts w:hint="eastAsia" w:ascii="Times New Roman" w:hAnsi="Times New Roman" w:eastAsia="宋体" w:cs="Times New Roman"/>
                      <w:color w:val="auto"/>
                      <w:kern w:val="2"/>
                      <w:sz w:val="21"/>
                      <w:szCs w:val="24"/>
                      <w:highlight w:val="none"/>
                      <w:lang w:val="en-US" w:eastAsia="zh-CN" w:bidi="ar-SA"/>
                    </w:rPr>
                    <w:t>2</w:t>
                  </w:r>
                  <w:r>
                    <w:rPr>
                      <w:rFonts w:hint="eastAsia" w:cs="Times New Roman"/>
                      <w:color w:val="auto"/>
                      <w:highlight w:val="none"/>
                      <w:lang w:val="en-US" w:eastAsia="zh-CN"/>
                    </w:rPr>
                    <w:t>#车间</w:t>
                  </w:r>
                </w:p>
              </w:tc>
              <w:tc>
                <w:tcPr>
                  <w:tcW w:w="1118" w:type="pct"/>
                  <w:tcBorders>
                    <w:tl2br w:val="nil"/>
                    <w:tr2bl w:val="nil"/>
                  </w:tcBorders>
                  <w:vAlign w:val="center"/>
                </w:tcPr>
                <w:p w14:paraId="1FE454C5">
                  <w:pPr>
                    <w:pStyle w:val="6"/>
                    <w:keepNext w:val="0"/>
                    <w:keepLines w:val="0"/>
                    <w:suppressLineNumbers w:val="0"/>
                    <w:bidi w:val="0"/>
                    <w:spacing w:before="0" w:beforeAutospacing="0" w:after="0" w:afterAutospacing="0"/>
                    <w:ind w:left="0" w:leftChars="0" w:right="0" w:rightChars="0" w:firstLine="0" w:firstLineChars="0"/>
                    <w:jc w:val="both"/>
                    <w:rPr>
                      <w:rFonts w:hint="default" w:ascii="Times New Roman" w:hAnsi="Times New Roman" w:cs="Times New Roman"/>
                      <w:color w:val="auto"/>
                      <w:highlight w:val="none"/>
                      <w:lang w:val="en-US" w:eastAsia="zh-CN"/>
                    </w:rPr>
                  </w:pPr>
                  <w:r>
                    <w:rPr>
                      <w:rFonts w:hint="eastAsia" w:ascii="Times New Roman" w:hAnsi="Times New Roman" w:eastAsia="宋体" w:cs="Times New Roman"/>
                      <w:color w:val="auto"/>
                      <w:kern w:val="2"/>
                      <w:sz w:val="21"/>
                      <w:szCs w:val="24"/>
                      <w:highlight w:val="none"/>
                      <w:lang w:val="en-US" w:eastAsia="zh-CN" w:bidi="ar-SA"/>
                    </w:rPr>
                    <w:t>硅酮密封胶仓库，1F，建筑面积5</w:t>
                  </w:r>
                  <w:r>
                    <w:rPr>
                      <w:rFonts w:hint="eastAsia" w:cs="Times New Roman"/>
                      <w:color w:val="auto"/>
                      <w:kern w:val="2"/>
                      <w:sz w:val="21"/>
                      <w:szCs w:val="24"/>
                      <w:highlight w:val="none"/>
                      <w:lang w:val="en-US" w:eastAsia="zh-CN" w:bidi="ar-SA"/>
                    </w:rPr>
                    <w:t>105</w:t>
                  </w:r>
                  <w:r>
                    <w:rPr>
                      <w:rFonts w:hint="eastAsia" w:ascii="Times New Roman" w:hAnsi="Times New Roman" w:eastAsia="宋体" w:cs="Times New Roman"/>
                      <w:color w:val="auto"/>
                      <w:kern w:val="2"/>
                      <w:sz w:val="21"/>
                      <w:szCs w:val="24"/>
                      <w:highlight w:val="none"/>
                      <w:lang w:val="en-US" w:eastAsia="zh-CN" w:bidi="ar-SA"/>
                    </w:rPr>
                    <w:t>m</w:t>
                  </w:r>
                  <w:r>
                    <w:rPr>
                      <w:rFonts w:hint="eastAsia" w:ascii="Times New Roman" w:hAnsi="Times New Roman" w:eastAsia="宋体" w:cs="Times New Roman"/>
                      <w:color w:val="auto"/>
                      <w:kern w:val="2"/>
                      <w:sz w:val="21"/>
                      <w:szCs w:val="24"/>
                      <w:highlight w:val="none"/>
                      <w:vertAlign w:val="superscript"/>
                      <w:lang w:val="en-US" w:eastAsia="zh-CN" w:bidi="ar-SA"/>
                    </w:rPr>
                    <w:t>2</w:t>
                  </w:r>
                  <w:r>
                    <w:rPr>
                      <w:rFonts w:hint="eastAsia" w:ascii="Times New Roman" w:hAnsi="Times New Roman" w:eastAsia="宋体" w:cs="Times New Roman"/>
                      <w:color w:val="auto"/>
                      <w:kern w:val="2"/>
                      <w:sz w:val="21"/>
                      <w:szCs w:val="24"/>
                      <w:highlight w:val="none"/>
                      <w:lang w:val="en-US" w:eastAsia="zh-CN" w:bidi="ar-SA"/>
                    </w:rPr>
                    <w:t>，钢构，乙级车间</w:t>
                  </w:r>
                </w:p>
              </w:tc>
              <w:tc>
                <w:tcPr>
                  <w:tcW w:w="1229" w:type="pct"/>
                  <w:tcBorders>
                    <w:tl2br w:val="nil"/>
                    <w:tr2bl w:val="nil"/>
                  </w:tcBorders>
                  <w:vAlign w:val="center"/>
                </w:tcPr>
                <w:p w14:paraId="1236D2D6">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1275" w:type="pct"/>
                  <w:tcBorders>
                    <w:tl2br w:val="nil"/>
                    <w:tr2bl w:val="nil"/>
                  </w:tcBorders>
                  <w:vAlign w:val="center"/>
                </w:tcPr>
                <w:p w14:paraId="4E546338">
                  <w:pPr>
                    <w:pStyle w:val="6"/>
                    <w:keepNext w:val="0"/>
                    <w:keepLines w:val="0"/>
                    <w:suppressLineNumbers w:val="0"/>
                    <w:bidi w:val="0"/>
                    <w:spacing w:before="0" w:beforeAutospacing="0" w:after="0" w:afterAutospacing="0"/>
                    <w:ind w:left="0" w:leftChars="0" w:right="0" w:rightChars="0" w:firstLine="0" w:firstLineChars="0"/>
                    <w:jc w:val="both"/>
                    <w:rPr>
                      <w:rFonts w:hint="default" w:ascii="Times New Roman" w:hAnsi="Times New Roman" w:cs="Times New Roman"/>
                      <w:color w:val="auto"/>
                      <w:highlight w:val="none"/>
                      <w:lang w:val="en-US" w:eastAsia="zh-CN"/>
                    </w:rPr>
                  </w:pPr>
                  <w:r>
                    <w:rPr>
                      <w:rFonts w:hint="eastAsia" w:ascii="Times New Roman" w:hAnsi="Times New Roman" w:eastAsia="宋体" w:cs="Times New Roman"/>
                      <w:color w:val="auto"/>
                      <w:kern w:val="2"/>
                      <w:sz w:val="21"/>
                      <w:szCs w:val="24"/>
                      <w:highlight w:val="none"/>
                      <w:lang w:val="en-US" w:eastAsia="zh-CN" w:bidi="ar-SA"/>
                    </w:rPr>
                    <w:t>硅酮密封胶仓库，1F，建筑面积5</w:t>
                  </w:r>
                  <w:r>
                    <w:rPr>
                      <w:rFonts w:hint="eastAsia" w:cs="Times New Roman"/>
                      <w:color w:val="auto"/>
                      <w:kern w:val="2"/>
                      <w:sz w:val="21"/>
                      <w:szCs w:val="24"/>
                      <w:highlight w:val="none"/>
                      <w:lang w:val="en-US" w:eastAsia="zh-CN" w:bidi="ar-SA"/>
                    </w:rPr>
                    <w:t>105</w:t>
                  </w:r>
                  <w:r>
                    <w:rPr>
                      <w:rFonts w:hint="eastAsia" w:ascii="Times New Roman" w:hAnsi="Times New Roman" w:eastAsia="宋体" w:cs="Times New Roman"/>
                      <w:color w:val="auto"/>
                      <w:kern w:val="2"/>
                      <w:sz w:val="21"/>
                      <w:szCs w:val="24"/>
                      <w:highlight w:val="none"/>
                      <w:lang w:val="en-US" w:eastAsia="zh-CN" w:bidi="ar-SA"/>
                    </w:rPr>
                    <w:t>m</w:t>
                  </w:r>
                  <w:r>
                    <w:rPr>
                      <w:rFonts w:hint="eastAsia" w:ascii="Times New Roman" w:hAnsi="Times New Roman" w:eastAsia="宋体" w:cs="Times New Roman"/>
                      <w:color w:val="auto"/>
                      <w:kern w:val="2"/>
                      <w:sz w:val="21"/>
                      <w:szCs w:val="24"/>
                      <w:highlight w:val="none"/>
                      <w:vertAlign w:val="superscript"/>
                      <w:lang w:val="en-US" w:eastAsia="zh-CN" w:bidi="ar-SA"/>
                    </w:rPr>
                    <w:t>2</w:t>
                  </w:r>
                  <w:r>
                    <w:rPr>
                      <w:rFonts w:hint="eastAsia" w:ascii="Times New Roman" w:hAnsi="Times New Roman" w:eastAsia="宋体" w:cs="Times New Roman"/>
                      <w:color w:val="auto"/>
                      <w:kern w:val="2"/>
                      <w:sz w:val="21"/>
                      <w:szCs w:val="24"/>
                      <w:highlight w:val="none"/>
                      <w:lang w:val="en-US" w:eastAsia="zh-CN" w:bidi="ar-SA"/>
                    </w:rPr>
                    <w:t>，钢构，乙级车间</w:t>
                  </w:r>
                </w:p>
              </w:tc>
            </w:tr>
            <w:tr w14:paraId="17E458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652" w:type="pct"/>
                  <w:vMerge w:val="continue"/>
                  <w:tcBorders>
                    <w:tl2br w:val="nil"/>
                    <w:tr2bl w:val="nil"/>
                  </w:tcBorders>
                  <w:vAlign w:val="center"/>
                </w:tcPr>
                <w:p w14:paraId="0E2FA782">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lang w:val="en-US" w:eastAsia="zh-CN"/>
                    </w:rPr>
                  </w:pPr>
                </w:p>
              </w:tc>
              <w:tc>
                <w:tcPr>
                  <w:tcW w:w="724" w:type="pct"/>
                  <w:tcBorders>
                    <w:tl2br w:val="nil"/>
                    <w:tr2bl w:val="nil"/>
                  </w:tcBorders>
                  <w:vAlign w:val="center"/>
                </w:tcPr>
                <w:p w14:paraId="344A732D">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lang w:val="en-US" w:eastAsia="zh-CN"/>
                    </w:rPr>
                  </w:pPr>
                  <w:r>
                    <w:rPr>
                      <w:rFonts w:hint="eastAsia" w:ascii="Times New Roman" w:hAnsi="Times New Roman" w:eastAsia="宋体" w:cs="Times New Roman"/>
                      <w:color w:val="auto"/>
                      <w:kern w:val="2"/>
                      <w:sz w:val="21"/>
                      <w:szCs w:val="24"/>
                      <w:highlight w:val="none"/>
                      <w:lang w:val="en-US" w:eastAsia="zh-CN" w:bidi="ar-SA"/>
                    </w:rPr>
                    <w:t>4</w:t>
                  </w:r>
                  <w:r>
                    <w:rPr>
                      <w:rFonts w:hint="eastAsia" w:cs="Times New Roman"/>
                      <w:color w:val="auto"/>
                      <w:highlight w:val="none"/>
                      <w:lang w:val="en-US" w:eastAsia="zh-CN"/>
                    </w:rPr>
                    <w:t>#车间</w:t>
                  </w:r>
                </w:p>
              </w:tc>
              <w:tc>
                <w:tcPr>
                  <w:tcW w:w="1118" w:type="pct"/>
                  <w:tcBorders>
                    <w:tl2br w:val="nil"/>
                    <w:tr2bl w:val="nil"/>
                  </w:tcBorders>
                  <w:vAlign w:val="center"/>
                </w:tcPr>
                <w:p w14:paraId="36A289FD">
                  <w:pPr>
                    <w:pStyle w:val="6"/>
                    <w:keepNext w:val="0"/>
                    <w:keepLines w:val="0"/>
                    <w:suppressLineNumbers w:val="0"/>
                    <w:bidi w:val="0"/>
                    <w:spacing w:before="0" w:beforeAutospacing="0" w:after="0" w:afterAutospacing="0"/>
                    <w:ind w:left="0" w:leftChars="0" w:right="0" w:rightChars="0" w:firstLine="0" w:firstLineChars="0"/>
                    <w:jc w:val="both"/>
                    <w:rPr>
                      <w:rFonts w:hint="default" w:ascii="Times New Roman" w:hAnsi="Times New Roman" w:cs="Times New Roman"/>
                      <w:color w:val="auto"/>
                      <w:highlight w:val="none"/>
                      <w:lang w:val="en-US" w:eastAsia="zh-CN"/>
                    </w:rPr>
                  </w:pPr>
                  <w:r>
                    <w:rPr>
                      <w:rFonts w:hint="eastAsia" w:ascii="Times New Roman" w:hAnsi="Times New Roman" w:eastAsia="宋体" w:cs="Times New Roman"/>
                      <w:color w:val="auto"/>
                      <w:kern w:val="2"/>
                      <w:sz w:val="21"/>
                      <w:szCs w:val="24"/>
                      <w:highlight w:val="none"/>
                      <w:lang w:val="en-US" w:eastAsia="zh-CN" w:bidi="ar-SA"/>
                    </w:rPr>
                    <w:t>三元乙丙密封胶条仓库，1F，建筑面积5</w:t>
                  </w:r>
                  <w:r>
                    <w:rPr>
                      <w:rFonts w:hint="eastAsia" w:cs="Times New Roman"/>
                      <w:color w:val="auto"/>
                      <w:kern w:val="2"/>
                      <w:sz w:val="21"/>
                      <w:szCs w:val="24"/>
                      <w:highlight w:val="none"/>
                      <w:lang w:val="en-US" w:eastAsia="zh-CN" w:bidi="ar-SA"/>
                    </w:rPr>
                    <w:t>105</w:t>
                  </w:r>
                  <w:r>
                    <w:rPr>
                      <w:rFonts w:hint="eastAsia" w:ascii="Times New Roman" w:hAnsi="Times New Roman" w:eastAsia="宋体" w:cs="Times New Roman"/>
                      <w:color w:val="auto"/>
                      <w:kern w:val="2"/>
                      <w:sz w:val="21"/>
                      <w:szCs w:val="24"/>
                      <w:highlight w:val="none"/>
                      <w:lang w:val="en-US" w:eastAsia="zh-CN" w:bidi="ar-SA"/>
                    </w:rPr>
                    <w:t>m</w:t>
                  </w:r>
                  <w:r>
                    <w:rPr>
                      <w:rFonts w:hint="eastAsia" w:ascii="Times New Roman" w:hAnsi="Times New Roman" w:eastAsia="宋体" w:cs="Times New Roman"/>
                      <w:color w:val="auto"/>
                      <w:kern w:val="2"/>
                      <w:sz w:val="21"/>
                      <w:szCs w:val="24"/>
                      <w:highlight w:val="none"/>
                      <w:vertAlign w:val="superscript"/>
                      <w:lang w:val="en-US" w:eastAsia="zh-CN" w:bidi="ar-SA"/>
                    </w:rPr>
                    <w:t>2</w:t>
                  </w:r>
                  <w:r>
                    <w:rPr>
                      <w:rFonts w:hint="eastAsia" w:ascii="Times New Roman" w:hAnsi="Times New Roman" w:eastAsia="宋体" w:cs="Times New Roman"/>
                      <w:color w:val="auto"/>
                      <w:kern w:val="2"/>
                      <w:sz w:val="21"/>
                      <w:szCs w:val="24"/>
                      <w:highlight w:val="none"/>
                      <w:lang w:val="en-US" w:eastAsia="zh-CN" w:bidi="ar-SA"/>
                    </w:rPr>
                    <w:t>，钢构，乙级车间</w:t>
                  </w:r>
                </w:p>
              </w:tc>
              <w:tc>
                <w:tcPr>
                  <w:tcW w:w="1229" w:type="pct"/>
                  <w:tcBorders>
                    <w:tl2br w:val="nil"/>
                    <w:tr2bl w:val="nil"/>
                  </w:tcBorders>
                  <w:vAlign w:val="center"/>
                </w:tcPr>
                <w:p w14:paraId="7EEB3391">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1275" w:type="pct"/>
                  <w:tcBorders>
                    <w:tl2br w:val="nil"/>
                    <w:tr2bl w:val="nil"/>
                  </w:tcBorders>
                  <w:vAlign w:val="center"/>
                </w:tcPr>
                <w:p w14:paraId="531735A7">
                  <w:pPr>
                    <w:pStyle w:val="6"/>
                    <w:keepNext w:val="0"/>
                    <w:keepLines w:val="0"/>
                    <w:suppressLineNumbers w:val="0"/>
                    <w:bidi w:val="0"/>
                    <w:spacing w:before="0" w:beforeAutospacing="0" w:after="0" w:afterAutospacing="0"/>
                    <w:ind w:left="0" w:leftChars="0" w:right="0" w:rightChars="0" w:firstLine="0" w:firstLineChars="0"/>
                    <w:jc w:val="both"/>
                    <w:rPr>
                      <w:rFonts w:hint="default" w:ascii="Times New Roman" w:hAnsi="Times New Roman" w:cs="Times New Roman"/>
                      <w:color w:val="auto"/>
                      <w:highlight w:val="none"/>
                      <w:lang w:val="en-US" w:eastAsia="zh-CN"/>
                    </w:rPr>
                  </w:pPr>
                  <w:r>
                    <w:rPr>
                      <w:rFonts w:hint="eastAsia" w:ascii="Times New Roman" w:hAnsi="Times New Roman" w:eastAsia="宋体" w:cs="Times New Roman"/>
                      <w:color w:val="auto"/>
                      <w:kern w:val="2"/>
                      <w:sz w:val="21"/>
                      <w:szCs w:val="24"/>
                      <w:highlight w:val="none"/>
                      <w:lang w:val="en-US" w:eastAsia="zh-CN" w:bidi="ar-SA"/>
                    </w:rPr>
                    <w:t>三元乙丙密封胶条仓库，1F，建筑面积5</w:t>
                  </w:r>
                  <w:r>
                    <w:rPr>
                      <w:rFonts w:hint="eastAsia" w:cs="Times New Roman"/>
                      <w:color w:val="auto"/>
                      <w:kern w:val="2"/>
                      <w:sz w:val="21"/>
                      <w:szCs w:val="24"/>
                      <w:highlight w:val="none"/>
                      <w:lang w:val="en-US" w:eastAsia="zh-CN" w:bidi="ar-SA"/>
                    </w:rPr>
                    <w:t>105</w:t>
                  </w:r>
                  <w:r>
                    <w:rPr>
                      <w:rFonts w:hint="eastAsia" w:ascii="Times New Roman" w:hAnsi="Times New Roman" w:eastAsia="宋体" w:cs="Times New Roman"/>
                      <w:color w:val="auto"/>
                      <w:kern w:val="2"/>
                      <w:sz w:val="21"/>
                      <w:szCs w:val="24"/>
                      <w:highlight w:val="none"/>
                      <w:lang w:val="en-US" w:eastAsia="zh-CN" w:bidi="ar-SA"/>
                    </w:rPr>
                    <w:t>m</w:t>
                  </w:r>
                  <w:r>
                    <w:rPr>
                      <w:rFonts w:hint="eastAsia" w:ascii="Times New Roman" w:hAnsi="Times New Roman" w:eastAsia="宋体" w:cs="Times New Roman"/>
                      <w:color w:val="auto"/>
                      <w:kern w:val="2"/>
                      <w:sz w:val="21"/>
                      <w:szCs w:val="24"/>
                      <w:highlight w:val="none"/>
                      <w:vertAlign w:val="superscript"/>
                      <w:lang w:val="en-US" w:eastAsia="zh-CN" w:bidi="ar-SA"/>
                    </w:rPr>
                    <w:t>2</w:t>
                  </w:r>
                  <w:r>
                    <w:rPr>
                      <w:rFonts w:hint="eastAsia" w:ascii="Times New Roman" w:hAnsi="Times New Roman" w:eastAsia="宋体" w:cs="Times New Roman"/>
                      <w:color w:val="auto"/>
                      <w:kern w:val="2"/>
                      <w:sz w:val="21"/>
                      <w:szCs w:val="24"/>
                      <w:highlight w:val="none"/>
                      <w:lang w:val="en-US" w:eastAsia="zh-CN" w:bidi="ar-SA"/>
                    </w:rPr>
                    <w:t>，钢构，乙级车间</w:t>
                  </w:r>
                </w:p>
              </w:tc>
            </w:tr>
            <w:tr w14:paraId="62D325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652" w:type="pct"/>
                  <w:vMerge w:val="continue"/>
                  <w:tcBorders>
                    <w:tl2br w:val="nil"/>
                    <w:tr2bl w:val="nil"/>
                  </w:tcBorders>
                  <w:vAlign w:val="center"/>
                </w:tcPr>
                <w:p w14:paraId="365239EC">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lang w:val="en-US" w:eastAsia="zh-CN"/>
                    </w:rPr>
                  </w:pPr>
                </w:p>
              </w:tc>
              <w:tc>
                <w:tcPr>
                  <w:tcW w:w="1842" w:type="pct"/>
                  <w:gridSpan w:val="2"/>
                  <w:tcBorders>
                    <w:tl2br w:val="nil"/>
                    <w:tr2bl w:val="nil"/>
                  </w:tcBorders>
                  <w:vAlign w:val="center"/>
                </w:tcPr>
                <w:p w14:paraId="0F0B4ED0">
                  <w:pPr>
                    <w:pStyle w:val="6"/>
                    <w:keepNext w:val="0"/>
                    <w:keepLines w:val="0"/>
                    <w:suppressLineNumbers w:val="0"/>
                    <w:bidi w:val="0"/>
                    <w:spacing w:before="0" w:beforeAutospacing="0" w:after="0" w:afterAutospacing="0"/>
                    <w:ind w:left="0" w:leftChars="0" w:right="0" w:rightChars="0" w:firstLine="0" w:firstLineChars="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危化品仓库，1F，建筑面积150m2，钢构，乙级车间</w:t>
                  </w:r>
                </w:p>
              </w:tc>
              <w:tc>
                <w:tcPr>
                  <w:tcW w:w="1229" w:type="pct"/>
                  <w:tcBorders>
                    <w:tl2br w:val="nil"/>
                    <w:tr2bl w:val="nil"/>
                  </w:tcBorders>
                  <w:vAlign w:val="center"/>
                </w:tcPr>
                <w:p w14:paraId="23DE10C8">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1275" w:type="pct"/>
                  <w:tcBorders>
                    <w:tl2br w:val="nil"/>
                    <w:tr2bl w:val="nil"/>
                  </w:tcBorders>
                  <w:vAlign w:val="center"/>
                </w:tcPr>
                <w:p w14:paraId="5D97FD77">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危化品仓库，1F，建筑面积150m2，钢构，乙级车间</w:t>
                  </w:r>
                </w:p>
              </w:tc>
            </w:tr>
            <w:tr w14:paraId="7DCB40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652" w:type="pct"/>
                  <w:vMerge w:val="restart"/>
                  <w:tcBorders>
                    <w:tl2br w:val="nil"/>
                    <w:tr2bl w:val="nil"/>
                  </w:tcBorders>
                  <w:vAlign w:val="center"/>
                </w:tcPr>
                <w:p w14:paraId="10478970">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公用工程</w:t>
                  </w:r>
                </w:p>
              </w:tc>
              <w:tc>
                <w:tcPr>
                  <w:tcW w:w="724" w:type="pct"/>
                  <w:tcBorders>
                    <w:tl2br w:val="nil"/>
                    <w:tr2bl w:val="nil"/>
                  </w:tcBorders>
                  <w:vAlign w:val="center"/>
                </w:tcPr>
                <w:p w14:paraId="7FCE0CDA">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供电</w:t>
                  </w:r>
                </w:p>
              </w:tc>
              <w:tc>
                <w:tcPr>
                  <w:tcW w:w="1118" w:type="pct"/>
                  <w:tcBorders>
                    <w:tl2br w:val="nil"/>
                    <w:tr2bl w:val="nil"/>
                  </w:tcBorders>
                  <w:vAlign w:val="center"/>
                </w:tcPr>
                <w:p w14:paraId="6C4BF35D">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市政供给</w:t>
                  </w:r>
                </w:p>
              </w:tc>
              <w:tc>
                <w:tcPr>
                  <w:tcW w:w="1229" w:type="pct"/>
                  <w:tcBorders>
                    <w:tl2br w:val="nil"/>
                    <w:tr2bl w:val="nil"/>
                  </w:tcBorders>
                  <w:vAlign w:val="center"/>
                </w:tcPr>
                <w:p w14:paraId="096DC42F">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依托</w:t>
                  </w:r>
                  <w:r>
                    <w:rPr>
                      <w:rFonts w:hint="eastAsia" w:ascii="Times New Roman" w:hAnsi="Times New Roman" w:cs="Times New Roman"/>
                      <w:color w:val="auto"/>
                      <w:highlight w:val="none"/>
                      <w:lang w:val="en-US" w:eastAsia="zh-CN"/>
                    </w:rPr>
                    <w:t>现有</w:t>
                  </w:r>
                </w:p>
              </w:tc>
              <w:tc>
                <w:tcPr>
                  <w:tcW w:w="1275" w:type="pct"/>
                  <w:tcBorders>
                    <w:tl2br w:val="nil"/>
                    <w:tr2bl w:val="nil"/>
                  </w:tcBorders>
                  <w:vAlign w:val="center"/>
                </w:tcPr>
                <w:p w14:paraId="3414C3DA">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依托园区</w:t>
                  </w:r>
                </w:p>
              </w:tc>
            </w:tr>
            <w:tr w14:paraId="37E4A9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652" w:type="pct"/>
                  <w:vMerge w:val="continue"/>
                  <w:tcBorders>
                    <w:tl2br w:val="nil"/>
                    <w:tr2bl w:val="nil"/>
                  </w:tcBorders>
                  <w:vAlign w:val="center"/>
                </w:tcPr>
                <w:p w14:paraId="0AF46934">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p>
              </w:tc>
              <w:tc>
                <w:tcPr>
                  <w:tcW w:w="724" w:type="pct"/>
                  <w:tcBorders>
                    <w:tl2br w:val="nil"/>
                    <w:tr2bl w:val="nil"/>
                  </w:tcBorders>
                  <w:vAlign w:val="center"/>
                </w:tcPr>
                <w:p w14:paraId="245C0330">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供水</w:t>
                  </w:r>
                </w:p>
              </w:tc>
              <w:tc>
                <w:tcPr>
                  <w:tcW w:w="1118" w:type="pct"/>
                  <w:tcBorders>
                    <w:tl2br w:val="nil"/>
                    <w:tr2bl w:val="nil"/>
                  </w:tcBorders>
                  <w:vAlign w:val="center"/>
                </w:tcPr>
                <w:p w14:paraId="781FF59E">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市政供给</w:t>
                  </w:r>
                </w:p>
              </w:tc>
              <w:tc>
                <w:tcPr>
                  <w:tcW w:w="1229" w:type="pct"/>
                  <w:tcBorders>
                    <w:tl2br w:val="nil"/>
                    <w:tr2bl w:val="nil"/>
                  </w:tcBorders>
                  <w:vAlign w:val="center"/>
                </w:tcPr>
                <w:p w14:paraId="2D6C0925">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依托</w:t>
                  </w:r>
                  <w:r>
                    <w:rPr>
                      <w:rFonts w:hint="eastAsia" w:ascii="Times New Roman" w:hAnsi="Times New Roman" w:cs="Times New Roman"/>
                      <w:color w:val="auto"/>
                      <w:highlight w:val="none"/>
                      <w:lang w:val="en-US" w:eastAsia="zh-CN"/>
                    </w:rPr>
                    <w:t>现有</w:t>
                  </w:r>
                </w:p>
              </w:tc>
              <w:tc>
                <w:tcPr>
                  <w:tcW w:w="1275" w:type="pct"/>
                  <w:tcBorders>
                    <w:tl2br w:val="nil"/>
                    <w:tr2bl w:val="nil"/>
                  </w:tcBorders>
                  <w:vAlign w:val="center"/>
                </w:tcPr>
                <w:p w14:paraId="62B0D61A">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依托园区</w:t>
                  </w:r>
                </w:p>
              </w:tc>
            </w:tr>
            <w:tr w14:paraId="18A15C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52" w:type="pct"/>
                  <w:vMerge w:val="continue"/>
                  <w:tcBorders>
                    <w:tl2br w:val="nil"/>
                    <w:tr2bl w:val="nil"/>
                  </w:tcBorders>
                  <w:vAlign w:val="center"/>
                </w:tcPr>
                <w:p w14:paraId="20D3071D">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p>
              </w:tc>
              <w:tc>
                <w:tcPr>
                  <w:tcW w:w="724" w:type="pct"/>
                  <w:tcBorders>
                    <w:tl2br w:val="nil"/>
                    <w:tr2bl w:val="nil"/>
                  </w:tcBorders>
                  <w:vAlign w:val="center"/>
                </w:tcPr>
                <w:p w14:paraId="74340CBF">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排水系统</w:t>
                  </w:r>
                </w:p>
              </w:tc>
              <w:tc>
                <w:tcPr>
                  <w:tcW w:w="1118" w:type="pct"/>
                  <w:tcBorders>
                    <w:tl2br w:val="nil"/>
                    <w:tr2bl w:val="nil"/>
                  </w:tcBorders>
                  <w:vAlign w:val="center"/>
                </w:tcPr>
                <w:p w14:paraId="7E1F6271">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雨</w:t>
                  </w:r>
                  <w:r>
                    <w:rPr>
                      <w:rFonts w:hint="default" w:ascii="Times New Roman" w:hAnsi="Times New Roman" w:cs="Times New Roman"/>
                      <w:color w:val="auto"/>
                      <w:highlight w:val="none"/>
                    </w:rPr>
                    <w:t>污分流</w:t>
                  </w:r>
                </w:p>
              </w:tc>
              <w:tc>
                <w:tcPr>
                  <w:tcW w:w="1229" w:type="pct"/>
                  <w:tcBorders>
                    <w:tl2br w:val="nil"/>
                    <w:tr2bl w:val="nil"/>
                  </w:tcBorders>
                  <w:vAlign w:val="center"/>
                </w:tcPr>
                <w:p w14:paraId="2FFA6888">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依托</w:t>
                  </w:r>
                  <w:r>
                    <w:rPr>
                      <w:rFonts w:hint="eastAsia" w:ascii="Times New Roman" w:hAnsi="Times New Roman" w:cs="Times New Roman"/>
                      <w:color w:val="auto"/>
                      <w:highlight w:val="none"/>
                      <w:lang w:val="en-US" w:eastAsia="zh-CN"/>
                    </w:rPr>
                    <w:t>现有</w:t>
                  </w:r>
                </w:p>
              </w:tc>
              <w:tc>
                <w:tcPr>
                  <w:tcW w:w="1275" w:type="pct"/>
                  <w:tcBorders>
                    <w:tl2br w:val="nil"/>
                    <w:tr2bl w:val="nil"/>
                  </w:tcBorders>
                  <w:vAlign w:val="center"/>
                </w:tcPr>
                <w:p w14:paraId="7AC52494">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依托园区</w:t>
                  </w:r>
                </w:p>
              </w:tc>
            </w:tr>
            <w:tr w14:paraId="63727D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14" w:hRule="atLeast"/>
              </w:trPr>
              <w:tc>
                <w:tcPr>
                  <w:tcW w:w="652" w:type="pct"/>
                  <w:vMerge w:val="restart"/>
                  <w:tcBorders>
                    <w:tl2br w:val="nil"/>
                    <w:tr2bl w:val="nil"/>
                  </w:tcBorders>
                  <w:vAlign w:val="center"/>
                </w:tcPr>
                <w:p w14:paraId="2F8C8F48">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环保工程</w:t>
                  </w:r>
                </w:p>
              </w:tc>
              <w:tc>
                <w:tcPr>
                  <w:tcW w:w="724" w:type="pct"/>
                  <w:tcBorders>
                    <w:tl2br w:val="nil"/>
                    <w:tr2bl w:val="nil"/>
                  </w:tcBorders>
                  <w:vAlign w:val="center"/>
                </w:tcPr>
                <w:p w14:paraId="526FC689">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废气</w:t>
                  </w:r>
                </w:p>
              </w:tc>
              <w:tc>
                <w:tcPr>
                  <w:tcW w:w="1118" w:type="pct"/>
                  <w:tcBorders>
                    <w:tl2br w:val="nil"/>
                    <w:tr2bl w:val="nil"/>
                  </w:tcBorders>
                  <w:vAlign w:val="center"/>
                </w:tcPr>
                <w:p w14:paraId="1467A4FB">
                  <w:pPr>
                    <w:pStyle w:val="7"/>
                    <w:keepNext w:val="0"/>
                    <w:keepLines w:val="0"/>
                    <w:suppressLineNumbers w:val="0"/>
                    <w:bidi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投料废气：集气装置+布袋除尘器+活性炭吸附+1#排气筒（15m）；</w:t>
                  </w:r>
                </w:p>
                <w:p w14:paraId="2700C899">
                  <w:pPr>
                    <w:pStyle w:val="7"/>
                    <w:keepNext w:val="0"/>
                    <w:keepLines w:val="0"/>
                    <w:suppressLineNumbers w:val="0"/>
                    <w:bidi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vertAlign w:val="baseline"/>
                      <w:lang w:val="en-US" w:eastAsia="zh-CN"/>
                    </w:rPr>
                    <w:t>炼胶废气：活性炭吸附+布袋除尘器+2#排气筒（15m）；</w:t>
                  </w:r>
                </w:p>
                <w:p w14:paraId="53AEE40F">
                  <w:pPr>
                    <w:pStyle w:val="7"/>
                    <w:keepNext w:val="0"/>
                    <w:keepLines w:val="0"/>
                    <w:suppressLineNumbers w:val="0"/>
                    <w:bidi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vertAlign w:val="baseline"/>
                      <w:lang w:val="en-US" w:eastAsia="zh-CN"/>
                    </w:rPr>
                    <w:t>炼胶废气：活性炭吸附+布袋除尘器+3#排气筒（15m）</w:t>
                  </w:r>
                </w:p>
                <w:p w14:paraId="3573B8C6">
                  <w:pPr>
                    <w:pStyle w:val="7"/>
                    <w:keepNext w:val="0"/>
                    <w:keepLines w:val="0"/>
                    <w:suppressLineNumbers w:val="0"/>
                    <w:bidi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vertAlign w:val="baseline"/>
                      <w:lang w:val="en-US" w:eastAsia="zh-CN"/>
                    </w:rPr>
                    <w:t>硫化废气：喷淋+水汽分离+电捕焦油+活性炭吸附设施+4#排气筒（15m）</w:t>
                  </w:r>
                </w:p>
              </w:tc>
              <w:tc>
                <w:tcPr>
                  <w:tcW w:w="1229" w:type="pct"/>
                  <w:tcBorders>
                    <w:tl2br w:val="nil"/>
                    <w:tr2bl w:val="nil"/>
                  </w:tcBorders>
                  <w:vAlign w:val="center"/>
                </w:tcPr>
                <w:p w14:paraId="10BAE74C">
                  <w:pPr>
                    <w:pStyle w:val="7"/>
                    <w:keepNext w:val="0"/>
                    <w:keepLines w:val="0"/>
                    <w:suppressLineNumbers w:val="0"/>
                    <w:bidi w:val="0"/>
                    <w:spacing w:before="0" w:beforeAutospacing="0" w:after="0" w:afterAutospacing="0" w:line="240" w:lineRule="auto"/>
                    <w:ind w:left="0" w:right="0" w:firstLine="0" w:firstLineChars="0"/>
                    <w:jc w:val="both"/>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烘干、</w:t>
                  </w:r>
                  <w:r>
                    <w:rPr>
                      <w:rFonts w:hint="default" w:ascii="Times New Roman" w:hAnsi="Times New Roman" w:cs="Times New Roman"/>
                      <w:color w:val="auto"/>
                      <w:highlight w:val="none"/>
                      <w:lang w:val="en-US" w:eastAsia="zh-CN"/>
                    </w:rPr>
                    <w:t>挤出废气：集气罩+活性炭吸附装置</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15m高</w:t>
                  </w:r>
                  <w:r>
                    <w:rPr>
                      <w:rFonts w:hint="default" w:ascii="Times New Roman" w:hAnsi="Times New Roman" w:cs="Times New Roman"/>
                      <w:color w:val="auto"/>
                      <w:highlight w:val="none"/>
                    </w:rPr>
                    <w:t>排气筒</w:t>
                  </w:r>
                  <w:r>
                    <w:rPr>
                      <w:rFonts w:hint="eastAsia" w:cs="Times New Roman"/>
                      <w:color w:val="auto"/>
                      <w:highlight w:val="none"/>
                      <w:lang w:eastAsia="zh-CN"/>
                    </w:rPr>
                    <w:t>（</w:t>
                  </w:r>
                  <w:r>
                    <w:rPr>
                      <w:rFonts w:hint="eastAsia" w:cs="Times New Roman"/>
                      <w:color w:val="auto"/>
                      <w:highlight w:val="none"/>
                      <w:lang w:val="en-US" w:eastAsia="zh-CN"/>
                    </w:rPr>
                    <w:t>DA005</w:t>
                  </w:r>
                  <w:r>
                    <w:rPr>
                      <w:rFonts w:hint="eastAsia" w:cs="Times New Roman"/>
                      <w:color w:val="auto"/>
                      <w:highlight w:val="none"/>
                      <w:lang w:eastAsia="zh-CN"/>
                    </w:rPr>
                    <w:t>）</w:t>
                  </w:r>
                </w:p>
              </w:tc>
              <w:tc>
                <w:tcPr>
                  <w:tcW w:w="1275" w:type="pct"/>
                  <w:tcBorders>
                    <w:tl2br w:val="nil"/>
                    <w:tr2bl w:val="nil"/>
                  </w:tcBorders>
                  <w:vAlign w:val="center"/>
                </w:tcPr>
                <w:p w14:paraId="71252810">
                  <w:pPr>
                    <w:pStyle w:val="7"/>
                    <w:keepNext w:val="0"/>
                    <w:keepLines w:val="0"/>
                    <w:suppressLineNumbers w:val="0"/>
                    <w:bidi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投料废气：集气装置+布袋除尘器+活性炭吸附+1#排气筒（15m）；</w:t>
                  </w:r>
                </w:p>
                <w:p w14:paraId="72E7AE12">
                  <w:pPr>
                    <w:pStyle w:val="7"/>
                    <w:keepNext w:val="0"/>
                    <w:keepLines w:val="0"/>
                    <w:suppressLineNumbers w:val="0"/>
                    <w:bidi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vertAlign w:val="baseline"/>
                      <w:lang w:val="en-US" w:eastAsia="zh-CN"/>
                    </w:rPr>
                    <w:t>炼胶废气：活性炭吸附+布袋除尘器+2#排气筒（15m）；</w:t>
                  </w:r>
                </w:p>
                <w:p w14:paraId="1CD6E227">
                  <w:pPr>
                    <w:pStyle w:val="7"/>
                    <w:keepNext w:val="0"/>
                    <w:keepLines w:val="0"/>
                    <w:suppressLineNumbers w:val="0"/>
                    <w:bidi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vertAlign w:val="baseline"/>
                      <w:lang w:val="en-US" w:eastAsia="zh-CN"/>
                    </w:rPr>
                    <w:t>炼胶废气：活性炭吸附+布袋除尘器+3#排气筒（15m）</w:t>
                  </w:r>
                </w:p>
                <w:p w14:paraId="387227BB">
                  <w:pPr>
                    <w:pStyle w:val="7"/>
                    <w:keepNext w:val="0"/>
                    <w:keepLines w:val="0"/>
                    <w:suppressLineNumbers w:val="0"/>
                    <w:bidi w:val="0"/>
                    <w:spacing w:before="0" w:beforeAutospacing="0" w:after="0" w:afterAutospacing="0" w:line="240" w:lineRule="auto"/>
                    <w:ind w:left="0" w:right="0" w:firstLine="0" w:firstLineChars="0"/>
                    <w:jc w:val="both"/>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硫化废气：喷淋+水汽分离+电捕焦油+活性炭吸附设施+4#排气筒（15m）；</w:t>
                  </w:r>
                </w:p>
                <w:p w14:paraId="10E7E781">
                  <w:pPr>
                    <w:pStyle w:val="7"/>
                    <w:keepNext w:val="0"/>
                    <w:keepLines w:val="0"/>
                    <w:suppressLineNumbers w:val="0"/>
                    <w:bidi w:val="0"/>
                    <w:spacing w:before="0" w:beforeAutospacing="0" w:after="0" w:afterAutospacing="0" w:line="240" w:lineRule="auto"/>
                    <w:ind w:left="0" w:right="0" w:firstLine="0" w:firstLineChars="0"/>
                    <w:jc w:val="both"/>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烘干、</w:t>
                  </w:r>
                  <w:r>
                    <w:rPr>
                      <w:rFonts w:hint="default" w:ascii="Times New Roman" w:hAnsi="Times New Roman" w:cs="Times New Roman"/>
                      <w:color w:val="auto"/>
                      <w:highlight w:val="none"/>
                      <w:lang w:val="en-US" w:eastAsia="zh-CN"/>
                    </w:rPr>
                    <w:t>挤出废气：集气罩+活性炭吸附装置</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15m高</w:t>
                  </w:r>
                  <w:r>
                    <w:rPr>
                      <w:rFonts w:hint="default" w:ascii="Times New Roman" w:hAnsi="Times New Roman" w:cs="Times New Roman"/>
                      <w:color w:val="auto"/>
                      <w:highlight w:val="none"/>
                    </w:rPr>
                    <w:t>排气筒</w:t>
                  </w:r>
                  <w:r>
                    <w:rPr>
                      <w:rFonts w:hint="eastAsia" w:cs="Times New Roman"/>
                      <w:color w:val="auto"/>
                      <w:highlight w:val="none"/>
                      <w:lang w:eastAsia="zh-CN"/>
                    </w:rPr>
                    <w:t>（</w:t>
                  </w:r>
                  <w:r>
                    <w:rPr>
                      <w:rFonts w:hint="eastAsia" w:cs="Times New Roman"/>
                      <w:color w:val="auto"/>
                      <w:highlight w:val="none"/>
                      <w:lang w:val="en-US" w:eastAsia="zh-CN"/>
                    </w:rPr>
                    <w:t>DA005</w:t>
                  </w:r>
                  <w:r>
                    <w:rPr>
                      <w:rFonts w:hint="eastAsia" w:cs="Times New Roman"/>
                      <w:color w:val="auto"/>
                      <w:highlight w:val="none"/>
                      <w:lang w:eastAsia="zh-CN"/>
                    </w:rPr>
                    <w:t>）</w:t>
                  </w:r>
                </w:p>
              </w:tc>
            </w:tr>
            <w:tr w14:paraId="27B65D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0" w:hRule="atLeast"/>
              </w:trPr>
              <w:tc>
                <w:tcPr>
                  <w:tcW w:w="652" w:type="pct"/>
                  <w:vMerge w:val="continue"/>
                  <w:tcBorders>
                    <w:tl2br w:val="nil"/>
                    <w:tr2bl w:val="nil"/>
                  </w:tcBorders>
                  <w:vAlign w:val="center"/>
                </w:tcPr>
                <w:p w14:paraId="5749441C">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lang w:eastAsia="zh-CN"/>
                    </w:rPr>
                  </w:pPr>
                </w:p>
              </w:tc>
              <w:tc>
                <w:tcPr>
                  <w:tcW w:w="724" w:type="pct"/>
                  <w:vMerge w:val="restart"/>
                  <w:tcBorders>
                    <w:tl2br w:val="nil"/>
                    <w:tr2bl w:val="nil"/>
                  </w:tcBorders>
                  <w:vAlign w:val="center"/>
                </w:tcPr>
                <w:p w14:paraId="0D8BB709">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废水</w:t>
                  </w:r>
                </w:p>
              </w:tc>
              <w:tc>
                <w:tcPr>
                  <w:tcW w:w="1118" w:type="pct"/>
                  <w:tcBorders>
                    <w:tl2br w:val="nil"/>
                    <w:tr2bl w:val="nil"/>
                  </w:tcBorders>
                  <w:vAlign w:val="center"/>
                </w:tcPr>
                <w:p w14:paraId="35019FAA">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生活污水</w:t>
                  </w:r>
                  <w:r>
                    <w:rPr>
                      <w:rFonts w:hint="default" w:ascii="Times New Roman" w:hAnsi="Times New Roman" w:cs="Times New Roman"/>
                      <w:color w:val="auto"/>
                      <w:highlight w:val="none"/>
                      <w:lang w:val="en-US" w:eastAsia="zh-CN"/>
                    </w:rPr>
                    <w:t>通过</w:t>
                  </w:r>
                  <w:r>
                    <w:rPr>
                      <w:rFonts w:hint="eastAsia" w:cs="Times New Roman"/>
                      <w:color w:val="auto"/>
                      <w:highlight w:val="none"/>
                      <w:lang w:val="en-US" w:eastAsia="zh-CN"/>
                    </w:rPr>
                    <w:t>现有隔油池+</w:t>
                  </w:r>
                  <w:r>
                    <w:rPr>
                      <w:rFonts w:hint="default" w:ascii="Times New Roman" w:hAnsi="Times New Roman" w:cs="Times New Roman"/>
                      <w:color w:val="auto"/>
                      <w:highlight w:val="none"/>
                    </w:rPr>
                    <w:t>化粪池</w:t>
                  </w:r>
                  <w:r>
                    <w:rPr>
                      <w:rFonts w:hint="default" w:ascii="Times New Roman" w:hAnsi="Times New Roman" w:cs="Times New Roman"/>
                      <w:color w:val="auto"/>
                      <w:highlight w:val="none"/>
                      <w:lang w:val="en-US" w:eastAsia="zh-CN"/>
                    </w:rPr>
                    <w:t>处理</w:t>
                  </w:r>
                </w:p>
              </w:tc>
              <w:tc>
                <w:tcPr>
                  <w:tcW w:w="1229" w:type="pct"/>
                  <w:tcBorders>
                    <w:tl2br w:val="nil"/>
                    <w:tr2bl w:val="nil"/>
                  </w:tcBorders>
                  <w:vAlign w:val="center"/>
                </w:tcPr>
                <w:p w14:paraId="1EDCAB7C">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依托</w:t>
                  </w:r>
                  <w:r>
                    <w:rPr>
                      <w:rFonts w:hint="eastAsia" w:ascii="Times New Roman" w:hAnsi="Times New Roman" w:cs="Times New Roman"/>
                      <w:color w:val="auto"/>
                      <w:highlight w:val="none"/>
                      <w:lang w:val="en-US" w:eastAsia="zh-CN"/>
                    </w:rPr>
                    <w:t>现有</w:t>
                  </w:r>
                </w:p>
              </w:tc>
              <w:tc>
                <w:tcPr>
                  <w:tcW w:w="1275" w:type="pct"/>
                  <w:tcBorders>
                    <w:tl2br w:val="nil"/>
                    <w:tr2bl w:val="nil"/>
                  </w:tcBorders>
                  <w:vAlign w:val="center"/>
                </w:tcPr>
                <w:p w14:paraId="628441ED">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生活污水</w:t>
                  </w:r>
                  <w:r>
                    <w:rPr>
                      <w:rFonts w:hint="default" w:ascii="Times New Roman" w:hAnsi="Times New Roman" w:cs="Times New Roman"/>
                      <w:color w:val="auto"/>
                      <w:highlight w:val="none"/>
                      <w:lang w:val="en-US" w:eastAsia="zh-CN"/>
                    </w:rPr>
                    <w:t>通过</w:t>
                  </w:r>
                  <w:r>
                    <w:rPr>
                      <w:rFonts w:hint="eastAsia" w:cs="Times New Roman"/>
                      <w:color w:val="auto"/>
                      <w:highlight w:val="none"/>
                      <w:lang w:val="en-US" w:eastAsia="zh-CN"/>
                    </w:rPr>
                    <w:t>现有隔油池+</w:t>
                  </w:r>
                  <w:r>
                    <w:rPr>
                      <w:rFonts w:hint="default" w:ascii="Times New Roman" w:hAnsi="Times New Roman" w:cs="Times New Roman"/>
                      <w:color w:val="auto"/>
                      <w:highlight w:val="none"/>
                    </w:rPr>
                    <w:t>化粪池</w:t>
                  </w:r>
                  <w:r>
                    <w:rPr>
                      <w:rFonts w:hint="default" w:ascii="Times New Roman" w:hAnsi="Times New Roman" w:cs="Times New Roman"/>
                      <w:color w:val="auto"/>
                      <w:highlight w:val="none"/>
                      <w:lang w:val="en-US" w:eastAsia="zh-CN"/>
                    </w:rPr>
                    <w:t>处理</w:t>
                  </w:r>
                </w:p>
              </w:tc>
            </w:tr>
            <w:tr w14:paraId="2A3B3F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0" w:hRule="atLeast"/>
              </w:trPr>
              <w:tc>
                <w:tcPr>
                  <w:tcW w:w="652" w:type="pct"/>
                  <w:vMerge w:val="continue"/>
                  <w:tcBorders>
                    <w:tl2br w:val="nil"/>
                    <w:tr2bl w:val="nil"/>
                  </w:tcBorders>
                  <w:vAlign w:val="center"/>
                </w:tcPr>
                <w:p w14:paraId="72B112A1">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lang w:eastAsia="zh-CN"/>
                    </w:rPr>
                  </w:pPr>
                </w:p>
              </w:tc>
              <w:tc>
                <w:tcPr>
                  <w:tcW w:w="724" w:type="pct"/>
                  <w:vMerge w:val="continue"/>
                  <w:tcBorders>
                    <w:tl2br w:val="nil"/>
                    <w:tr2bl w:val="nil"/>
                  </w:tcBorders>
                  <w:vAlign w:val="center"/>
                </w:tcPr>
                <w:p w14:paraId="09C843A9">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p>
              </w:tc>
              <w:tc>
                <w:tcPr>
                  <w:tcW w:w="1118" w:type="pct"/>
                  <w:tcBorders>
                    <w:tl2br w:val="nil"/>
                    <w:tr2bl w:val="nil"/>
                  </w:tcBorders>
                  <w:vAlign w:val="center"/>
                </w:tcPr>
                <w:p w14:paraId="213DCA13">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1229" w:type="pct"/>
                  <w:tcBorders>
                    <w:tl2br w:val="nil"/>
                    <w:tr2bl w:val="nil"/>
                  </w:tcBorders>
                  <w:vAlign w:val="center"/>
                </w:tcPr>
                <w:p w14:paraId="340421F8">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冷却水循环使用</w:t>
                  </w:r>
                  <w:r>
                    <w:rPr>
                      <w:rFonts w:hint="eastAsia" w:cs="Times New Roman"/>
                      <w:color w:val="auto"/>
                      <w:highlight w:val="none"/>
                      <w:lang w:val="en-US" w:eastAsia="zh-CN"/>
                    </w:rPr>
                    <w:t>（循环水池容积2m</w:t>
                  </w:r>
                  <w:r>
                    <w:rPr>
                      <w:rFonts w:hint="eastAsia" w:cs="Times New Roman"/>
                      <w:color w:val="auto"/>
                      <w:highlight w:val="none"/>
                      <w:vertAlign w:val="superscript"/>
                      <w:lang w:val="en-US" w:eastAsia="zh-CN"/>
                    </w:rPr>
                    <w:t>2</w:t>
                  </w:r>
                  <w:r>
                    <w:rPr>
                      <w:rFonts w:hint="eastAsia" w:cs="Times New Roman"/>
                      <w:color w:val="auto"/>
                      <w:highlight w:val="none"/>
                      <w:lang w:val="en-US" w:eastAsia="zh-CN"/>
                    </w:rPr>
                    <w:t>），一年排一次</w:t>
                  </w:r>
                </w:p>
              </w:tc>
              <w:tc>
                <w:tcPr>
                  <w:tcW w:w="1275" w:type="pct"/>
                  <w:tcBorders>
                    <w:tl2br w:val="nil"/>
                    <w:tr2bl w:val="nil"/>
                  </w:tcBorders>
                  <w:vAlign w:val="center"/>
                </w:tcPr>
                <w:p w14:paraId="6B19BD44">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冷却水循环使用</w:t>
                  </w:r>
                  <w:r>
                    <w:rPr>
                      <w:rFonts w:hint="eastAsia" w:cs="Times New Roman"/>
                      <w:color w:val="auto"/>
                      <w:highlight w:val="none"/>
                      <w:lang w:val="en-US" w:eastAsia="zh-CN"/>
                    </w:rPr>
                    <w:t>（循环水池容积2m</w:t>
                  </w:r>
                  <w:r>
                    <w:rPr>
                      <w:rFonts w:hint="eastAsia" w:cs="Times New Roman"/>
                      <w:color w:val="auto"/>
                      <w:highlight w:val="none"/>
                      <w:vertAlign w:val="superscript"/>
                      <w:lang w:val="en-US" w:eastAsia="zh-CN"/>
                    </w:rPr>
                    <w:t>2</w:t>
                  </w:r>
                  <w:r>
                    <w:rPr>
                      <w:rFonts w:hint="eastAsia" w:cs="Times New Roman"/>
                      <w:color w:val="auto"/>
                      <w:highlight w:val="none"/>
                      <w:lang w:val="en-US" w:eastAsia="zh-CN"/>
                    </w:rPr>
                    <w:t>），一年排一次</w:t>
                  </w:r>
                </w:p>
              </w:tc>
            </w:tr>
            <w:tr w14:paraId="5CAAE0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0" w:hRule="atLeast"/>
              </w:trPr>
              <w:tc>
                <w:tcPr>
                  <w:tcW w:w="652" w:type="pct"/>
                  <w:vMerge w:val="continue"/>
                  <w:tcBorders>
                    <w:tl2br w:val="nil"/>
                    <w:tr2bl w:val="nil"/>
                  </w:tcBorders>
                  <w:vAlign w:val="center"/>
                </w:tcPr>
                <w:p w14:paraId="0FE6B896">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p>
              </w:tc>
              <w:tc>
                <w:tcPr>
                  <w:tcW w:w="724" w:type="pct"/>
                  <w:tcBorders>
                    <w:tl2br w:val="nil"/>
                    <w:tr2bl w:val="nil"/>
                  </w:tcBorders>
                  <w:vAlign w:val="center"/>
                </w:tcPr>
                <w:p w14:paraId="3A975C49">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噪声</w:t>
                  </w:r>
                </w:p>
              </w:tc>
              <w:tc>
                <w:tcPr>
                  <w:tcW w:w="1118" w:type="pct"/>
                  <w:tcBorders>
                    <w:tl2br w:val="nil"/>
                    <w:tr2bl w:val="nil"/>
                  </w:tcBorders>
                  <w:vAlign w:val="center"/>
                </w:tcPr>
                <w:p w14:paraId="3F78C1FA">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厂房隔音、设备减震垫等</w:t>
                  </w:r>
                  <w:r>
                    <w:rPr>
                      <w:rFonts w:hint="default" w:ascii="Times New Roman" w:hAnsi="Times New Roman" w:cs="Times New Roman"/>
                      <w:color w:val="auto"/>
                      <w:highlight w:val="none"/>
                      <w:lang w:eastAsia="zh-CN"/>
                    </w:rPr>
                    <w:t>。</w:t>
                  </w:r>
                </w:p>
              </w:tc>
              <w:tc>
                <w:tcPr>
                  <w:tcW w:w="1229" w:type="pct"/>
                  <w:tcBorders>
                    <w:tl2br w:val="nil"/>
                    <w:tr2bl w:val="nil"/>
                  </w:tcBorders>
                  <w:vAlign w:val="center"/>
                </w:tcPr>
                <w:p w14:paraId="35C4E374">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厂房隔音、设备减震垫等</w:t>
                  </w:r>
                </w:p>
              </w:tc>
              <w:tc>
                <w:tcPr>
                  <w:tcW w:w="1275" w:type="pct"/>
                  <w:tcBorders>
                    <w:tl2br w:val="nil"/>
                    <w:tr2bl w:val="nil"/>
                  </w:tcBorders>
                  <w:vAlign w:val="center"/>
                </w:tcPr>
                <w:p w14:paraId="5AA0E0A6">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r>
            <w:tr w14:paraId="40CE27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0" w:hRule="atLeast"/>
              </w:trPr>
              <w:tc>
                <w:tcPr>
                  <w:tcW w:w="652" w:type="pct"/>
                  <w:vMerge w:val="continue"/>
                  <w:tcBorders>
                    <w:tl2br w:val="nil"/>
                    <w:tr2bl w:val="nil"/>
                  </w:tcBorders>
                  <w:vAlign w:val="center"/>
                </w:tcPr>
                <w:p w14:paraId="7B58BBC1">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p>
              </w:tc>
              <w:tc>
                <w:tcPr>
                  <w:tcW w:w="724" w:type="pct"/>
                  <w:tcBorders>
                    <w:tl2br w:val="nil"/>
                    <w:tr2bl w:val="nil"/>
                  </w:tcBorders>
                  <w:vAlign w:val="center"/>
                </w:tcPr>
                <w:p w14:paraId="6CC5C16C">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固体</w:t>
                  </w:r>
                </w:p>
                <w:p w14:paraId="7877145C">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废物</w:t>
                  </w:r>
                </w:p>
              </w:tc>
              <w:tc>
                <w:tcPr>
                  <w:tcW w:w="1118" w:type="pct"/>
                  <w:tcBorders>
                    <w:tl2br w:val="nil"/>
                    <w:tr2bl w:val="nil"/>
                  </w:tcBorders>
                  <w:shd w:val="clear" w:color="auto" w:fill="auto"/>
                  <w:vAlign w:val="center"/>
                </w:tcPr>
                <w:p w14:paraId="68E13217">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highlight w:val="none"/>
                      <w:vertAlign w:val="baseline"/>
                      <w:lang w:val="en-US" w:eastAsia="zh-CN" w:bidi="ar-SA"/>
                    </w:rPr>
                  </w:pPr>
                  <w:r>
                    <w:rPr>
                      <w:rFonts w:hint="default" w:ascii="Times New Roman" w:hAnsi="Times New Roman" w:cs="Times New Roman"/>
                      <w:color w:val="auto"/>
                      <w:highlight w:val="none"/>
                    </w:rPr>
                    <w:t>危险</w:t>
                  </w:r>
                  <w:r>
                    <w:rPr>
                      <w:rFonts w:hint="default" w:ascii="Times New Roman" w:hAnsi="Times New Roman" w:cs="Times New Roman"/>
                      <w:color w:val="auto"/>
                      <w:highlight w:val="none"/>
                      <w:lang w:val="en-US" w:eastAsia="zh-CN"/>
                    </w:rPr>
                    <w:t>废物暂存间位于</w:t>
                  </w:r>
                  <w:r>
                    <w:rPr>
                      <w:rFonts w:hint="eastAsia" w:cs="Times New Roman"/>
                      <w:color w:val="auto"/>
                      <w:highlight w:val="none"/>
                      <w:lang w:val="en-US" w:eastAsia="zh-CN"/>
                    </w:rPr>
                    <w:t>厂区南侧</w:t>
                  </w:r>
                  <w:r>
                    <w:rPr>
                      <w:rFonts w:hint="default" w:ascii="Times New Roman" w:hAnsi="Times New Roman" w:cs="Times New Roman"/>
                      <w:color w:val="auto"/>
                      <w:highlight w:val="none"/>
                      <w:lang w:val="en-US" w:eastAsia="zh-CN"/>
                    </w:rPr>
                    <w:t>，占地面积</w:t>
                  </w:r>
                  <w:r>
                    <w:rPr>
                      <w:rFonts w:hint="eastAsia" w:cs="Times New Roman"/>
                      <w:color w:val="auto"/>
                      <w:highlight w:val="none"/>
                      <w:lang w:val="en-US" w:eastAsia="zh-CN"/>
                    </w:rPr>
                    <w:t>50</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2</w:t>
                  </w:r>
                </w:p>
              </w:tc>
              <w:tc>
                <w:tcPr>
                  <w:tcW w:w="1229" w:type="pct"/>
                  <w:tcBorders>
                    <w:tl2br w:val="nil"/>
                    <w:tr2bl w:val="nil"/>
                  </w:tcBorders>
                  <w:shd w:val="clear" w:color="auto" w:fill="auto"/>
                  <w:vAlign w:val="center"/>
                </w:tcPr>
                <w:p w14:paraId="3A17AEB9">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依托</w:t>
                  </w:r>
                  <w:r>
                    <w:rPr>
                      <w:rFonts w:hint="eastAsia" w:ascii="Times New Roman" w:hAnsi="Times New Roman" w:cs="Times New Roman"/>
                      <w:color w:val="auto"/>
                      <w:highlight w:val="none"/>
                      <w:lang w:val="en-US" w:eastAsia="zh-CN"/>
                    </w:rPr>
                    <w:t>现有</w:t>
                  </w:r>
                </w:p>
              </w:tc>
              <w:tc>
                <w:tcPr>
                  <w:tcW w:w="1275" w:type="pct"/>
                  <w:tcBorders>
                    <w:tl2br w:val="nil"/>
                    <w:tr2bl w:val="nil"/>
                  </w:tcBorders>
                  <w:shd w:val="clear" w:color="auto" w:fill="auto"/>
                  <w:vAlign w:val="center"/>
                </w:tcPr>
                <w:p w14:paraId="75B99303">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依托</w:t>
                  </w:r>
                </w:p>
              </w:tc>
            </w:tr>
            <w:tr w14:paraId="343A80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0" w:hRule="atLeast"/>
              </w:trPr>
              <w:tc>
                <w:tcPr>
                  <w:tcW w:w="652" w:type="pct"/>
                  <w:vMerge w:val="continue"/>
                  <w:tcBorders>
                    <w:tl2br w:val="nil"/>
                    <w:tr2bl w:val="nil"/>
                  </w:tcBorders>
                  <w:vAlign w:val="center"/>
                </w:tcPr>
                <w:p w14:paraId="0114A2EB">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p>
              </w:tc>
              <w:tc>
                <w:tcPr>
                  <w:tcW w:w="724" w:type="pct"/>
                  <w:tcBorders>
                    <w:tl2br w:val="nil"/>
                    <w:tr2bl w:val="nil"/>
                  </w:tcBorders>
                  <w:vAlign w:val="center"/>
                </w:tcPr>
                <w:p w14:paraId="52F68EB1">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地下水分区防渗措施</w:t>
                  </w:r>
                </w:p>
              </w:tc>
              <w:tc>
                <w:tcPr>
                  <w:tcW w:w="1118" w:type="pct"/>
                  <w:tcBorders>
                    <w:tl2br w:val="nil"/>
                    <w:tr2bl w:val="nil"/>
                  </w:tcBorders>
                  <w:vAlign w:val="center"/>
                </w:tcPr>
                <w:p w14:paraId="67F8CF54">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r>
                    <w:rPr>
                      <w:rFonts w:hint="eastAsia" w:cs="Times New Roman"/>
                      <w:color w:val="auto"/>
                      <w:highlight w:val="none"/>
                      <w:lang w:val="en-US" w:eastAsia="zh-CN"/>
                    </w:rPr>
                    <w:t>厂区分区防渗，分为重点防渗（</w:t>
                  </w:r>
                  <w:r>
                    <w:rPr>
                      <w:rFonts w:hint="default"/>
                      <w:color w:val="auto"/>
                      <w:sz w:val="21"/>
                      <w:szCs w:val="21"/>
                      <w:highlight w:val="none"/>
                      <w:lang w:val="en-US" w:eastAsia="zh-CN"/>
                    </w:rPr>
                    <w:t>防渗层</w:t>
                  </w:r>
                  <w:r>
                    <w:rPr>
                      <w:rFonts w:hint="eastAsia"/>
                      <w:color w:val="auto"/>
                      <w:sz w:val="21"/>
                      <w:szCs w:val="21"/>
                      <w:highlight w:val="none"/>
                      <w:lang w:val="en-US" w:eastAsia="zh-CN"/>
                    </w:rPr>
                    <w:t>为至少6m厚</w:t>
                  </w:r>
                  <w:r>
                    <w:rPr>
                      <w:rFonts w:hint="default"/>
                      <w:color w:val="auto"/>
                      <w:sz w:val="21"/>
                      <w:szCs w:val="21"/>
                      <w:highlight w:val="none"/>
                      <w:lang w:val="en-US" w:eastAsia="zh-CN"/>
                    </w:rPr>
                    <w:t>黏土</w:t>
                  </w:r>
                  <w:r>
                    <w:rPr>
                      <w:rFonts w:hint="eastAsia"/>
                      <w:color w:val="auto"/>
                      <w:sz w:val="21"/>
                      <w:szCs w:val="21"/>
                      <w:highlight w:val="none"/>
                      <w:lang w:val="en-US" w:eastAsia="zh-CN"/>
                    </w:rPr>
                    <w:t>层</w:t>
                  </w:r>
                  <w:r>
                    <w:rPr>
                      <w:rFonts w:hint="default"/>
                      <w:color w:val="auto"/>
                      <w:sz w:val="21"/>
                      <w:szCs w:val="21"/>
                      <w:highlight w:val="none"/>
                      <w:lang w:val="en-US" w:eastAsia="zh-CN"/>
                    </w:rPr>
                    <w:t>K≤1.0×10</w:t>
                  </w:r>
                  <w:r>
                    <w:rPr>
                      <w:rFonts w:hint="default"/>
                      <w:color w:val="auto"/>
                      <w:sz w:val="21"/>
                      <w:szCs w:val="21"/>
                      <w:highlight w:val="none"/>
                      <w:vertAlign w:val="superscript"/>
                      <w:lang w:val="en-US" w:eastAsia="zh-CN"/>
                    </w:rPr>
                    <w:t>-</w:t>
                  </w:r>
                  <w:r>
                    <w:rPr>
                      <w:rFonts w:hint="eastAsia"/>
                      <w:color w:val="auto"/>
                      <w:sz w:val="21"/>
                      <w:szCs w:val="21"/>
                      <w:highlight w:val="none"/>
                      <w:vertAlign w:val="superscript"/>
                      <w:lang w:val="en-US" w:eastAsia="zh-CN"/>
                    </w:rPr>
                    <w:t>10</w:t>
                  </w:r>
                  <w:r>
                    <w:rPr>
                      <w:rFonts w:hint="default"/>
                      <w:color w:val="auto"/>
                      <w:sz w:val="21"/>
                      <w:szCs w:val="21"/>
                      <w:highlight w:val="none"/>
                      <w:lang w:val="en-US" w:eastAsia="zh-CN"/>
                    </w:rPr>
                    <w:t>cm/s</w:t>
                  </w:r>
                  <w:r>
                    <w:rPr>
                      <w:rFonts w:hint="eastAsia"/>
                      <w:color w:val="auto"/>
                      <w:sz w:val="21"/>
                      <w:szCs w:val="21"/>
                      <w:highlight w:val="none"/>
                      <w:lang w:val="en-US" w:eastAsia="zh-CN"/>
                    </w:rPr>
                    <w:t>；或参照GB18597执行</w:t>
                  </w:r>
                  <w:r>
                    <w:rPr>
                      <w:rFonts w:hint="eastAsia" w:cs="Times New Roman"/>
                      <w:color w:val="auto"/>
                      <w:highlight w:val="none"/>
                      <w:lang w:val="en-US" w:eastAsia="zh-CN"/>
                    </w:rPr>
                    <w:t>）、一般防渗（</w:t>
                  </w:r>
                  <w:r>
                    <w:rPr>
                      <w:rFonts w:hint="default"/>
                      <w:color w:val="auto"/>
                      <w:sz w:val="21"/>
                      <w:szCs w:val="21"/>
                      <w:highlight w:val="none"/>
                      <w:lang w:val="en-US" w:eastAsia="zh-CN"/>
                    </w:rPr>
                    <w:t>等效黏土防渗层Mb≥1.5m，K≤</w:t>
                  </w:r>
                  <w:r>
                    <w:rPr>
                      <w:rFonts w:hint="eastAsia"/>
                      <w:color w:val="auto"/>
                      <w:sz w:val="21"/>
                      <w:szCs w:val="21"/>
                      <w:highlight w:val="none"/>
                      <w:lang w:val="en-US" w:eastAsia="zh-CN"/>
                    </w:rPr>
                    <w:t>1.0</w:t>
                  </w:r>
                  <w:r>
                    <w:rPr>
                      <w:rFonts w:hint="default"/>
                      <w:color w:val="auto"/>
                      <w:sz w:val="21"/>
                      <w:szCs w:val="21"/>
                      <w:highlight w:val="none"/>
                      <w:lang w:val="en-US" w:eastAsia="zh-CN"/>
                    </w:rPr>
                    <w:t>×10</w:t>
                  </w:r>
                  <w:r>
                    <w:rPr>
                      <w:rFonts w:hint="default"/>
                      <w:color w:val="auto"/>
                      <w:sz w:val="21"/>
                      <w:szCs w:val="21"/>
                      <w:highlight w:val="none"/>
                      <w:vertAlign w:val="superscript"/>
                      <w:lang w:val="en-US" w:eastAsia="zh-CN"/>
                    </w:rPr>
                    <w:t>-7</w:t>
                  </w:r>
                  <w:r>
                    <w:rPr>
                      <w:rFonts w:hint="default"/>
                      <w:color w:val="auto"/>
                      <w:sz w:val="21"/>
                      <w:szCs w:val="21"/>
                      <w:highlight w:val="none"/>
                      <w:lang w:val="en-US" w:eastAsia="zh-CN"/>
                    </w:rPr>
                    <w:t>cm/s</w:t>
                  </w:r>
                  <w:r>
                    <w:rPr>
                      <w:rFonts w:hint="eastAsia"/>
                      <w:color w:val="auto"/>
                      <w:sz w:val="21"/>
                      <w:szCs w:val="21"/>
                      <w:highlight w:val="none"/>
                      <w:lang w:val="en-US" w:eastAsia="zh-CN"/>
                    </w:rPr>
                    <w:t>；或参照GB16889执行</w:t>
                  </w:r>
                  <w:r>
                    <w:rPr>
                      <w:rFonts w:hint="eastAsia" w:cs="Times New Roman"/>
                      <w:color w:val="auto"/>
                      <w:highlight w:val="none"/>
                      <w:lang w:val="en-US" w:eastAsia="zh-CN"/>
                    </w:rPr>
                    <w:t>）和简单防渗（采取普通混凝土地面硬化，使渗透系数不大于 1.0×10</w:t>
                  </w:r>
                  <w:r>
                    <w:rPr>
                      <w:rFonts w:hint="eastAsia" w:cs="Times New Roman"/>
                      <w:color w:val="auto"/>
                      <w:highlight w:val="none"/>
                      <w:vertAlign w:val="superscript"/>
                      <w:lang w:val="en-US" w:eastAsia="zh-CN"/>
                    </w:rPr>
                    <w:t>-6</w:t>
                  </w:r>
                  <w:r>
                    <w:rPr>
                      <w:rFonts w:hint="eastAsia" w:cs="Times New Roman"/>
                      <w:color w:val="auto"/>
                      <w:highlight w:val="none"/>
                      <w:lang w:val="en-US" w:eastAsia="zh-CN"/>
                    </w:rPr>
                    <w:t>cm/s）</w:t>
                  </w:r>
                </w:p>
              </w:tc>
              <w:tc>
                <w:tcPr>
                  <w:tcW w:w="1229" w:type="pct"/>
                  <w:tcBorders>
                    <w:tl2br w:val="nil"/>
                    <w:tr2bl w:val="nil"/>
                  </w:tcBorders>
                  <w:vAlign w:val="center"/>
                </w:tcPr>
                <w:p w14:paraId="45CCB2FD">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r>
                    <w:rPr>
                      <w:rFonts w:hint="eastAsia" w:cs="Times New Roman"/>
                      <w:color w:val="auto"/>
                      <w:highlight w:val="none"/>
                      <w:lang w:val="en-US" w:eastAsia="zh-CN"/>
                    </w:rPr>
                    <w:t>厂区分区防渗，分为重点防渗（</w:t>
                  </w:r>
                  <w:r>
                    <w:rPr>
                      <w:rFonts w:hint="default"/>
                      <w:color w:val="auto"/>
                      <w:sz w:val="21"/>
                      <w:szCs w:val="21"/>
                      <w:highlight w:val="none"/>
                      <w:lang w:val="en-US" w:eastAsia="zh-CN"/>
                    </w:rPr>
                    <w:t>防渗层</w:t>
                  </w:r>
                  <w:r>
                    <w:rPr>
                      <w:rFonts w:hint="eastAsia"/>
                      <w:color w:val="auto"/>
                      <w:sz w:val="21"/>
                      <w:szCs w:val="21"/>
                      <w:highlight w:val="none"/>
                      <w:lang w:val="en-US" w:eastAsia="zh-CN"/>
                    </w:rPr>
                    <w:t>为至少6m厚</w:t>
                  </w:r>
                  <w:r>
                    <w:rPr>
                      <w:rFonts w:hint="default"/>
                      <w:color w:val="auto"/>
                      <w:sz w:val="21"/>
                      <w:szCs w:val="21"/>
                      <w:highlight w:val="none"/>
                      <w:lang w:val="en-US" w:eastAsia="zh-CN"/>
                    </w:rPr>
                    <w:t>黏土</w:t>
                  </w:r>
                  <w:r>
                    <w:rPr>
                      <w:rFonts w:hint="eastAsia"/>
                      <w:color w:val="auto"/>
                      <w:sz w:val="21"/>
                      <w:szCs w:val="21"/>
                      <w:highlight w:val="none"/>
                      <w:lang w:val="en-US" w:eastAsia="zh-CN"/>
                    </w:rPr>
                    <w:t>层</w:t>
                  </w:r>
                  <w:r>
                    <w:rPr>
                      <w:rFonts w:hint="default"/>
                      <w:color w:val="auto"/>
                      <w:sz w:val="21"/>
                      <w:szCs w:val="21"/>
                      <w:highlight w:val="none"/>
                      <w:lang w:val="en-US" w:eastAsia="zh-CN"/>
                    </w:rPr>
                    <w:t>K≤1.0×10</w:t>
                  </w:r>
                  <w:r>
                    <w:rPr>
                      <w:rFonts w:hint="default"/>
                      <w:color w:val="auto"/>
                      <w:sz w:val="21"/>
                      <w:szCs w:val="21"/>
                      <w:highlight w:val="none"/>
                      <w:vertAlign w:val="superscript"/>
                      <w:lang w:val="en-US" w:eastAsia="zh-CN"/>
                    </w:rPr>
                    <w:t>-</w:t>
                  </w:r>
                  <w:r>
                    <w:rPr>
                      <w:rFonts w:hint="eastAsia"/>
                      <w:color w:val="auto"/>
                      <w:sz w:val="21"/>
                      <w:szCs w:val="21"/>
                      <w:highlight w:val="none"/>
                      <w:vertAlign w:val="superscript"/>
                      <w:lang w:val="en-US" w:eastAsia="zh-CN"/>
                    </w:rPr>
                    <w:t>10</w:t>
                  </w:r>
                  <w:r>
                    <w:rPr>
                      <w:rFonts w:hint="default"/>
                      <w:color w:val="auto"/>
                      <w:sz w:val="21"/>
                      <w:szCs w:val="21"/>
                      <w:highlight w:val="none"/>
                      <w:lang w:val="en-US" w:eastAsia="zh-CN"/>
                    </w:rPr>
                    <w:t>cm/s</w:t>
                  </w:r>
                  <w:r>
                    <w:rPr>
                      <w:rFonts w:hint="eastAsia"/>
                      <w:color w:val="auto"/>
                      <w:sz w:val="21"/>
                      <w:szCs w:val="21"/>
                      <w:highlight w:val="none"/>
                      <w:lang w:val="en-US" w:eastAsia="zh-CN"/>
                    </w:rPr>
                    <w:t>；或参照GB18597执行</w:t>
                  </w:r>
                  <w:r>
                    <w:rPr>
                      <w:rFonts w:hint="eastAsia" w:cs="Times New Roman"/>
                      <w:color w:val="auto"/>
                      <w:highlight w:val="none"/>
                      <w:lang w:val="en-US" w:eastAsia="zh-CN"/>
                    </w:rPr>
                    <w:t>）、一般防渗（</w:t>
                  </w:r>
                  <w:r>
                    <w:rPr>
                      <w:rFonts w:hint="default"/>
                      <w:color w:val="auto"/>
                      <w:sz w:val="21"/>
                      <w:szCs w:val="21"/>
                      <w:highlight w:val="none"/>
                      <w:lang w:val="en-US" w:eastAsia="zh-CN"/>
                    </w:rPr>
                    <w:t>等效黏土防渗层Mb≥1.5m，K≤</w:t>
                  </w:r>
                  <w:r>
                    <w:rPr>
                      <w:rFonts w:hint="eastAsia"/>
                      <w:color w:val="auto"/>
                      <w:sz w:val="21"/>
                      <w:szCs w:val="21"/>
                      <w:highlight w:val="none"/>
                      <w:lang w:val="en-US" w:eastAsia="zh-CN"/>
                    </w:rPr>
                    <w:t>1.0</w:t>
                  </w:r>
                  <w:r>
                    <w:rPr>
                      <w:rFonts w:hint="default"/>
                      <w:color w:val="auto"/>
                      <w:sz w:val="21"/>
                      <w:szCs w:val="21"/>
                      <w:highlight w:val="none"/>
                      <w:lang w:val="en-US" w:eastAsia="zh-CN"/>
                    </w:rPr>
                    <w:t>×10</w:t>
                  </w:r>
                  <w:r>
                    <w:rPr>
                      <w:rFonts w:hint="default"/>
                      <w:color w:val="auto"/>
                      <w:sz w:val="21"/>
                      <w:szCs w:val="21"/>
                      <w:highlight w:val="none"/>
                      <w:vertAlign w:val="superscript"/>
                      <w:lang w:val="en-US" w:eastAsia="zh-CN"/>
                    </w:rPr>
                    <w:t>-7</w:t>
                  </w:r>
                  <w:r>
                    <w:rPr>
                      <w:rFonts w:hint="default"/>
                      <w:color w:val="auto"/>
                      <w:sz w:val="21"/>
                      <w:szCs w:val="21"/>
                      <w:highlight w:val="none"/>
                      <w:lang w:val="en-US" w:eastAsia="zh-CN"/>
                    </w:rPr>
                    <w:t>cm/s</w:t>
                  </w:r>
                  <w:r>
                    <w:rPr>
                      <w:rFonts w:hint="eastAsia"/>
                      <w:color w:val="auto"/>
                      <w:sz w:val="21"/>
                      <w:szCs w:val="21"/>
                      <w:highlight w:val="none"/>
                      <w:lang w:val="en-US" w:eastAsia="zh-CN"/>
                    </w:rPr>
                    <w:t>；或参照GB16889执行</w:t>
                  </w:r>
                  <w:r>
                    <w:rPr>
                      <w:rFonts w:hint="eastAsia" w:cs="Times New Roman"/>
                      <w:color w:val="auto"/>
                      <w:highlight w:val="none"/>
                      <w:lang w:val="en-US" w:eastAsia="zh-CN"/>
                    </w:rPr>
                    <w:t>）和简单防渗（采取普通混凝土地面硬化，使渗透系数不大于 1.0×10</w:t>
                  </w:r>
                  <w:r>
                    <w:rPr>
                      <w:rFonts w:hint="eastAsia" w:cs="Times New Roman"/>
                      <w:color w:val="auto"/>
                      <w:highlight w:val="none"/>
                      <w:vertAlign w:val="superscript"/>
                      <w:lang w:val="en-US" w:eastAsia="zh-CN"/>
                    </w:rPr>
                    <w:t>-6</w:t>
                  </w:r>
                  <w:r>
                    <w:rPr>
                      <w:rFonts w:hint="eastAsia" w:cs="Times New Roman"/>
                      <w:color w:val="auto"/>
                      <w:highlight w:val="none"/>
                      <w:lang w:val="en-US" w:eastAsia="zh-CN"/>
                    </w:rPr>
                    <w:t>cm/s）</w:t>
                  </w:r>
                </w:p>
              </w:tc>
              <w:tc>
                <w:tcPr>
                  <w:tcW w:w="1275" w:type="pct"/>
                  <w:tcBorders>
                    <w:tl2br w:val="nil"/>
                    <w:tr2bl w:val="nil"/>
                  </w:tcBorders>
                  <w:vAlign w:val="center"/>
                </w:tcPr>
                <w:p w14:paraId="12444226">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highlight w:val="none"/>
                      <w:lang w:val="en-US" w:eastAsia="zh-CN"/>
                    </w:rPr>
                  </w:pPr>
                  <w:r>
                    <w:rPr>
                      <w:rFonts w:hint="eastAsia" w:cs="Times New Roman"/>
                      <w:color w:val="auto"/>
                      <w:highlight w:val="none"/>
                      <w:lang w:val="en-US" w:eastAsia="zh-CN"/>
                    </w:rPr>
                    <w:t>厂区分区防渗，分为重点防渗（</w:t>
                  </w:r>
                  <w:r>
                    <w:rPr>
                      <w:rFonts w:hint="default"/>
                      <w:color w:val="auto"/>
                      <w:sz w:val="21"/>
                      <w:szCs w:val="21"/>
                      <w:highlight w:val="none"/>
                      <w:lang w:val="en-US" w:eastAsia="zh-CN"/>
                    </w:rPr>
                    <w:t>防渗层</w:t>
                  </w:r>
                  <w:r>
                    <w:rPr>
                      <w:rFonts w:hint="eastAsia"/>
                      <w:color w:val="auto"/>
                      <w:sz w:val="21"/>
                      <w:szCs w:val="21"/>
                      <w:highlight w:val="none"/>
                      <w:lang w:val="en-US" w:eastAsia="zh-CN"/>
                    </w:rPr>
                    <w:t>为至少6m厚</w:t>
                  </w:r>
                  <w:r>
                    <w:rPr>
                      <w:rFonts w:hint="default"/>
                      <w:color w:val="auto"/>
                      <w:sz w:val="21"/>
                      <w:szCs w:val="21"/>
                      <w:highlight w:val="none"/>
                      <w:lang w:val="en-US" w:eastAsia="zh-CN"/>
                    </w:rPr>
                    <w:t>黏土</w:t>
                  </w:r>
                  <w:r>
                    <w:rPr>
                      <w:rFonts w:hint="eastAsia"/>
                      <w:color w:val="auto"/>
                      <w:sz w:val="21"/>
                      <w:szCs w:val="21"/>
                      <w:highlight w:val="none"/>
                      <w:lang w:val="en-US" w:eastAsia="zh-CN"/>
                    </w:rPr>
                    <w:t>层</w:t>
                  </w:r>
                  <w:r>
                    <w:rPr>
                      <w:rFonts w:hint="default"/>
                      <w:color w:val="auto"/>
                      <w:sz w:val="21"/>
                      <w:szCs w:val="21"/>
                      <w:highlight w:val="none"/>
                      <w:lang w:val="en-US" w:eastAsia="zh-CN"/>
                    </w:rPr>
                    <w:t>K≤1.0×10</w:t>
                  </w:r>
                  <w:r>
                    <w:rPr>
                      <w:rFonts w:hint="default"/>
                      <w:color w:val="auto"/>
                      <w:sz w:val="21"/>
                      <w:szCs w:val="21"/>
                      <w:highlight w:val="none"/>
                      <w:vertAlign w:val="superscript"/>
                      <w:lang w:val="en-US" w:eastAsia="zh-CN"/>
                    </w:rPr>
                    <w:t>-</w:t>
                  </w:r>
                  <w:r>
                    <w:rPr>
                      <w:rFonts w:hint="eastAsia"/>
                      <w:color w:val="auto"/>
                      <w:sz w:val="21"/>
                      <w:szCs w:val="21"/>
                      <w:highlight w:val="none"/>
                      <w:vertAlign w:val="superscript"/>
                      <w:lang w:val="en-US" w:eastAsia="zh-CN"/>
                    </w:rPr>
                    <w:t>10</w:t>
                  </w:r>
                  <w:r>
                    <w:rPr>
                      <w:rFonts w:hint="default"/>
                      <w:color w:val="auto"/>
                      <w:sz w:val="21"/>
                      <w:szCs w:val="21"/>
                      <w:highlight w:val="none"/>
                      <w:lang w:val="en-US" w:eastAsia="zh-CN"/>
                    </w:rPr>
                    <w:t>cm/s</w:t>
                  </w:r>
                  <w:r>
                    <w:rPr>
                      <w:rFonts w:hint="eastAsia"/>
                      <w:color w:val="auto"/>
                      <w:sz w:val="21"/>
                      <w:szCs w:val="21"/>
                      <w:highlight w:val="none"/>
                      <w:lang w:val="en-US" w:eastAsia="zh-CN"/>
                    </w:rPr>
                    <w:t>；或参照GB18597执行</w:t>
                  </w:r>
                  <w:r>
                    <w:rPr>
                      <w:rFonts w:hint="eastAsia" w:cs="Times New Roman"/>
                      <w:color w:val="auto"/>
                      <w:highlight w:val="none"/>
                      <w:lang w:val="en-US" w:eastAsia="zh-CN"/>
                    </w:rPr>
                    <w:t>）、一般防渗（</w:t>
                  </w:r>
                  <w:r>
                    <w:rPr>
                      <w:rFonts w:hint="default"/>
                      <w:color w:val="auto"/>
                      <w:sz w:val="21"/>
                      <w:szCs w:val="21"/>
                      <w:highlight w:val="none"/>
                      <w:lang w:val="en-US" w:eastAsia="zh-CN"/>
                    </w:rPr>
                    <w:t>等效黏土防渗层Mb≥1.5m，K≤</w:t>
                  </w:r>
                  <w:r>
                    <w:rPr>
                      <w:rFonts w:hint="eastAsia"/>
                      <w:color w:val="auto"/>
                      <w:sz w:val="21"/>
                      <w:szCs w:val="21"/>
                      <w:highlight w:val="none"/>
                      <w:lang w:val="en-US" w:eastAsia="zh-CN"/>
                    </w:rPr>
                    <w:t>1.0</w:t>
                  </w:r>
                  <w:r>
                    <w:rPr>
                      <w:rFonts w:hint="default"/>
                      <w:color w:val="auto"/>
                      <w:sz w:val="21"/>
                      <w:szCs w:val="21"/>
                      <w:highlight w:val="none"/>
                      <w:lang w:val="en-US" w:eastAsia="zh-CN"/>
                    </w:rPr>
                    <w:t>×10</w:t>
                  </w:r>
                  <w:r>
                    <w:rPr>
                      <w:rFonts w:hint="default"/>
                      <w:color w:val="auto"/>
                      <w:sz w:val="21"/>
                      <w:szCs w:val="21"/>
                      <w:highlight w:val="none"/>
                      <w:vertAlign w:val="superscript"/>
                      <w:lang w:val="en-US" w:eastAsia="zh-CN"/>
                    </w:rPr>
                    <w:t>-7</w:t>
                  </w:r>
                  <w:r>
                    <w:rPr>
                      <w:rFonts w:hint="default"/>
                      <w:color w:val="auto"/>
                      <w:sz w:val="21"/>
                      <w:szCs w:val="21"/>
                      <w:highlight w:val="none"/>
                      <w:lang w:val="en-US" w:eastAsia="zh-CN"/>
                    </w:rPr>
                    <w:t>cm/s</w:t>
                  </w:r>
                  <w:r>
                    <w:rPr>
                      <w:rFonts w:hint="eastAsia"/>
                      <w:color w:val="auto"/>
                      <w:sz w:val="21"/>
                      <w:szCs w:val="21"/>
                      <w:highlight w:val="none"/>
                      <w:lang w:val="en-US" w:eastAsia="zh-CN"/>
                    </w:rPr>
                    <w:t>；或参照GB16889执行</w:t>
                  </w:r>
                  <w:r>
                    <w:rPr>
                      <w:rFonts w:hint="eastAsia" w:cs="Times New Roman"/>
                      <w:color w:val="auto"/>
                      <w:highlight w:val="none"/>
                      <w:lang w:val="en-US" w:eastAsia="zh-CN"/>
                    </w:rPr>
                    <w:t>）和简单防渗（采取普通混凝土地面硬化，使渗透系数不大于 1.0×10</w:t>
                  </w:r>
                  <w:r>
                    <w:rPr>
                      <w:rFonts w:hint="eastAsia" w:cs="Times New Roman"/>
                      <w:color w:val="auto"/>
                      <w:highlight w:val="none"/>
                      <w:vertAlign w:val="superscript"/>
                      <w:lang w:val="en-US" w:eastAsia="zh-CN"/>
                    </w:rPr>
                    <w:t>-6</w:t>
                  </w:r>
                  <w:r>
                    <w:rPr>
                      <w:rFonts w:hint="eastAsia" w:cs="Times New Roman"/>
                      <w:color w:val="auto"/>
                      <w:highlight w:val="none"/>
                      <w:lang w:val="en-US" w:eastAsia="zh-CN"/>
                    </w:rPr>
                    <w:t>cm/s）</w:t>
                  </w:r>
                </w:p>
              </w:tc>
            </w:tr>
            <w:tr w14:paraId="176F25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0" w:hRule="atLeast"/>
              </w:trPr>
              <w:tc>
                <w:tcPr>
                  <w:tcW w:w="652" w:type="pct"/>
                  <w:vMerge w:val="continue"/>
                  <w:tcBorders>
                    <w:tl2br w:val="nil"/>
                    <w:tr2bl w:val="nil"/>
                  </w:tcBorders>
                  <w:vAlign w:val="center"/>
                </w:tcPr>
                <w:p w14:paraId="3D6451CD">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p>
              </w:tc>
              <w:tc>
                <w:tcPr>
                  <w:tcW w:w="724" w:type="pct"/>
                  <w:tcBorders>
                    <w:tl2br w:val="nil"/>
                    <w:tr2bl w:val="nil"/>
                  </w:tcBorders>
                  <w:vAlign w:val="center"/>
                </w:tcPr>
                <w:p w14:paraId="401A55A1">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r>
                    <w:rPr>
                      <w:rFonts w:hint="default" w:ascii="Times New Roman" w:hAnsi="Times New Roman" w:cs="Times New Roman"/>
                      <w:color w:val="auto"/>
                      <w:highlight w:val="none"/>
                    </w:rPr>
                    <w:t>风险防范措施</w:t>
                  </w:r>
                </w:p>
              </w:tc>
              <w:tc>
                <w:tcPr>
                  <w:tcW w:w="1118" w:type="pct"/>
                  <w:tcBorders>
                    <w:tl2br w:val="nil"/>
                    <w:tr2bl w:val="nil"/>
                  </w:tcBorders>
                  <w:vAlign w:val="center"/>
                </w:tcPr>
                <w:p w14:paraId="53F71939">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r>
                    <w:rPr>
                      <w:rFonts w:hint="eastAsia" w:ascii="Times New Roman" w:hAnsi="Times New Roman" w:cs="Times New Roman"/>
                      <w:color w:val="auto"/>
                      <w:highlight w:val="none"/>
                      <w:vertAlign w:val="baseline"/>
                      <w:lang w:val="en-US" w:eastAsia="zh-CN"/>
                    </w:rPr>
                    <w:t>事故池600</w:t>
                  </w:r>
                  <w:r>
                    <w:rPr>
                      <w:rFonts w:hint="eastAsia" w:ascii="Times New Roman" w:hAnsi="Times New Roman" w:eastAsia="宋体" w:cs="Times New Roman"/>
                      <w:color w:val="auto"/>
                      <w:kern w:val="2"/>
                      <w:sz w:val="21"/>
                      <w:szCs w:val="24"/>
                      <w:highlight w:val="none"/>
                      <w:lang w:val="en-US" w:eastAsia="zh-CN" w:bidi="ar-SA"/>
                    </w:rPr>
                    <w:t>m</w:t>
                  </w:r>
                  <w:r>
                    <w:rPr>
                      <w:rFonts w:hint="eastAsia" w:ascii="Times New Roman" w:hAnsi="Times New Roman" w:eastAsia="宋体" w:cs="Times New Roman"/>
                      <w:color w:val="auto"/>
                      <w:kern w:val="2"/>
                      <w:sz w:val="21"/>
                      <w:szCs w:val="24"/>
                      <w:highlight w:val="none"/>
                      <w:vertAlign w:val="superscript"/>
                      <w:lang w:val="en-US" w:eastAsia="zh-CN" w:bidi="ar-SA"/>
                    </w:rPr>
                    <w:t>3</w:t>
                  </w:r>
                </w:p>
              </w:tc>
              <w:tc>
                <w:tcPr>
                  <w:tcW w:w="1229" w:type="pct"/>
                  <w:tcBorders>
                    <w:tl2br w:val="nil"/>
                    <w:tr2bl w:val="nil"/>
                  </w:tcBorders>
                  <w:vAlign w:val="center"/>
                </w:tcPr>
                <w:p w14:paraId="286138D1">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依托</w:t>
                  </w:r>
                  <w:r>
                    <w:rPr>
                      <w:rFonts w:hint="eastAsia" w:ascii="Times New Roman" w:hAnsi="Times New Roman" w:cs="Times New Roman"/>
                      <w:color w:val="auto"/>
                      <w:highlight w:val="none"/>
                      <w:lang w:val="en-US" w:eastAsia="zh-CN"/>
                    </w:rPr>
                    <w:t>现有</w:t>
                  </w:r>
                </w:p>
              </w:tc>
              <w:tc>
                <w:tcPr>
                  <w:tcW w:w="1275" w:type="pct"/>
                  <w:tcBorders>
                    <w:tl2br w:val="nil"/>
                    <w:tr2bl w:val="nil"/>
                  </w:tcBorders>
                  <w:vAlign w:val="center"/>
                </w:tcPr>
                <w:p w14:paraId="55623DBD">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highlight w:val="none"/>
                      <w:lang w:val="en-US" w:eastAsia="zh-CN"/>
                    </w:rPr>
                  </w:pPr>
                  <w:r>
                    <w:rPr>
                      <w:rFonts w:hint="eastAsia" w:ascii="Times New Roman" w:hAnsi="Times New Roman" w:cs="Times New Roman"/>
                      <w:color w:val="auto"/>
                      <w:highlight w:val="none"/>
                      <w:vertAlign w:val="baseline"/>
                      <w:lang w:val="en-US" w:eastAsia="zh-CN"/>
                    </w:rPr>
                    <w:t>事故池600</w:t>
                  </w:r>
                  <w:r>
                    <w:rPr>
                      <w:rFonts w:hint="eastAsia" w:ascii="Times New Roman" w:hAnsi="Times New Roman" w:eastAsia="宋体" w:cs="Times New Roman"/>
                      <w:color w:val="auto"/>
                      <w:kern w:val="2"/>
                      <w:sz w:val="21"/>
                      <w:szCs w:val="24"/>
                      <w:highlight w:val="none"/>
                      <w:lang w:val="en-US" w:eastAsia="zh-CN" w:bidi="ar-SA"/>
                    </w:rPr>
                    <w:t>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bl>
          <w:p w14:paraId="5177B127">
            <w:pPr>
              <w:keepNext w:val="0"/>
              <w:keepLines w:val="0"/>
              <w:suppressLineNumbers w:val="0"/>
              <w:bidi w:val="0"/>
              <w:spacing w:before="0" w:beforeAutospacing="0" w:after="0" w:afterAutospacing="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3、产品方案</w:t>
            </w:r>
          </w:p>
          <w:p w14:paraId="6B16F40F">
            <w:pPr>
              <w:keepNext w:val="0"/>
              <w:keepLines w:val="0"/>
              <w:suppressLineNumbers w:val="0"/>
              <w:bidi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w:t>
            </w:r>
            <w:r>
              <w:rPr>
                <w:rFonts w:hint="default" w:ascii="Times New Roman" w:hAnsi="Times New Roman" w:cs="Times New Roman"/>
                <w:color w:val="auto"/>
                <w:highlight w:val="none"/>
                <w:lang w:val="en-US" w:eastAsia="zh-CN"/>
              </w:rPr>
              <w:t>产品方案见</w:t>
            </w:r>
            <w:r>
              <w:rPr>
                <w:rFonts w:hint="default" w:ascii="Times New Roman" w:hAnsi="Times New Roman" w:cs="Times New Roman"/>
                <w:color w:val="auto"/>
                <w:highlight w:val="none"/>
              </w:rPr>
              <w:t>表2-</w:t>
            </w:r>
            <w:r>
              <w:rPr>
                <w:rFonts w:hint="eastAsia" w:cs="Times New Roman"/>
                <w:color w:val="auto"/>
                <w:highlight w:val="none"/>
                <w:lang w:val="en-US" w:eastAsia="zh-CN"/>
              </w:rPr>
              <w:t>3</w:t>
            </w:r>
            <w:r>
              <w:rPr>
                <w:rFonts w:hint="default" w:ascii="Times New Roman" w:hAnsi="Times New Roman" w:cs="Times New Roman"/>
                <w:color w:val="auto"/>
                <w:highlight w:val="none"/>
              </w:rPr>
              <w:t>。</w:t>
            </w:r>
          </w:p>
          <w:p w14:paraId="7A30616C">
            <w:pPr>
              <w:pStyle w:val="6"/>
              <w:keepNext w:val="0"/>
              <w:keepLines w:val="0"/>
              <w:suppressLineNumbers w:val="0"/>
              <w:bidi w:val="0"/>
              <w:spacing w:before="0" w:beforeAutospacing="0" w:after="0" w:afterAutospacing="0"/>
              <w:ind w:right="0"/>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rPr>
              <w:t>表</w:t>
            </w:r>
            <w:r>
              <w:rPr>
                <w:rFonts w:hint="default" w:ascii="Times New Roman" w:hAnsi="Times New Roman" w:cs="Times New Roman"/>
                <w:b/>
                <w:bCs/>
                <w:color w:val="auto"/>
                <w:highlight w:val="none"/>
                <w:lang w:val="en-US" w:eastAsia="zh-CN"/>
              </w:rPr>
              <w:t>2-</w:t>
            </w:r>
            <w:r>
              <w:rPr>
                <w:rFonts w:hint="eastAsia" w:cs="Times New Roman"/>
                <w:b/>
                <w:bCs/>
                <w:color w:val="auto"/>
                <w:highlight w:val="none"/>
                <w:lang w:val="en-US" w:eastAsia="zh-CN"/>
              </w:rPr>
              <w:t>3</w:t>
            </w:r>
            <w:r>
              <w:rPr>
                <w:rFonts w:hint="default" w:ascii="Times New Roman" w:hAnsi="Times New Roman" w:cs="Times New Roman"/>
                <w:b/>
                <w:bCs/>
                <w:color w:val="auto"/>
                <w:highlight w:val="none"/>
                <w:lang w:val="en-US" w:eastAsia="zh-CN"/>
              </w:rPr>
              <w:t xml:space="preserve">   </w:t>
            </w:r>
            <w:r>
              <w:rPr>
                <w:rFonts w:hint="eastAsia" w:cs="Times New Roman"/>
                <w:b/>
                <w:bCs/>
                <w:color w:val="auto"/>
                <w:highlight w:val="none"/>
                <w:lang w:val="en-US" w:eastAsia="zh-CN"/>
              </w:rPr>
              <w:t>本项目</w:t>
            </w:r>
            <w:r>
              <w:rPr>
                <w:rFonts w:hint="default" w:ascii="Times New Roman" w:hAnsi="Times New Roman" w:cs="Times New Roman"/>
                <w:b/>
                <w:bCs/>
                <w:color w:val="auto"/>
                <w:highlight w:val="none"/>
                <w:lang w:val="en-US" w:eastAsia="zh-CN"/>
              </w:rPr>
              <w:t>产品方案</w:t>
            </w:r>
            <w:r>
              <w:rPr>
                <w:rFonts w:hint="default" w:ascii="Times New Roman" w:hAnsi="Times New Roman" w:cs="Times New Roman"/>
                <w:b/>
                <w:bCs/>
                <w:color w:val="auto"/>
                <w:highlight w:val="none"/>
              </w:rPr>
              <w:t>一览表</w:t>
            </w:r>
          </w:p>
          <w:tbl>
            <w:tblPr>
              <w:tblStyle w:val="33"/>
              <w:tblW w:w="4998" w:type="pct"/>
              <w:jc w:val="center"/>
              <w:tblBorders>
                <w:top w:val="single" w:color="auto" w:sz="12" w:space="0"/>
                <w:left w:val="none" w:color="auto" w:sz="0" w:space="0"/>
                <w:bottom w:val="single" w:color="000000"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41"/>
              <w:gridCol w:w="1116"/>
              <w:gridCol w:w="888"/>
              <w:gridCol w:w="1435"/>
              <w:gridCol w:w="2715"/>
              <w:gridCol w:w="1591"/>
            </w:tblGrid>
            <w:tr w14:paraId="43D540C5">
              <w:tblPrEx>
                <w:tblBorders>
                  <w:top w:val="single" w:color="auto"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382" w:type="pct"/>
                  <w:tcBorders>
                    <w:bottom w:val="single" w:color="auto" w:sz="12" w:space="0"/>
                  </w:tcBorders>
                  <w:vAlign w:val="center"/>
                </w:tcPr>
                <w:p w14:paraId="31D485A4">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序号</w:t>
                  </w:r>
                </w:p>
              </w:tc>
              <w:tc>
                <w:tcPr>
                  <w:tcW w:w="665" w:type="pct"/>
                  <w:tcBorders>
                    <w:bottom w:val="single" w:color="auto" w:sz="12" w:space="0"/>
                  </w:tcBorders>
                  <w:vAlign w:val="center"/>
                </w:tcPr>
                <w:p w14:paraId="12E8BDCE">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highlight w:val="none"/>
                      <w:lang w:eastAsia="zh-CN"/>
                    </w:rPr>
                  </w:pPr>
                  <w:r>
                    <w:rPr>
                      <w:rFonts w:hint="default" w:ascii="Times New Roman" w:hAnsi="Times New Roman" w:cs="Times New Roman"/>
                      <w:b/>
                      <w:bCs/>
                      <w:color w:val="auto"/>
                      <w:highlight w:val="none"/>
                      <w:lang w:eastAsia="zh-CN"/>
                    </w:rPr>
                    <w:t>产品</w:t>
                  </w:r>
                  <w:r>
                    <w:rPr>
                      <w:rFonts w:hint="default" w:ascii="Times New Roman" w:hAnsi="Times New Roman" w:cs="Times New Roman"/>
                      <w:b/>
                      <w:bCs/>
                      <w:color w:val="auto"/>
                      <w:highlight w:val="none"/>
                      <w:lang w:val="en-US" w:eastAsia="zh-CN"/>
                    </w:rPr>
                    <w:t>名称</w:t>
                  </w:r>
                </w:p>
              </w:tc>
              <w:tc>
                <w:tcPr>
                  <w:tcW w:w="529" w:type="pct"/>
                  <w:tcBorders>
                    <w:bottom w:val="single" w:color="auto" w:sz="12" w:space="0"/>
                  </w:tcBorders>
                  <w:vAlign w:val="center"/>
                </w:tcPr>
                <w:p w14:paraId="774FC479">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年产量</w:t>
                  </w:r>
                </w:p>
              </w:tc>
              <w:tc>
                <w:tcPr>
                  <w:tcW w:w="855" w:type="pct"/>
                  <w:tcBorders>
                    <w:bottom w:val="single" w:color="auto" w:sz="12" w:space="0"/>
                  </w:tcBorders>
                  <w:vAlign w:val="center"/>
                </w:tcPr>
                <w:p w14:paraId="56E9B09E">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highlight w:val="none"/>
                      <w:lang w:val="en-US" w:eastAsia="zh-CN"/>
                    </w:rPr>
                  </w:pPr>
                  <w:r>
                    <w:rPr>
                      <w:rFonts w:hint="eastAsia" w:cs="Times New Roman"/>
                      <w:b/>
                      <w:bCs/>
                      <w:color w:val="auto"/>
                      <w:highlight w:val="none"/>
                      <w:lang w:val="en-US" w:eastAsia="zh-CN"/>
                    </w:rPr>
                    <w:t>规格</w:t>
                  </w:r>
                </w:p>
              </w:tc>
              <w:tc>
                <w:tcPr>
                  <w:tcW w:w="1618" w:type="pct"/>
                  <w:tcBorders>
                    <w:bottom w:val="single" w:color="auto" w:sz="12" w:space="0"/>
                  </w:tcBorders>
                  <w:vAlign w:val="center"/>
                </w:tcPr>
                <w:p w14:paraId="485F88AB">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产品标准</w:t>
                  </w:r>
                </w:p>
              </w:tc>
              <w:tc>
                <w:tcPr>
                  <w:tcW w:w="948" w:type="pct"/>
                  <w:tcBorders>
                    <w:bottom w:val="single" w:color="auto" w:sz="12" w:space="0"/>
                  </w:tcBorders>
                  <w:vAlign w:val="center"/>
                </w:tcPr>
                <w:p w14:paraId="30A1393F">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highlight w:val="none"/>
                      <w:lang w:val="en-US" w:eastAsia="zh-CN"/>
                    </w:rPr>
                  </w:pPr>
                  <w:r>
                    <w:rPr>
                      <w:rFonts w:hint="eastAsia" w:cs="Times New Roman"/>
                      <w:b/>
                      <w:bCs/>
                      <w:color w:val="auto"/>
                      <w:highlight w:val="none"/>
                      <w:lang w:val="en-US" w:eastAsia="zh-CN"/>
                    </w:rPr>
                    <w:t>备注</w:t>
                  </w:r>
                </w:p>
              </w:tc>
            </w:tr>
            <w:tr w14:paraId="7C898924">
              <w:tblPrEx>
                <w:tblBorders>
                  <w:top w:val="single" w:color="auto"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382" w:type="pct"/>
                  <w:tcBorders>
                    <w:top w:val="single" w:color="auto" w:sz="12" w:space="0"/>
                    <w:bottom w:val="single" w:color="auto" w:sz="12" w:space="0"/>
                  </w:tcBorders>
                  <w:vAlign w:val="center"/>
                </w:tcPr>
                <w:p w14:paraId="74A4F187">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w:t>
                  </w:r>
                </w:p>
              </w:tc>
              <w:tc>
                <w:tcPr>
                  <w:tcW w:w="665" w:type="pct"/>
                  <w:tcBorders>
                    <w:top w:val="single" w:color="auto" w:sz="12" w:space="0"/>
                    <w:bottom w:val="single" w:color="auto" w:sz="12" w:space="0"/>
                  </w:tcBorders>
                  <w:vAlign w:val="center"/>
                </w:tcPr>
                <w:p w14:paraId="62C97B88">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尼龙隔热条</w:t>
                  </w:r>
                </w:p>
              </w:tc>
              <w:tc>
                <w:tcPr>
                  <w:tcW w:w="529" w:type="pct"/>
                  <w:tcBorders>
                    <w:top w:val="single" w:color="auto" w:sz="12" w:space="0"/>
                    <w:bottom w:val="single" w:color="auto" w:sz="12" w:space="0"/>
                  </w:tcBorders>
                  <w:vAlign w:val="center"/>
                </w:tcPr>
                <w:p w14:paraId="00CFEEC8">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25</w:t>
                  </w:r>
                  <w:r>
                    <w:rPr>
                      <w:rFonts w:hint="default" w:ascii="Times New Roman" w:hAnsi="Times New Roman" w:cs="Times New Roman"/>
                      <w:color w:val="auto"/>
                      <w:highlight w:val="none"/>
                      <w:lang w:val="en-US" w:eastAsia="zh-CN"/>
                    </w:rPr>
                    <w:t>00t</w:t>
                  </w:r>
                </w:p>
              </w:tc>
              <w:tc>
                <w:tcPr>
                  <w:tcW w:w="855" w:type="pct"/>
                  <w:tcBorders>
                    <w:top w:val="single" w:color="auto" w:sz="12" w:space="0"/>
                    <w:bottom w:val="single" w:color="auto" w:sz="12" w:space="0"/>
                  </w:tcBorders>
                  <w:vAlign w:val="center"/>
                </w:tcPr>
                <w:p w14:paraId="252B2576">
                  <w:pPr>
                    <w:pStyle w:val="6"/>
                    <w:keepNext w:val="0"/>
                    <w:keepLines w:val="0"/>
                    <w:suppressLineNumbers w:val="0"/>
                    <w:bidi w:val="0"/>
                    <w:spacing w:before="0" w:beforeAutospacing="0" w:after="0" w:afterAutospacing="0"/>
                    <w:ind w:right="0"/>
                    <w:rPr>
                      <w:rFonts w:hint="eastAsia" w:cs="Times New Roman"/>
                      <w:color w:val="auto"/>
                      <w:highlight w:val="none"/>
                      <w:lang w:val="en-US" w:eastAsia="zh-CN"/>
                    </w:rPr>
                  </w:pPr>
                  <w:r>
                    <w:rPr>
                      <w:rFonts w:hint="eastAsia" w:cs="Times New Roman"/>
                      <w:color w:val="auto"/>
                      <w:highlight w:val="none"/>
                      <w:lang w:val="en-US" w:eastAsia="zh-CN"/>
                    </w:rPr>
                    <w:t>长条形，袋装，长度根据来料订单定</w:t>
                  </w:r>
                </w:p>
              </w:tc>
              <w:tc>
                <w:tcPr>
                  <w:tcW w:w="1618" w:type="pct"/>
                  <w:tcBorders>
                    <w:top w:val="single" w:color="auto" w:sz="12" w:space="0"/>
                    <w:bottom w:val="single" w:color="auto" w:sz="12" w:space="0"/>
                  </w:tcBorders>
                  <w:vAlign w:val="center"/>
                </w:tcPr>
                <w:p w14:paraId="72B02A8A">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《铝合金建筑型材用隔热材料 第1部分：聚酰胺型材》（GB/T 23615.1-2017）</w:t>
                  </w:r>
                </w:p>
              </w:tc>
              <w:tc>
                <w:tcPr>
                  <w:tcW w:w="948" w:type="pct"/>
                  <w:tcBorders>
                    <w:top w:val="single" w:color="auto" w:sz="12" w:space="0"/>
                    <w:bottom w:val="single" w:color="auto" w:sz="12" w:space="0"/>
                  </w:tcBorders>
                  <w:vAlign w:val="center"/>
                </w:tcPr>
                <w:p w14:paraId="20A93857">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本项目原料不使用废旧塑料</w:t>
                  </w:r>
                </w:p>
              </w:tc>
            </w:tr>
          </w:tbl>
          <w:p w14:paraId="187BB6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eastAsia="宋体"/>
                <w:b/>
                <w:bCs/>
                <w:color w:val="auto"/>
                <w:sz w:val="21"/>
                <w:szCs w:val="21"/>
                <w:highlight w:val="none"/>
              </w:rPr>
            </w:pPr>
            <w:r>
              <w:rPr>
                <w:rFonts w:hint="default" w:eastAsia="宋体"/>
                <w:b/>
                <w:bCs/>
                <w:color w:val="auto"/>
                <w:sz w:val="21"/>
                <w:szCs w:val="21"/>
                <w:highlight w:val="none"/>
              </w:rPr>
              <w:t>表</w:t>
            </w:r>
            <w:r>
              <w:rPr>
                <w:rFonts w:hint="eastAsia" w:eastAsia="宋体"/>
                <w:b/>
                <w:bCs/>
                <w:color w:val="auto"/>
                <w:sz w:val="21"/>
                <w:szCs w:val="21"/>
                <w:highlight w:val="none"/>
                <w:lang w:val="en-US" w:eastAsia="zh-CN"/>
              </w:rPr>
              <w:t>2</w:t>
            </w:r>
            <w:r>
              <w:rPr>
                <w:rFonts w:hint="default" w:eastAsia="宋体"/>
                <w:b/>
                <w:bCs/>
                <w:color w:val="auto"/>
                <w:sz w:val="21"/>
                <w:szCs w:val="21"/>
                <w:highlight w:val="none"/>
              </w:rPr>
              <w:t>-</w:t>
            </w:r>
            <w:r>
              <w:rPr>
                <w:rFonts w:hint="eastAsia"/>
                <w:b/>
                <w:bCs/>
                <w:color w:val="auto"/>
                <w:sz w:val="21"/>
                <w:szCs w:val="21"/>
                <w:highlight w:val="none"/>
                <w:lang w:val="en-US" w:eastAsia="zh-CN"/>
              </w:rPr>
              <w:t>4</w:t>
            </w:r>
            <w:r>
              <w:rPr>
                <w:rFonts w:hint="default" w:eastAsia="宋体"/>
                <w:b/>
                <w:bCs/>
                <w:color w:val="auto"/>
                <w:sz w:val="21"/>
                <w:szCs w:val="21"/>
                <w:highlight w:val="none"/>
              </w:rPr>
              <w:t xml:space="preserve">  </w:t>
            </w:r>
            <w:r>
              <w:rPr>
                <w:rFonts w:hint="eastAsia" w:eastAsia="宋体"/>
                <w:b/>
                <w:bCs/>
                <w:color w:val="auto"/>
                <w:sz w:val="21"/>
                <w:szCs w:val="21"/>
                <w:highlight w:val="none"/>
                <w:lang w:val="en-US" w:eastAsia="zh-CN"/>
              </w:rPr>
              <w:t>改建后全厂</w:t>
            </w:r>
            <w:r>
              <w:rPr>
                <w:rFonts w:hint="default" w:eastAsia="宋体"/>
                <w:b/>
                <w:bCs/>
                <w:color w:val="auto"/>
                <w:sz w:val="21"/>
                <w:szCs w:val="21"/>
                <w:highlight w:val="none"/>
              </w:rPr>
              <w:t>产品方案一览表</w:t>
            </w:r>
          </w:p>
          <w:tbl>
            <w:tblPr>
              <w:tblStyle w:val="3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97"/>
              <w:gridCol w:w="1973"/>
              <w:gridCol w:w="1606"/>
              <w:gridCol w:w="1753"/>
              <w:gridCol w:w="2057"/>
            </w:tblGrid>
            <w:tr w14:paraId="50043C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594" w:type="pct"/>
                  <w:vMerge w:val="restart"/>
                  <w:tcBorders>
                    <w:tl2br w:val="nil"/>
                    <w:tr2bl w:val="nil"/>
                  </w:tcBorders>
                  <w:noWrap w:val="0"/>
                  <w:vAlign w:val="center"/>
                </w:tcPr>
                <w:p w14:paraId="0F5BCD75">
                  <w:pPr>
                    <w:keepNext w:val="0"/>
                    <w:keepLines w:val="0"/>
                    <w:suppressLineNumbers w:val="0"/>
                    <w:spacing w:before="0" w:beforeAutospacing="0" w:after="0" w:afterAutospacing="0" w:line="240" w:lineRule="auto"/>
                    <w:ind w:left="0" w:leftChars="0" w:right="0" w:rightChars="0" w:firstLine="0" w:firstLineChars="0"/>
                    <w:jc w:val="center"/>
                    <w:rPr>
                      <w:rFonts w:hint="default" w:eastAsia="宋体"/>
                      <w:b/>
                      <w:bCs/>
                      <w:color w:val="auto"/>
                      <w:sz w:val="21"/>
                      <w:szCs w:val="21"/>
                      <w:highlight w:val="none"/>
                    </w:rPr>
                  </w:pPr>
                  <w:r>
                    <w:rPr>
                      <w:rFonts w:hint="default" w:eastAsia="宋体"/>
                      <w:b/>
                      <w:bCs/>
                      <w:color w:val="auto"/>
                      <w:sz w:val="21"/>
                      <w:szCs w:val="21"/>
                      <w:highlight w:val="none"/>
                    </w:rPr>
                    <w:t>序号</w:t>
                  </w:r>
                </w:p>
              </w:tc>
              <w:tc>
                <w:tcPr>
                  <w:tcW w:w="1176" w:type="pct"/>
                  <w:vMerge w:val="restart"/>
                  <w:tcBorders>
                    <w:tl2br w:val="nil"/>
                    <w:tr2bl w:val="nil"/>
                  </w:tcBorders>
                  <w:noWrap w:val="0"/>
                  <w:vAlign w:val="center"/>
                </w:tcPr>
                <w:p w14:paraId="192DCC89">
                  <w:pPr>
                    <w:keepNext w:val="0"/>
                    <w:keepLines w:val="0"/>
                    <w:suppressLineNumbers w:val="0"/>
                    <w:spacing w:before="0" w:beforeAutospacing="0" w:after="0" w:afterAutospacing="0" w:line="240" w:lineRule="auto"/>
                    <w:ind w:left="0" w:leftChars="0" w:right="0" w:rightChars="0" w:firstLine="0" w:firstLineChars="0"/>
                    <w:jc w:val="center"/>
                    <w:rPr>
                      <w:rFonts w:hint="eastAsia" w:eastAsia="宋体"/>
                      <w:b/>
                      <w:bCs/>
                      <w:color w:val="auto"/>
                      <w:sz w:val="21"/>
                      <w:szCs w:val="21"/>
                      <w:highlight w:val="none"/>
                    </w:rPr>
                  </w:pPr>
                  <w:r>
                    <w:rPr>
                      <w:rFonts w:hint="eastAsia" w:eastAsia="宋体"/>
                      <w:b/>
                      <w:bCs/>
                      <w:color w:val="auto"/>
                      <w:sz w:val="21"/>
                      <w:szCs w:val="21"/>
                      <w:highlight w:val="none"/>
                    </w:rPr>
                    <w:t>产品名称</w:t>
                  </w:r>
                </w:p>
              </w:tc>
              <w:tc>
                <w:tcPr>
                  <w:tcW w:w="3228" w:type="pct"/>
                  <w:gridSpan w:val="3"/>
                  <w:tcBorders>
                    <w:tl2br w:val="nil"/>
                    <w:tr2bl w:val="nil"/>
                  </w:tcBorders>
                  <w:noWrap w:val="0"/>
                  <w:vAlign w:val="center"/>
                </w:tcPr>
                <w:p w14:paraId="78356FDC">
                  <w:pPr>
                    <w:keepNext w:val="0"/>
                    <w:keepLines w:val="0"/>
                    <w:suppressLineNumbers w:val="0"/>
                    <w:spacing w:before="0" w:beforeAutospacing="0" w:after="0" w:afterAutospacing="0" w:line="240" w:lineRule="auto"/>
                    <w:ind w:left="0" w:leftChars="0" w:right="0" w:rightChars="0" w:firstLine="0" w:firstLineChars="0"/>
                    <w:jc w:val="center"/>
                    <w:rPr>
                      <w:rFonts w:hint="eastAsia"/>
                      <w:b/>
                      <w:bCs/>
                      <w:color w:val="auto"/>
                      <w:sz w:val="21"/>
                      <w:szCs w:val="21"/>
                      <w:highlight w:val="none"/>
                      <w:lang w:val="en-US" w:eastAsia="zh-CN"/>
                    </w:rPr>
                  </w:pPr>
                  <w:r>
                    <w:rPr>
                      <w:rFonts w:hint="eastAsia"/>
                      <w:b/>
                      <w:bCs/>
                      <w:color w:val="auto"/>
                      <w:sz w:val="21"/>
                      <w:szCs w:val="21"/>
                      <w:highlight w:val="none"/>
                      <w:lang w:val="en-US" w:eastAsia="zh-CN"/>
                    </w:rPr>
                    <w:t>产品方案</w:t>
                  </w:r>
                </w:p>
              </w:tc>
            </w:tr>
            <w:tr w14:paraId="794A41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594" w:type="pct"/>
                  <w:vMerge w:val="continue"/>
                  <w:tcBorders>
                    <w:tl2br w:val="nil"/>
                    <w:tr2bl w:val="nil"/>
                  </w:tcBorders>
                  <w:noWrap w:val="0"/>
                  <w:vAlign w:val="center"/>
                </w:tcPr>
                <w:p w14:paraId="086BC166">
                  <w:pPr>
                    <w:keepNext w:val="0"/>
                    <w:keepLines w:val="0"/>
                    <w:suppressLineNumbers w:val="0"/>
                    <w:spacing w:before="0" w:beforeAutospacing="0" w:after="0" w:afterAutospacing="0" w:line="240" w:lineRule="auto"/>
                    <w:ind w:left="0" w:leftChars="0" w:right="0" w:rightChars="0" w:firstLine="0" w:firstLineChars="0"/>
                    <w:jc w:val="center"/>
                    <w:rPr>
                      <w:rFonts w:hint="default"/>
                      <w:color w:val="auto"/>
                    </w:rPr>
                  </w:pPr>
                </w:p>
              </w:tc>
              <w:tc>
                <w:tcPr>
                  <w:tcW w:w="1176" w:type="pct"/>
                  <w:vMerge w:val="continue"/>
                  <w:tcBorders>
                    <w:tl2br w:val="nil"/>
                    <w:tr2bl w:val="nil"/>
                  </w:tcBorders>
                  <w:noWrap w:val="0"/>
                  <w:vAlign w:val="center"/>
                </w:tcPr>
                <w:p w14:paraId="27EE0258">
                  <w:pPr>
                    <w:keepNext w:val="0"/>
                    <w:keepLines w:val="0"/>
                    <w:suppressLineNumbers w:val="0"/>
                    <w:spacing w:before="0" w:beforeAutospacing="0" w:after="0" w:afterAutospacing="0" w:line="240" w:lineRule="auto"/>
                    <w:ind w:left="0" w:leftChars="0" w:right="0" w:rightChars="0" w:firstLine="0" w:firstLineChars="0"/>
                    <w:jc w:val="center"/>
                    <w:rPr>
                      <w:rFonts w:hint="default"/>
                      <w:color w:val="auto"/>
                    </w:rPr>
                  </w:pPr>
                </w:p>
              </w:tc>
              <w:tc>
                <w:tcPr>
                  <w:tcW w:w="957" w:type="pct"/>
                  <w:tcBorders>
                    <w:tl2br w:val="nil"/>
                    <w:tr2bl w:val="nil"/>
                  </w:tcBorders>
                  <w:noWrap w:val="0"/>
                  <w:vAlign w:val="center"/>
                </w:tcPr>
                <w:p w14:paraId="7AD360D8">
                  <w:pPr>
                    <w:keepNext w:val="0"/>
                    <w:keepLines w:val="0"/>
                    <w:suppressLineNumbers w:val="0"/>
                    <w:spacing w:before="0" w:beforeAutospacing="0" w:after="0" w:afterAutospacing="0" w:line="240" w:lineRule="auto"/>
                    <w:ind w:left="0" w:leftChars="0" w:right="0" w:rightChars="0" w:firstLine="0" w:firstLineChars="0"/>
                    <w:jc w:val="center"/>
                    <w:rPr>
                      <w:rFonts w:hint="default"/>
                      <w:color w:val="auto"/>
                    </w:rPr>
                  </w:pPr>
                  <w:r>
                    <w:rPr>
                      <w:rFonts w:hint="eastAsia"/>
                      <w:b/>
                      <w:bCs/>
                      <w:color w:val="auto"/>
                      <w:sz w:val="21"/>
                      <w:szCs w:val="21"/>
                      <w:highlight w:val="none"/>
                      <w:lang w:val="en-US" w:eastAsia="zh-CN"/>
                    </w:rPr>
                    <w:t>现有项目</w:t>
                  </w:r>
                </w:p>
              </w:tc>
              <w:tc>
                <w:tcPr>
                  <w:tcW w:w="1045" w:type="pct"/>
                  <w:tcBorders>
                    <w:tl2br w:val="nil"/>
                    <w:tr2bl w:val="nil"/>
                  </w:tcBorders>
                  <w:noWrap w:val="0"/>
                  <w:vAlign w:val="center"/>
                </w:tcPr>
                <w:p w14:paraId="1E849BC5">
                  <w:pPr>
                    <w:keepNext w:val="0"/>
                    <w:keepLines w:val="0"/>
                    <w:suppressLineNumbers w:val="0"/>
                    <w:spacing w:before="0" w:beforeAutospacing="0" w:after="0" w:afterAutospacing="0" w:line="240" w:lineRule="auto"/>
                    <w:ind w:left="0" w:leftChars="0" w:right="0" w:rightChars="0" w:firstLine="0" w:firstLineChars="0"/>
                    <w:jc w:val="center"/>
                    <w:rPr>
                      <w:rFonts w:hint="default"/>
                      <w:color w:val="auto"/>
                    </w:rPr>
                  </w:pPr>
                  <w:r>
                    <w:rPr>
                      <w:rFonts w:hint="eastAsia"/>
                      <w:b/>
                      <w:bCs/>
                      <w:color w:val="auto"/>
                      <w:sz w:val="21"/>
                      <w:szCs w:val="21"/>
                      <w:highlight w:val="none"/>
                      <w:lang w:val="en-US" w:eastAsia="zh-CN"/>
                    </w:rPr>
                    <w:t>本项目</w:t>
                  </w:r>
                </w:p>
              </w:tc>
              <w:tc>
                <w:tcPr>
                  <w:tcW w:w="1226" w:type="pct"/>
                  <w:tcBorders>
                    <w:tl2br w:val="nil"/>
                    <w:tr2bl w:val="nil"/>
                  </w:tcBorders>
                  <w:noWrap w:val="0"/>
                  <w:vAlign w:val="center"/>
                </w:tcPr>
                <w:p w14:paraId="2CF9CB94">
                  <w:pPr>
                    <w:keepNext w:val="0"/>
                    <w:keepLines w:val="0"/>
                    <w:suppressLineNumbers w:val="0"/>
                    <w:spacing w:before="0" w:beforeAutospacing="0" w:after="0" w:afterAutospacing="0" w:line="240" w:lineRule="auto"/>
                    <w:ind w:left="0" w:leftChars="0" w:right="0" w:rightChars="0" w:firstLine="0" w:firstLineChars="0"/>
                    <w:jc w:val="center"/>
                    <w:rPr>
                      <w:rFonts w:hint="default"/>
                      <w:b/>
                      <w:bCs/>
                      <w:color w:val="auto"/>
                      <w:sz w:val="21"/>
                      <w:szCs w:val="21"/>
                      <w:highlight w:val="none"/>
                      <w:lang w:val="en-US" w:eastAsia="zh-CN"/>
                    </w:rPr>
                  </w:pPr>
                  <w:r>
                    <w:rPr>
                      <w:rFonts w:hint="eastAsia"/>
                      <w:b/>
                      <w:bCs/>
                      <w:color w:val="auto"/>
                      <w:sz w:val="21"/>
                      <w:szCs w:val="21"/>
                      <w:highlight w:val="none"/>
                      <w:lang w:val="en-US" w:eastAsia="zh-CN"/>
                    </w:rPr>
                    <w:t>全厂合计</w:t>
                  </w:r>
                </w:p>
              </w:tc>
            </w:tr>
            <w:tr w14:paraId="04053D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94" w:type="pct"/>
                  <w:tcBorders>
                    <w:tl2br w:val="nil"/>
                    <w:tr2bl w:val="nil"/>
                  </w:tcBorders>
                  <w:noWrap w:val="0"/>
                  <w:vAlign w:val="center"/>
                </w:tcPr>
                <w:p w14:paraId="60F1775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176" w:type="pct"/>
                  <w:tcBorders>
                    <w:tl2br w:val="nil"/>
                    <w:tr2bl w:val="nil"/>
                  </w:tcBorders>
                  <w:noWrap w:val="0"/>
                  <w:vAlign w:val="center"/>
                </w:tcPr>
                <w:p w14:paraId="6D0BF5D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尼龙隔热条</w:t>
                  </w:r>
                </w:p>
              </w:tc>
              <w:tc>
                <w:tcPr>
                  <w:tcW w:w="957" w:type="pct"/>
                  <w:tcBorders>
                    <w:tl2br w:val="nil"/>
                    <w:tr2bl w:val="nil"/>
                  </w:tcBorders>
                  <w:noWrap w:val="0"/>
                  <w:vAlign w:val="center"/>
                </w:tcPr>
                <w:p w14:paraId="638AC58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1045" w:type="pct"/>
                  <w:tcBorders>
                    <w:tl2br w:val="nil"/>
                    <w:tr2bl w:val="nil"/>
                  </w:tcBorders>
                  <w:noWrap w:val="0"/>
                  <w:vAlign w:val="center"/>
                </w:tcPr>
                <w:p w14:paraId="76F4B673">
                  <w:pPr>
                    <w:keepNext w:val="0"/>
                    <w:keepLines w:val="0"/>
                    <w:suppressLineNumbers w:val="0"/>
                    <w:spacing w:before="0" w:beforeAutospacing="0" w:after="0" w:afterAutospacing="0" w:line="240" w:lineRule="auto"/>
                    <w:ind w:left="0" w:leftChars="0" w:right="0" w:rightChars="0" w:firstLine="0" w:firstLineChars="0"/>
                    <w:jc w:val="center"/>
                    <w:rPr>
                      <w:rFonts w:hint="eastAsia"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2500t</w:t>
                  </w:r>
                  <w:r>
                    <w:rPr>
                      <w:rFonts w:hint="eastAsia"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a</w:t>
                  </w:r>
                </w:p>
              </w:tc>
              <w:tc>
                <w:tcPr>
                  <w:tcW w:w="1226" w:type="pct"/>
                  <w:tcBorders>
                    <w:tl2br w:val="nil"/>
                    <w:tr2bl w:val="nil"/>
                  </w:tcBorders>
                  <w:noWrap w:val="0"/>
                  <w:vAlign w:val="center"/>
                </w:tcPr>
                <w:p w14:paraId="524DB89A">
                  <w:pPr>
                    <w:keepNext w:val="0"/>
                    <w:keepLines w:val="0"/>
                    <w:suppressLineNumbers w:val="0"/>
                    <w:spacing w:before="0" w:beforeAutospacing="0" w:after="0" w:afterAutospacing="0" w:line="240" w:lineRule="auto"/>
                    <w:ind w:left="0" w:leftChars="0" w:right="0" w:rightChars="0" w:firstLine="0" w:firstLineChars="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2500t</w:t>
                  </w:r>
                  <w:r>
                    <w:rPr>
                      <w:rFonts w:hint="eastAsia"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a</w:t>
                  </w:r>
                </w:p>
              </w:tc>
            </w:tr>
            <w:tr w14:paraId="2D5104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94" w:type="pct"/>
                  <w:tcBorders>
                    <w:tl2br w:val="nil"/>
                    <w:tr2bl w:val="nil"/>
                  </w:tcBorders>
                  <w:noWrap w:val="0"/>
                  <w:vAlign w:val="center"/>
                </w:tcPr>
                <w:p w14:paraId="34009C8F">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w:t>
                  </w:r>
                </w:p>
              </w:tc>
              <w:tc>
                <w:tcPr>
                  <w:tcW w:w="1176" w:type="pct"/>
                  <w:tcBorders>
                    <w:tl2br w:val="nil"/>
                    <w:tr2bl w:val="nil"/>
                  </w:tcBorders>
                  <w:noWrap w:val="0"/>
                  <w:vAlign w:val="center"/>
                </w:tcPr>
                <w:p w14:paraId="44135D86">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sz w:val="21"/>
                      <w:szCs w:val="21"/>
                      <w:highlight w:val="none"/>
                      <w:lang w:val="en-US" w:eastAsia="zh-CN"/>
                    </w:rPr>
                  </w:pPr>
                  <w:r>
                    <w:rPr>
                      <w:rFonts w:hint="eastAsia" w:ascii="Times New Roman" w:hAnsi="Times New Roman" w:eastAsia="宋体" w:cs="Times New Roman"/>
                      <w:color w:val="auto"/>
                      <w:highlight w:val="none"/>
                      <w:lang w:val="en-US" w:eastAsia="zh-CN"/>
                    </w:rPr>
                    <w:t>硅酮结构密封胶</w:t>
                  </w:r>
                </w:p>
              </w:tc>
              <w:tc>
                <w:tcPr>
                  <w:tcW w:w="957" w:type="pct"/>
                  <w:tcBorders>
                    <w:tl2br w:val="nil"/>
                    <w:tr2bl w:val="nil"/>
                  </w:tcBorders>
                  <w:noWrap w:val="0"/>
                  <w:vAlign w:val="center"/>
                </w:tcPr>
                <w:p w14:paraId="2BBED0A6">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sz w:val="21"/>
                      <w:szCs w:val="21"/>
                      <w:highlight w:val="none"/>
                      <w:lang w:val="en-US" w:eastAsia="zh-CN"/>
                    </w:rPr>
                  </w:pPr>
                  <w:r>
                    <w:rPr>
                      <w:rFonts w:hint="eastAsia" w:cs="Times New Roman"/>
                      <w:color w:val="auto"/>
                      <w:highlight w:val="none"/>
                      <w:lang w:val="en-US" w:eastAsia="zh-CN"/>
                    </w:rPr>
                    <w:t>4000t/a</w:t>
                  </w:r>
                </w:p>
              </w:tc>
              <w:tc>
                <w:tcPr>
                  <w:tcW w:w="1045" w:type="pct"/>
                  <w:tcBorders>
                    <w:tl2br w:val="nil"/>
                    <w:tr2bl w:val="nil"/>
                  </w:tcBorders>
                  <w:noWrap w:val="0"/>
                  <w:vAlign w:val="center"/>
                </w:tcPr>
                <w:p w14:paraId="5EBE87E9">
                  <w:pPr>
                    <w:keepNext w:val="0"/>
                    <w:keepLines w:val="0"/>
                    <w:suppressLineNumbers w:val="0"/>
                    <w:spacing w:before="0" w:beforeAutospacing="0" w:after="0" w:afterAutospacing="0" w:line="240" w:lineRule="auto"/>
                    <w:ind w:left="0" w:leftChars="0" w:right="0" w:rightChars="0" w:firstLine="0" w:firstLineChars="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1226" w:type="pct"/>
                  <w:tcBorders>
                    <w:tl2br w:val="nil"/>
                    <w:tr2bl w:val="nil"/>
                  </w:tcBorders>
                  <w:noWrap w:val="0"/>
                  <w:vAlign w:val="center"/>
                </w:tcPr>
                <w:p w14:paraId="5DB33849">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sz w:val="21"/>
                      <w:szCs w:val="21"/>
                      <w:highlight w:val="none"/>
                      <w:lang w:val="en-US" w:eastAsia="zh-CN"/>
                    </w:rPr>
                  </w:pPr>
                  <w:r>
                    <w:rPr>
                      <w:rFonts w:hint="eastAsia" w:cs="Times New Roman"/>
                      <w:color w:val="auto"/>
                      <w:highlight w:val="none"/>
                      <w:lang w:val="en-US" w:eastAsia="zh-CN"/>
                    </w:rPr>
                    <w:t>4000t/a</w:t>
                  </w:r>
                </w:p>
              </w:tc>
            </w:tr>
            <w:tr w14:paraId="405FFE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94" w:type="pct"/>
                  <w:tcBorders>
                    <w:tl2br w:val="nil"/>
                    <w:tr2bl w:val="nil"/>
                  </w:tcBorders>
                  <w:noWrap w:val="0"/>
                  <w:vAlign w:val="center"/>
                </w:tcPr>
                <w:p w14:paraId="26D0FBC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w:t>
                  </w:r>
                </w:p>
              </w:tc>
              <w:tc>
                <w:tcPr>
                  <w:tcW w:w="1176" w:type="pct"/>
                  <w:tcBorders>
                    <w:tl2br w:val="nil"/>
                    <w:tr2bl w:val="nil"/>
                  </w:tcBorders>
                  <w:noWrap w:val="0"/>
                  <w:vAlign w:val="center"/>
                </w:tcPr>
                <w:p w14:paraId="629E2693">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sz w:val="21"/>
                      <w:szCs w:val="21"/>
                      <w:highlight w:val="none"/>
                      <w:lang w:val="en-US" w:eastAsia="zh-CN"/>
                    </w:rPr>
                  </w:pPr>
                  <w:r>
                    <w:rPr>
                      <w:rFonts w:hint="eastAsia" w:ascii="Times New Roman" w:hAnsi="Times New Roman" w:eastAsia="宋体" w:cs="Times New Roman"/>
                      <w:color w:val="auto"/>
                      <w:highlight w:val="none"/>
                      <w:lang w:val="en-US" w:eastAsia="zh-CN"/>
                    </w:rPr>
                    <w:t>硅酮耐候密封胶</w:t>
                  </w:r>
                </w:p>
              </w:tc>
              <w:tc>
                <w:tcPr>
                  <w:tcW w:w="957" w:type="pct"/>
                  <w:tcBorders>
                    <w:tl2br w:val="nil"/>
                    <w:tr2bl w:val="nil"/>
                  </w:tcBorders>
                  <w:noWrap w:val="0"/>
                  <w:vAlign w:val="center"/>
                </w:tcPr>
                <w:p w14:paraId="4EBD80F0">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sz w:val="21"/>
                      <w:szCs w:val="21"/>
                      <w:highlight w:val="none"/>
                      <w:lang w:val="en-US" w:eastAsia="zh-CN"/>
                    </w:rPr>
                  </w:pPr>
                  <w:r>
                    <w:rPr>
                      <w:rFonts w:hint="eastAsia" w:cs="Times New Roman"/>
                      <w:color w:val="auto"/>
                      <w:highlight w:val="none"/>
                      <w:lang w:val="en-US" w:eastAsia="zh-CN"/>
                    </w:rPr>
                    <w:t>5000t/a</w:t>
                  </w:r>
                </w:p>
              </w:tc>
              <w:tc>
                <w:tcPr>
                  <w:tcW w:w="1045" w:type="pct"/>
                  <w:tcBorders>
                    <w:tl2br w:val="nil"/>
                    <w:tr2bl w:val="nil"/>
                  </w:tcBorders>
                  <w:noWrap w:val="0"/>
                  <w:vAlign w:val="center"/>
                </w:tcPr>
                <w:p w14:paraId="2E5D7E99">
                  <w:pPr>
                    <w:keepNext w:val="0"/>
                    <w:keepLines w:val="0"/>
                    <w:suppressLineNumbers w:val="0"/>
                    <w:spacing w:before="0" w:beforeAutospacing="0" w:after="0" w:afterAutospacing="0" w:line="240" w:lineRule="auto"/>
                    <w:ind w:left="0" w:leftChars="0" w:right="0" w:rightChars="0" w:firstLine="0" w:firstLineChars="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1226" w:type="pct"/>
                  <w:tcBorders>
                    <w:tl2br w:val="nil"/>
                    <w:tr2bl w:val="nil"/>
                  </w:tcBorders>
                  <w:noWrap w:val="0"/>
                  <w:vAlign w:val="center"/>
                </w:tcPr>
                <w:p w14:paraId="2B80922F">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sz w:val="21"/>
                      <w:szCs w:val="21"/>
                      <w:highlight w:val="none"/>
                      <w:lang w:val="en-US" w:eastAsia="zh-CN"/>
                    </w:rPr>
                  </w:pPr>
                  <w:r>
                    <w:rPr>
                      <w:rFonts w:hint="eastAsia" w:cs="Times New Roman"/>
                      <w:color w:val="auto"/>
                      <w:highlight w:val="none"/>
                      <w:lang w:val="en-US" w:eastAsia="zh-CN"/>
                    </w:rPr>
                    <w:t>5000t/a</w:t>
                  </w:r>
                </w:p>
              </w:tc>
            </w:tr>
            <w:tr w14:paraId="45D0D3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94" w:type="pct"/>
                  <w:tcBorders>
                    <w:tl2br w:val="nil"/>
                    <w:tr2bl w:val="nil"/>
                  </w:tcBorders>
                  <w:noWrap w:val="0"/>
                  <w:vAlign w:val="center"/>
                </w:tcPr>
                <w:p w14:paraId="04CDDB5A">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4</w:t>
                  </w:r>
                </w:p>
              </w:tc>
              <w:tc>
                <w:tcPr>
                  <w:tcW w:w="1176" w:type="pct"/>
                  <w:tcBorders>
                    <w:tl2br w:val="nil"/>
                    <w:tr2bl w:val="nil"/>
                  </w:tcBorders>
                  <w:noWrap w:val="0"/>
                  <w:vAlign w:val="center"/>
                </w:tcPr>
                <w:p w14:paraId="4C53D157">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sz w:val="21"/>
                      <w:szCs w:val="21"/>
                      <w:highlight w:val="none"/>
                      <w:lang w:val="en-US" w:eastAsia="zh-CN"/>
                    </w:rPr>
                  </w:pPr>
                  <w:r>
                    <w:rPr>
                      <w:rFonts w:hint="eastAsia" w:ascii="Times New Roman" w:hAnsi="Times New Roman" w:eastAsia="宋体" w:cs="Times New Roman"/>
                      <w:color w:val="auto"/>
                      <w:highlight w:val="none"/>
                      <w:lang w:val="en-US" w:eastAsia="zh-CN"/>
                    </w:rPr>
                    <w:t>硅酮密封</w:t>
                  </w:r>
                </w:p>
              </w:tc>
              <w:tc>
                <w:tcPr>
                  <w:tcW w:w="957" w:type="pct"/>
                  <w:tcBorders>
                    <w:tl2br w:val="nil"/>
                    <w:tr2bl w:val="nil"/>
                  </w:tcBorders>
                  <w:noWrap w:val="0"/>
                  <w:vAlign w:val="center"/>
                </w:tcPr>
                <w:p w14:paraId="315469E0">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sz w:val="21"/>
                      <w:szCs w:val="21"/>
                      <w:highlight w:val="none"/>
                      <w:lang w:val="en-US" w:eastAsia="zh-CN"/>
                    </w:rPr>
                  </w:pPr>
                  <w:r>
                    <w:rPr>
                      <w:rFonts w:hint="eastAsia" w:cs="Times New Roman"/>
                      <w:color w:val="auto"/>
                      <w:highlight w:val="none"/>
                      <w:lang w:val="en-US" w:eastAsia="zh-CN"/>
                    </w:rPr>
                    <w:t>8000t/a</w:t>
                  </w:r>
                </w:p>
              </w:tc>
              <w:tc>
                <w:tcPr>
                  <w:tcW w:w="1045" w:type="pct"/>
                  <w:tcBorders>
                    <w:tl2br w:val="nil"/>
                    <w:tr2bl w:val="nil"/>
                  </w:tcBorders>
                  <w:noWrap w:val="0"/>
                  <w:vAlign w:val="center"/>
                </w:tcPr>
                <w:p w14:paraId="4178151B">
                  <w:pPr>
                    <w:keepNext w:val="0"/>
                    <w:keepLines w:val="0"/>
                    <w:suppressLineNumbers w:val="0"/>
                    <w:spacing w:before="0" w:beforeAutospacing="0" w:after="0" w:afterAutospacing="0" w:line="240" w:lineRule="auto"/>
                    <w:ind w:left="0" w:leftChars="0" w:right="0" w:rightChars="0" w:firstLine="0" w:firstLineChars="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1226" w:type="pct"/>
                  <w:tcBorders>
                    <w:tl2br w:val="nil"/>
                    <w:tr2bl w:val="nil"/>
                  </w:tcBorders>
                  <w:noWrap w:val="0"/>
                  <w:vAlign w:val="center"/>
                </w:tcPr>
                <w:p w14:paraId="70901399">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sz w:val="21"/>
                      <w:szCs w:val="21"/>
                      <w:highlight w:val="none"/>
                      <w:lang w:val="en-US" w:eastAsia="zh-CN"/>
                    </w:rPr>
                  </w:pPr>
                  <w:r>
                    <w:rPr>
                      <w:rFonts w:hint="eastAsia" w:cs="Times New Roman"/>
                      <w:color w:val="auto"/>
                      <w:highlight w:val="none"/>
                      <w:lang w:val="en-US" w:eastAsia="zh-CN"/>
                    </w:rPr>
                    <w:t>8000t/a</w:t>
                  </w:r>
                </w:p>
              </w:tc>
            </w:tr>
            <w:tr w14:paraId="50A0BC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94" w:type="pct"/>
                  <w:tcBorders>
                    <w:tl2br w:val="nil"/>
                    <w:tr2bl w:val="nil"/>
                  </w:tcBorders>
                  <w:noWrap w:val="0"/>
                  <w:vAlign w:val="center"/>
                </w:tcPr>
                <w:p w14:paraId="0897652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5</w:t>
                  </w:r>
                </w:p>
              </w:tc>
              <w:tc>
                <w:tcPr>
                  <w:tcW w:w="1176" w:type="pct"/>
                  <w:tcBorders>
                    <w:tl2br w:val="nil"/>
                    <w:tr2bl w:val="nil"/>
                  </w:tcBorders>
                  <w:noWrap w:val="0"/>
                  <w:vAlign w:val="center"/>
                </w:tcPr>
                <w:p w14:paraId="29E161F5">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sz w:val="21"/>
                      <w:szCs w:val="21"/>
                      <w:highlight w:val="none"/>
                      <w:lang w:val="en-US" w:eastAsia="zh-CN"/>
                    </w:rPr>
                  </w:pPr>
                  <w:r>
                    <w:rPr>
                      <w:rFonts w:hint="eastAsia" w:ascii="Times New Roman" w:hAnsi="Times New Roman" w:eastAsia="宋体" w:cs="Times New Roman"/>
                      <w:color w:val="auto"/>
                      <w:highlight w:val="none"/>
                      <w:lang w:val="en-US" w:eastAsia="zh-CN"/>
                    </w:rPr>
                    <w:t>双组份中控胶</w:t>
                  </w:r>
                </w:p>
              </w:tc>
              <w:tc>
                <w:tcPr>
                  <w:tcW w:w="957" w:type="pct"/>
                  <w:tcBorders>
                    <w:tl2br w:val="nil"/>
                    <w:tr2bl w:val="nil"/>
                  </w:tcBorders>
                  <w:noWrap w:val="0"/>
                  <w:vAlign w:val="center"/>
                </w:tcPr>
                <w:p w14:paraId="0E00A98D">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sz w:val="21"/>
                      <w:szCs w:val="21"/>
                      <w:highlight w:val="none"/>
                      <w:lang w:val="en-US" w:eastAsia="zh-CN"/>
                    </w:rPr>
                  </w:pPr>
                  <w:r>
                    <w:rPr>
                      <w:rFonts w:hint="eastAsia" w:cs="Times New Roman"/>
                      <w:color w:val="auto"/>
                      <w:highlight w:val="none"/>
                      <w:lang w:val="en-US" w:eastAsia="zh-CN"/>
                    </w:rPr>
                    <w:t>1000t/a</w:t>
                  </w:r>
                </w:p>
              </w:tc>
              <w:tc>
                <w:tcPr>
                  <w:tcW w:w="1045" w:type="pct"/>
                  <w:tcBorders>
                    <w:tl2br w:val="nil"/>
                    <w:tr2bl w:val="nil"/>
                  </w:tcBorders>
                  <w:noWrap w:val="0"/>
                  <w:vAlign w:val="center"/>
                </w:tcPr>
                <w:p w14:paraId="141486F0">
                  <w:pPr>
                    <w:keepNext w:val="0"/>
                    <w:keepLines w:val="0"/>
                    <w:suppressLineNumbers w:val="0"/>
                    <w:spacing w:before="0" w:beforeAutospacing="0" w:after="0" w:afterAutospacing="0" w:line="240" w:lineRule="auto"/>
                    <w:ind w:left="0" w:leftChars="0" w:right="0" w:rightChars="0" w:firstLine="0" w:firstLineChars="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1226" w:type="pct"/>
                  <w:tcBorders>
                    <w:tl2br w:val="nil"/>
                    <w:tr2bl w:val="nil"/>
                  </w:tcBorders>
                  <w:noWrap w:val="0"/>
                  <w:vAlign w:val="center"/>
                </w:tcPr>
                <w:p w14:paraId="787E1B4F">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sz w:val="21"/>
                      <w:szCs w:val="21"/>
                      <w:highlight w:val="none"/>
                      <w:lang w:val="en-US" w:eastAsia="zh-CN"/>
                    </w:rPr>
                  </w:pPr>
                  <w:r>
                    <w:rPr>
                      <w:rFonts w:hint="eastAsia" w:cs="Times New Roman"/>
                      <w:color w:val="auto"/>
                      <w:highlight w:val="none"/>
                      <w:lang w:val="en-US" w:eastAsia="zh-CN"/>
                    </w:rPr>
                    <w:t>1000t/a</w:t>
                  </w:r>
                </w:p>
              </w:tc>
            </w:tr>
            <w:tr w14:paraId="16D026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94" w:type="pct"/>
                  <w:tcBorders>
                    <w:tl2br w:val="nil"/>
                    <w:tr2bl w:val="nil"/>
                  </w:tcBorders>
                  <w:noWrap w:val="0"/>
                  <w:vAlign w:val="center"/>
                </w:tcPr>
                <w:p w14:paraId="223BA9BA">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6</w:t>
                  </w:r>
                </w:p>
              </w:tc>
              <w:tc>
                <w:tcPr>
                  <w:tcW w:w="1176" w:type="pct"/>
                  <w:tcBorders>
                    <w:tl2br w:val="nil"/>
                    <w:tr2bl w:val="nil"/>
                  </w:tcBorders>
                  <w:noWrap w:val="0"/>
                  <w:vAlign w:val="center"/>
                </w:tcPr>
                <w:p w14:paraId="3231CF01">
                  <w:pPr>
                    <w:keepNext w:val="0"/>
                    <w:keepLines w:val="0"/>
                    <w:suppressLineNumbers w:val="0"/>
                    <w:spacing w:before="0" w:beforeAutospacing="0" w:after="0" w:afterAutospacing="0" w:line="240" w:lineRule="auto"/>
                    <w:ind w:left="0" w:right="0" w:firstLine="0" w:firstLine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三元乙丙密封胶条</w:t>
                  </w:r>
                </w:p>
              </w:tc>
              <w:tc>
                <w:tcPr>
                  <w:tcW w:w="957" w:type="pct"/>
                  <w:tcBorders>
                    <w:tl2br w:val="nil"/>
                    <w:tr2bl w:val="nil"/>
                  </w:tcBorders>
                  <w:noWrap w:val="0"/>
                  <w:vAlign w:val="center"/>
                </w:tcPr>
                <w:p w14:paraId="36DEDE10">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sz w:val="21"/>
                      <w:szCs w:val="21"/>
                      <w:highlight w:val="none"/>
                      <w:lang w:val="en-US" w:eastAsia="zh-CN"/>
                    </w:rPr>
                  </w:pPr>
                  <w:r>
                    <w:rPr>
                      <w:rFonts w:hint="eastAsia" w:cs="Times New Roman"/>
                      <w:color w:val="auto"/>
                      <w:highlight w:val="none"/>
                      <w:lang w:val="en-US" w:eastAsia="zh-CN"/>
                    </w:rPr>
                    <w:t>8000t/a</w:t>
                  </w:r>
                </w:p>
              </w:tc>
              <w:tc>
                <w:tcPr>
                  <w:tcW w:w="1045" w:type="pct"/>
                  <w:tcBorders>
                    <w:tl2br w:val="nil"/>
                    <w:tr2bl w:val="nil"/>
                  </w:tcBorders>
                  <w:noWrap w:val="0"/>
                  <w:vAlign w:val="center"/>
                </w:tcPr>
                <w:p w14:paraId="66BAF83E">
                  <w:pPr>
                    <w:keepNext w:val="0"/>
                    <w:keepLines w:val="0"/>
                    <w:suppressLineNumbers w:val="0"/>
                    <w:spacing w:before="0" w:beforeAutospacing="0" w:after="0" w:afterAutospacing="0" w:line="240" w:lineRule="auto"/>
                    <w:ind w:left="0" w:leftChars="0" w:right="0" w:rightChars="0" w:firstLine="0" w:firstLineChars="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1226" w:type="pct"/>
                  <w:tcBorders>
                    <w:tl2br w:val="nil"/>
                    <w:tr2bl w:val="nil"/>
                  </w:tcBorders>
                  <w:noWrap w:val="0"/>
                  <w:vAlign w:val="center"/>
                </w:tcPr>
                <w:p w14:paraId="1238D58B">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sz w:val="21"/>
                      <w:szCs w:val="21"/>
                      <w:highlight w:val="none"/>
                      <w:lang w:val="en-US" w:eastAsia="zh-CN"/>
                    </w:rPr>
                  </w:pPr>
                  <w:r>
                    <w:rPr>
                      <w:rFonts w:hint="eastAsia" w:cs="Times New Roman"/>
                      <w:color w:val="auto"/>
                      <w:highlight w:val="none"/>
                      <w:lang w:val="en-US" w:eastAsia="zh-CN"/>
                    </w:rPr>
                    <w:t>8000t/a</w:t>
                  </w:r>
                </w:p>
              </w:tc>
            </w:tr>
          </w:tbl>
          <w:p w14:paraId="5DFFC029">
            <w:pPr>
              <w:keepNext w:val="0"/>
              <w:keepLines w:val="0"/>
              <w:suppressLineNumbers w:val="0"/>
              <w:bidi w:val="0"/>
              <w:spacing w:before="0" w:beforeAutospacing="0" w:after="0" w:afterAutospacing="0"/>
              <w:ind w:left="0" w:leftChars="0" w:right="0" w:firstLine="482" w:firstLineChars="20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4、主要生产设备</w:t>
            </w:r>
          </w:p>
          <w:p w14:paraId="52E5F3C3">
            <w:pPr>
              <w:keepNext w:val="0"/>
              <w:keepLines w:val="0"/>
              <w:suppressLineNumbers w:val="0"/>
              <w:bidi w:val="0"/>
              <w:spacing w:before="0" w:beforeAutospacing="0" w:after="0" w:afterAutospacing="0"/>
              <w:ind w:left="0" w:right="0"/>
              <w:rPr>
                <w:rFonts w:hint="default" w:ascii="Times New Roman" w:hAnsi="Times New Roman" w:cs="Times New Roman"/>
                <w:b/>
                <w:bCs/>
                <w:color w:val="auto"/>
                <w:highlight w:val="none"/>
              </w:rPr>
            </w:pPr>
            <w:r>
              <w:rPr>
                <w:rFonts w:hint="default" w:ascii="Times New Roman" w:hAnsi="Times New Roman" w:cs="Times New Roman"/>
                <w:color w:val="auto"/>
                <w:highlight w:val="none"/>
              </w:rPr>
              <w:t>本项目生产设备见表2-</w:t>
            </w:r>
            <w:r>
              <w:rPr>
                <w:rFonts w:hint="eastAsia" w:cs="Times New Roman"/>
                <w:color w:val="auto"/>
                <w:highlight w:val="none"/>
                <w:lang w:val="en-US" w:eastAsia="zh-CN"/>
              </w:rPr>
              <w:t>5</w:t>
            </w:r>
            <w:r>
              <w:rPr>
                <w:rFonts w:hint="default" w:ascii="Times New Roman" w:hAnsi="Times New Roman" w:cs="Times New Roman"/>
                <w:color w:val="auto"/>
                <w:highlight w:val="none"/>
              </w:rPr>
              <w:t>。</w:t>
            </w:r>
          </w:p>
          <w:p w14:paraId="427B52F8">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表2-</w:t>
            </w:r>
            <w:r>
              <w:rPr>
                <w:rFonts w:hint="eastAsia" w:cs="Times New Roman"/>
                <w:b/>
                <w:bCs/>
                <w:color w:val="auto"/>
                <w:highlight w:val="none"/>
                <w:lang w:val="en-US" w:eastAsia="zh-CN"/>
              </w:rPr>
              <w:t>5</w:t>
            </w:r>
            <w:r>
              <w:rPr>
                <w:rFonts w:hint="default" w:ascii="Times New Roman" w:hAnsi="Times New Roman" w:cs="Times New Roman"/>
                <w:b/>
                <w:bCs/>
                <w:color w:val="auto"/>
                <w:highlight w:val="none"/>
              </w:rPr>
              <w:t xml:space="preserve"> </w:t>
            </w:r>
            <w:r>
              <w:rPr>
                <w:rFonts w:hint="default" w:ascii="Times New Roman" w:hAnsi="Times New Roman" w:cs="Times New Roman"/>
                <w:b/>
                <w:bCs/>
                <w:color w:val="auto"/>
                <w:highlight w:val="none"/>
                <w:lang w:val="en-US" w:eastAsia="zh-CN"/>
              </w:rPr>
              <w:t xml:space="preserve">  </w:t>
            </w:r>
            <w:r>
              <w:rPr>
                <w:rFonts w:hint="eastAsia" w:cs="Times New Roman"/>
                <w:b/>
                <w:bCs/>
                <w:color w:val="auto"/>
                <w:highlight w:val="none"/>
                <w:lang w:val="en-US" w:eastAsia="zh-CN"/>
              </w:rPr>
              <w:t>本</w:t>
            </w:r>
            <w:r>
              <w:rPr>
                <w:rFonts w:hint="default" w:ascii="Times New Roman" w:hAnsi="Times New Roman" w:cs="Times New Roman"/>
                <w:b/>
                <w:bCs/>
                <w:color w:val="auto"/>
                <w:highlight w:val="none"/>
              </w:rPr>
              <w:t>项目主要设备一览表</w:t>
            </w:r>
          </w:p>
          <w:tbl>
            <w:tblPr>
              <w:tblStyle w:val="32"/>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Layout w:type="autofit"/>
              <w:tblCellMar>
                <w:top w:w="0" w:type="dxa"/>
                <w:left w:w="28" w:type="dxa"/>
                <w:bottom w:w="0" w:type="dxa"/>
                <w:right w:w="28" w:type="dxa"/>
              </w:tblCellMar>
            </w:tblPr>
            <w:tblGrid>
              <w:gridCol w:w="1673"/>
              <w:gridCol w:w="1908"/>
              <w:gridCol w:w="948"/>
              <w:gridCol w:w="3857"/>
            </w:tblGrid>
            <w:tr w14:paraId="277E94CB">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28" w:type="dxa"/>
                  <w:bottom w:w="0" w:type="dxa"/>
                  <w:right w:w="28" w:type="dxa"/>
                </w:tblCellMar>
              </w:tblPrEx>
              <w:trPr>
                <w:cantSplit/>
                <w:trHeight w:val="0" w:hRule="atLeast"/>
                <w:jc w:val="center"/>
              </w:trPr>
              <w:tc>
                <w:tcPr>
                  <w:tcW w:w="997" w:type="pct"/>
                  <w:tcBorders>
                    <w:bottom w:val="single" w:color="auto" w:sz="12" w:space="0"/>
                  </w:tcBorders>
                  <w:vAlign w:val="center"/>
                </w:tcPr>
                <w:p w14:paraId="1FC961E6">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主要工艺</w:t>
                  </w:r>
                </w:p>
              </w:tc>
              <w:tc>
                <w:tcPr>
                  <w:tcW w:w="1137" w:type="pct"/>
                  <w:tcBorders>
                    <w:bottom w:val="single" w:color="auto" w:sz="12" w:space="0"/>
                  </w:tcBorders>
                  <w:vAlign w:val="center"/>
                </w:tcPr>
                <w:p w14:paraId="5088E997">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设备名称</w:t>
                  </w:r>
                </w:p>
              </w:tc>
              <w:tc>
                <w:tcPr>
                  <w:tcW w:w="565" w:type="pct"/>
                  <w:tcBorders>
                    <w:bottom w:val="single" w:color="auto" w:sz="12" w:space="0"/>
                  </w:tcBorders>
                  <w:vAlign w:val="center"/>
                </w:tcPr>
                <w:p w14:paraId="46528192">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数量</w:t>
                  </w:r>
                </w:p>
              </w:tc>
              <w:tc>
                <w:tcPr>
                  <w:tcW w:w="2299" w:type="pct"/>
                  <w:tcBorders>
                    <w:bottom w:val="single" w:color="auto" w:sz="12" w:space="0"/>
                  </w:tcBorders>
                  <w:vAlign w:val="center"/>
                </w:tcPr>
                <w:p w14:paraId="71A7CC8F">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型号</w:t>
                  </w:r>
                </w:p>
              </w:tc>
            </w:tr>
            <w:tr w14:paraId="39520036">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28" w:type="dxa"/>
                  <w:bottom w:w="0" w:type="dxa"/>
                  <w:right w:w="28" w:type="dxa"/>
                </w:tblCellMar>
              </w:tblPrEx>
              <w:trPr>
                <w:cantSplit/>
                <w:trHeight w:val="90" w:hRule="atLeast"/>
                <w:jc w:val="center"/>
              </w:trPr>
              <w:tc>
                <w:tcPr>
                  <w:tcW w:w="997" w:type="pct"/>
                  <w:tcBorders>
                    <w:top w:val="single" w:color="auto" w:sz="12" w:space="0"/>
                    <w:bottom w:val="single" w:color="auto" w:sz="4" w:space="0"/>
                  </w:tcBorders>
                  <w:vAlign w:val="center"/>
                </w:tcPr>
                <w:p w14:paraId="1133489D">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进料</w:t>
                  </w:r>
                </w:p>
              </w:tc>
              <w:tc>
                <w:tcPr>
                  <w:tcW w:w="1137" w:type="pct"/>
                  <w:tcBorders>
                    <w:top w:val="single" w:color="auto" w:sz="12" w:space="0"/>
                    <w:bottom w:val="single" w:color="auto" w:sz="4" w:space="0"/>
                  </w:tcBorders>
                  <w:vAlign w:val="center"/>
                </w:tcPr>
                <w:p w14:paraId="7BA76100">
                  <w:pPr>
                    <w:pStyle w:val="157"/>
                    <w:keepNext w:val="0"/>
                    <w:keepLines w:val="0"/>
                    <w:widowControl w:val="0"/>
                    <w:suppressLineNumbers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eastAsia"/>
                      <w:color w:val="auto"/>
                      <w:sz w:val="21"/>
                      <w:szCs w:val="21"/>
                      <w:lang w:val="en-US" w:eastAsia="zh-CN"/>
                    </w:rPr>
                    <w:t>烘干料筒</w:t>
                  </w:r>
                </w:p>
              </w:tc>
              <w:tc>
                <w:tcPr>
                  <w:tcW w:w="565" w:type="pct"/>
                  <w:tcBorders>
                    <w:top w:val="single" w:color="auto" w:sz="12" w:space="0"/>
                    <w:bottom w:val="single" w:color="auto" w:sz="4" w:space="0"/>
                  </w:tcBorders>
                  <w:vAlign w:val="center"/>
                </w:tcPr>
                <w:p w14:paraId="033D5AC4">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60</w:t>
                  </w:r>
                </w:p>
              </w:tc>
              <w:tc>
                <w:tcPr>
                  <w:tcW w:w="2299" w:type="pct"/>
                  <w:tcBorders>
                    <w:top w:val="single" w:color="auto" w:sz="12" w:space="0"/>
                    <w:bottom w:val="single" w:color="auto" w:sz="4" w:space="0"/>
                  </w:tcBorders>
                  <w:vAlign w:val="center"/>
                </w:tcPr>
                <w:p w14:paraId="2E4874DA">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100KG</w:t>
                  </w:r>
                </w:p>
              </w:tc>
            </w:tr>
            <w:tr w14:paraId="4A20DCF6">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28" w:type="dxa"/>
                  <w:bottom w:w="0" w:type="dxa"/>
                  <w:right w:w="28" w:type="dxa"/>
                </w:tblCellMar>
              </w:tblPrEx>
              <w:trPr>
                <w:cantSplit/>
                <w:trHeight w:val="0" w:hRule="atLeast"/>
                <w:jc w:val="center"/>
              </w:trPr>
              <w:tc>
                <w:tcPr>
                  <w:tcW w:w="997" w:type="pct"/>
                  <w:tcBorders>
                    <w:top w:val="single" w:color="auto" w:sz="4" w:space="0"/>
                    <w:bottom w:val="single" w:color="auto" w:sz="4" w:space="0"/>
                  </w:tcBorders>
                  <w:vAlign w:val="center"/>
                </w:tcPr>
                <w:p w14:paraId="7FACDEA9">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加热</w:t>
                  </w:r>
                  <w:r>
                    <w:rPr>
                      <w:rFonts w:hint="default" w:ascii="Times New Roman" w:hAnsi="Times New Roman" w:cs="Times New Roman"/>
                      <w:color w:val="auto"/>
                      <w:highlight w:val="none"/>
                      <w:lang w:val="en-US" w:eastAsia="zh-CN"/>
                    </w:rPr>
                    <w:t>挤出</w:t>
                  </w:r>
                </w:p>
              </w:tc>
              <w:tc>
                <w:tcPr>
                  <w:tcW w:w="1137" w:type="pct"/>
                  <w:tcBorders>
                    <w:top w:val="single" w:color="auto" w:sz="4" w:space="0"/>
                    <w:bottom w:val="single" w:color="auto" w:sz="4" w:space="0"/>
                  </w:tcBorders>
                  <w:vAlign w:val="center"/>
                </w:tcPr>
                <w:p w14:paraId="0B5AE13C">
                  <w:pPr>
                    <w:pStyle w:val="157"/>
                    <w:keepNext w:val="0"/>
                    <w:keepLines w:val="0"/>
                    <w:widowControl w:val="0"/>
                    <w:suppressLineNumbers w:val="0"/>
                    <w:spacing w:before="0" w:beforeAutospacing="0" w:after="0" w:afterAutospacing="0"/>
                    <w:ind w:left="0" w:right="0"/>
                    <w:rPr>
                      <w:rFonts w:hint="default" w:ascii="Times New Roman" w:hAnsi="Times New Roman" w:eastAsia="宋体" w:cs="Times New Roman"/>
                      <w:color w:val="auto"/>
                      <w:kern w:val="2"/>
                      <w:sz w:val="21"/>
                      <w:szCs w:val="24"/>
                      <w:highlight w:val="none"/>
                      <w:lang w:val="en-US" w:eastAsia="zh-CN" w:bidi="ar-SA"/>
                    </w:rPr>
                  </w:pPr>
                  <w:r>
                    <w:rPr>
                      <w:rFonts w:hint="eastAsia"/>
                      <w:color w:val="auto"/>
                      <w:sz w:val="21"/>
                      <w:szCs w:val="21"/>
                      <w:lang w:val="en-US" w:eastAsia="zh-CN"/>
                    </w:rPr>
                    <w:t>挤出机</w:t>
                  </w:r>
                </w:p>
              </w:tc>
              <w:tc>
                <w:tcPr>
                  <w:tcW w:w="565" w:type="pct"/>
                  <w:tcBorders>
                    <w:top w:val="single" w:color="auto" w:sz="4" w:space="0"/>
                    <w:bottom w:val="single" w:color="auto" w:sz="4" w:space="0"/>
                  </w:tcBorders>
                  <w:vAlign w:val="center"/>
                </w:tcPr>
                <w:p w14:paraId="1883EBA6">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60</w:t>
                  </w:r>
                </w:p>
              </w:tc>
              <w:tc>
                <w:tcPr>
                  <w:tcW w:w="2299" w:type="pct"/>
                  <w:tcBorders>
                    <w:top w:val="single" w:color="auto" w:sz="4" w:space="0"/>
                    <w:bottom w:val="single" w:color="auto" w:sz="4" w:space="0"/>
                  </w:tcBorders>
                  <w:vAlign w:val="center"/>
                </w:tcPr>
                <w:p w14:paraId="6C954485">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70型</w:t>
                  </w:r>
                </w:p>
              </w:tc>
            </w:tr>
            <w:tr w14:paraId="646CFCA4">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28" w:type="dxa"/>
                  <w:bottom w:w="0" w:type="dxa"/>
                  <w:right w:w="28" w:type="dxa"/>
                </w:tblCellMar>
              </w:tblPrEx>
              <w:trPr>
                <w:cantSplit/>
                <w:trHeight w:val="0" w:hRule="atLeast"/>
                <w:jc w:val="center"/>
              </w:trPr>
              <w:tc>
                <w:tcPr>
                  <w:tcW w:w="997" w:type="pct"/>
                  <w:tcBorders>
                    <w:top w:val="single" w:color="auto" w:sz="4" w:space="0"/>
                    <w:bottom w:val="single" w:color="auto" w:sz="4" w:space="0"/>
                  </w:tcBorders>
                  <w:vAlign w:val="center"/>
                </w:tcPr>
                <w:p w14:paraId="59A07453">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冷却</w:t>
                  </w:r>
                </w:p>
              </w:tc>
              <w:tc>
                <w:tcPr>
                  <w:tcW w:w="1137" w:type="pct"/>
                  <w:tcBorders>
                    <w:top w:val="single" w:color="auto" w:sz="4" w:space="0"/>
                    <w:bottom w:val="single" w:color="auto" w:sz="4" w:space="0"/>
                  </w:tcBorders>
                  <w:shd w:val="clear" w:color="auto" w:fill="auto"/>
                  <w:vAlign w:val="center"/>
                </w:tcPr>
                <w:p w14:paraId="4883EDD4">
                  <w:pPr>
                    <w:pStyle w:val="157"/>
                    <w:keepNext w:val="0"/>
                    <w:keepLines w:val="0"/>
                    <w:widowControl w:val="0"/>
                    <w:suppressLineNumbers w:val="0"/>
                    <w:spacing w:before="0" w:beforeAutospacing="0" w:after="0" w:afterAutospacing="0"/>
                    <w:ind w:left="0" w:leftChars="0" w:right="0" w:rightChars="0"/>
                    <w:rPr>
                      <w:rFonts w:hint="default" w:ascii="Times New Roman" w:hAnsi="Times New Roman" w:eastAsia="宋体" w:cs="Times New Roman"/>
                      <w:color w:val="auto"/>
                      <w:sz w:val="18"/>
                      <w:szCs w:val="24"/>
                      <w:highlight w:val="none"/>
                      <w:lang w:val="en-US" w:eastAsia="zh-CN" w:bidi="ar-SA"/>
                    </w:rPr>
                  </w:pPr>
                  <w:r>
                    <w:rPr>
                      <w:rFonts w:hint="eastAsia"/>
                      <w:color w:val="auto"/>
                      <w:sz w:val="21"/>
                      <w:szCs w:val="21"/>
                    </w:rPr>
                    <w:t>冷却塔</w:t>
                  </w:r>
                </w:p>
              </w:tc>
              <w:tc>
                <w:tcPr>
                  <w:tcW w:w="565" w:type="pct"/>
                  <w:tcBorders>
                    <w:top w:val="single" w:color="auto" w:sz="4" w:space="0"/>
                    <w:bottom w:val="single" w:color="auto" w:sz="4" w:space="0"/>
                  </w:tcBorders>
                  <w:shd w:val="clear" w:color="auto" w:fill="auto"/>
                  <w:vAlign w:val="center"/>
                </w:tcPr>
                <w:p w14:paraId="10C2DABD">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1</w:t>
                  </w:r>
                </w:p>
              </w:tc>
              <w:tc>
                <w:tcPr>
                  <w:tcW w:w="2299" w:type="pct"/>
                  <w:tcBorders>
                    <w:top w:val="single" w:color="auto" w:sz="4" w:space="0"/>
                    <w:bottom w:val="single" w:color="auto" w:sz="4" w:space="0"/>
                  </w:tcBorders>
                  <w:shd w:val="clear" w:color="auto" w:fill="auto"/>
                  <w:vAlign w:val="center"/>
                </w:tcPr>
                <w:p w14:paraId="4D46A903">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80T</w:t>
                  </w:r>
                </w:p>
              </w:tc>
            </w:tr>
            <w:tr w14:paraId="450DA85E">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28" w:type="dxa"/>
                  <w:bottom w:w="0" w:type="dxa"/>
                  <w:right w:w="28" w:type="dxa"/>
                </w:tblCellMar>
              </w:tblPrEx>
              <w:trPr>
                <w:cantSplit/>
                <w:trHeight w:val="0" w:hRule="atLeast"/>
                <w:jc w:val="center"/>
              </w:trPr>
              <w:tc>
                <w:tcPr>
                  <w:tcW w:w="997" w:type="pct"/>
                  <w:tcBorders>
                    <w:top w:val="single" w:color="auto" w:sz="4" w:space="0"/>
                    <w:bottom w:val="single" w:color="auto" w:sz="4" w:space="0"/>
                  </w:tcBorders>
                  <w:vAlign w:val="center"/>
                </w:tcPr>
                <w:p w14:paraId="4586A433">
                  <w:pPr>
                    <w:pStyle w:val="6"/>
                    <w:keepNext w:val="0"/>
                    <w:keepLines w:val="0"/>
                    <w:suppressLineNumbers w:val="0"/>
                    <w:bidi w:val="0"/>
                    <w:spacing w:before="0" w:beforeAutospacing="0" w:after="0" w:afterAutospacing="0"/>
                    <w:ind w:right="0"/>
                    <w:rPr>
                      <w:rFonts w:hint="eastAsia" w:cs="Times New Roman"/>
                      <w:color w:val="auto"/>
                      <w:highlight w:val="none"/>
                      <w:lang w:val="en-US" w:eastAsia="zh-CN"/>
                    </w:rPr>
                  </w:pPr>
                  <w:r>
                    <w:rPr>
                      <w:rFonts w:hint="eastAsia" w:cs="Times New Roman"/>
                      <w:color w:val="auto"/>
                      <w:highlight w:val="none"/>
                      <w:lang w:val="en-US" w:eastAsia="zh-CN"/>
                    </w:rPr>
                    <w:t>切条</w:t>
                  </w:r>
                </w:p>
              </w:tc>
              <w:tc>
                <w:tcPr>
                  <w:tcW w:w="1137" w:type="pct"/>
                  <w:tcBorders>
                    <w:top w:val="single" w:color="auto" w:sz="4" w:space="0"/>
                    <w:bottom w:val="single" w:color="auto" w:sz="4" w:space="0"/>
                  </w:tcBorders>
                  <w:shd w:val="clear" w:color="auto" w:fill="auto"/>
                  <w:vAlign w:val="center"/>
                </w:tcPr>
                <w:p w14:paraId="1BDF4DD4">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切割机</w:t>
                  </w:r>
                </w:p>
              </w:tc>
              <w:tc>
                <w:tcPr>
                  <w:tcW w:w="565" w:type="pct"/>
                  <w:tcBorders>
                    <w:top w:val="single" w:color="auto" w:sz="4" w:space="0"/>
                    <w:bottom w:val="single" w:color="auto" w:sz="4" w:space="0"/>
                  </w:tcBorders>
                  <w:shd w:val="clear" w:color="auto" w:fill="auto"/>
                  <w:vAlign w:val="center"/>
                </w:tcPr>
                <w:p w14:paraId="263C4D15">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60</w:t>
                  </w:r>
                </w:p>
              </w:tc>
              <w:tc>
                <w:tcPr>
                  <w:tcW w:w="2299" w:type="pct"/>
                  <w:tcBorders>
                    <w:top w:val="single" w:color="auto" w:sz="4" w:space="0"/>
                    <w:bottom w:val="single" w:color="auto" w:sz="4" w:space="0"/>
                  </w:tcBorders>
                  <w:shd w:val="clear" w:color="auto" w:fill="auto"/>
                  <w:vAlign w:val="center"/>
                </w:tcPr>
                <w:p w14:paraId="16562A67">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w:t>
                  </w:r>
                </w:p>
              </w:tc>
            </w:tr>
            <w:tr w14:paraId="2DC8F234">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28" w:type="dxa"/>
                  <w:bottom w:w="0" w:type="dxa"/>
                  <w:right w:w="28" w:type="dxa"/>
                </w:tblCellMar>
              </w:tblPrEx>
              <w:trPr>
                <w:cantSplit/>
                <w:trHeight w:val="0" w:hRule="atLeast"/>
                <w:jc w:val="center"/>
              </w:trPr>
              <w:tc>
                <w:tcPr>
                  <w:tcW w:w="997" w:type="pct"/>
                  <w:tcBorders>
                    <w:top w:val="single" w:color="auto" w:sz="4" w:space="0"/>
                    <w:bottom w:val="single" w:color="auto" w:sz="12" w:space="0"/>
                  </w:tcBorders>
                  <w:vAlign w:val="center"/>
                </w:tcPr>
                <w:p w14:paraId="35AA389D">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激光打码</w:t>
                  </w:r>
                </w:p>
              </w:tc>
              <w:tc>
                <w:tcPr>
                  <w:tcW w:w="1137" w:type="pct"/>
                  <w:tcBorders>
                    <w:top w:val="single" w:color="auto" w:sz="4" w:space="0"/>
                    <w:bottom w:val="single" w:color="auto" w:sz="12" w:space="0"/>
                  </w:tcBorders>
                  <w:vAlign w:val="center"/>
                </w:tcPr>
                <w:p w14:paraId="5577DB9D">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eastAsia"/>
                      <w:color w:val="auto"/>
                      <w:sz w:val="21"/>
                      <w:szCs w:val="21"/>
                    </w:rPr>
                    <w:t>激光打码机</w:t>
                  </w:r>
                </w:p>
              </w:tc>
              <w:tc>
                <w:tcPr>
                  <w:tcW w:w="565" w:type="pct"/>
                  <w:tcBorders>
                    <w:top w:val="single" w:color="auto" w:sz="4" w:space="0"/>
                    <w:bottom w:val="single" w:color="auto" w:sz="12" w:space="0"/>
                  </w:tcBorders>
                  <w:vAlign w:val="center"/>
                </w:tcPr>
                <w:p w14:paraId="421E8CEE">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6</w:t>
                  </w:r>
                </w:p>
              </w:tc>
              <w:tc>
                <w:tcPr>
                  <w:tcW w:w="2299" w:type="pct"/>
                  <w:tcBorders>
                    <w:top w:val="single" w:color="auto" w:sz="4" w:space="0"/>
                    <w:bottom w:val="single" w:color="auto" w:sz="12" w:space="0"/>
                  </w:tcBorders>
                  <w:vAlign w:val="center"/>
                </w:tcPr>
                <w:p w14:paraId="608DDBF9">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60W</w:t>
                  </w:r>
                </w:p>
              </w:tc>
            </w:tr>
          </w:tbl>
          <w:p w14:paraId="1A15BA5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w:t>
            </w:r>
            <w:r>
              <w:rPr>
                <w:rFonts w:hint="default" w:ascii="Times New Roman" w:hAnsi="Times New Roman" w:eastAsia="宋体" w:cs="Times New Roman"/>
                <w:b/>
                <w:bCs/>
                <w:color w:val="auto"/>
                <w:sz w:val="21"/>
                <w:szCs w:val="21"/>
                <w:lang w:val="en-US" w:eastAsia="zh-CN"/>
              </w:rPr>
              <w:t>2</w:t>
            </w:r>
            <w:r>
              <w:rPr>
                <w:rFonts w:hint="default" w:ascii="Times New Roman" w:hAnsi="Times New Roman" w:eastAsia="宋体" w:cs="Times New Roman"/>
                <w:b/>
                <w:bCs/>
                <w:color w:val="auto"/>
                <w:sz w:val="21"/>
                <w:szCs w:val="21"/>
              </w:rPr>
              <w:t>-</w:t>
            </w:r>
            <w:r>
              <w:rPr>
                <w:rFonts w:hint="eastAsia" w:cs="Times New Roman"/>
                <w:b/>
                <w:bCs/>
                <w:color w:val="auto"/>
                <w:sz w:val="21"/>
                <w:szCs w:val="21"/>
                <w:lang w:val="en-US" w:eastAsia="zh-CN"/>
              </w:rPr>
              <w:t>6</w:t>
            </w:r>
            <w:r>
              <w:rPr>
                <w:rFonts w:hint="default" w:ascii="Times New Roman" w:hAnsi="Times New Roman" w:eastAsia="宋体" w:cs="Times New Roman"/>
                <w:b/>
                <w:bCs/>
                <w:color w:val="auto"/>
                <w:sz w:val="21"/>
                <w:szCs w:val="21"/>
              </w:rPr>
              <w:t xml:space="preserve"> </w:t>
            </w:r>
            <w:r>
              <w:rPr>
                <w:rFonts w:hint="default" w:ascii="Times New Roman" w:hAnsi="Times New Roman"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 xml:space="preserve"> </w:t>
            </w:r>
            <w:r>
              <w:rPr>
                <w:rFonts w:hint="eastAsia" w:cs="Times New Roman"/>
                <w:b/>
                <w:bCs/>
                <w:color w:val="auto"/>
                <w:sz w:val="21"/>
                <w:szCs w:val="21"/>
                <w:lang w:val="en-US" w:eastAsia="zh-CN"/>
              </w:rPr>
              <w:t>本</w:t>
            </w:r>
            <w:r>
              <w:rPr>
                <w:rFonts w:hint="default" w:ascii="Times New Roman" w:hAnsi="Times New Roman" w:eastAsia="宋体" w:cs="Times New Roman"/>
                <w:b/>
                <w:bCs/>
                <w:color w:val="auto"/>
                <w:sz w:val="21"/>
                <w:szCs w:val="21"/>
              </w:rPr>
              <w:t>项目主要生产设备与产能匹配性分析一览表</w:t>
            </w:r>
          </w:p>
          <w:tbl>
            <w:tblPr>
              <w:tblStyle w:val="32"/>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1186"/>
              <w:gridCol w:w="917"/>
              <w:gridCol w:w="1351"/>
              <w:gridCol w:w="782"/>
              <w:gridCol w:w="784"/>
              <w:gridCol w:w="1276"/>
              <w:gridCol w:w="1012"/>
              <w:gridCol w:w="1078"/>
            </w:tblGrid>
            <w:tr w14:paraId="089C5DC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07" w:type="pct"/>
                  <w:tcBorders>
                    <w:bottom w:val="single" w:color="000000" w:sz="12" w:space="0"/>
                  </w:tcBorders>
                  <w:noWrap w:val="0"/>
                  <w:vAlign w:val="center"/>
                </w:tcPr>
                <w:p w14:paraId="186F483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设备名称</w:t>
                  </w:r>
                </w:p>
              </w:tc>
              <w:tc>
                <w:tcPr>
                  <w:tcW w:w="546" w:type="pct"/>
                  <w:tcBorders>
                    <w:bottom w:val="single" w:color="000000" w:sz="12" w:space="0"/>
                  </w:tcBorders>
                  <w:noWrap w:val="0"/>
                  <w:vAlign w:val="center"/>
                </w:tcPr>
                <w:p w14:paraId="27097EF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数量</w:t>
                  </w:r>
                </w:p>
              </w:tc>
              <w:tc>
                <w:tcPr>
                  <w:tcW w:w="805" w:type="pct"/>
                  <w:tcBorders>
                    <w:bottom w:val="single" w:color="000000" w:sz="12" w:space="0"/>
                  </w:tcBorders>
                  <w:noWrap w:val="0"/>
                  <w:vAlign w:val="center"/>
                </w:tcPr>
                <w:p w14:paraId="64A168B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单台生产能力t/h</w:t>
                  </w:r>
                </w:p>
              </w:tc>
              <w:tc>
                <w:tcPr>
                  <w:tcW w:w="466" w:type="pct"/>
                  <w:tcBorders>
                    <w:bottom w:val="single" w:color="000000" w:sz="12" w:space="0"/>
                  </w:tcBorders>
                  <w:noWrap w:val="0"/>
                  <w:vAlign w:val="center"/>
                </w:tcPr>
                <w:p w14:paraId="43FED59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年工作时间h</w:t>
                  </w:r>
                </w:p>
              </w:tc>
              <w:tc>
                <w:tcPr>
                  <w:tcW w:w="467" w:type="pct"/>
                  <w:tcBorders>
                    <w:bottom w:val="single" w:color="000000" w:sz="12" w:space="0"/>
                  </w:tcBorders>
                  <w:noWrap w:val="0"/>
                  <w:vAlign w:val="center"/>
                </w:tcPr>
                <w:p w14:paraId="04C99DD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eastAsia" w:cs="Times New Roman"/>
                      <w:b/>
                      <w:bCs/>
                      <w:color w:val="auto"/>
                      <w:kern w:val="2"/>
                      <w:sz w:val="21"/>
                      <w:szCs w:val="21"/>
                      <w:lang w:val="en-US" w:eastAsia="zh-CN" w:bidi="ar-SA"/>
                    </w:rPr>
                    <w:t>负荷率</w:t>
                  </w:r>
                </w:p>
              </w:tc>
              <w:tc>
                <w:tcPr>
                  <w:tcW w:w="760" w:type="pct"/>
                  <w:tcBorders>
                    <w:bottom w:val="single" w:color="000000" w:sz="12" w:space="0"/>
                  </w:tcBorders>
                  <w:noWrap w:val="0"/>
                  <w:vAlign w:val="center"/>
                </w:tcPr>
                <w:p w14:paraId="5185DA9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最大年产能t/a</w:t>
                  </w:r>
                </w:p>
              </w:tc>
              <w:tc>
                <w:tcPr>
                  <w:tcW w:w="603" w:type="pct"/>
                  <w:tcBorders>
                    <w:bottom w:val="single" w:color="000000" w:sz="12" w:space="0"/>
                  </w:tcBorders>
                  <w:noWrap w:val="0"/>
                  <w:vAlign w:val="center"/>
                </w:tcPr>
                <w:p w14:paraId="4204E42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cs="Times New Roman"/>
                      <w:b/>
                      <w:bCs/>
                      <w:color w:val="auto"/>
                      <w:kern w:val="2"/>
                      <w:sz w:val="21"/>
                      <w:szCs w:val="21"/>
                      <w:lang w:val="en-US" w:eastAsia="zh-CN" w:bidi="ar-SA"/>
                    </w:rPr>
                    <w:t>总产能</w:t>
                  </w:r>
                </w:p>
              </w:tc>
              <w:tc>
                <w:tcPr>
                  <w:tcW w:w="642" w:type="pct"/>
                  <w:tcBorders>
                    <w:bottom w:val="single" w:color="000000" w:sz="12" w:space="0"/>
                  </w:tcBorders>
                  <w:noWrap w:val="0"/>
                  <w:vAlign w:val="center"/>
                </w:tcPr>
                <w:p w14:paraId="0C22D63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设计产能</w:t>
                  </w:r>
                </w:p>
              </w:tc>
            </w:tr>
            <w:tr w14:paraId="4292DF7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07" w:type="pct"/>
                  <w:tcBorders>
                    <w:tl2br w:val="nil"/>
                    <w:tr2bl w:val="nil"/>
                  </w:tcBorders>
                  <w:noWrap w:val="0"/>
                  <w:vAlign w:val="center"/>
                </w:tcPr>
                <w:p w14:paraId="5B01C37A">
                  <w:pPr>
                    <w:pStyle w:val="157"/>
                    <w:keepNext w:val="0"/>
                    <w:keepLines w:val="0"/>
                    <w:widowControl w:val="0"/>
                    <w:suppressLineNumbers w:val="0"/>
                    <w:spacing w:before="0" w:beforeAutospacing="0" w:after="0" w:afterAutospacing="0"/>
                    <w:ind w:left="0" w:right="0"/>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烘干料筒</w:t>
                  </w:r>
                </w:p>
              </w:tc>
              <w:tc>
                <w:tcPr>
                  <w:tcW w:w="546" w:type="pct"/>
                  <w:tcBorders>
                    <w:tl2br w:val="nil"/>
                    <w:tr2bl w:val="nil"/>
                  </w:tcBorders>
                  <w:noWrap w:val="0"/>
                  <w:vAlign w:val="center"/>
                </w:tcPr>
                <w:p w14:paraId="3A67746E">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60</w:t>
                  </w:r>
                </w:p>
              </w:tc>
              <w:tc>
                <w:tcPr>
                  <w:tcW w:w="805" w:type="pct"/>
                  <w:tcBorders>
                    <w:tl2br w:val="nil"/>
                    <w:tr2bl w:val="nil"/>
                  </w:tcBorders>
                  <w:noWrap w:val="0"/>
                  <w:vAlign w:val="center"/>
                </w:tcPr>
                <w:p w14:paraId="483A3B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0.02</w:t>
                  </w:r>
                </w:p>
              </w:tc>
              <w:tc>
                <w:tcPr>
                  <w:tcW w:w="466" w:type="pct"/>
                  <w:tcBorders>
                    <w:tl2br w:val="nil"/>
                    <w:tr2bl w:val="nil"/>
                  </w:tcBorders>
                  <w:noWrap w:val="0"/>
                  <w:vAlign w:val="center"/>
                </w:tcPr>
                <w:p w14:paraId="0FC2E1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7200</w:t>
                  </w:r>
                </w:p>
              </w:tc>
              <w:tc>
                <w:tcPr>
                  <w:tcW w:w="467" w:type="pct"/>
                  <w:tcBorders>
                    <w:tl2br w:val="nil"/>
                    <w:tr2bl w:val="nil"/>
                  </w:tcBorders>
                  <w:noWrap w:val="0"/>
                  <w:vAlign w:val="center"/>
                </w:tcPr>
                <w:p w14:paraId="529C50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约50%</w:t>
                  </w:r>
                </w:p>
              </w:tc>
              <w:tc>
                <w:tcPr>
                  <w:tcW w:w="1276" w:type="dxa"/>
                  <w:tcBorders>
                    <w:tl2br w:val="nil"/>
                    <w:tr2bl w:val="nil"/>
                  </w:tcBorders>
                  <w:noWrap w:val="0"/>
                  <w:vAlign w:val="center"/>
                </w:tcPr>
                <w:p w14:paraId="7572E7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72</w:t>
                  </w:r>
                </w:p>
              </w:tc>
              <w:tc>
                <w:tcPr>
                  <w:tcW w:w="1012" w:type="dxa"/>
                  <w:tcBorders>
                    <w:top w:val="single" w:color="auto" w:sz="4" w:space="0"/>
                    <w:tl2br w:val="nil"/>
                    <w:tr2bl w:val="nil"/>
                  </w:tcBorders>
                  <w:noWrap w:val="0"/>
                  <w:vAlign w:val="center"/>
                </w:tcPr>
                <w:p w14:paraId="7D8E13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4320</w:t>
                  </w:r>
                </w:p>
              </w:tc>
              <w:tc>
                <w:tcPr>
                  <w:tcW w:w="1078" w:type="dxa"/>
                  <w:tcBorders>
                    <w:top w:val="single" w:color="auto" w:sz="4" w:space="0"/>
                    <w:tl2br w:val="nil"/>
                    <w:tr2bl w:val="nil"/>
                  </w:tcBorders>
                  <w:noWrap w:val="0"/>
                  <w:vAlign w:val="center"/>
                </w:tcPr>
                <w:p w14:paraId="5635BD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2500</w:t>
                  </w:r>
                </w:p>
              </w:tc>
            </w:tr>
            <w:tr w14:paraId="38ED1F5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07" w:type="pct"/>
                  <w:tcBorders>
                    <w:tl2br w:val="nil"/>
                    <w:tr2bl w:val="nil"/>
                  </w:tcBorders>
                  <w:shd w:val="clear" w:color="auto" w:fill="auto"/>
                  <w:noWrap w:val="0"/>
                  <w:vAlign w:val="center"/>
                </w:tcPr>
                <w:p w14:paraId="0AA110B6">
                  <w:pPr>
                    <w:pStyle w:val="157"/>
                    <w:keepNext w:val="0"/>
                    <w:keepLines w:val="0"/>
                    <w:widowControl w:val="0"/>
                    <w:suppressLineNumbers w:val="0"/>
                    <w:spacing w:before="0" w:beforeAutospacing="0" w:after="0" w:afterAutospacing="0"/>
                    <w:ind w:left="0" w:leftChars="0" w:right="0" w:righ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color w:val="auto"/>
                      <w:sz w:val="21"/>
                      <w:szCs w:val="21"/>
                      <w:highlight w:val="none"/>
                      <w:lang w:val="en-US" w:eastAsia="zh-CN"/>
                    </w:rPr>
                    <w:t>挤出机</w:t>
                  </w:r>
                </w:p>
              </w:tc>
              <w:tc>
                <w:tcPr>
                  <w:tcW w:w="546" w:type="pct"/>
                  <w:tcBorders>
                    <w:tl2br w:val="nil"/>
                    <w:tr2bl w:val="nil"/>
                  </w:tcBorders>
                  <w:shd w:val="clear" w:color="auto" w:fill="auto"/>
                  <w:noWrap w:val="0"/>
                  <w:vAlign w:val="center"/>
                </w:tcPr>
                <w:p w14:paraId="38DEF1DD">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60</w:t>
                  </w:r>
                </w:p>
              </w:tc>
              <w:tc>
                <w:tcPr>
                  <w:tcW w:w="805" w:type="pct"/>
                  <w:tcBorders>
                    <w:top w:val="single" w:color="000000" w:sz="4" w:space="0"/>
                    <w:bottom w:val="single" w:color="000000" w:sz="4" w:space="0"/>
                  </w:tcBorders>
                  <w:shd w:val="clear" w:color="auto" w:fill="auto"/>
                  <w:noWrap w:val="0"/>
                  <w:vAlign w:val="center"/>
                </w:tcPr>
                <w:p w14:paraId="199F9BE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0.02</w:t>
                  </w:r>
                </w:p>
              </w:tc>
              <w:tc>
                <w:tcPr>
                  <w:tcW w:w="466" w:type="pct"/>
                  <w:tcBorders>
                    <w:top w:val="single" w:color="000000" w:sz="4" w:space="0"/>
                    <w:bottom w:val="single" w:color="000000" w:sz="4" w:space="0"/>
                  </w:tcBorders>
                  <w:shd w:val="clear" w:color="auto" w:fill="auto"/>
                  <w:noWrap w:val="0"/>
                  <w:vAlign w:val="center"/>
                </w:tcPr>
                <w:p w14:paraId="3F48C2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7200</w:t>
                  </w:r>
                </w:p>
              </w:tc>
              <w:tc>
                <w:tcPr>
                  <w:tcW w:w="467" w:type="pct"/>
                  <w:tcBorders>
                    <w:top w:val="single" w:color="000000" w:sz="4" w:space="0"/>
                    <w:bottom w:val="single" w:color="000000" w:sz="4" w:space="0"/>
                  </w:tcBorders>
                  <w:shd w:val="clear" w:color="auto" w:fill="auto"/>
                  <w:noWrap w:val="0"/>
                  <w:vAlign w:val="center"/>
                </w:tcPr>
                <w:p w14:paraId="02C881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约50%</w:t>
                  </w:r>
                </w:p>
              </w:tc>
              <w:tc>
                <w:tcPr>
                  <w:tcW w:w="760" w:type="pct"/>
                  <w:tcBorders>
                    <w:top w:val="single" w:color="000000" w:sz="4" w:space="0"/>
                    <w:bottom w:val="single" w:color="000000" w:sz="4" w:space="0"/>
                  </w:tcBorders>
                  <w:shd w:val="clear" w:color="auto" w:fill="auto"/>
                  <w:noWrap w:val="0"/>
                  <w:vAlign w:val="center"/>
                </w:tcPr>
                <w:p w14:paraId="51E3DE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72</w:t>
                  </w:r>
                </w:p>
              </w:tc>
              <w:tc>
                <w:tcPr>
                  <w:tcW w:w="603" w:type="pct"/>
                  <w:tcBorders>
                    <w:top w:val="single" w:color="000000" w:sz="4" w:space="0"/>
                  </w:tcBorders>
                  <w:shd w:val="clear" w:color="auto" w:fill="auto"/>
                  <w:noWrap w:val="0"/>
                  <w:vAlign w:val="center"/>
                </w:tcPr>
                <w:p w14:paraId="7BF00E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4320</w:t>
                  </w:r>
                </w:p>
              </w:tc>
              <w:tc>
                <w:tcPr>
                  <w:tcW w:w="642" w:type="pct"/>
                  <w:tcBorders>
                    <w:top w:val="single" w:color="000000" w:sz="4" w:space="0"/>
                  </w:tcBorders>
                  <w:shd w:val="clear" w:color="auto" w:fill="auto"/>
                  <w:noWrap w:val="0"/>
                  <w:vAlign w:val="center"/>
                </w:tcPr>
                <w:p w14:paraId="07A8F8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2500</w:t>
                  </w:r>
                </w:p>
              </w:tc>
            </w:tr>
            <w:tr w14:paraId="30B91C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7" w:hRule="atLeast"/>
                <w:jc w:val="center"/>
              </w:trPr>
              <w:tc>
                <w:tcPr>
                  <w:tcW w:w="707" w:type="pct"/>
                  <w:tcBorders>
                    <w:tl2br w:val="nil"/>
                    <w:tr2bl w:val="nil"/>
                  </w:tcBorders>
                  <w:shd w:val="clear" w:color="auto" w:fill="auto"/>
                  <w:noWrap w:val="0"/>
                  <w:vAlign w:val="center"/>
                </w:tcPr>
                <w:p w14:paraId="05D6F96B">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b w:val="0"/>
                      <w:bCs w:val="0"/>
                      <w:color w:val="auto"/>
                      <w:kern w:val="0"/>
                      <w:sz w:val="21"/>
                      <w:szCs w:val="21"/>
                      <w:highlight w:val="none"/>
                      <w:lang w:val="en-US" w:eastAsia="zh-CN" w:bidi="ar"/>
                    </w:rPr>
                  </w:pPr>
                  <w:r>
                    <w:rPr>
                      <w:rFonts w:hint="eastAsia" w:cs="Times New Roman"/>
                      <w:color w:val="auto"/>
                      <w:highlight w:val="none"/>
                      <w:lang w:val="en-US" w:eastAsia="zh-CN"/>
                    </w:rPr>
                    <w:t>切割机</w:t>
                  </w:r>
                </w:p>
              </w:tc>
              <w:tc>
                <w:tcPr>
                  <w:tcW w:w="546" w:type="pct"/>
                  <w:tcBorders>
                    <w:tl2br w:val="nil"/>
                    <w:tr2bl w:val="nil"/>
                  </w:tcBorders>
                  <w:shd w:val="clear" w:color="auto" w:fill="auto"/>
                  <w:noWrap w:val="0"/>
                  <w:vAlign w:val="center"/>
                </w:tcPr>
                <w:p w14:paraId="1580AC86">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60</w:t>
                  </w:r>
                </w:p>
              </w:tc>
              <w:tc>
                <w:tcPr>
                  <w:tcW w:w="805" w:type="pct"/>
                  <w:tcBorders>
                    <w:top w:val="single" w:color="000000" w:sz="4" w:space="0"/>
                    <w:bottom w:val="single" w:color="000000" w:sz="4" w:space="0"/>
                  </w:tcBorders>
                  <w:shd w:val="clear" w:color="auto" w:fill="auto"/>
                  <w:noWrap w:val="0"/>
                  <w:vAlign w:val="center"/>
                </w:tcPr>
                <w:p w14:paraId="777793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0.015</w:t>
                  </w:r>
                </w:p>
              </w:tc>
              <w:tc>
                <w:tcPr>
                  <w:tcW w:w="466" w:type="pct"/>
                  <w:tcBorders>
                    <w:top w:val="single" w:color="000000" w:sz="4" w:space="0"/>
                    <w:bottom w:val="single" w:color="000000" w:sz="4" w:space="0"/>
                  </w:tcBorders>
                  <w:shd w:val="clear" w:color="auto" w:fill="auto"/>
                  <w:noWrap w:val="0"/>
                  <w:vAlign w:val="center"/>
                </w:tcPr>
                <w:p w14:paraId="340C89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7200</w:t>
                  </w:r>
                </w:p>
              </w:tc>
              <w:tc>
                <w:tcPr>
                  <w:tcW w:w="467" w:type="pct"/>
                  <w:tcBorders>
                    <w:top w:val="single" w:color="000000" w:sz="4" w:space="0"/>
                    <w:bottom w:val="single" w:color="000000" w:sz="4" w:space="0"/>
                  </w:tcBorders>
                  <w:shd w:val="clear" w:color="auto" w:fill="auto"/>
                  <w:noWrap w:val="0"/>
                  <w:vAlign w:val="center"/>
                </w:tcPr>
                <w:p w14:paraId="464127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约50%</w:t>
                  </w:r>
                </w:p>
              </w:tc>
              <w:tc>
                <w:tcPr>
                  <w:tcW w:w="760" w:type="pct"/>
                  <w:tcBorders>
                    <w:top w:val="single" w:color="000000" w:sz="4" w:space="0"/>
                    <w:bottom w:val="single" w:color="000000" w:sz="4" w:space="0"/>
                  </w:tcBorders>
                  <w:shd w:val="clear" w:color="auto" w:fill="auto"/>
                  <w:noWrap w:val="0"/>
                  <w:vAlign w:val="center"/>
                </w:tcPr>
                <w:p w14:paraId="6FF7D11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54</w:t>
                  </w:r>
                </w:p>
              </w:tc>
              <w:tc>
                <w:tcPr>
                  <w:tcW w:w="603" w:type="pct"/>
                  <w:tcBorders>
                    <w:top w:val="single" w:color="000000" w:sz="4" w:space="0"/>
                  </w:tcBorders>
                  <w:shd w:val="clear" w:color="auto" w:fill="auto"/>
                  <w:noWrap w:val="0"/>
                  <w:vAlign w:val="center"/>
                </w:tcPr>
                <w:p w14:paraId="6430F2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3240</w:t>
                  </w:r>
                </w:p>
              </w:tc>
              <w:tc>
                <w:tcPr>
                  <w:tcW w:w="642" w:type="pct"/>
                  <w:tcBorders>
                    <w:top w:val="single" w:color="000000" w:sz="4" w:space="0"/>
                  </w:tcBorders>
                  <w:shd w:val="clear" w:color="auto" w:fill="auto"/>
                  <w:noWrap w:val="0"/>
                  <w:vAlign w:val="center"/>
                </w:tcPr>
                <w:p w14:paraId="34B37A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2500</w:t>
                  </w:r>
                </w:p>
              </w:tc>
            </w:tr>
            <w:tr w14:paraId="24E5291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07" w:type="pct"/>
                  <w:tcBorders>
                    <w:tl2br w:val="nil"/>
                    <w:tr2bl w:val="nil"/>
                  </w:tcBorders>
                  <w:noWrap w:val="0"/>
                  <w:vAlign w:val="center"/>
                </w:tcPr>
                <w:p w14:paraId="651CFD71">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eastAsia"/>
                      <w:color w:val="auto"/>
                      <w:sz w:val="21"/>
                      <w:szCs w:val="21"/>
                      <w:highlight w:val="none"/>
                    </w:rPr>
                    <w:t>激光打码机</w:t>
                  </w:r>
                </w:p>
              </w:tc>
              <w:tc>
                <w:tcPr>
                  <w:tcW w:w="546" w:type="pct"/>
                  <w:tcBorders>
                    <w:tl2br w:val="nil"/>
                    <w:tr2bl w:val="nil"/>
                  </w:tcBorders>
                  <w:noWrap w:val="0"/>
                  <w:vAlign w:val="center"/>
                </w:tcPr>
                <w:p w14:paraId="2EEBA005">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6</w:t>
                  </w:r>
                </w:p>
              </w:tc>
              <w:tc>
                <w:tcPr>
                  <w:tcW w:w="805" w:type="pct"/>
                  <w:tcBorders>
                    <w:tl2br w:val="nil"/>
                    <w:tr2bl w:val="nil"/>
                  </w:tcBorders>
                  <w:noWrap w:val="0"/>
                  <w:vAlign w:val="center"/>
                </w:tcPr>
                <w:p w14:paraId="2C8CF5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0.6</w:t>
                  </w:r>
                </w:p>
              </w:tc>
              <w:tc>
                <w:tcPr>
                  <w:tcW w:w="466" w:type="pct"/>
                  <w:tcBorders>
                    <w:tl2br w:val="nil"/>
                    <w:tr2bl w:val="nil"/>
                  </w:tcBorders>
                  <w:noWrap w:val="0"/>
                  <w:vAlign w:val="center"/>
                </w:tcPr>
                <w:p w14:paraId="78E681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2400</w:t>
                  </w:r>
                </w:p>
              </w:tc>
              <w:tc>
                <w:tcPr>
                  <w:tcW w:w="467" w:type="pct"/>
                  <w:tcBorders>
                    <w:tl2br w:val="nil"/>
                    <w:tr2bl w:val="nil"/>
                  </w:tcBorders>
                  <w:noWrap w:val="0"/>
                  <w:vAlign w:val="center"/>
                </w:tcPr>
                <w:p w14:paraId="71981D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约30%</w:t>
                  </w:r>
                </w:p>
              </w:tc>
              <w:tc>
                <w:tcPr>
                  <w:tcW w:w="760" w:type="pct"/>
                  <w:tcBorders>
                    <w:tl2br w:val="nil"/>
                    <w:tr2bl w:val="nil"/>
                  </w:tcBorders>
                  <w:noWrap w:val="0"/>
                  <w:vAlign w:val="center"/>
                </w:tcPr>
                <w:p w14:paraId="1182F7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eastAsia" w:cs="Times New Roman"/>
                      <w:color w:val="auto"/>
                      <w:kern w:val="2"/>
                      <w:sz w:val="21"/>
                      <w:szCs w:val="21"/>
                      <w:lang w:val="en-US" w:eastAsia="zh-CN" w:bidi="ar-SA"/>
                    </w:rPr>
                    <w:t>432</w:t>
                  </w:r>
                </w:p>
              </w:tc>
              <w:tc>
                <w:tcPr>
                  <w:tcW w:w="603" w:type="pct"/>
                  <w:tcBorders>
                    <w:tl2br w:val="nil"/>
                    <w:tr2bl w:val="nil"/>
                  </w:tcBorders>
                  <w:noWrap w:val="0"/>
                  <w:vAlign w:val="center"/>
                </w:tcPr>
                <w:p w14:paraId="132A61B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eastAsia" w:cs="Times New Roman"/>
                      <w:color w:val="auto"/>
                      <w:kern w:val="2"/>
                      <w:sz w:val="21"/>
                      <w:szCs w:val="21"/>
                      <w:lang w:val="en-US" w:eastAsia="zh-CN" w:bidi="ar-SA"/>
                    </w:rPr>
                    <w:t>2592</w:t>
                  </w:r>
                </w:p>
              </w:tc>
              <w:tc>
                <w:tcPr>
                  <w:tcW w:w="642" w:type="pct"/>
                  <w:tcBorders>
                    <w:tl2br w:val="nil"/>
                    <w:tr2bl w:val="nil"/>
                  </w:tcBorders>
                  <w:noWrap w:val="0"/>
                  <w:vAlign w:val="center"/>
                </w:tcPr>
                <w:p w14:paraId="3474B5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2500</w:t>
                  </w:r>
                </w:p>
              </w:tc>
            </w:tr>
          </w:tbl>
          <w:p w14:paraId="02B6498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bCs/>
                <w:color w:val="auto"/>
                <w:sz w:val="24"/>
              </w:rPr>
            </w:pPr>
            <w:r>
              <w:rPr>
                <w:rFonts w:hint="default" w:ascii="Times New Roman" w:hAnsi="Times New Roman" w:eastAsia="宋体" w:cs="Times New Roman"/>
                <w:color w:val="auto"/>
                <w:sz w:val="24"/>
              </w:rPr>
              <w:t>由表</w:t>
            </w:r>
            <w:r>
              <w:rPr>
                <w:rFonts w:hint="default" w:ascii="Times New Roman" w:hAnsi="Times New Roman" w:eastAsia="宋体" w:cs="Times New Roman"/>
                <w:color w:val="auto"/>
                <w:sz w:val="24"/>
                <w:lang w:val="en-US" w:eastAsia="zh-CN"/>
              </w:rPr>
              <w:t>2-</w:t>
            </w:r>
            <w:r>
              <w:rPr>
                <w:rFonts w:hint="eastAsia" w:cs="Times New Roman"/>
                <w:color w:val="auto"/>
                <w:sz w:val="24"/>
                <w:lang w:val="en-US" w:eastAsia="zh-CN"/>
              </w:rPr>
              <w:t>6</w:t>
            </w:r>
            <w:r>
              <w:rPr>
                <w:rFonts w:hint="default" w:ascii="Times New Roman" w:hAnsi="Times New Roman" w:eastAsia="宋体" w:cs="Times New Roman"/>
                <w:color w:val="auto"/>
                <w:sz w:val="24"/>
              </w:rPr>
              <w:t>可知，根据设备单位时间产量</w:t>
            </w:r>
            <w:r>
              <w:rPr>
                <w:rFonts w:hint="eastAsia" w:cs="Times New Roman"/>
                <w:color w:val="auto"/>
                <w:sz w:val="24"/>
                <w:lang w:eastAsia="zh-CN"/>
              </w:rPr>
              <w:t>、</w:t>
            </w:r>
            <w:r>
              <w:rPr>
                <w:rFonts w:hint="eastAsia" w:cs="Times New Roman"/>
                <w:color w:val="auto"/>
                <w:sz w:val="24"/>
                <w:lang w:val="en-US" w:eastAsia="zh-CN"/>
              </w:rPr>
              <w:t>设备负荷率</w:t>
            </w:r>
            <w:r>
              <w:rPr>
                <w:rFonts w:hint="default" w:ascii="Times New Roman" w:hAnsi="Times New Roman" w:eastAsia="宋体" w:cs="Times New Roman"/>
                <w:color w:val="auto"/>
                <w:sz w:val="24"/>
              </w:rPr>
              <w:t>，如本项目设备满负荷运转，则本项目产品最大生产能力满足设计规模，因此本项目生产设备与产品产能基本匹配。</w:t>
            </w:r>
          </w:p>
          <w:p w14:paraId="0D16B71B">
            <w:pPr>
              <w:keepNext w:val="0"/>
              <w:keepLines w:val="0"/>
              <w:suppressLineNumbers w:val="0"/>
              <w:spacing w:before="0" w:beforeAutospacing="0" w:after="0" w:afterAutospacing="0" w:line="360" w:lineRule="auto"/>
              <w:ind w:left="0" w:leftChars="0" w:right="0"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lang w:val="en-US" w:eastAsia="zh-CN"/>
              </w:rPr>
              <w:t>5</w:t>
            </w:r>
            <w:r>
              <w:rPr>
                <w:rFonts w:hint="default" w:ascii="Times New Roman" w:hAnsi="Times New Roman" w:cs="Times New Roman"/>
                <w:b/>
                <w:bCs/>
                <w:color w:val="auto"/>
                <w:sz w:val="24"/>
                <w:highlight w:val="none"/>
              </w:rPr>
              <w:t>、原辅材料</w:t>
            </w:r>
          </w:p>
          <w:p w14:paraId="042F9543">
            <w:pPr>
              <w:keepNext w:val="0"/>
              <w:keepLines w:val="0"/>
              <w:suppressLineNumbers w:val="0"/>
              <w:tabs>
                <w:tab w:val="left" w:pos="300"/>
              </w:tabs>
              <w:spacing w:before="0" w:beforeAutospacing="0" w:after="0" w:afterAutospacing="0" w:line="360" w:lineRule="auto"/>
              <w:ind w:left="0" w:right="0" w:firstLine="480" w:firstLineChars="200"/>
              <w:rPr>
                <w:rFonts w:hint="default" w:ascii="Times New Roman" w:hAnsi="Times New Roman" w:cs="Times New Roman"/>
                <w:color w:val="auto"/>
                <w:spacing w:val="-1"/>
                <w:sz w:val="24"/>
                <w:highlight w:val="none"/>
              </w:rPr>
            </w:pPr>
            <w:r>
              <w:rPr>
                <w:rFonts w:hint="default" w:ascii="Times New Roman" w:hAnsi="Times New Roman" w:cs="Times New Roman"/>
                <w:color w:val="auto"/>
                <w:sz w:val="24"/>
                <w:highlight w:val="none"/>
              </w:rPr>
              <w:t>本项目原辅材料及能源消耗见表</w:t>
            </w:r>
            <w:r>
              <w:rPr>
                <w:rFonts w:hint="default" w:ascii="Times New Roman" w:hAnsi="Times New Roman" w:eastAsia="Times New Roman" w:cs="Times New Roman"/>
                <w:color w:val="auto"/>
                <w:spacing w:val="-1"/>
                <w:sz w:val="24"/>
                <w:highlight w:val="none"/>
              </w:rPr>
              <w:t>2-</w:t>
            </w:r>
            <w:r>
              <w:rPr>
                <w:rFonts w:hint="eastAsia" w:cs="Times New Roman"/>
                <w:color w:val="auto"/>
                <w:spacing w:val="-1"/>
                <w:sz w:val="24"/>
                <w:highlight w:val="none"/>
                <w:lang w:val="en-US" w:eastAsia="zh-CN"/>
              </w:rPr>
              <w:t>7</w:t>
            </w:r>
            <w:r>
              <w:rPr>
                <w:rFonts w:hint="default" w:ascii="Times New Roman" w:hAnsi="Times New Roman" w:cs="Times New Roman"/>
                <w:color w:val="auto"/>
                <w:spacing w:val="-1"/>
                <w:sz w:val="24"/>
                <w:highlight w:val="none"/>
              </w:rPr>
              <w:t>。</w:t>
            </w:r>
          </w:p>
          <w:p w14:paraId="48216EB9">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表2-</w:t>
            </w:r>
            <w:r>
              <w:rPr>
                <w:rFonts w:hint="eastAsia" w:cs="Times New Roman"/>
                <w:b/>
                <w:bCs/>
                <w:color w:val="auto"/>
                <w:highlight w:val="none"/>
                <w:lang w:val="en-US" w:eastAsia="zh-CN"/>
              </w:rPr>
              <w:t>7</w:t>
            </w:r>
            <w:r>
              <w:rPr>
                <w:rFonts w:hint="default" w:ascii="Times New Roman" w:hAnsi="Times New Roman" w:cs="Times New Roman"/>
                <w:b/>
                <w:bCs/>
                <w:color w:val="auto"/>
                <w:highlight w:val="none"/>
                <w:lang w:val="en-US" w:eastAsia="zh-CN"/>
              </w:rPr>
              <w:t xml:space="preserve">   </w:t>
            </w:r>
            <w:r>
              <w:rPr>
                <w:rFonts w:hint="eastAsia" w:cs="Times New Roman"/>
                <w:b/>
                <w:bCs/>
                <w:color w:val="auto"/>
                <w:highlight w:val="none"/>
                <w:lang w:val="en-US" w:eastAsia="zh-CN"/>
              </w:rPr>
              <w:t>本</w:t>
            </w:r>
            <w:r>
              <w:rPr>
                <w:rFonts w:hint="default" w:ascii="Times New Roman" w:hAnsi="Times New Roman" w:cs="Times New Roman"/>
                <w:b/>
                <w:bCs/>
                <w:color w:val="auto"/>
                <w:highlight w:val="none"/>
                <w:lang w:val="en-US" w:eastAsia="zh-CN"/>
              </w:rPr>
              <w:t>项目主要原辅料及能源消耗情况一览表</w:t>
            </w:r>
          </w:p>
          <w:tbl>
            <w:tblPr>
              <w:tblStyle w:val="32"/>
              <w:tblW w:w="838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3" w:type="dxa"/>
                <w:bottom w:w="0" w:type="dxa"/>
                <w:right w:w="23" w:type="dxa"/>
              </w:tblCellMar>
            </w:tblPr>
            <w:tblGrid>
              <w:gridCol w:w="502"/>
              <w:gridCol w:w="1135"/>
              <w:gridCol w:w="1299"/>
              <w:gridCol w:w="1192"/>
              <w:gridCol w:w="2683"/>
              <w:gridCol w:w="1575"/>
            </w:tblGrid>
            <w:tr w14:paraId="7FE152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0" w:hRule="atLeast"/>
                <w:jc w:val="center"/>
              </w:trPr>
              <w:tc>
                <w:tcPr>
                  <w:tcW w:w="502" w:type="dxa"/>
                  <w:tcBorders>
                    <w:bottom w:val="single" w:color="auto" w:sz="12" w:space="0"/>
                  </w:tcBorders>
                  <w:vAlign w:val="center"/>
                </w:tcPr>
                <w:p w14:paraId="03414ED8">
                  <w:pPr>
                    <w:pStyle w:val="6"/>
                    <w:keepNext w:val="0"/>
                    <w:keepLines w:val="0"/>
                    <w:suppressLineNumbers w:val="0"/>
                    <w:bidi w:val="0"/>
                    <w:spacing w:before="0" w:beforeAutospacing="0" w:after="0" w:afterAutospacing="0"/>
                    <w:ind w:right="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序号</w:t>
                  </w:r>
                </w:p>
              </w:tc>
              <w:tc>
                <w:tcPr>
                  <w:tcW w:w="1135" w:type="dxa"/>
                  <w:tcBorders>
                    <w:bottom w:val="single" w:color="auto" w:sz="12" w:space="0"/>
                  </w:tcBorders>
                  <w:vAlign w:val="center"/>
                </w:tcPr>
                <w:p w14:paraId="231DE37A">
                  <w:pPr>
                    <w:pStyle w:val="6"/>
                    <w:keepNext w:val="0"/>
                    <w:keepLines w:val="0"/>
                    <w:suppressLineNumbers w:val="0"/>
                    <w:bidi w:val="0"/>
                    <w:spacing w:before="0" w:beforeAutospacing="0" w:after="0" w:afterAutospacing="0"/>
                    <w:ind w:right="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名称</w:t>
                  </w:r>
                </w:p>
              </w:tc>
              <w:tc>
                <w:tcPr>
                  <w:tcW w:w="1299" w:type="dxa"/>
                  <w:tcBorders>
                    <w:bottom w:val="single" w:color="auto" w:sz="12" w:space="0"/>
                  </w:tcBorders>
                  <w:vAlign w:val="center"/>
                </w:tcPr>
                <w:p w14:paraId="0B6A768E">
                  <w:pPr>
                    <w:pStyle w:val="6"/>
                    <w:keepNext w:val="0"/>
                    <w:keepLines w:val="0"/>
                    <w:suppressLineNumbers w:val="0"/>
                    <w:bidi w:val="0"/>
                    <w:spacing w:before="0" w:beforeAutospacing="0" w:after="0" w:afterAutospacing="0"/>
                    <w:ind w:right="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年耗量</w:t>
                  </w:r>
                </w:p>
              </w:tc>
              <w:tc>
                <w:tcPr>
                  <w:tcW w:w="1192" w:type="dxa"/>
                  <w:tcBorders>
                    <w:bottom w:val="single" w:color="auto" w:sz="12" w:space="0"/>
                  </w:tcBorders>
                  <w:vAlign w:val="center"/>
                </w:tcPr>
                <w:p w14:paraId="467B9FEC">
                  <w:pPr>
                    <w:pStyle w:val="6"/>
                    <w:keepNext w:val="0"/>
                    <w:keepLines w:val="0"/>
                    <w:suppressLineNumbers w:val="0"/>
                    <w:bidi w:val="0"/>
                    <w:spacing w:before="0" w:beforeAutospacing="0" w:after="0" w:afterAutospacing="0"/>
                    <w:ind w:right="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最大储存量</w:t>
                  </w:r>
                </w:p>
              </w:tc>
              <w:tc>
                <w:tcPr>
                  <w:tcW w:w="2683" w:type="dxa"/>
                  <w:tcBorders>
                    <w:bottom w:val="single" w:color="auto" w:sz="12" w:space="0"/>
                  </w:tcBorders>
                  <w:vAlign w:val="center"/>
                </w:tcPr>
                <w:p w14:paraId="7A8344CB">
                  <w:pPr>
                    <w:pStyle w:val="6"/>
                    <w:keepNext w:val="0"/>
                    <w:keepLines w:val="0"/>
                    <w:suppressLineNumbers w:val="0"/>
                    <w:bidi w:val="0"/>
                    <w:spacing w:before="0" w:beforeAutospacing="0" w:after="0" w:afterAutospacing="0"/>
                    <w:ind w:right="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规格与存放位置</w:t>
                  </w:r>
                </w:p>
              </w:tc>
              <w:tc>
                <w:tcPr>
                  <w:tcW w:w="1575" w:type="dxa"/>
                  <w:tcBorders>
                    <w:bottom w:val="single" w:color="auto" w:sz="12" w:space="0"/>
                  </w:tcBorders>
                  <w:vAlign w:val="center"/>
                </w:tcPr>
                <w:p w14:paraId="6C497DFE">
                  <w:pPr>
                    <w:pStyle w:val="6"/>
                    <w:keepNext w:val="0"/>
                    <w:keepLines w:val="0"/>
                    <w:suppressLineNumbers w:val="0"/>
                    <w:bidi w:val="0"/>
                    <w:spacing w:before="0" w:beforeAutospacing="0" w:after="0" w:afterAutospacing="0"/>
                    <w:ind w:right="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备注</w:t>
                  </w:r>
                </w:p>
              </w:tc>
            </w:tr>
            <w:tr w14:paraId="71C0FC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0" w:hRule="atLeast"/>
                <w:jc w:val="center"/>
              </w:trPr>
              <w:tc>
                <w:tcPr>
                  <w:tcW w:w="502" w:type="dxa"/>
                  <w:tcBorders>
                    <w:top w:val="single" w:color="auto" w:sz="4" w:space="0"/>
                    <w:bottom w:val="single" w:color="auto" w:sz="4" w:space="0"/>
                  </w:tcBorders>
                  <w:vAlign w:val="center"/>
                </w:tcPr>
                <w:p w14:paraId="78CE4383">
                  <w:pPr>
                    <w:pStyle w:val="6"/>
                    <w:keepNext w:val="0"/>
                    <w:keepLines w:val="0"/>
                    <w:suppressLineNumbers w:val="0"/>
                    <w:bidi w:val="0"/>
                    <w:spacing w:before="0" w:beforeAutospacing="0" w:after="0" w:afterAutospacing="0"/>
                    <w:ind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w:t>
                  </w:r>
                </w:p>
              </w:tc>
              <w:tc>
                <w:tcPr>
                  <w:tcW w:w="1135" w:type="dxa"/>
                  <w:tcBorders>
                    <w:top w:val="single" w:color="auto" w:sz="4" w:space="0"/>
                    <w:bottom w:val="single" w:color="auto" w:sz="4" w:space="0"/>
                  </w:tcBorders>
                  <w:vAlign w:val="center"/>
                </w:tcPr>
                <w:p w14:paraId="52F9DC18">
                  <w:pPr>
                    <w:pStyle w:val="157"/>
                    <w:keepNext w:val="0"/>
                    <w:keepLines w:val="0"/>
                    <w:widowControl/>
                    <w:suppressLineNumbers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eastAsia"/>
                      <w:color w:val="auto"/>
                      <w:sz w:val="21"/>
                      <w:szCs w:val="21"/>
                    </w:rPr>
                    <w:t>PA66尼龙颗粒</w:t>
                  </w:r>
                </w:p>
              </w:tc>
              <w:tc>
                <w:tcPr>
                  <w:tcW w:w="1299" w:type="dxa"/>
                  <w:tcBorders>
                    <w:top w:val="single" w:color="auto" w:sz="4" w:space="0"/>
                    <w:bottom w:val="single" w:color="auto" w:sz="4" w:space="0"/>
                  </w:tcBorders>
                  <w:vAlign w:val="center"/>
                </w:tcPr>
                <w:p w14:paraId="38558F91">
                  <w:pPr>
                    <w:pStyle w:val="6"/>
                    <w:keepNext w:val="0"/>
                    <w:keepLines w:val="0"/>
                    <w:suppressLineNumbers w:val="0"/>
                    <w:bidi w:val="0"/>
                    <w:spacing w:before="0" w:beforeAutospacing="0" w:after="0" w:afterAutospacing="0"/>
                    <w:ind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25</w:t>
                  </w:r>
                  <w:r>
                    <w:rPr>
                      <w:rFonts w:hint="eastAsia" w:cs="Times New Roman"/>
                      <w:color w:val="auto"/>
                      <w:highlight w:val="none"/>
                      <w:lang w:val="en-US" w:eastAsia="zh-CN"/>
                    </w:rPr>
                    <w:t>59.104</w:t>
                  </w:r>
                  <w:r>
                    <w:rPr>
                      <w:rFonts w:hint="default" w:ascii="Times New Roman" w:hAnsi="Times New Roman" w:eastAsia="宋体" w:cs="Times New Roman"/>
                      <w:color w:val="auto"/>
                      <w:highlight w:val="none"/>
                      <w:lang w:val="en-US" w:eastAsia="zh-CN"/>
                    </w:rPr>
                    <w:t>t</w:t>
                  </w:r>
                </w:p>
              </w:tc>
              <w:tc>
                <w:tcPr>
                  <w:tcW w:w="1192" w:type="dxa"/>
                  <w:tcBorders>
                    <w:top w:val="single" w:color="auto" w:sz="4" w:space="0"/>
                    <w:bottom w:val="single" w:color="auto" w:sz="4" w:space="0"/>
                  </w:tcBorders>
                  <w:vAlign w:val="center"/>
                </w:tcPr>
                <w:p w14:paraId="28D59134">
                  <w:pPr>
                    <w:pStyle w:val="6"/>
                    <w:keepNext w:val="0"/>
                    <w:keepLines w:val="0"/>
                    <w:suppressLineNumbers w:val="0"/>
                    <w:bidi w:val="0"/>
                    <w:spacing w:before="0" w:beforeAutospacing="0" w:after="0" w:afterAutospacing="0"/>
                    <w:ind w:right="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30t</w:t>
                  </w:r>
                </w:p>
              </w:tc>
              <w:tc>
                <w:tcPr>
                  <w:tcW w:w="2683" w:type="dxa"/>
                  <w:tcBorders>
                    <w:top w:val="single" w:color="auto" w:sz="4" w:space="0"/>
                    <w:bottom w:val="single" w:color="auto" w:sz="4" w:space="0"/>
                  </w:tcBorders>
                  <w:vAlign w:val="center"/>
                </w:tcPr>
                <w:p w14:paraId="30405E4E">
                  <w:pPr>
                    <w:pStyle w:val="6"/>
                    <w:keepNext w:val="0"/>
                    <w:keepLines w:val="0"/>
                    <w:suppressLineNumbers w:val="0"/>
                    <w:bidi w:val="0"/>
                    <w:spacing w:before="0" w:beforeAutospacing="0" w:after="0" w:afterAutospacing="0"/>
                    <w:ind w:right="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25kg/</w:t>
                  </w:r>
                  <w:r>
                    <w:rPr>
                      <w:rFonts w:hint="default" w:ascii="Times New Roman" w:hAnsi="Times New Roman" w:cs="Times New Roman"/>
                      <w:color w:val="000000" w:themeColor="text1"/>
                      <w:highlight w:val="none"/>
                      <w:lang w:val="en-US" w:eastAsia="zh-CN"/>
                      <w14:textFill>
                        <w14:solidFill>
                          <w14:schemeClr w14:val="tx1"/>
                        </w14:solidFill>
                      </w14:textFill>
                    </w:rPr>
                    <w:t>袋装</w:t>
                  </w:r>
                  <w:r>
                    <w:rPr>
                      <w:rFonts w:hint="default" w:ascii="Times New Roman" w:hAnsi="Times New Roman" w:eastAsia="宋体" w:cs="Times New Roman"/>
                      <w:color w:val="000000" w:themeColor="text1"/>
                      <w:highlight w:val="none"/>
                      <w:lang w:val="en-US" w:eastAsia="zh-CN"/>
                      <w14:textFill>
                        <w14:solidFill>
                          <w14:schemeClr w14:val="tx1"/>
                        </w14:solidFill>
                      </w14:textFill>
                    </w:rPr>
                    <w:t>，原料</w:t>
                  </w:r>
                  <w:r>
                    <w:rPr>
                      <w:rFonts w:hint="eastAsia" w:cs="Times New Roman"/>
                      <w:color w:val="000000" w:themeColor="text1"/>
                      <w:highlight w:val="none"/>
                      <w:lang w:val="en-US" w:eastAsia="zh-CN"/>
                      <w14:textFill>
                        <w14:solidFill>
                          <w14:schemeClr w14:val="tx1"/>
                        </w14:solidFill>
                      </w14:textFill>
                    </w:rPr>
                    <w:t>区</w:t>
                  </w:r>
                </w:p>
              </w:tc>
              <w:tc>
                <w:tcPr>
                  <w:tcW w:w="1575" w:type="dxa"/>
                  <w:tcBorders>
                    <w:top w:val="single" w:color="auto" w:sz="4" w:space="0"/>
                    <w:bottom w:val="single" w:color="auto" w:sz="4" w:space="0"/>
                  </w:tcBorders>
                  <w:vAlign w:val="center"/>
                </w:tcPr>
                <w:p w14:paraId="2307AE7B">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为</w:t>
                  </w:r>
                  <w:r>
                    <w:rPr>
                      <w:rFonts w:hint="eastAsia"/>
                      <w:color w:val="000000" w:themeColor="text1"/>
                      <w14:textFill>
                        <w14:solidFill>
                          <w14:schemeClr w14:val="tx1"/>
                        </w14:solidFill>
                      </w14:textFill>
                    </w:rPr>
                    <w:t>25%玻璃纤维增强改性粒子</w:t>
                  </w:r>
                </w:p>
              </w:tc>
            </w:tr>
            <w:tr w14:paraId="45DF1E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0" w:hRule="atLeast"/>
                <w:jc w:val="center"/>
              </w:trPr>
              <w:tc>
                <w:tcPr>
                  <w:tcW w:w="502" w:type="dxa"/>
                  <w:tcBorders>
                    <w:top w:val="single" w:color="auto" w:sz="4" w:space="0"/>
                    <w:bottom w:val="single" w:color="auto" w:sz="4" w:space="0"/>
                  </w:tcBorders>
                  <w:vAlign w:val="center"/>
                </w:tcPr>
                <w:p w14:paraId="210B1920">
                  <w:pPr>
                    <w:pStyle w:val="6"/>
                    <w:keepNext w:val="0"/>
                    <w:keepLines w:val="0"/>
                    <w:suppressLineNumbers w:val="0"/>
                    <w:bidi w:val="0"/>
                    <w:spacing w:before="0" w:beforeAutospacing="0" w:after="0" w:afterAutospacing="0"/>
                    <w:ind w:right="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2</w:t>
                  </w:r>
                </w:p>
              </w:tc>
              <w:tc>
                <w:tcPr>
                  <w:tcW w:w="1135" w:type="dxa"/>
                  <w:tcBorders>
                    <w:top w:val="single" w:color="auto" w:sz="4" w:space="0"/>
                    <w:bottom w:val="single" w:color="auto" w:sz="4" w:space="0"/>
                  </w:tcBorders>
                  <w:vAlign w:val="center"/>
                </w:tcPr>
                <w:p w14:paraId="65BE9688">
                  <w:pPr>
                    <w:pStyle w:val="157"/>
                    <w:keepNext w:val="0"/>
                    <w:keepLines w:val="0"/>
                    <w:widowControl/>
                    <w:suppressLineNumbers w:val="0"/>
                    <w:spacing w:before="0" w:beforeAutospacing="0" w:after="0" w:afterAutospacing="0"/>
                    <w:ind w:left="0" w:right="0"/>
                    <w:rPr>
                      <w:rFonts w:hint="default" w:ascii="Times New Roman" w:hAnsi="Times New Roman" w:eastAsia="宋体" w:cs="Times New Roman"/>
                      <w:color w:val="auto"/>
                      <w:kern w:val="2"/>
                      <w:sz w:val="21"/>
                      <w:szCs w:val="24"/>
                      <w:highlight w:val="none"/>
                      <w:lang w:val="en-US" w:eastAsia="zh-CN" w:bidi="ar-SA"/>
                    </w:rPr>
                  </w:pPr>
                  <w:r>
                    <w:rPr>
                      <w:rFonts w:hint="eastAsia"/>
                      <w:color w:val="auto"/>
                      <w:sz w:val="21"/>
                      <w:szCs w:val="21"/>
                    </w:rPr>
                    <w:t>机油</w:t>
                  </w:r>
                </w:p>
              </w:tc>
              <w:tc>
                <w:tcPr>
                  <w:tcW w:w="1299" w:type="dxa"/>
                  <w:tcBorders>
                    <w:top w:val="single" w:color="auto" w:sz="4" w:space="0"/>
                    <w:bottom w:val="single" w:color="auto" w:sz="4" w:space="0"/>
                  </w:tcBorders>
                  <w:vAlign w:val="center"/>
                </w:tcPr>
                <w:p w14:paraId="216F9FCC">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0.1t</w:t>
                  </w:r>
                </w:p>
              </w:tc>
              <w:tc>
                <w:tcPr>
                  <w:tcW w:w="1192" w:type="dxa"/>
                  <w:tcBorders>
                    <w:top w:val="single" w:color="auto" w:sz="4" w:space="0"/>
                    <w:bottom w:val="single" w:color="auto" w:sz="4" w:space="0"/>
                  </w:tcBorders>
                  <w:vAlign w:val="center"/>
                </w:tcPr>
                <w:p w14:paraId="14606E1F">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0.1t</w:t>
                  </w:r>
                </w:p>
              </w:tc>
              <w:tc>
                <w:tcPr>
                  <w:tcW w:w="2683" w:type="dxa"/>
                  <w:tcBorders>
                    <w:top w:val="single" w:color="auto" w:sz="4" w:space="0"/>
                    <w:bottom w:val="single" w:color="auto" w:sz="4" w:space="0"/>
                  </w:tcBorders>
                  <w:vAlign w:val="center"/>
                </w:tcPr>
                <w:p w14:paraId="19F89B4B">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lang w:val="en-US" w:eastAsia="zh-CN"/>
                    </w:rPr>
                    <w:t>25kg/</w:t>
                  </w:r>
                  <w:r>
                    <w:rPr>
                      <w:rFonts w:hint="default" w:ascii="Times New Roman" w:hAnsi="Times New Roman" w:cs="Times New Roman"/>
                      <w:color w:val="auto"/>
                      <w:highlight w:val="none"/>
                      <w:lang w:val="en-US" w:eastAsia="zh-CN"/>
                    </w:rPr>
                    <w:t>袋</w:t>
                  </w:r>
                  <w:r>
                    <w:rPr>
                      <w:rFonts w:hint="default" w:ascii="Times New Roman" w:hAnsi="Times New Roman" w:eastAsia="宋体" w:cs="Times New Roman"/>
                      <w:color w:val="auto"/>
                      <w:highlight w:val="none"/>
                      <w:lang w:val="en-US" w:eastAsia="zh-CN"/>
                    </w:rPr>
                    <w:t>，</w:t>
                  </w:r>
                  <w:r>
                    <w:rPr>
                      <w:rFonts w:hint="eastAsia" w:cs="Times New Roman"/>
                      <w:color w:val="auto"/>
                      <w:highlight w:val="none"/>
                      <w:lang w:val="en-US" w:eastAsia="zh-CN"/>
                    </w:rPr>
                    <w:t>车间内</w:t>
                  </w:r>
                </w:p>
              </w:tc>
              <w:tc>
                <w:tcPr>
                  <w:tcW w:w="1575" w:type="dxa"/>
                  <w:tcBorders>
                    <w:top w:val="single" w:color="auto" w:sz="4" w:space="0"/>
                    <w:bottom w:val="single" w:color="auto" w:sz="4" w:space="0"/>
                  </w:tcBorders>
                  <w:vAlign w:val="center"/>
                </w:tcPr>
                <w:p w14:paraId="18CAF275">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外购</w:t>
                  </w:r>
                </w:p>
              </w:tc>
            </w:tr>
            <w:tr w14:paraId="31D508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0" w:hRule="atLeast"/>
                <w:jc w:val="center"/>
              </w:trPr>
              <w:tc>
                <w:tcPr>
                  <w:tcW w:w="502" w:type="dxa"/>
                  <w:tcBorders>
                    <w:tl2br w:val="nil"/>
                    <w:tr2bl w:val="nil"/>
                  </w:tcBorders>
                  <w:shd w:val="clear" w:color="auto" w:fill="auto"/>
                  <w:vAlign w:val="center"/>
                </w:tcPr>
                <w:p w14:paraId="4DA45BB6">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3</w:t>
                  </w:r>
                </w:p>
              </w:tc>
              <w:tc>
                <w:tcPr>
                  <w:tcW w:w="1135" w:type="dxa"/>
                  <w:tcBorders>
                    <w:tl2br w:val="nil"/>
                    <w:tr2bl w:val="nil"/>
                  </w:tcBorders>
                  <w:vAlign w:val="center"/>
                </w:tcPr>
                <w:p w14:paraId="0B1B012A">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水</w:t>
                  </w:r>
                </w:p>
              </w:tc>
              <w:tc>
                <w:tcPr>
                  <w:tcW w:w="1299" w:type="dxa"/>
                  <w:tcBorders>
                    <w:tl2br w:val="nil"/>
                    <w:tr2bl w:val="nil"/>
                  </w:tcBorders>
                  <w:vAlign w:val="center"/>
                </w:tcPr>
                <w:p w14:paraId="5CC76482">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864</w:t>
                  </w:r>
                  <w:r>
                    <w:rPr>
                      <w:rFonts w:hint="default" w:ascii="Times New Roman" w:hAnsi="Times New Roman" w:eastAsia="宋体" w:cs="Times New Roman"/>
                      <w:color w:val="auto"/>
                      <w:highlight w:val="none"/>
                      <w:lang w:val="en-US" w:eastAsia="zh-CN"/>
                    </w:rPr>
                    <w:t>t</w:t>
                  </w:r>
                </w:p>
              </w:tc>
              <w:tc>
                <w:tcPr>
                  <w:tcW w:w="1192" w:type="dxa"/>
                  <w:tcBorders>
                    <w:tl2br w:val="nil"/>
                    <w:tr2bl w:val="nil"/>
                  </w:tcBorders>
                  <w:vAlign w:val="center"/>
                </w:tcPr>
                <w:p w14:paraId="14D44DDB">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p>
              </w:tc>
              <w:tc>
                <w:tcPr>
                  <w:tcW w:w="2683" w:type="dxa"/>
                  <w:tcBorders>
                    <w:tl2br w:val="nil"/>
                    <w:tr2bl w:val="nil"/>
                  </w:tcBorders>
                  <w:vAlign w:val="center"/>
                </w:tcPr>
                <w:p w14:paraId="7959E252">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p>
              </w:tc>
              <w:tc>
                <w:tcPr>
                  <w:tcW w:w="1575" w:type="dxa"/>
                  <w:tcBorders>
                    <w:tl2br w:val="nil"/>
                    <w:tr2bl w:val="nil"/>
                  </w:tcBorders>
                  <w:vAlign w:val="center"/>
                </w:tcPr>
                <w:p w14:paraId="25D4F014">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市政供水系统</w:t>
                  </w:r>
                </w:p>
              </w:tc>
            </w:tr>
            <w:tr w14:paraId="251CCC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0" w:hRule="atLeast"/>
                <w:jc w:val="center"/>
              </w:trPr>
              <w:tc>
                <w:tcPr>
                  <w:tcW w:w="502" w:type="dxa"/>
                  <w:tcBorders>
                    <w:tl2br w:val="nil"/>
                    <w:tr2bl w:val="nil"/>
                  </w:tcBorders>
                  <w:vAlign w:val="center"/>
                </w:tcPr>
                <w:p w14:paraId="53C6D0E3">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4</w:t>
                  </w:r>
                </w:p>
              </w:tc>
              <w:tc>
                <w:tcPr>
                  <w:tcW w:w="1135" w:type="dxa"/>
                  <w:tcBorders>
                    <w:tl2br w:val="nil"/>
                    <w:tr2bl w:val="nil"/>
                  </w:tcBorders>
                  <w:vAlign w:val="center"/>
                </w:tcPr>
                <w:p w14:paraId="03F4E2E4">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lang w:val="en-US" w:eastAsia="zh-CN"/>
                    </w:rPr>
                    <w:t>电</w:t>
                  </w:r>
                </w:p>
              </w:tc>
              <w:tc>
                <w:tcPr>
                  <w:tcW w:w="1299" w:type="dxa"/>
                  <w:tcBorders>
                    <w:tl2br w:val="nil"/>
                    <w:tr2bl w:val="nil"/>
                  </w:tcBorders>
                  <w:vAlign w:val="center"/>
                </w:tcPr>
                <w:p w14:paraId="57AC0F10">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20</w:t>
                  </w:r>
                  <w:r>
                    <w:rPr>
                      <w:rFonts w:hint="default" w:ascii="Times New Roman" w:hAnsi="Times New Roman" w:eastAsia="宋体" w:cs="Times New Roman"/>
                      <w:color w:val="auto"/>
                      <w:highlight w:val="none"/>
                      <w:lang w:val="en-US" w:eastAsia="zh-CN"/>
                    </w:rPr>
                    <w:t>万kW∙h</w:t>
                  </w:r>
                </w:p>
              </w:tc>
              <w:tc>
                <w:tcPr>
                  <w:tcW w:w="1192" w:type="dxa"/>
                  <w:tcBorders>
                    <w:tl2br w:val="nil"/>
                    <w:tr2bl w:val="nil"/>
                  </w:tcBorders>
                  <w:vAlign w:val="center"/>
                </w:tcPr>
                <w:p w14:paraId="65CEA72B">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lang w:val="en-US" w:eastAsia="zh-CN"/>
                    </w:rPr>
                    <w:t>/</w:t>
                  </w:r>
                </w:p>
              </w:tc>
              <w:tc>
                <w:tcPr>
                  <w:tcW w:w="2683" w:type="dxa"/>
                  <w:tcBorders>
                    <w:tl2br w:val="nil"/>
                    <w:tr2bl w:val="nil"/>
                  </w:tcBorders>
                  <w:vAlign w:val="center"/>
                </w:tcPr>
                <w:p w14:paraId="4EBAE19C">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lang w:val="en-US" w:eastAsia="zh-CN"/>
                    </w:rPr>
                    <w:t>/</w:t>
                  </w:r>
                </w:p>
              </w:tc>
              <w:tc>
                <w:tcPr>
                  <w:tcW w:w="1575" w:type="dxa"/>
                  <w:tcBorders>
                    <w:tl2br w:val="nil"/>
                    <w:tr2bl w:val="nil"/>
                  </w:tcBorders>
                  <w:vAlign w:val="center"/>
                </w:tcPr>
                <w:p w14:paraId="7F6596B3">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lang w:val="en-US" w:eastAsia="zh-CN"/>
                    </w:rPr>
                    <w:t>市政供电系统</w:t>
                  </w:r>
                </w:p>
              </w:tc>
            </w:tr>
          </w:tbl>
          <w:p w14:paraId="300759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eastAsia="宋体" w:cs="Times New Roman"/>
                <w:b/>
                <w:color w:val="auto"/>
                <w:kern w:val="2"/>
                <w:sz w:val="21"/>
                <w:szCs w:val="21"/>
                <w:highlight w:val="none"/>
                <w:lang w:val="en-US" w:eastAsia="zh-CN" w:bidi="ar-SA"/>
              </w:rPr>
              <w:t>表</w:t>
            </w:r>
            <w:r>
              <w:rPr>
                <w:rFonts w:hint="eastAsia" w:ascii="Times New Roman" w:hAnsi="Times New Roman" w:eastAsia="宋体" w:cs="Times New Roman"/>
                <w:b/>
                <w:color w:val="auto"/>
                <w:kern w:val="2"/>
                <w:sz w:val="21"/>
                <w:szCs w:val="21"/>
                <w:highlight w:val="none"/>
                <w:lang w:val="en-US" w:eastAsia="zh-CN" w:bidi="ar-SA"/>
              </w:rPr>
              <w:t>2-</w:t>
            </w:r>
            <w:r>
              <w:rPr>
                <w:rFonts w:hint="eastAsia" w:cs="Times New Roman"/>
                <w:b/>
                <w:color w:val="auto"/>
                <w:kern w:val="2"/>
                <w:sz w:val="21"/>
                <w:szCs w:val="21"/>
                <w:highlight w:val="none"/>
                <w:lang w:val="en-US" w:eastAsia="zh-CN" w:bidi="ar-SA"/>
              </w:rPr>
              <w:t>8</w:t>
            </w:r>
            <w:r>
              <w:rPr>
                <w:rFonts w:hint="default" w:ascii="Times New Roman" w:hAnsi="Times New Roman" w:eastAsia="宋体" w:cs="Times New Roman"/>
                <w:b/>
                <w:color w:val="auto"/>
                <w:kern w:val="2"/>
                <w:sz w:val="21"/>
                <w:szCs w:val="21"/>
                <w:highlight w:val="none"/>
                <w:lang w:val="en-US" w:eastAsia="zh-CN" w:bidi="ar-SA"/>
              </w:rPr>
              <w:t xml:space="preserve">  </w:t>
            </w:r>
            <w:r>
              <w:rPr>
                <w:rFonts w:hint="eastAsia" w:cs="Times New Roman"/>
                <w:b/>
                <w:color w:val="auto"/>
                <w:kern w:val="2"/>
                <w:sz w:val="21"/>
                <w:szCs w:val="21"/>
                <w:highlight w:val="none"/>
                <w:lang w:val="en-US" w:eastAsia="zh-CN" w:bidi="ar-SA"/>
              </w:rPr>
              <w:t>改建后全厂</w:t>
            </w:r>
            <w:r>
              <w:rPr>
                <w:rFonts w:hint="default" w:ascii="Times New Roman" w:hAnsi="Times New Roman" w:eastAsia="宋体" w:cs="Times New Roman"/>
                <w:b/>
                <w:color w:val="auto"/>
                <w:kern w:val="2"/>
                <w:sz w:val="21"/>
                <w:szCs w:val="21"/>
                <w:highlight w:val="none"/>
                <w:lang w:val="en-US" w:eastAsia="zh-CN" w:bidi="ar-SA"/>
              </w:rPr>
              <w:t>原辅材料及能源消耗情况</w:t>
            </w:r>
            <w:r>
              <w:rPr>
                <w:rFonts w:hint="eastAsia" w:ascii="Times New Roman" w:hAnsi="Times New Roman" w:eastAsia="宋体" w:cs="Times New Roman"/>
                <w:b/>
                <w:color w:val="auto"/>
                <w:kern w:val="2"/>
                <w:sz w:val="21"/>
                <w:szCs w:val="21"/>
                <w:highlight w:val="none"/>
                <w:lang w:val="en-US" w:eastAsia="zh-CN" w:bidi="ar-SA"/>
              </w:rPr>
              <w:t>一览</w:t>
            </w:r>
            <w:r>
              <w:rPr>
                <w:rFonts w:hint="default" w:ascii="Times New Roman" w:hAnsi="Times New Roman" w:eastAsia="宋体" w:cs="Times New Roman"/>
                <w:b/>
                <w:color w:val="auto"/>
                <w:kern w:val="2"/>
                <w:sz w:val="21"/>
                <w:szCs w:val="21"/>
                <w:highlight w:val="none"/>
                <w:lang w:val="en-US" w:eastAsia="zh-CN" w:bidi="ar-SA"/>
              </w:rPr>
              <w:t>表</w:t>
            </w:r>
          </w:p>
          <w:tbl>
            <w:tblPr>
              <w:tblStyle w:val="3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06"/>
              <w:gridCol w:w="1914"/>
              <w:gridCol w:w="1136"/>
              <w:gridCol w:w="1646"/>
              <w:gridCol w:w="1443"/>
              <w:gridCol w:w="1641"/>
            </w:tblGrid>
            <w:tr w14:paraId="5BFC97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61" w:type="pct"/>
                  <w:vMerge w:val="restart"/>
                  <w:tcBorders>
                    <w:tl2br w:val="nil"/>
                    <w:tr2bl w:val="nil"/>
                  </w:tcBorders>
                  <w:noWrap w:val="0"/>
                  <w:vAlign w:val="center"/>
                </w:tcPr>
                <w:p w14:paraId="06F431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序号</w:t>
                  </w:r>
                </w:p>
              </w:tc>
              <w:tc>
                <w:tcPr>
                  <w:tcW w:w="1141" w:type="pct"/>
                  <w:vMerge w:val="restart"/>
                  <w:tcBorders>
                    <w:tl2br w:val="nil"/>
                    <w:tr2bl w:val="nil"/>
                  </w:tcBorders>
                  <w:noWrap w:val="0"/>
                  <w:vAlign w:val="center"/>
                </w:tcPr>
                <w:p w14:paraId="115D37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名称</w:t>
                  </w:r>
                </w:p>
              </w:tc>
              <w:tc>
                <w:tcPr>
                  <w:tcW w:w="677" w:type="pct"/>
                  <w:vMerge w:val="restart"/>
                  <w:tcBorders>
                    <w:tl2br w:val="nil"/>
                    <w:tr2bl w:val="nil"/>
                  </w:tcBorders>
                  <w:noWrap w:val="0"/>
                  <w:vAlign w:val="center"/>
                </w:tcPr>
                <w:p w14:paraId="2FAF45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eastAsia" w:ascii="Times New Roman" w:hAnsi="Times New Roman" w:eastAsia="宋体" w:cs="Times New Roman"/>
                      <w:b/>
                      <w:bCs/>
                      <w:i w:val="0"/>
                      <w:iCs w:val="0"/>
                      <w:color w:val="auto"/>
                      <w:sz w:val="21"/>
                      <w:szCs w:val="21"/>
                      <w:highlight w:val="none"/>
                      <w:u w:val="none"/>
                      <w:lang w:val="en-US" w:eastAsia="zh-CN"/>
                    </w:rPr>
                  </w:pPr>
                  <w:r>
                    <w:rPr>
                      <w:rFonts w:hint="eastAsia" w:ascii="Times New Roman" w:hAnsi="Times New Roman" w:eastAsia="宋体" w:cs="Times New Roman"/>
                      <w:b/>
                      <w:bCs/>
                      <w:i w:val="0"/>
                      <w:iCs w:val="0"/>
                      <w:color w:val="auto"/>
                      <w:sz w:val="21"/>
                      <w:szCs w:val="21"/>
                      <w:highlight w:val="none"/>
                      <w:u w:val="none"/>
                      <w:lang w:val="en-US" w:eastAsia="zh-CN"/>
                    </w:rPr>
                    <w:t>单位</w:t>
                  </w:r>
                </w:p>
              </w:tc>
              <w:tc>
                <w:tcPr>
                  <w:tcW w:w="2819" w:type="pct"/>
                  <w:gridSpan w:val="3"/>
                  <w:tcBorders>
                    <w:tl2br w:val="nil"/>
                    <w:tr2bl w:val="nil"/>
                  </w:tcBorders>
                  <w:noWrap w:val="0"/>
                  <w:vAlign w:val="center"/>
                </w:tcPr>
                <w:p w14:paraId="3FB99E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eastAsia" w:ascii="Times New Roman" w:hAnsi="Times New Roman" w:eastAsia="宋体" w:cs="Times New Roman"/>
                      <w:b/>
                      <w:bCs/>
                      <w:i w:val="0"/>
                      <w:iCs w:val="0"/>
                      <w:color w:val="auto"/>
                      <w:kern w:val="0"/>
                      <w:sz w:val="21"/>
                      <w:szCs w:val="21"/>
                      <w:highlight w:val="none"/>
                      <w:u w:val="none"/>
                      <w:lang w:val="en-US" w:eastAsia="zh-CN" w:bidi="ar"/>
                    </w:rPr>
                    <w:t>年用量</w:t>
                  </w:r>
                </w:p>
              </w:tc>
            </w:tr>
            <w:tr w14:paraId="5BE285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61" w:type="pct"/>
                  <w:vMerge w:val="continue"/>
                  <w:tcBorders>
                    <w:tl2br w:val="nil"/>
                    <w:tr2bl w:val="nil"/>
                  </w:tcBorders>
                  <w:noWrap w:val="0"/>
                  <w:vAlign w:val="center"/>
                </w:tcPr>
                <w:p w14:paraId="436D94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ascii="Times New Roman" w:hAnsi="Times New Roman" w:eastAsia="宋体" w:cs="Times New Roman"/>
                      <w:b/>
                      <w:bCs/>
                      <w:i w:val="0"/>
                      <w:iCs w:val="0"/>
                      <w:color w:val="auto"/>
                      <w:sz w:val="21"/>
                      <w:szCs w:val="21"/>
                      <w:highlight w:val="none"/>
                      <w:u w:val="none"/>
                    </w:rPr>
                  </w:pPr>
                </w:p>
              </w:tc>
              <w:tc>
                <w:tcPr>
                  <w:tcW w:w="1141" w:type="pct"/>
                  <w:vMerge w:val="continue"/>
                  <w:tcBorders>
                    <w:tl2br w:val="nil"/>
                    <w:tr2bl w:val="nil"/>
                  </w:tcBorders>
                  <w:noWrap w:val="0"/>
                  <w:vAlign w:val="center"/>
                </w:tcPr>
                <w:p w14:paraId="111FB0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ascii="Times New Roman" w:hAnsi="Times New Roman" w:eastAsia="宋体" w:cs="Times New Roman"/>
                      <w:b/>
                      <w:bCs/>
                      <w:i w:val="0"/>
                      <w:iCs w:val="0"/>
                      <w:color w:val="auto"/>
                      <w:sz w:val="21"/>
                      <w:szCs w:val="21"/>
                      <w:highlight w:val="none"/>
                      <w:u w:val="none"/>
                    </w:rPr>
                  </w:pPr>
                </w:p>
              </w:tc>
              <w:tc>
                <w:tcPr>
                  <w:tcW w:w="677" w:type="pct"/>
                  <w:vMerge w:val="continue"/>
                  <w:tcBorders>
                    <w:tl2br w:val="nil"/>
                    <w:tr2bl w:val="nil"/>
                  </w:tcBorders>
                  <w:noWrap w:val="0"/>
                  <w:vAlign w:val="center"/>
                </w:tcPr>
                <w:p w14:paraId="0CBCE3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eastAsia" w:ascii="Times New Roman" w:hAnsi="Times New Roman" w:eastAsia="宋体" w:cs="Times New Roman"/>
                      <w:b/>
                      <w:bCs/>
                      <w:i w:val="0"/>
                      <w:iCs w:val="0"/>
                      <w:color w:val="auto"/>
                      <w:sz w:val="21"/>
                      <w:szCs w:val="21"/>
                      <w:highlight w:val="none"/>
                      <w:u w:val="none"/>
                      <w:lang w:val="en-US" w:eastAsia="zh-CN"/>
                    </w:rPr>
                  </w:pPr>
                </w:p>
              </w:tc>
              <w:tc>
                <w:tcPr>
                  <w:tcW w:w="981" w:type="pct"/>
                  <w:tcBorders>
                    <w:tl2br w:val="nil"/>
                    <w:tr2bl w:val="nil"/>
                  </w:tcBorders>
                  <w:noWrap w:val="0"/>
                  <w:vAlign w:val="center"/>
                </w:tcPr>
                <w:p w14:paraId="4F841A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eastAsia" w:ascii="Times New Roman" w:hAnsi="Times New Roman" w:eastAsia="宋体" w:cs="Times New Roman"/>
                      <w:b/>
                      <w:bCs/>
                      <w:i w:val="0"/>
                      <w:iCs w:val="0"/>
                      <w:color w:val="auto"/>
                      <w:kern w:val="0"/>
                      <w:sz w:val="21"/>
                      <w:szCs w:val="21"/>
                      <w:highlight w:val="none"/>
                      <w:u w:val="none"/>
                      <w:lang w:val="en-US" w:eastAsia="zh-CN" w:bidi="ar"/>
                    </w:rPr>
                    <w:t>现有项目</w:t>
                  </w:r>
                </w:p>
              </w:tc>
              <w:tc>
                <w:tcPr>
                  <w:tcW w:w="860" w:type="pct"/>
                  <w:tcBorders>
                    <w:tl2br w:val="nil"/>
                    <w:tr2bl w:val="nil"/>
                  </w:tcBorders>
                  <w:noWrap w:val="0"/>
                  <w:vAlign w:val="center"/>
                </w:tcPr>
                <w:p w14:paraId="29022A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eastAsia" w:ascii="Times New Roman" w:hAnsi="Times New Roman" w:eastAsia="宋体" w:cs="Times New Roman"/>
                      <w:b/>
                      <w:bCs/>
                      <w:i w:val="0"/>
                      <w:iCs w:val="0"/>
                      <w:color w:val="auto"/>
                      <w:kern w:val="0"/>
                      <w:sz w:val="21"/>
                      <w:szCs w:val="21"/>
                      <w:highlight w:val="none"/>
                      <w:u w:val="none"/>
                      <w:lang w:val="en-US" w:eastAsia="zh-CN" w:bidi="ar"/>
                    </w:rPr>
                    <w:t>本项目</w:t>
                  </w:r>
                </w:p>
              </w:tc>
              <w:tc>
                <w:tcPr>
                  <w:tcW w:w="977" w:type="pct"/>
                  <w:tcBorders>
                    <w:tl2br w:val="nil"/>
                    <w:tr2bl w:val="nil"/>
                  </w:tcBorders>
                  <w:noWrap w:val="0"/>
                  <w:vAlign w:val="center"/>
                </w:tcPr>
                <w:p w14:paraId="65D506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eastAsia" w:ascii="Times New Roman" w:hAnsi="Times New Roman" w:eastAsia="宋体" w:cs="Times New Roman"/>
                      <w:b/>
                      <w:bCs/>
                      <w:i w:val="0"/>
                      <w:iCs w:val="0"/>
                      <w:color w:val="auto"/>
                      <w:kern w:val="0"/>
                      <w:sz w:val="21"/>
                      <w:szCs w:val="21"/>
                      <w:highlight w:val="none"/>
                      <w:u w:val="none"/>
                      <w:lang w:val="en-US" w:eastAsia="zh-CN" w:bidi="ar"/>
                    </w:rPr>
                    <w:t>全厂合计</w:t>
                  </w:r>
                </w:p>
              </w:tc>
            </w:tr>
            <w:tr w14:paraId="4575F6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61" w:type="pct"/>
                  <w:tcBorders>
                    <w:tl2br w:val="nil"/>
                    <w:tr2bl w:val="nil"/>
                  </w:tcBorders>
                  <w:noWrap w:val="0"/>
                  <w:vAlign w:val="center"/>
                </w:tcPr>
                <w:p w14:paraId="22806F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141" w:type="pct"/>
                  <w:tcBorders>
                    <w:tl2br w:val="nil"/>
                    <w:tr2bl w:val="nil"/>
                  </w:tcBorders>
                  <w:noWrap w:val="0"/>
                  <w:vAlign w:val="center"/>
                </w:tcPr>
                <w:p w14:paraId="2CB926C5">
                  <w:pPr>
                    <w:pStyle w:val="157"/>
                    <w:keepNext w:val="0"/>
                    <w:keepLines w:val="0"/>
                    <w:widowControl/>
                    <w:suppressLineNumbers w:val="0"/>
                    <w:spacing w:before="0" w:beforeAutospacing="0" w:after="0" w:afterAutospacing="0"/>
                    <w:ind w:left="0" w:leftChars="0" w:right="0" w:rightChars="0"/>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olor w:val="auto"/>
                      <w:sz w:val="21"/>
                      <w:szCs w:val="21"/>
                    </w:rPr>
                    <w:t>PA66尼龙颗粒</w:t>
                  </w:r>
                </w:p>
              </w:tc>
              <w:tc>
                <w:tcPr>
                  <w:tcW w:w="677" w:type="pct"/>
                  <w:tcBorders>
                    <w:tl2br w:val="nil"/>
                    <w:tr2bl w:val="nil"/>
                  </w:tcBorders>
                  <w:noWrap w:val="0"/>
                  <w:vAlign w:val="center"/>
                </w:tcPr>
                <w:p w14:paraId="0C913DC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color w:val="auto"/>
                      <w:kern w:val="0"/>
                      <w:sz w:val="21"/>
                      <w:szCs w:val="21"/>
                      <w:lang w:val="en-US" w:eastAsia="zh-CN" w:bidi="ar"/>
                    </w:rPr>
                  </w:pPr>
                  <w:r>
                    <w:rPr>
                      <w:rFonts w:hint="eastAsia" w:cs="Times New Roman"/>
                      <w:i w:val="0"/>
                      <w:iCs w:val="0"/>
                      <w:color w:val="auto"/>
                      <w:kern w:val="0"/>
                      <w:sz w:val="21"/>
                      <w:szCs w:val="21"/>
                      <w:highlight w:val="none"/>
                      <w:u w:val="none"/>
                      <w:lang w:val="en-US" w:eastAsia="zh-CN" w:bidi="ar"/>
                    </w:rPr>
                    <w:t>t/a</w:t>
                  </w:r>
                </w:p>
              </w:tc>
              <w:tc>
                <w:tcPr>
                  <w:tcW w:w="981" w:type="pct"/>
                  <w:tcBorders>
                    <w:tl2br w:val="nil"/>
                    <w:tr2bl w:val="nil"/>
                  </w:tcBorders>
                  <w:noWrap w:val="0"/>
                  <w:vAlign w:val="center"/>
                </w:tcPr>
                <w:p w14:paraId="193F63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0</w:t>
                  </w:r>
                </w:p>
              </w:tc>
              <w:tc>
                <w:tcPr>
                  <w:tcW w:w="860" w:type="pct"/>
                  <w:tcBorders>
                    <w:tl2br w:val="nil"/>
                    <w:tr2bl w:val="nil"/>
                  </w:tcBorders>
                  <w:noWrap w:val="0"/>
                  <w:vAlign w:val="center"/>
                </w:tcPr>
                <w:p w14:paraId="272737A8">
                  <w:pPr>
                    <w:pStyle w:val="6"/>
                    <w:keepNext w:val="0"/>
                    <w:keepLines w:val="0"/>
                    <w:suppressLineNumbers w:val="0"/>
                    <w:bidi w:val="0"/>
                    <w:spacing w:before="0" w:beforeAutospacing="0" w:after="0" w:afterAutospacing="0"/>
                    <w:ind w:left="0" w:leftChars="0" w:right="0" w:rightChars="0" w:firstLine="0" w:firstLineChars="0"/>
                    <w:jc w:val="center"/>
                    <w:rPr>
                      <w:rFonts w:hint="default"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highlight w:val="none"/>
                      <w:lang w:val="en-US" w:eastAsia="zh-CN"/>
                    </w:rPr>
                    <w:t>25</w:t>
                  </w:r>
                  <w:r>
                    <w:rPr>
                      <w:rFonts w:hint="eastAsia" w:cs="Times New Roman"/>
                      <w:color w:val="auto"/>
                      <w:highlight w:val="none"/>
                      <w:lang w:val="en-US" w:eastAsia="zh-CN"/>
                    </w:rPr>
                    <w:t>59.104</w:t>
                  </w:r>
                </w:p>
              </w:tc>
              <w:tc>
                <w:tcPr>
                  <w:tcW w:w="977" w:type="pct"/>
                  <w:tcBorders>
                    <w:tl2br w:val="nil"/>
                    <w:tr2bl w:val="nil"/>
                  </w:tcBorders>
                  <w:noWrap w:val="0"/>
                  <w:vAlign w:val="center"/>
                </w:tcPr>
                <w:p w14:paraId="5A71C7FE">
                  <w:pPr>
                    <w:pStyle w:val="6"/>
                    <w:keepNext w:val="0"/>
                    <w:keepLines w:val="0"/>
                    <w:suppressLineNumbers w:val="0"/>
                    <w:bidi w:val="0"/>
                    <w:spacing w:before="0" w:beforeAutospacing="0" w:after="0" w:afterAutospacing="0"/>
                    <w:ind w:left="0" w:leftChars="0" w:right="0" w:rightChars="0" w:firstLine="0" w:firstLineChars="0"/>
                    <w:jc w:val="center"/>
                    <w:rPr>
                      <w:rFonts w:hint="default"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highlight w:val="none"/>
                      <w:lang w:val="en-US" w:eastAsia="zh-CN"/>
                    </w:rPr>
                    <w:t>25</w:t>
                  </w:r>
                  <w:r>
                    <w:rPr>
                      <w:rFonts w:hint="eastAsia" w:cs="Times New Roman"/>
                      <w:color w:val="auto"/>
                      <w:highlight w:val="none"/>
                      <w:lang w:val="en-US" w:eastAsia="zh-CN"/>
                    </w:rPr>
                    <w:t>59.104</w:t>
                  </w:r>
                </w:p>
              </w:tc>
            </w:tr>
            <w:tr w14:paraId="100AD2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61" w:type="pct"/>
                  <w:tcBorders>
                    <w:tl2br w:val="nil"/>
                    <w:tr2bl w:val="nil"/>
                  </w:tcBorders>
                  <w:noWrap w:val="0"/>
                  <w:vAlign w:val="center"/>
                </w:tcPr>
                <w:p w14:paraId="3634E7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141" w:type="pct"/>
                  <w:tcBorders>
                    <w:tl2br w:val="nil"/>
                    <w:tr2bl w:val="nil"/>
                  </w:tcBorders>
                  <w:shd w:val="clear" w:color="auto" w:fill="auto"/>
                  <w:noWrap w:val="0"/>
                  <w:vAlign w:val="center"/>
                </w:tcPr>
                <w:p w14:paraId="513104BC">
                  <w:pPr>
                    <w:pStyle w:val="157"/>
                    <w:keepNext w:val="0"/>
                    <w:keepLines w:val="0"/>
                    <w:widowControl/>
                    <w:suppressLineNumbers w:val="0"/>
                    <w:spacing w:before="0" w:beforeAutospacing="0" w:after="0" w:afterAutospacing="0"/>
                    <w:ind w:left="0" w:leftChars="0" w:right="0" w:rightChars="0"/>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olor w:val="auto"/>
                      <w:sz w:val="21"/>
                      <w:szCs w:val="21"/>
                    </w:rPr>
                    <w:t>机油</w:t>
                  </w:r>
                </w:p>
              </w:tc>
              <w:tc>
                <w:tcPr>
                  <w:tcW w:w="677" w:type="pct"/>
                  <w:tcBorders>
                    <w:tl2br w:val="nil"/>
                    <w:tr2bl w:val="nil"/>
                  </w:tcBorders>
                  <w:shd w:val="clear" w:color="auto" w:fill="auto"/>
                  <w:noWrap w:val="0"/>
                  <w:vAlign w:val="center"/>
                </w:tcPr>
                <w:p w14:paraId="392D4C1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t/a</w:t>
                  </w:r>
                </w:p>
              </w:tc>
              <w:tc>
                <w:tcPr>
                  <w:tcW w:w="981" w:type="pct"/>
                  <w:tcBorders>
                    <w:tl2br w:val="nil"/>
                    <w:tr2bl w:val="nil"/>
                  </w:tcBorders>
                  <w:shd w:val="clear" w:color="auto" w:fill="auto"/>
                  <w:noWrap w:val="0"/>
                  <w:vAlign w:val="center"/>
                </w:tcPr>
                <w:p w14:paraId="5077FD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0</w:t>
                  </w:r>
                </w:p>
              </w:tc>
              <w:tc>
                <w:tcPr>
                  <w:tcW w:w="860" w:type="pct"/>
                  <w:tcBorders>
                    <w:tl2br w:val="nil"/>
                    <w:tr2bl w:val="nil"/>
                  </w:tcBorders>
                  <w:shd w:val="clear" w:color="auto" w:fill="auto"/>
                  <w:noWrap w:val="0"/>
                  <w:vAlign w:val="center"/>
                </w:tcPr>
                <w:p w14:paraId="1A2D86C9">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color w:val="auto"/>
                      <w:kern w:val="2"/>
                      <w:sz w:val="21"/>
                      <w:szCs w:val="24"/>
                      <w:highlight w:val="none"/>
                      <w:lang w:val="en-US" w:eastAsia="zh-CN" w:bidi="ar-SA"/>
                    </w:rPr>
                    <w:t>0.1</w:t>
                  </w:r>
                </w:p>
              </w:tc>
              <w:tc>
                <w:tcPr>
                  <w:tcW w:w="977" w:type="pct"/>
                  <w:tcBorders>
                    <w:tl2br w:val="nil"/>
                    <w:tr2bl w:val="nil"/>
                  </w:tcBorders>
                  <w:shd w:val="clear" w:color="auto" w:fill="auto"/>
                  <w:noWrap w:val="0"/>
                  <w:vAlign w:val="center"/>
                </w:tcPr>
                <w:p w14:paraId="71CAFE3D">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color w:val="auto"/>
                      <w:kern w:val="2"/>
                      <w:sz w:val="21"/>
                      <w:szCs w:val="24"/>
                      <w:highlight w:val="none"/>
                      <w:lang w:val="en-US" w:eastAsia="zh-CN" w:bidi="ar-SA"/>
                    </w:rPr>
                    <w:t>0.1</w:t>
                  </w:r>
                </w:p>
              </w:tc>
            </w:tr>
            <w:tr w14:paraId="2CCB28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61" w:type="pct"/>
                  <w:tcBorders>
                    <w:tl2br w:val="nil"/>
                    <w:tr2bl w:val="nil"/>
                  </w:tcBorders>
                  <w:noWrap w:val="0"/>
                  <w:vAlign w:val="center"/>
                </w:tcPr>
                <w:p w14:paraId="3E2DBF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3</w:t>
                  </w:r>
                </w:p>
              </w:tc>
              <w:tc>
                <w:tcPr>
                  <w:tcW w:w="1141" w:type="pct"/>
                  <w:tcBorders>
                    <w:tl2br w:val="nil"/>
                    <w:tr2bl w:val="nil"/>
                  </w:tcBorders>
                  <w:shd w:val="clear" w:color="auto" w:fill="auto"/>
                  <w:noWrap w:val="0"/>
                  <w:vAlign w:val="center"/>
                </w:tcPr>
                <w:p w14:paraId="0879C1F1">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sz w:val="21"/>
                      <w:szCs w:val="21"/>
                      <w:highlight w:val="none"/>
                      <w:lang w:val="en-US" w:eastAsia="zh-CN"/>
                    </w:rPr>
                    <w:t>107基胶</w:t>
                  </w:r>
                </w:p>
              </w:tc>
              <w:tc>
                <w:tcPr>
                  <w:tcW w:w="677" w:type="pct"/>
                  <w:tcBorders>
                    <w:tl2br w:val="nil"/>
                    <w:tr2bl w:val="nil"/>
                  </w:tcBorders>
                  <w:shd w:val="clear" w:color="auto" w:fill="auto"/>
                  <w:noWrap w:val="0"/>
                  <w:vAlign w:val="center"/>
                </w:tcPr>
                <w:p w14:paraId="7F07088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s="Times New Roman"/>
                      <w:i w:val="0"/>
                      <w:iCs w:val="0"/>
                      <w:color w:val="auto"/>
                      <w:kern w:val="0"/>
                      <w:sz w:val="21"/>
                      <w:szCs w:val="21"/>
                      <w:highlight w:val="none"/>
                      <w:u w:val="none"/>
                      <w:lang w:val="en-US" w:eastAsia="zh-CN" w:bidi="ar"/>
                    </w:rPr>
                    <w:t>t/a</w:t>
                  </w:r>
                </w:p>
              </w:tc>
              <w:tc>
                <w:tcPr>
                  <w:tcW w:w="981" w:type="pct"/>
                  <w:tcBorders>
                    <w:tl2br w:val="nil"/>
                    <w:tr2bl w:val="nil"/>
                  </w:tcBorders>
                  <w:shd w:val="clear" w:color="auto" w:fill="auto"/>
                  <w:noWrap w:val="0"/>
                  <w:vAlign w:val="center"/>
                </w:tcPr>
                <w:p w14:paraId="005AAB22">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sz w:val="21"/>
                      <w:szCs w:val="21"/>
                      <w:highlight w:val="none"/>
                      <w:lang w:val="en-US" w:eastAsia="zh-CN"/>
                    </w:rPr>
                    <w:t>6224</w:t>
                  </w:r>
                </w:p>
              </w:tc>
              <w:tc>
                <w:tcPr>
                  <w:tcW w:w="860" w:type="pct"/>
                  <w:tcBorders>
                    <w:tl2br w:val="nil"/>
                    <w:tr2bl w:val="nil"/>
                  </w:tcBorders>
                  <w:shd w:val="clear" w:color="auto" w:fill="auto"/>
                  <w:noWrap w:val="0"/>
                  <w:vAlign w:val="center"/>
                </w:tcPr>
                <w:p w14:paraId="2C2984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c>
                <w:tcPr>
                  <w:tcW w:w="977" w:type="pct"/>
                  <w:tcBorders>
                    <w:tl2br w:val="nil"/>
                    <w:tr2bl w:val="nil"/>
                  </w:tcBorders>
                  <w:shd w:val="clear" w:color="auto" w:fill="auto"/>
                  <w:noWrap w:val="0"/>
                  <w:vAlign w:val="center"/>
                </w:tcPr>
                <w:p w14:paraId="75A4F923">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sz w:val="21"/>
                      <w:szCs w:val="21"/>
                      <w:highlight w:val="none"/>
                      <w:lang w:val="en-US" w:eastAsia="zh-CN"/>
                    </w:rPr>
                    <w:t>6224</w:t>
                  </w:r>
                </w:p>
              </w:tc>
            </w:tr>
            <w:tr w14:paraId="6E239D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61" w:type="pct"/>
                  <w:tcBorders>
                    <w:tl2br w:val="nil"/>
                    <w:tr2bl w:val="nil"/>
                  </w:tcBorders>
                  <w:shd w:val="clear" w:color="auto" w:fill="auto"/>
                  <w:noWrap w:val="0"/>
                  <w:vAlign w:val="center"/>
                </w:tcPr>
                <w:p w14:paraId="1F88A0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141" w:type="pct"/>
                  <w:tcBorders>
                    <w:tl2br w:val="nil"/>
                    <w:tr2bl w:val="nil"/>
                  </w:tcBorders>
                  <w:shd w:val="clear" w:color="auto" w:fill="auto"/>
                  <w:noWrap w:val="0"/>
                  <w:vAlign w:val="center"/>
                </w:tcPr>
                <w:p w14:paraId="11CF4E10">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硅油</w:t>
                  </w:r>
                </w:p>
              </w:tc>
              <w:tc>
                <w:tcPr>
                  <w:tcW w:w="677" w:type="pct"/>
                  <w:tcBorders>
                    <w:tl2br w:val="nil"/>
                    <w:tr2bl w:val="nil"/>
                  </w:tcBorders>
                  <w:shd w:val="clear" w:color="auto" w:fill="auto"/>
                  <w:noWrap w:val="0"/>
                  <w:vAlign w:val="center"/>
                </w:tcPr>
                <w:p w14:paraId="127A391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s="Times New Roman"/>
                      <w:i w:val="0"/>
                      <w:iCs w:val="0"/>
                      <w:color w:val="auto"/>
                      <w:kern w:val="0"/>
                      <w:sz w:val="21"/>
                      <w:szCs w:val="21"/>
                      <w:highlight w:val="none"/>
                      <w:u w:val="none"/>
                      <w:lang w:val="en-US" w:eastAsia="zh-CN" w:bidi="ar"/>
                    </w:rPr>
                    <w:t>t/a</w:t>
                  </w:r>
                </w:p>
              </w:tc>
              <w:tc>
                <w:tcPr>
                  <w:tcW w:w="981" w:type="pct"/>
                  <w:tcBorders>
                    <w:tl2br w:val="nil"/>
                    <w:tr2bl w:val="nil"/>
                  </w:tcBorders>
                  <w:shd w:val="clear" w:color="auto" w:fill="auto"/>
                  <w:noWrap w:val="0"/>
                  <w:vAlign w:val="center"/>
                </w:tcPr>
                <w:p w14:paraId="3BCD4E80">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1050</w:t>
                  </w:r>
                </w:p>
              </w:tc>
              <w:tc>
                <w:tcPr>
                  <w:tcW w:w="860" w:type="pct"/>
                  <w:tcBorders>
                    <w:tl2br w:val="nil"/>
                    <w:tr2bl w:val="nil"/>
                  </w:tcBorders>
                  <w:shd w:val="clear" w:color="auto" w:fill="auto"/>
                  <w:noWrap w:val="0"/>
                  <w:vAlign w:val="center"/>
                </w:tcPr>
                <w:p w14:paraId="01042C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c>
                <w:tcPr>
                  <w:tcW w:w="977" w:type="pct"/>
                  <w:tcBorders>
                    <w:tl2br w:val="nil"/>
                    <w:tr2bl w:val="nil"/>
                  </w:tcBorders>
                  <w:shd w:val="clear" w:color="auto" w:fill="auto"/>
                  <w:noWrap w:val="0"/>
                  <w:vAlign w:val="center"/>
                </w:tcPr>
                <w:p w14:paraId="385927FB">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1050</w:t>
                  </w:r>
                </w:p>
              </w:tc>
            </w:tr>
            <w:tr w14:paraId="32B4A4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61" w:type="pct"/>
                  <w:tcBorders>
                    <w:tl2br w:val="nil"/>
                    <w:tr2bl w:val="nil"/>
                  </w:tcBorders>
                  <w:shd w:val="clear" w:color="auto" w:fill="auto"/>
                  <w:noWrap w:val="0"/>
                  <w:vAlign w:val="center"/>
                </w:tcPr>
                <w:p w14:paraId="3CFABC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eastAsia="宋体" w:cs="Times New Roman"/>
                      <w:i w:val="0"/>
                      <w:iCs w:val="0"/>
                      <w:color w:val="auto"/>
                      <w:kern w:val="0"/>
                      <w:sz w:val="21"/>
                      <w:szCs w:val="21"/>
                      <w:highlight w:val="none"/>
                      <w:u w:val="none"/>
                      <w:lang w:val="en-US" w:eastAsia="zh-CN" w:bidi="ar"/>
                    </w:rPr>
                    <w:t>5</w:t>
                  </w:r>
                </w:p>
              </w:tc>
              <w:tc>
                <w:tcPr>
                  <w:tcW w:w="1141" w:type="pct"/>
                  <w:tcBorders>
                    <w:tl2br w:val="nil"/>
                    <w:tr2bl w:val="nil"/>
                  </w:tcBorders>
                  <w:shd w:val="clear" w:color="auto" w:fill="auto"/>
                  <w:noWrap w:val="0"/>
                  <w:vAlign w:val="center"/>
                </w:tcPr>
                <w:p w14:paraId="7B634F07">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碳酸钙</w:t>
                  </w:r>
                </w:p>
              </w:tc>
              <w:tc>
                <w:tcPr>
                  <w:tcW w:w="677" w:type="pct"/>
                  <w:tcBorders>
                    <w:tl2br w:val="nil"/>
                    <w:tr2bl w:val="nil"/>
                  </w:tcBorders>
                  <w:shd w:val="clear" w:color="auto" w:fill="auto"/>
                  <w:noWrap w:val="0"/>
                  <w:vAlign w:val="center"/>
                </w:tcPr>
                <w:p w14:paraId="2899E7A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t/a</w:t>
                  </w:r>
                </w:p>
              </w:tc>
              <w:tc>
                <w:tcPr>
                  <w:tcW w:w="981" w:type="pct"/>
                  <w:tcBorders>
                    <w:tl2br w:val="nil"/>
                    <w:tr2bl w:val="nil"/>
                  </w:tcBorders>
                  <w:shd w:val="clear" w:color="auto" w:fill="auto"/>
                  <w:noWrap w:val="0"/>
                  <w:vAlign w:val="center"/>
                </w:tcPr>
                <w:p w14:paraId="6D31ECF2">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vertAlign w:val="superscript"/>
                      <w:lang w:val="en-US" w:eastAsia="zh-CN" w:bidi="ar"/>
                    </w:rPr>
                  </w:pPr>
                  <w:r>
                    <w:rPr>
                      <w:rFonts w:hint="eastAsia" w:ascii="Times New Roman" w:hAnsi="Times New Roman" w:eastAsia="宋体" w:cs="Times New Roman"/>
                      <w:color w:val="auto"/>
                      <w:kern w:val="2"/>
                      <w:sz w:val="21"/>
                      <w:szCs w:val="21"/>
                      <w:highlight w:val="none"/>
                      <w:lang w:val="en-US" w:eastAsia="zh-CN" w:bidi="ar-SA"/>
                    </w:rPr>
                    <w:t>8400</w:t>
                  </w:r>
                </w:p>
              </w:tc>
              <w:tc>
                <w:tcPr>
                  <w:tcW w:w="860" w:type="pct"/>
                  <w:tcBorders>
                    <w:tl2br w:val="nil"/>
                    <w:tr2bl w:val="nil"/>
                  </w:tcBorders>
                  <w:shd w:val="clear" w:color="auto" w:fill="auto"/>
                  <w:noWrap w:val="0"/>
                  <w:vAlign w:val="center"/>
                </w:tcPr>
                <w:p w14:paraId="658D2C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0</w:t>
                  </w:r>
                </w:p>
              </w:tc>
              <w:tc>
                <w:tcPr>
                  <w:tcW w:w="977" w:type="pct"/>
                  <w:tcBorders>
                    <w:tl2br w:val="nil"/>
                    <w:tr2bl w:val="nil"/>
                  </w:tcBorders>
                  <w:shd w:val="clear" w:color="auto" w:fill="auto"/>
                  <w:noWrap w:val="0"/>
                  <w:vAlign w:val="center"/>
                </w:tcPr>
                <w:p w14:paraId="54A2004B">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8400</w:t>
                  </w:r>
                </w:p>
              </w:tc>
            </w:tr>
            <w:tr w14:paraId="3192FD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361" w:type="pct"/>
                  <w:tcBorders>
                    <w:tl2br w:val="nil"/>
                    <w:tr2bl w:val="nil"/>
                  </w:tcBorders>
                  <w:shd w:val="clear" w:color="auto" w:fill="auto"/>
                  <w:noWrap w:val="0"/>
                  <w:vAlign w:val="center"/>
                </w:tcPr>
                <w:p w14:paraId="28C6E5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eastAsia="宋体" w:cs="Times New Roman"/>
                      <w:i w:val="0"/>
                      <w:iCs w:val="0"/>
                      <w:color w:val="auto"/>
                      <w:kern w:val="0"/>
                      <w:sz w:val="21"/>
                      <w:szCs w:val="21"/>
                      <w:highlight w:val="none"/>
                      <w:u w:val="none"/>
                      <w:lang w:val="en-US" w:eastAsia="zh-CN" w:bidi="ar"/>
                    </w:rPr>
                    <w:t>6</w:t>
                  </w:r>
                </w:p>
              </w:tc>
              <w:tc>
                <w:tcPr>
                  <w:tcW w:w="1141" w:type="pct"/>
                  <w:tcBorders>
                    <w:tl2br w:val="nil"/>
                    <w:tr2bl w:val="nil"/>
                  </w:tcBorders>
                  <w:shd w:val="clear" w:color="auto" w:fill="auto"/>
                  <w:noWrap w:val="0"/>
                  <w:vAlign w:val="center"/>
                </w:tcPr>
                <w:p w14:paraId="505CEC1C">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eastAsia="宋体" w:cs="Times New Roman"/>
                      <w:color w:val="auto"/>
                      <w:sz w:val="21"/>
                      <w:szCs w:val="21"/>
                      <w:highlight w:val="none"/>
                      <w:lang w:val="en-US" w:eastAsia="zh-CN"/>
                    </w:rPr>
                    <w:t>气相二氧化硅</w:t>
                  </w:r>
                </w:p>
              </w:tc>
              <w:tc>
                <w:tcPr>
                  <w:tcW w:w="677" w:type="pct"/>
                  <w:tcBorders>
                    <w:tl2br w:val="nil"/>
                    <w:tr2bl w:val="nil"/>
                  </w:tcBorders>
                  <w:shd w:val="clear" w:color="auto" w:fill="auto"/>
                  <w:noWrap w:val="0"/>
                  <w:vAlign w:val="center"/>
                </w:tcPr>
                <w:p w14:paraId="75BD0E6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t/a</w:t>
                  </w:r>
                </w:p>
              </w:tc>
              <w:tc>
                <w:tcPr>
                  <w:tcW w:w="981" w:type="pct"/>
                  <w:tcBorders>
                    <w:tl2br w:val="nil"/>
                    <w:tr2bl w:val="nil"/>
                  </w:tcBorders>
                  <w:shd w:val="clear" w:color="auto" w:fill="auto"/>
                  <w:noWrap w:val="0"/>
                  <w:vAlign w:val="center"/>
                </w:tcPr>
                <w:p w14:paraId="280EE6C0">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sz w:val="21"/>
                      <w:szCs w:val="21"/>
                      <w:highlight w:val="none"/>
                      <w:lang w:val="en-US" w:eastAsia="zh-CN"/>
                    </w:rPr>
                    <w:t>300</w:t>
                  </w:r>
                </w:p>
              </w:tc>
              <w:tc>
                <w:tcPr>
                  <w:tcW w:w="860" w:type="pct"/>
                  <w:tcBorders>
                    <w:tl2br w:val="nil"/>
                    <w:tr2bl w:val="nil"/>
                  </w:tcBorders>
                  <w:shd w:val="clear" w:color="auto" w:fill="auto"/>
                  <w:noWrap w:val="0"/>
                  <w:vAlign w:val="center"/>
                </w:tcPr>
                <w:p w14:paraId="3C4F5C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c>
                <w:tcPr>
                  <w:tcW w:w="977" w:type="pct"/>
                  <w:tcBorders>
                    <w:tl2br w:val="nil"/>
                    <w:tr2bl w:val="nil"/>
                  </w:tcBorders>
                  <w:shd w:val="clear" w:color="auto" w:fill="auto"/>
                  <w:noWrap w:val="0"/>
                  <w:vAlign w:val="center"/>
                </w:tcPr>
                <w:p w14:paraId="32B0603A">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sz w:val="21"/>
                      <w:szCs w:val="21"/>
                      <w:highlight w:val="none"/>
                      <w:lang w:val="en-US" w:eastAsia="zh-CN"/>
                    </w:rPr>
                    <w:t>300</w:t>
                  </w:r>
                </w:p>
              </w:tc>
            </w:tr>
            <w:tr w14:paraId="425B87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61" w:type="pct"/>
                  <w:tcBorders>
                    <w:tl2br w:val="nil"/>
                    <w:tr2bl w:val="nil"/>
                  </w:tcBorders>
                  <w:shd w:val="clear" w:color="auto" w:fill="auto"/>
                  <w:noWrap w:val="0"/>
                  <w:vAlign w:val="center"/>
                </w:tcPr>
                <w:p w14:paraId="296CBA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7</w:t>
                  </w:r>
                </w:p>
              </w:tc>
              <w:tc>
                <w:tcPr>
                  <w:tcW w:w="1141" w:type="pct"/>
                  <w:tcBorders>
                    <w:tl2br w:val="nil"/>
                    <w:tr2bl w:val="nil"/>
                  </w:tcBorders>
                  <w:shd w:val="clear" w:color="auto" w:fill="auto"/>
                  <w:noWrap w:val="0"/>
                  <w:vAlign w:val="center"/>
                </w:tcPr>
                <w:p w14:paraId="0F80A8E8">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矿物油</w:t>
                  </w:r>
                </w:p>
              </w:tc>
              <w:tc>
                <w:tcPr>
                  <w:tcW w:w="677" w:type="pct"/>
                  <w:tcBorders>
                    <w:tl2br w:val="nil"/>
                    <w:tr2bl w:val="nil"/>
                  </w:tcBorders>
                  <w:shd w:val="clear" w:color="auto" w:fill="auto"/>
                  <w:noWrap w:val="0"/>
                  <w:vAlign w:val="center"/>
                </w:tcPr>
                <w:p w14:paraId="29BEF2D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t/a</w:t>
                  </w:r>
                </w:p>
              </w:tc>
              <w:tc>
                <w:tcPr>
                  <w:tcW w:w="981" w:type="pct"/>
                  <w:tcBorders>
                    <w:tl2br w:val="nil"/>
                    <w:tr2bl w:val="nil"/>
                  </w:tcBorders>
                  <w:shd w:val="clear" w:color="auto" w:fill="auto"/>
                  <w:noWrap w:val="0"/>
                  <w:vAlign w:val="center"/>
                </w:tcPr>
                <w:p w14:paraId="20EF0F02">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1150</w:t>
                  </w:r>
                </w:p>
              </w:tc>
              <w:tc>
                <w:tcPr>
                  <w:tcW w:w="860" w:type="pct"/>
                  <w:tcBorders>
                    <w:tl2br w:val="nil"/>
                    <w:tr2bl w:val="nil"/>
                  </w:tcBorders>
                  <w:shd w:val="clear" w:color="auto" w:fill="auto"/>
                  <w:noWrap w:val="0"/>
                  <w:vAlign w:val="center"/>
                </w:tcPr>
                <w:p w14:paraId="719C50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c>
                <w:tcPr>
                  <w:tcW w:w="977" w:type="pct"/>
                  <w:tcBorders>
                    <w:tl2br w:val="nil"/>
                    <w:tr2bl w:val="nil"/>
                  </w:tcBorders>
                  <w:shd w:val="clear" w:color="auto" w:fill="auto"/>
                  <w:noWrap w:val="0"/>
                  <w:vAlign w:val="center"/>
                </w:tcPr>
                <w:p w14:paraId="7ED68523">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1150</w:t>
                  </w:r>
                </w:p>
              </w:tc>
            </w:tr>
            <w:tr w14:paraId="62D167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61" w:type="pct"/>
                  <w:tcBorders>
                    <w:tl2br w:val="nil"/>
                    <w:tr2bl w:val="nil"/>
                  </w:tcBorders>
                  <w:noWrap w:val="0"/>
                  <w:vAlign w:val="center"/>
                </w:tcPr>
                <w:p w14:paraId="2D21FA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8</w:t>
                  </w:r>
                </w:p>
              </w:tc>
              <w:tc>
                <w:tcPr>
                  <w:tcW w:w="1141" w:type="pct"/>
                  <w:tcBorders>
                    <w:tl2br w:val="nil"/>
                    <w:tr2bl w:val="nil"/>
                  </w:tcBorders>
                  <w:shd w:val="clear" w:color="auto" w:fill="auto"/>
                  <w:noWrap w:val="0"/>
                  <w:vAlign w:val="center"/>
                </w:tcPr>
                <w:p w14:paraId="4655F67A">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硅烷助剂（KH550）</w:t>
                  </w:r>
                </w:p>
              </w:tc>
              <w:tc>
                <w:tcPr>
                  <w:tcW w:w="677" w:type="pct"/>
                  <w:tcBorders>
                    <w:tl2br w:val="nil"/>
                    <w:tr2bl w:val="nil"/>
                  </w:tcBorders>
                  <w:shd w:val="clear" w:color="auto" w:fill="auto"/>
                  <w:noWrap w:val="0"/>
                  <w:vAlign w:val="center"/>
                </w:tcPr>
                <w:p w14:paraId="51A109D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t/a</w:t>
                  </w:r>
                </w:p>
              </w:tc>
              <w:tc>
                <w:tcPr>
                  <w:tcW w:w="981" w:type="pct"/>
                  <w:tcBorders>
                    <w:tl2br w:val="nil"/>
                    <w:tr2bl w:val="nil"/>
                  </w:tcBorders>
                  <w:shd w:val="clear" w:color="auto" w:fill="auto"/>
                  <w:noWrap w:val="0"/>
                  <w:vAlign w:val="center"/>
                </w:tcPr>
                <w:p w14:paraId="27F8D2B8">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300</w:t>
                  </w:r>
                </w:p>
              </w:tc>
              <w:tc>
                <w:tcPr>
                  <w:tcW w:w="860" w:type="pct"/>
                  <w:tcBorders>
                    <w:tl2br w:val="nil"/>
                    <w:tr2bl w:val="nil"/>
                  </w:tcBorders>
                  <w:shd w:val="clear" w:color="auto" w:fill="auto"/>
                  <w:noWrap w:val="0"/>
                  <w:vAlign w:val="center"/>
                </w:tcPr>
                <w:p w14:paraId="7A5AAB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c>
                <w:tcPr>
                  <w:tcW w:w="977" w:type="pct"/>
                  <w:tcBorders>
                    <w:tl2br w:val="nil"/>
                    <w:tr2bl w:val="nil"/>
                  </w:tcBorders>
                  <w:shd w:val="clear" w:color="auto" w:fill="auto"/>
                  <w:noWrap w:val="0"/>
                  <w:vAlign w:val="center"/>
                </w:tcPr>
                <w:p w14:paraId="1F0F47E3">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300</w:t>
                  </w:r>
                </w:p>
              </w:tc>
            </w:tr>
            <w:tr w14:paraId="7C5324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61" w:type="pct"/>
                  <w:tcBorders>
                    <w:tl2br w:val="nil"/>
                    <w:tr2bl w:val="nil"/>
                  </w:tcBorders>
                  <w:noWrap w:val="0"/>
                  <w:vAlign w:val="center"/>
                </w:tcPr>
                <w:p w14:paraId="72866B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9</w:t>
                  </w:r>
                </w:p>
              </w:tc>
              <w:tc>
                <w:tcPr>
                  <w:tcW w:w="1141" w:type="pct"/>
                  <w:tcBorders>
                    <w:tl2br w:val="nil"/>
                    <w:tr2bl w:val="nil"/>
                  </w:tcBorders>
                  <w:shd w:val="clear" w:color="auto" w:fill="auto"/>
                  <w:noWrap w:val="0"/>
                  <w:vAlign w:val="center"/>
                </w:tcPr>
                <w:p w14:paraId="65143817">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色浆</w:t>
                  </w:r>
                </w:p>
              </w:tc>
              <w:tc>
                <w:tcPr>
                  <w:tcW w:w="677" w:type="pct"/>
                  <w:tcBorders>
                    <w:tl2br w:val="nil"/>
                    <w:tr2bl w:val="nil"/>
                  </w:tcBorders>
                  <w:shd w:val="clear" w:color="auto" w:fill="auto"/>
                  <w:noWrap w:val="0"/>
                  <w:vAlign w:val="center"/>
                </w:tcPr>
                <w:p w14:paraId="00141B4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t/a</w:t>
                  </w:r>
                </w:p>
              </w:tc>
              <w:tc>
                <w:tcPr>
                  <w:tcW w:w="981" w:type="pct"/>
                  <w:tcBorders>
                    <w:tl2br w:val="nil"/>
                    <w:tr2bl w:val="nil"/>
                  </w:tcBorders>
                  <w:shd w:val="clear" w:color="auto" w:fill="auto"/>
                  <w:noWrap w:val="0"/>
                  <w:vAlign w:val="center"/>
                </w:tcPr>
                <w:p w14:paraId="3A0ECA22">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270</w:t>
                  </w:r>
                </w:p>
              </w:tc>
              <w:tc>
                <w:tcPr>
                  <w:tcW w:w="860" w:type="pct"/>
                  <w:tcBorders>
                    <w:tl2br w:val="nil"/>
                    <w:tr2bl w:val="nil"/>
                  </w:tcBorders>
                  <w:shd w:val="clear" w:color="auto" w:fill="auto"/>
                  <w:noWrap w:val="0"/>
                  <w:vAlign w:val="center"/>
                </w:tcPr>
                <w:p w14:paraId="73880A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c>
                <w:tcPr>
                  <w:tcW w:w="977" w:type="pct"/>
                  <w:tcBorders>
                    <w:tl2br w:val="nil"/>
                    <w:tr2bl w:val="nil"/>
                  </w:tcBorders>
                  <w:shd w:val="clear" w:color="auto" w:fill="auto"/>
                  <w:noWrap w:val="0"/>
                  <w:vAlign w:val="center"/>
                </w:tcPr>
                <w:p w14:paraId="021B6402">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270</w:t>
                  </w:r>
                </w:p>
              </w:tc>
            </w:tr>
            <w:tr w14:paraId="6162A5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61" w:type="pct"/>
                  <w:tcBorders>
                    <w:tl2br w:val="nil"/>
                    <w:tr2bl w:val="nil"/>
                  </w:tcBorders>
                  <w:noWrap w:val="0"/>
                  <w:vAlign w:val="center"/>
                </w:tcPr>
                <w:p w14:paraId="6A7946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10</w:t>
                  </w:r>
                </w:p>
              </w:tc>
              <w:tc>
                <w:tcPr>
                  <w:tcW w:w="1141" w:type="pct"/>
                  <w:tcBorders>
                    <w:tl2br w:val="nil"/>
                    <w:tr2bl w:val="nil"/>
                  </w:tcBorders>
                  <w:shd w:val="clear" w:color="auto" w:fill="auto"/>
                  <w:noWrap w:val="0"/>
                  <w:vAlign w:val="center"/>
                </w:tcPr>
                <w:p w14:paraId="7A75A181">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甲基二甲氧基硅烷</w:t>
                  </w:r>
                </w:p>
              </w:tc>
              <w:tc>
                <w:tcPr>
                  <w:tcW w:w="677" w:type="pct"/>
                  <w:tcBorders>
                    <w:tl2br w:val="nil"/>
                    <w:tr2bl w:val="nil"/>
                  </w:tcBorders>
                  <w:shd w:val="clear" w:color="auto" w:fill="auto"/>
                  <w:noWrap w:val="0"/>
                  <w:vAlign w:val="center"/>
                </w:tcPr>
                <w:p w14:paraId="3895FB5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t/a</w:t>
                  </w:r>
                </w:p>
              </w:tc>
              <w:tc>
                <w:tcPr>
                  <w:tcW w:w="981" w:type="pct"/>
                  <w:tcBorders>
                    <w:tl2br w:val="nil"/>
                    <w:tr2bl w:val="nil"/>
                  </w:tcBorders>
                  <w:shd w:val="clear" w:color="auto" w:fill="auto"/>
                  <w:noWrap w:val="0"/>
                  <w:vAlign w:val="center"/>
                </w:tcPr>
                <w:p w14:paraId="692D13C9">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270</w:t>
                  </w:r>
                </w:p>
              </w:tc>
              <w:tc>
                <w:tcPr>
                  <w:tcW w:w="860" w:type="pct"/>
                  <w:tcBorders>
                    <w:tl2br w:val="nil"/>
                    <w:tr2bl w:val="nil"/>
                  </w:tcBorders>
                  <w:shd w:val="clear" w:color="auto" w:fill="auto"/>
                  <w:noWrap w:val="0"/>
                  <w:vAlign w:val="center"/>
                </w:tcPr>
                <w:p w14:paraId="4BFB7B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c>
                <w:tcPr>
                  <w:tcW w:w="977" w:type="pct"/>
                  <w:tcBorders>
                    <w:tl2br w:val="nil"/>
                    <w:tr2bl w:val="nil"/>
                  </w:tcBorders>
                  <w:shd w:val="clear" w:color="auto" w:fill="auto"/>
                  <w:noWrap w:val="0"/>
                  <w:vAlign w:val="center"/>
                </w:tcPr>
                <w:p w14:paraId="2A19F538">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270</w:t>
                  </w:r>
                </w:p>
              </w:tc>
            </w:tr>
            <w:tr w14:paraId="1D1F6D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61" w:type="pct"/>
                  <w:tcBorders>
                    <w:tl2br w:val="nil"/>
                    <w:tr2bl w:val="nil"/>
                  </w:tcBorders>
                  <w:noWrap w:val="0"/>
                  <w:vAlign w:val="center"/>
                </w:tcPr>
                <w:p w14:paraId="0FACE2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11</w:t>
                  </w:r>
                </w:p>
              </w:tc>
              <w:tc>
                <w:tcPr>
                  <w:tcW w:w="1141" w:type="pct"/>
                  <w:tcBorders>
                    <w:tl2br w:val="nil"/>
                    <w:tr2bl w:val="nil"/>
                  </w:tcBorders>
                  <w:shd w:val="clear" w:color="auto" w:fill="auto"/>
                  <w:noWrap w:val="0"/>
                  <w:vAlign w:val="center"/>
                </w:tcPr>
                <w:p w14:paraId="45A8756D">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钛酸四异丙酯</w:t>
                  </w:r>
                </w:p>
              </w:tc>
              <w:tc>
                <w:tcPr>
                  <w:tcW w:w="677" w:type="pct"/>
                  <w:tcBorders>
                    <w:tl2br w:val="nil"/>
                    <w:tr2bl w:val="nil"/>
                  </w:tcBorders>
                  <w:shd w:val="clear" w:color="auto" w:fill="auto"/>
                  <w:noWrap w:val="0"/>
                  <w:vAlign w:val="center"/>
                </w:tcPr>
                <w:p w14:paraId="7BBB385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t/a</w:t>
                  </w:r>
                </w:p>
              </w:tc>
              <w:tc>
                <w:tcPr>
                  <w:tcW w:w="981" w:type="pct"/>
                  <w:tcBorders>
                    <w:tl2br w:val="nil"/>
                    <w:tr2bl w:val="nil"/>
                  </w:tcBorders>
                  <w:shd w:val="clear" w:color="auto" w:fill="auto"/>
                  <w:noWrap w:val="0"/>
                  <w:vAlign w:val="center"/>
                </w:tcPr>
                <w:p w14:paraId="0B40204D">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50</w:t>
                  </w:r>
                </w:p>
              </w:tc>
              <w:tc>
                <w:tcPr>
                  <w:tcW w:w="860" w:type="pct"/>
                  <w:tcBorders>
                    <w:tl2br w:val="nil"/>
                    <w:tr2bl w:val="nil"/>
                  </w:tcBorders>
                  <w:shd w:val="clear" w:color="auto" w:fill="auto"/>
                  <w:noWrap w:val="0"/>
                  <w:vAlign w:val="center"/>
                </w:tcPr>
                <w:p w14:paraId="740FC5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c>
                <w:tcPr>
                  <w:tcW w:w="977" w:type="pct"/>
                  <w:tcBorders>
                    <w:tl2br w:val="nil"/>
                    <w:tr2bl w:val="nil"/>
                  </w:tcBorders>
                  <w:shd w:val="clear" w:color="auto" w:fill="auto"/>
                  <w:noWrap w:val="0"/>
                  <w:vAlign w:val="center"/>
                </w:tcPr>
                <w:p w14:paraId="52F2BCDA">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50</w:t>
                  </w:r>
                </w:p>
              </w:tc>
            </w:tr>
            <w:tr w14:paraId="67B619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61" w:type="pct"/>
                  <w:tcBorders>
                    <w:tl2br w:val="nil"/>
                    <w:tr2bl w:val="nil"/>
                  </w:tcBorders>
                  <w:noWrap w:val="0"/>
                  <w:vAlign w:val="center"/>
                </w:tcPr>
                <w:p w14:paraId="252EE3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12</w:t>
                  </w:r>
                </w:p>
              </w:tc>
              <w:tc>
                <w:tcPr>
                  <w:tcW w:w="1141" w:type="pct"/>
                  <w:tcBorders>
                    <w:tl2br w:val="nil"/>
                    <w:tr2bl w:val="nil"/>
                  </w:tcBorders>
                  <w:shd w:val="clear" w:color="auto" w:fill="auto"/>
                  <w:noWrap w:val="0"/>
                  <w:vAlign w:val="center"/>
                </w:tcPr>
                <w:p w14:paraId="5B72CF18">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木糠</w:t>
                  </w:r>
                </w:p>
              </w:tc>
              <w:tc>
                <w:tcPr>
                  <w:tcW w:w="677" w:type="pct"/>
                  <w:tcBorders>
                    <w:tl2br w:val="nil"/>
                    <w:tr2bl w:val="nil"/>
                  </w:tcBorders>
                  <w:shd w:val="clear" w:color="auto" w:fill="auto"/>
                  <w:noWrap w:val="0"/>
                  <w:vAlign w:val="center"/>
                </w:tcPr>
                <w:p w14:paraId="7A59004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t/a</w:t>
                  </w:r>
                </w:p>
              </w:tc>
              <w:tc>
                <w:tcPr>
                  <w:tcW w:w="981" w:type="pct"/>
                  <w:tcBorders>
                    <w:tl2br w:val="nil"/>
                    <w:tr2bl w:val="nil"/>
                  </w:tcBorders>
                  <w:shd w:val="clear" w:color="auto" w:fill="auto"/>
                  <w:noWrap w:val="0"/>
                  <w:vAlign w:val="center"/>
                </w:tcPr>
                <w:p w14:paraId="7B41FAB8">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15</w:t>
                  </w:r>
                </w:p>
              </w:tc>
              <w:tc>
                <w:tcPr>
                  <w:tcW w:w="860" w:type="pct"/>
                  <w:tcBorders>
                    <w:tl2br w:val="nil"/>
                    <w:tr2bl w:val="nil"/>
                  </w:tcBorders>
                  <w:shd w:val="clear" w:color="auto" w:fill="auto"/>
                  <w:noWrap w:val="0"/>
                  <w:vAlign w:val="center"/>
                </w:tcPr>
                <w:p w14:paraId="7D0B77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c>
                <w:tcPr>
                  <w:tcW w:w="977" w:type="pct"/>
                  <w:tcBorders>
                    <w:tl2br w:val="nil"/>
                    <w:tr2bl w:val="nil"/>
                  </w:tcBorders>
                  <w:shd w:val="clear" w:color="auto" w:fill="auto"/>
                  <w:noWrap w:val="0"/>
                  <w:vAlign w:val="center"/>
                </w:tcPr>
                <w:p w14:paraId="200D2C7E">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15</w:t>
                  </w:r>
                </w:p>
              </w:tc>
            </w:tr>
            <w:tr w14:paraId="52DA7A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61" w:type="pct"/>
                  <w:tcBorders>
                    <w:tl2br w:val="nil"/>
                    <w:tr2bl w:val="nil"/>
                  </w:tcBorders>
                  <w:noWrap w:val="0"/>
                  <w:vAlign w:val="center"/>
                </w:tcPr>
                <w:p w14:paraId="3BAB6F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13</w:t>
                  </w:r>
                </w:p>
              </w:tc>
              <w:tc>
                <w:tcPr>
                  <w:tcW w:w="1141" w:type="pct"/>
                  <w:tcBorders>
                    <w:tl2br w:val="nil"/>
                    <w:tr2bl w:val="nil"/>
                  </w:tcBorders>
                  <w:shd w:val="clear" w:color="auto" w:fill="auto"/>
                  <w:noWrap w:val="0"/>
                  <w:vAlign w:val="center"/>
                </w:tcPr>
                <w:p w14:paraId="3EA5E12E">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三元乙丙橡胶</w:t>
                  </w:r>
                </w:p>
              </w:tc>
              <w:tc>
                <w:tcPr>
                  <w:tcW w:w="677" w:type="pct"/>
                  <w:tcBorders>
                    <w:tl2br w:val="nil"/>
                    <w:tr2bl w:val="nil"/>
                  </w:tcBorders>
                  <w:shd w:val="clear" w:color="auto" w:fill="auto"/>
                  <w:noWrap w:val="0"/>
                  <w:vAlign w:val="center"/>
                </w:tcPr>
                <w:p w14:paraId="7E1170F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t/a</w:t>
                  </w:r>
                </w:p>
              </w:tc>
              <w:tc>
                <w:tcPr>
                  <w:tcW w:w="981" w:type="pct"/>
                  <w:tcBorders>
                    <w:tl2br w:val="nil"/>
                    <w:tr2bl w:val="nil"/>
                  </w:tcBorders>
                  <w:shd w:val="clear" w:color="auto" w:fill="auto"/>
                  <w:noWrap w:val="0"/>
                  <w:vAlign w:val="center"/>
                </w:tcPr>
                <w:p w14:paraId="6911AE8F">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3000</w:t>
                  </w:r>
                </w:p>
              </w:tc>
              <w:tc>
                <w:tcPr>
                  <w:tcW w:w="860" w:type="pct"/>
                  <w:tcBorders>
                    <w:tl2br w:val="nil"/>
                    <w:tr2bl w:val="nil"/>
                  </w:tcBorders>
                  <w:shd w:val="clear" w:color="auto" w:fill="auto"/>
                  <w:noWrap w:val="0"/>
                  <w:vAlign w:val="center"/>
                </w:tcPr>
                <w:p w14:paraId="2DC348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c>
                <w:tcPr>
                  <w:tcW w:w="977" w:type="pct"/>
                  <w:tcBorders>
                    <w:tl2br w:val="nil"/>
                    <w:tr2bl w:val="nil"/>
                  </w:tcBorders>
                  <w:shd w:val="clear" w:color="auto" w:fill="auto"/>
                  <w:noWrap w:val="0"/>
                  <w:vAlign w:val="center"/>
                </w:tcPr>
                <w:p w14:paraId="0D835A9B">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3000</w:t>
                  </w:r>
                </w:p>
              </w:tc>
            </w:tr>
            <w:tr w14:paraId="4E2E42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61" w:type="pct"/>
                  <w:tcBorders>
                    <w:tl2br w:val="nil"/>
                    <w:tr2bl w:val="nil"/>
                  </w:tcBorders>
                  <w:noWrap w:val="0"/>
                  <w:vAlign w:val="center"/>
                </w:tcPr>
                <w:p w14:paraId="4F43FB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14</w:t>
                  </w:r>
                </w:p>
              </w:tc>
              <w:tc>
                <w:tcPr>
                  <w:tcW w:w="1141" w:type="pct"/>
                  <w:tcBorders>
                    <w:tl2br w:val="nil"/>
                    <w:tr2bl w:val="nil"/>
                  </w:tcBorders>
                  <w:shd w:val="clear" w:color="auto" w:fill="auto"/>
                  <w:noWrap w:val="0"/>
                  <w:vAlign w:val="center"/>
                </w:tcPr>
                <w:p w14:paraId="3BF5B99E">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炭黑</w:t>
                  </w:r>
                </w:p>
              </w:tc>
              <w:tc>
                <w:tcPr>
                  <w:tcW w:w="677" w:type="pct"/>
                  <w:tcBorders>
                    <w:tl2br w:val="nil"/>
                    <w:tr2bl w:val="nil"/>
                  </w:tcBorders>
                  <w:shd w:val="clear" w:color="auto" w:fill="auto"/>
                  <w:noWrap w:val="0"/>
                  <w:vAlign w:val="center"/>
                </w:tcPr>
                <w:p w14:paraId="2C84A85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t/a</w:t>
                  </w:r>
                </w:p>
              </w:tc>
              <w:tc>
                <w:tcPr>
                  <w:tcW w:w="981" w:type="pct"/>
                  <w:tcBorders>
                    <w:tl2br w:val="nil"/>
                    <w:tr2bl w:val="nil"/>
                  </w:tcBorders>
                  <w:shd w:val="clear" w:color="auto" w:fill="auto"/>
                  <w:noWrap w:val="0"/>
                  <w:vAlign w:val="center"/>
                </w:tcPr>
                <w:p w14:paraId="45BB7A54">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1900</w:t>
                  </w:r>
                </w:p>
              </w:tc>
              <w:tc>
                <w:tcPr>
                  <w:tcW w:w="860" w:type="pct"/>
                  <w:tcBorders>
                    <w:tl2br w:val="nil"/>
                    <w:tr2bl w:val="nil"/>
                  </w:tcBorders>
                  <w:shd w:val="clear" w:color="auto" w:fill="auto"/>
                  <w:noWrap w:val="0"/>
                  <w:vAlign w:val="center"/>
                </w:tcPr>
                <w:p w14:paraId="743A17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c>
                <w:tcPr>
                  <w:tcW w:w="977" w:type="pct"/>
                  <w:tcBorders>
                    <w:tl2br w:val="nil"/>
                    <w:tr2bl w:val="nil"/>
                  </w:tcBorders>
                  <w:shd w:val="clear" w:color="auto" w:fill="auto"/>
                  <w:noWrap w:val="0"/>
                  <w:vAlign w:val="center"/>
                </w:tcPr>
                <w:p w14:paraId="75078E36">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1900</w:t>
                  </w:r>
                </w:p>
              </w:tc>
            </w:tr>
            <w:tr w14:paraId="2CF009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61" w:type="pct"/>
                  <w:tcBorders>
                    <w:tl2br w:val="nil"/>
                    <w:tr2bl w:val="nil"/>
                  </w:tcBorders>
                  <w:noWrap w:val="0"/>
                  <w:vAlign w:val="center"/>
                </w:tcPr>
                <w:p w14:paraId="53977E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15</w:t>
                  </w:r>
                </w:p>
              </w:tc>
              <w:tc>
                <w:tcPr>
                  <w:tcW w:w="1141" w:type="pct"/>
                  <w:tcBorders>
                    <w:tl2br w:val="nil"/>
                    <w:tr2bl w:val="nil"/>
                  </w:tcBorders>
                  <w:shd w:val="clear" w:color="auto" w:fill="auto"/>
                  <w:noWrap w:val="0"/>
                  <w:vAlign w:val="center"/>
                </w:tcPr>
                <w:p w14:paraId="098D6747">
                  <w:pPr>
                    <w:pStyle w:val="6"/>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轻质碳酸钙</w:t>
                  </w:r>
                </w:p>
              </w:tc>
              <w:tc>
                <w:tcPr>
                  <w:tcW w:w="677" w:type="pct"/>
                  <w:tcBorders>
                    <w:tl2br w:val="nil"/>
                    <w:tr2bl w:val="nil"/>
                  </w:tcBorders>
                  <w:shd w:val="clear" w:color="auto" w:fill="auto"/>
                  <w:noWrap w:val="0"/>
                  <w:vAlign w:val="center"/>
                </w:tcPr>
                <w:p w14:paraId="5F6AC2C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t/a</w:t>
                  </w:r>
                </w:p>
              </w:tc>
              <w:tc>
                <w:tcPr>
                  <w:tcW w:w="981" w:type="pct"/>
                  <w:tcBorders>
                    <w:tl2br w:val="nil"/>
                    <w:tr2bl w:val="nil"/>
                  </w:tcBorders>
                  <w:shd w:val="clear" w:color="auto" w:fill="auto"/>
                  <w:noWrap w:val="0"/>
                  <w:vAlign w:val="center"/>
                </w:tcPr>
                <w:p w14:paraId="74AED78C">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860</w:t>
                  </w:r>
                </w:p>
              </w:tc>
              <w:tc>
                <w:tcPr>
                  <w:tcW w:w="860" w:type="pct"/>
                  <w:tcBorders>
                    <w:tl2br w:val="nil"/>
                    <w:tr2bl w:val="nil"/>
                  </w:tcBorders>
                  <w:shd w:val="clear" w:color="auto" w:fill="auto"/>
                  <w:noWrap w:val="0"/>
                  <w:vAlign w:val="center"/>
                </w:tcPr>
                <w:p w14:paraId="2DFC4B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c>
                <w:tcPr>
                  <w:tcW w:w="977" w:type="pct"/>
                  <w:tcBorders>
                    <w:tl2br w:val="nil"/>
                    <w:tr2bl w:val="nil"/>
                  </w:tcBorders>
                  <w:shd w:val="clear" w:color="auto" w:fill="auto"/>
                  <w:noWrap w:val="0"/>
                  <w:vAlign w:val="center"/>
                </w:tcPr>
                <w:p w14:paraId="3E5D034A">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860</w:t>
                  </w:r>
                </w:p>
              </w:tc>
            </w:tr>
            <w:tr w14:paraId="035083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61" w:type="pct"/>
                  <w:tcBorders>
                    <w:tl2br w:val="nil"/>
                    <w:tr2bl w:val="nil"/>
                  </w:tcBorders>
                  <w:noWrap w:val="0"/>
                  <w:vAlign w:val="center"/>
                </w:tcPr>
                <w:p w14:paraId="042F49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16</w:t>
                  </w:r>
                </w:p>
              </w:tc>
              <w:tc>
                <w:tcPr>
                  <w:tcW w:w="1141" w:type="pct"/>
                  <w:tcBorders>
                    <w:tl2br w:val="nil"/>
                    <w:tr2bl w:val="nil"/>
                  </w:tcBorders>
                  <w:shd w:val="clear" w:color="auto" w:fill="auto"/>
                  <w:noWrap w:val="0"/>
                  <w:vAlign w:val="center"/>
                </w:tcPr>
                <w:p w14:paraId="1178B287">
                  <w:pPr>
                    <w:pStyle w:val="6"/>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石蜡油</w:t>
                  </w:r>
                </w:p>
              </w:tc>
              <w:tc>
                <w:tcPr>
                  <w:tcW w:w="677" w:type="pct"/>
                  <w:tcBorders>
                    <w:tl2br w:val="nil"/>
                    <w:tr2bl w:val="nil"/>
                  </w:tcBorders>
                  <w:shd w:val="clear" w:color="auto" w:fill="auto"/>
                  <w:noWrap w:val="0"/>
                  <w:vAlign w:val="center"/>
                </w:tcPr>
                <w:p w14:paraId="10D99C3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t/a</w:t>
                  </w:r>
                </w:p>
              </w:tc>
              <w:tc>
                <w:tcPr>
                  <w:tcW w:w="981" w:type="pct"/>
                  <w:tcBorders>
                    <w:tl2br w:val="nil"/>
                    <w:tr2bl w:val="nil"/>
                  </w:tcBorders>
                  <w:shd w:val="clear" w:color="auto" w:fill="auto"/>
                  <w:noWrap w:val="0"/>
                  <w:vAlign w:val="center"/>
                </w:tcPr>
                <w:p w14:paraId="07B8E34F">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2000</w:t>
                  </w:r>
                </w:p>
              </w:tc>
              <w:tc>
                <w:tcPr>
                  <w:tcW w:w="860" w:type="pct"/>
                  <w:tcBorders>
                    <w:tl2br w:val="nil"/>
                    <w:tr2bl w:val="nil"/>
                  </w:tcBorders>
                  <w:shd w:val="clear" w:color="auto" w:fill="auto"/>
                  <w:noWrap w:val="0"/>
                  <w:vAlign w:val="center"/>
                </w:tcPr>
                <w:p w14:paraId="48AEE6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c>
                <w:tcPr>
                  <w:tcW w:w="977" w:type="pct"/>
                  <w:tcBorders>
                    <w:tl2br w:val="nil"/>
                    <w:tr2bl w:val="nil"/>
                  </w:tcBorders>
                  <w:shd w:val="clear" w:color="auto" w:fill="auto"/>
                  <w:noWrap w:val="0"/>
                  <w:vAlign w:val="center"/>
                </w:tcPr>
                <w:p w14:paraId="5D0F7547">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2000</w:t>
                  </w:r>
                </w:p>
              </w:tc>
            </w:tr>
            <w:tr w14:paraId="1AE395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61" w:type="pct"/>
                  <w:tcBorders>
                    <w:tl2br w:val="nil"/>
                    <w:tr2bl w:val="nil"/>
                  </w:tcBorders>
                  <w:noWrap w:val="0"/>
                  <w:vAlign w:val="center"/>
                </w:tcPr>
                <w:p w14:paraId="2EC4EA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17</w:t>
                  </w:r>
                </w:p>
              </w:tc>
              <w:tc>
                <w:tcPr>
                  <w:tcW w:w="1141" w:type="pct"/>
                  <w:tcBorders>
                    <w:tl2br w:val="nil"/>
                    <w:tr2bl w:val="nil"/>
                  </w:tcBorders>
                  <w:shd w:val="clear" w:color="auto" w:fill="auto"/>
                  <w:noWrap w:val="0"/>
                  <w:vAlign w:val="center"/>
                </w:tcPr>
                <w:p w14:paraId="44218100">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氧化锌</w:t>
                  </w:r>
                </w:p>
              </w:tc>
              <w:tc>
                <w:tcPr>
                  <w:tcW w:w="677" w:type="pct"/>
                  <w:tcBorders>
                    <w:tl2br w:val="nil"/>
                    <w:tr2bl w:val="nil"/>
                  </w:tcBorders>
                  <w:shd w:val="clear" w:color="auto" w:fill="auto"/>
                  <w:noWrap w:val="0"/>
                  <w:vAlign w:val="center"/>
                </w:tcPr>
                <w:p w14:paraId="5848CDE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t/a</w:t>
                  </w:r>
                </w:p>
              </w:tc>
              <w:tc>
                <w:tcPr>
                  <w:tcW w:w="981" w:type="pct"/>
                  <w:tcBorders>
                    <w:tl2br w:val="nil"/>
                    <w:tr2bl w:val="nil"/>
                  </w:tcBorders>
                  <w:shd w:val="clear" w:color="auto" w:fill="auto"/>
                  <w:noWrap w:val="0"/>
                  <w:vAlign w:val="center"/>
                </w:tcPr>
                <w:p w14:paraId="3AEFD8EF">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82</w:t>
                  </w:r>
                </w:p>
              </w:tc>
              <w:tc>
                <w:tcPr>
                  <w:tcW w:w="860" w:type="pct"/>
                  <w:tcBorders>
                    <w:tl2br w:val="nil"/>
                    <w:tr2bl w:val="nil"/>
                  </w:tcBorders>
                  <w:shd w:val="clear" w:color="auto" w:fill="auto"/>
                  <w:noWrap w:val="0"/>
                  <w:vAlign w:val="center"/>
                </w:tcPr>
                <w:p w14:paraId="01512A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c>
                <w:tcPr>
                  <w:tcW w:w="977" w:type="pct"/>
                  <w:tcBorders>
                    <w:tl2br w:val="nil"/>
                    <w:tr2bl w:val="nil"/>
                  </w:tcBorders>
                  <w:shd w:val="clear" w:color="auto" w:fill="auto"/>
                  <w:noWrap w:val="0"/>
                  <w:vAlign w:val="center"/>
                </w:tcPr>
                <w:p w14:paraId="1CF5ED20">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82</w:t>
                  </w:r>
                </w:p>
              </w:tc>
            </w:tr>
            <w:tr w14:paraId="4236E4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61" w:type="pct"/>
                  <w:tcBorders>
                    <w:tl2br w:val="nil"/>
                    <w:tr2bl w:val="nil"/>
                  </w:tcBorders>
                  <w:noWrap w:val="0"/>
                  <w:vAlign w:val="center"/>
                </w:tcPr>
                <w:p w14:paraId="66743E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18</w:t>
                  </w:r>
                </w:p>
              </w:tc>
              <w:tc>
                <w:tcPr>
                  <w:tcW w:w="1141" w:type="pct"/>
                  <w:tcBorders>
                    <w:tl2br w:val="nil"/>
                    <w:tr2bl w:val="nil"/>
                  </w:tcBorders>
                  <w:shd w:val="clear" w:color="auto" w:fill="auto"/>
                  <w:noWrap w:val="0"/>
                  <w:vAlign w:val="center"/>
                </w:tcPr>
                <w:p w14:paraId="29F6E16B">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硬脂酸</w:t>
                  </w:r>
                </w:p>
              </w:tc>
              <w:tc>
                <w:tcPr>
                  <w:tcW w:w="677" w:type="pct"/>
                  <w:tcBorders>
                    <w:tl2br w:val="nil"/>
                    <w:tr2bl w:val="nil"/>
                  </w:tcBorders>
                  <w:shd w:val="clear" w:color="auto" w:fill="auto"/>
                  <w:noWrap w:val="0"/>
                  <w:vAlign w:val="center"/>
                </w:tcPr>
                <w:p w14:paraId="19B383E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t/a</w:t>
                  </w:r>
                </w:p>
              </w:tc>
              <w:tc>
                <w:tcPr>
                  <w:tcW w:w="981" w:type="pct"/>
                  <w:tcBorders>
                    <w:tl2br w:val="nil"/>
                    <w:tr2bl w:val="nil"/>
                  </w:tcBorders>
                  <w:shd w:val="clear" w:color="auto" w:fill="auto"/>
                  <w:noWrap w:val="0"/>
                  <w:vAlign w:val="center"/>
                </w:tcPr>
                <w:p w14:paraId="618913F4">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16</w:t>
                  </w:r>
                </w:p>
              </w:tc>
              <w:tc>
                <w:tcPr>
                  <w:tcW w:w="860" w:type="pct"/>
                  <w:tcBorders>
                    <w:tl2br w:val="nil"/>
                    <w:tr2bl w:val="nil"/>
                  </w:tcBorders>
                  <w:shd w:val="clear" w:color="auto" w:fill="auto"/>
                  <w:noWrap w:val="0"/>
                  <w:vAlign w:val="center"/>
                </w:tcPr>
                <w:p w14:paraId="03A57F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c>
                <w:tcPr>
                  <w:tcW w:w="977" w:type="pct"/>
                  <w:tcBorders>
                    <w:tl2br w:val="nil"/>
                    <w:tr2bl w:val="nil"/>
                  </w:tcBorders>
                  <w:shd w:val="clear" w:color="auto" w:fill="auto"/>
                  <w:noWrap w:val="0"/>
                  <w:vAlign w:val="center"/>
                </w:tcPr>
                <w:p w14:paraId="29699EB0">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16</w:t>
                  </w:r>
                </w:p>
              </w:tc>
            </w:tr>
            <w:tr w14:paraId="438261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61" w:type="pct"/>
                  <w:tcBorders>
                    <w:tl2br w:val="nil"/>
                    <w:tr2bl w:val="nil"/>
                  </w:tcBorders>
                  <w:noWrap w:val="0"/>
                  <w:vAlign w:val="center"/>
                </w:tcPr>
                <w:p w14:paraId="1DB0E3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19</w:t>
                  </w:r>
                </w:p>
              </w:tc>
              <w:tc>
                <w:tcPr>
                  <w:tcW w:w="1141" w:type="pct"/>
                  <w:tcBorders>
                    <w:tl2br w:val="nil"/>
                    <w:tr2bl w:val="nil"/>
                  </w:tcBorders>
                  <w:shd w:val="clear" w:color="auto" w:fill="auto"/>
                  <w:noWrap w:val="0"/>
                  <w:vAlign w:val="center"/>
                </w:tcPr>
                <w:p w14:paraId="3F7A9991">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氧化钙</w:t>
                  </w:r>
                </w:p>
              </w:tc>
              <w:tc>
                <w:tcPr>
                  <w:tcW w:w="677" w:type="pct"/>
                  <w:tcBorders>
                    <w:tl2br w:val="nil"/>
                    <w:tr2bl w:val="nil"/>
                  </w:tcBorders>
                  <w:shd w:val="clear" w:color="auto" w:fill="auto"/>
                  <w:noWrap w:val="0"/>
                  <w:vAlign w:val="center"/>
                </w:tcPr>
                <w:p w14:paraId="1778D04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t/a</w:t>
                  </w:r>
                </w:p>
              </w:tc>
              <w:tc>
                <w:tcPr>
                  <w:tcW w:w="981" w:type="pct"/>
                  <w:tcBorders>
                    <w:tl2br w:val="nil"/>
                    <w:tr2bl w:val="nil"/>
                  </w:tcBorders>
                  <w:shd w:val="clear" w:color="auto" w:fill="auto"/>
                  <w:noWrap w:val="0"/>
                  <w:vAlign w:val="center"/>
                </w:tcPr>
                <w:p w14:paraId="265347C6">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40</w:t>
                  </w:r>
                </w:p>
              </w:tc>
              <w:tc>
                <w:tcPr>
                  <w:tcW w:w="860" w:type="pct"/>
                  <w:tcBorders>
                    <w:tl2br w:val="nil"/>
                    <w:tr2bl w:val="nil"/>
                  </w:tcBorders>
                  <w:shd w:val="clear" w:color="auto" w:fill="auto"/>
                  <w:noWrap w:val="0"/>
                  <w:vAlign w:val="center"/>
                </w:tcPr>
                <w:p w14:paraId="741595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c>
                <w:tcPr>
                  <w:tcW w:w="977" w:type="pct"/>
                  <w:tcBorders>
                    <w:tl2br w:val="nil"/>
                    <w:tr2bl w:val="nil"/>
                  </w:tcBorders>
                  <w:shd w:val="clear" w:color="auto" w:fill="auto"/>
                  <w:noWrap w:val="0"/>
                  <w:vAlign w:val="center"/>
                </w:tcPr>
                <w:p w14:paraId="7A1DC9F2">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40</w:t>
                  </w:r>
                </w:p>
              </w:tc>
            </w:tr>
            <w:tr w14:paraId="71DE54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61" w:type="pct"/>
                  <w:tcBorders>
                    <w:tl2br w:val="nil"/>
                    <w:tr2bl w:val="nil"/>
                  </w:tcBorders>
                  <w:noWrap w:val="0"/>
                  <w:vAlign w:val="center"/>
                </w:tcPr>
                <w:p w14:paraId="247638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20</w:t>
                  </w:r>
                </w:p>
              </w:tc>
              <w:tc>
                <w:tcPr>
                  <w:tcW w:w="1141" w:type="pct"/>
                  <w:tcBorders>
                    <w:tl2br w:val="nil"/>
                    <w:tr2bl w:val="nil"/>
                  </w:tcBorders>
                  <w:shd w:val="clear" w:color="auto" w:fill="auto"/>
                  <w:noWrap w:val="0"/>
                  <w:vAlign w:val="center"/>
                </w:tcPr>
                <w:p w14:paraId="59A1913C">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促进剂</w:t>
                  </w:r>
                </w:p>
              </w:tc>
              <w:tc>
                <w:tcPr>
                  <w:tcW w:w="677" w:type="pct"/>
                  <w:tcBorders>
                    <w:tl2br w:val="nil"/>
                    <w:tr2bl w:val="nil"/>
                  </w:tcBorders>
                  <w:shd w:val="clear" w:color="auto" w:fill="auto"/>
                  <w:noWrap w:val="0"/>
                  <w:vAlign w:val="center"/>
                </w:tcPr>
                <w:p w14:paraId="6711F2D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t/a</w:t>
                  </w:r>
                </w:p>
              </w:tc>
              <w:tc>
                <w:tcPr>
                  <w:tcW w:w="981" w:type="pct"/>
                  <w:tcBorders>
                    <w:tl2br w:val="nil"/>
                    <w:tr2bl w:val="nil"/>
                  </w:tcBorders>
                  <w:shd w:val="clear" w:color="auto" w:fill="auto"/>
                  <w:noWrap w:val="0"/>
                  <w:vAlign w:val="center"/>
                </w:tcPr>
                <w:p w14:paraId="23CDFF97">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86</w:t>
                  </w:r>
                </w:p>
              </w:tc>
              <w:tc>
                <w:tcPr>
                  <w:tcW w:w="860" w:type="pct"/>
                  <w:tcBorders>
                    <w:tl2br w:val="nil"/>
                    <w:tr2bl w:val="nil"/>
                  </w:tcBorders>
                  <w:shd w:val="clear" w:color="auto" w:fill="auto"/>
                  <w:noWrap w:val="0"/>
                  <w:vAlign w:val="center"/>
                </w:tcPr>
                <w:p w14:paraId="7FAE2B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c>
                <w:tcPr>
                  <w:tcW w:w="977" w:type="pct"/>
                  <w:tcBorders>
                    <w:tl2br w:val="nil"/>
                    <w:tr2bl w:val="nil"/>
                  </w:tcBorders>
                  <w:shd w:val="clear" w:color="auto" w:fill="auto"/>
                  <w:noWrap w:val="0"/>
                  <w:vAlign w:val="center"/>
                </w:tcPr>
                <w:p w14:paraId="4957D948">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86</w:t>
                  </w:r>
                </w:p>
              </w:tc>
            </w:tr>
            <w:tr w14:paraId="530D5C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61" w:type="pct"/>
                  <w:tcBorders>
                    <w:tl2br w:val="nil"/>
                    <w:tr2bl w:val="nil"/>
                  </w:tcBorders>
                  <w:noWrap w:val="0"/>
                  <w:vAlign w:val="center"/>
                </w:tcPr>
                <w:p w14:paraId="2AD928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21</w:t>
                  </w:r>
                </w:p>
              </w:tc>
              <w:tc>
                <w:tcPr>
                  <w:tcW w:w="1141" w:type="pct"/>
                  <w:tcBorders>
                    <w:tl2br w:val="nil"/>
                    <w:tr2bl w:val="nil"/>
                  </w:tcBorders>
                  <w:shd w:val="clear" w:color="auto" w:fill="auto"/>
                  <w:noWrap w:val="0"/>
                  <w:vAlign w:val="center"/>
                </w:tcPr>
                <w:p w14:paraId="110D1DC4">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硫磺母粒</w:t>
                  </w:r>
                </w:p>
              </w:tc>
              <w:tc>
                <w:tcPr>
                  <w:tcW w:w="677" w:type="pct"/>
                  <w:tcBorders>
                    <w:tl2br w:val="nil"/>
                    <w:tr2bl w:val="nil"/>
                  </w:tcBorders>
                  <w:shd w:val="clear" w:color="auto" w:fill="auto"/>
                  <w:noWrap w:val="0"/>
                  <w:vAlign w:val="center"/>
                </w:tcPr>
                <w:p w14:paraId="4986895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t/a</w:t>
                  </w:r>
                </w:p>
              </w:tc>
              <w:tc>
                <w:tcPr>
                  <w:tcW w:w="981" w:type="pct"/>
                  <w:tcBorders>
                    <w:tl2br w:val="nil"/>
                    <w:tr2bl w:val="nil"/>
                  </w:tcBorders>
                  <w:shd w:val="clear" w:color="auto" w:fill="auto"/>
                  <w:noWrap w:val="0"/>
                  <w:vAlign w:val="center"/>
                </w:tcPr>
                <w:p w14:paraId="0DC4737C">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26</w:t>
                  </w:r>
                </w:p>
              </w:tc>
              <w:tc>
                <w:tcPr>
                  <w:tcW w:w="860" w:type="pct"/>
                  <w:tcBorders>
                    <w:tl2br w:val="nil"/>
                    <w:tr2bl w:val="nil"/>
                  </w:tcBorders>
                  <w:shd w:val="clear" w:color="auto" w:fill="auto"/>
                  <w:noWrap w:val="0"/>
                  <w:vAlign w:val="center"/>
                </w:tcPr>
                <w:p w14:paraId="231CBE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c>
                <w:tcPr>
                  <w:tcW w:w="977" w:type="pct"/>
                  <w:tcBorders>
                    <w:tl2br w:val="nil"/>
                    <w:tr2bl w:val="nil"/>
                  </w:tcBorders>
                  <w:shd w:val="clear" w:color="auto" w:fill="auto"/>
                  <w:noWrap w:val="0"/>
                  <w:vAlign w:val="center"/>
                </w:tcPr>
                <w:p w14:paraId="4EA51237">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2"/>
                      <w:sz w:val="21"/>
                      <w:szCs w:val="21"/>
                      <w:highlight w:val="none"/>
                      <w:lang w:val="en-US" w:eastAsia="zh-CN" w:bidi="ar-SA"/>
                    </w:rPr>
                    <w:t>26</w:t>
                  </w:r>
                </w:p>
              </w:tc>
            </w:tr>
            <w:tr w14:paraId="2FA7DF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61" w:type="pct"/>
                  <w:tcBorders>
                    <w:tl2br w:val="nil"/>
                    <w:tr2bl w:val="nil"/>
                  </w:tcBorders>
                  <w:noWrap w:val="0"/>
                  <w:vAlign w:val="center"/>
                </w:tcPr>
                <w:p w14:paraId="091B76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22</w:t>
                  </w:r>
                </w:p>
              </w:tc>
              <w:tc>
                <w:tcPr>
                  <w:tcW w:w="1141" w:type="pct"/>
                  <w:tcBorders>
                    <w:tl2br w:val="nil"/>
                    <w:tr2bl w:val="nil"/>
                  </w:tcBorders>
                  <w:shd w:val="clear" w:color="auto" w:fill="auto"/>
                  <w:noWrap w:val="0"/>
                  <w:vAlign w:val="center"/>
                </w:tcPr>
                <w:p w14:paraId="2CD7BE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color w:val="auto"/>
                      <w:sz w:val="21"/>
                      <w:szCs w:val="21"/>
                      <w:highlight w:val="none"/>
                      <w:lang w:val="en-US" w:eastAsia="zh-CN"/>
                    </w:rPr>
                    <w:t>水</w:t>
                  </w:r>
                </w:p>
              </w:tc>
              <w:tc>
                <w:tcPr>
                  <w:tcW w:w="677" w:type="pct"/>
                  <w:tcBorders>
                    <w:tl2br w:val="nil"/>
                    <w:tr2bl w:val="nil"/>
                  </w:tcBorders>
                  <w:shd w:val="clear" w:color="auto" w:fill="auto"/>
                  <w:noWrap w:val="0"/>
                  <w:vAlign w:val="center"/>
                </w:tcPr>
                <w:p w14:paraId="485F30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m</w:t>
                  </w:r>
                  <w:r>
                    <w:rPr>
                      <w:rFonts w:hint="eastAsia" w:ascii="Times New Roman" w:hAnsi="Times New Roman" w:eastAsia="宋体" w:cs="Times New Roman"/>
                      <w:i w:val="0"/>
                      <w:iCs w:val="0"/>
                      <w:color w:val="auto"/>
                      <w:kern w:val="0"/>
                      <w:sz w:val="21"/>
                      <w:szCs w:val="21"/>
                      <w:highlight w:val="none"/>
                      <w:u w:val="none"/>
                      <w:vertAlign w:val="superscript"/>
                      <w:lang w:val="en-US" w:eastAsia="zh-CN" w:bidi="ar"/>
                    </w:rPr>
                    <w:t>3</w:t>
                  </w:r>
                </w:p>
              </w:tc>
              <w:tc>
                <w:tcPr>
                  <w:tcW w:w="981" w:type="pct"/>
                  <w:tcBorders>
                    <w:tl2br w:val="nil"/>
                    <w:tr2bl w:val="nil"/>
                  </w:tcBorders>
                  <w:shd w:val="clear" w:color="auto" w:fill="auto"/>
                  <w:noWrap w:val="0"/>
                  <w:vAlign w:val="center"/>
                </w:tcPr>
                <w:p w14:paraId="65E789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1248</w:t>
                  </w:r>
                  <w:r>
                    <w:rPr>
                      <w:rFonts w:hint="eastAsia" w:cs="Times New Roman"/>
                      <w:i w:val="0"/>
                      <w:iCs w:val="0"/>
                      <w:color w:val="auto"/>
                      <w:kern w:val="0"/>
                      <w:sz w:val="21"/>
                      <w:szCs w:val="21"/>
                      <w:highlight w:val="none"/>
                      <w:u w:val="none"/>
                      <w:lang w:val="en-US" w:eastAsia="zh-CN" w:bidi="ar"/>
                    </w:rPr>
                    <w:t>0</w:t>
                  </w:r>
                </w:p>
              </w:tc>
              <w:tc>
                <w:tcPr>
                  <w:tcW w:w="860" w:type="pct"/>
                  <w:tcBorders>
                    <w:tl2br w:val="nil"/>
                    <w:tr2bl w:val="nil"/>
                  </w:tcBorders>
                  <w:shd w:val="clear" w:color="auto" w:fill="auto"/>
                  <w:noWrap w:val="0"/>
                  <w:vAlign w:val="center"/>
                </w:tcPr>
                <w:p w14:paraId="596799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864</w:t>
                  </w:r>
                </w:p>
              </w:tc>
              <w:tc>
                <w:tcPr>
                  <w:tcW w:w="977" w:type="pct"/>
                  <w:tcBorders>
                    <w:tl2br w:val="nil"/>
                    <w:tr2bl w:val="nil"/>
                  </w:tcBorders>
                  <w:shd w:val="clear" w:color="auto" w:fill="auto"/>
                  <w:noWrap w:val="0"/>
                  <w:vAlign w:val="center"/>
                </w:tcPr>
                <w:p w14:paraId="17D33A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13344</w:t>
                  </w:r>
                </w:p>
              </w:tc>
            </w:tr>
            <w:tr w14:paraId="4E91CB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61" w:type="pct"/>
                  <w:tcBorders>
                    <w:tl2br w:val="nil"/>
                    <w:tr2bl w:val="nil"/>
                  </w:tcBorders>
                  <w:noWrap w:val="0"/>
                  <w:vAlign w:val="center"/>
                </w:tcPr>
                <w:p w14:paraId="2850F4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bottom"/>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23</w:t>
                  </w:r>
                </w:p>
              </w:tc>
              <w:tc>
                <w:tcPr>
                  <w:tcW w:w="1141" w:type="pct"/>
                  <w:tcBorders>
                    <w:tl2br w:val="nil"/>
                    <w:tr2bl w:val="nil"/>
                  </w:tcBorders>
                  <w:shd w:val="clear" w:color="auto" w:fill="auto"/>
                  <w:noWrap w:val="0"/>
                  <w:vAlign w:val="center"/>
                </w:tcPr>
                <w:p w14:paraId="636841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电</w:t>
                  </w:r>
                </w:p>
              </w:tc>
              <w:tc>
                <w:tcPr>
                  <w:tcW w:w="677" w:type="pct"/>
                  <w:tcBorders>
                    <w:tl2br w:val="nil"/>
                    <w:tr2bl w:val="nil"/>
                  </w:tcBorders>
                  <w:shd w:val="clear" w:color="auto" w:fill="auto"/>
                  <w:noWrap w:val="0"/>
                  <w:vAlign w:val="center"/>
                </w:tcPr>
                <w:p w14:paraId="2B62F8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万kW</w:t>
                  </w:r>
                  <w:r>
                    <w:rPr>
                      <w:rFonts w:hint="default" w:ascii="Times New Roman" w:hAnsi="Times New Roman" w:eastAsia="宋体" w:cs="Times New Roman"/>
                      <w:i w:val="0"/>
                      <w:iCs w:val="0"/>
                      <w:color w:val="auto"/>
                      <w:kern w:val="0"/>
                      <w:sz w:val="21"/>
                      <w:szCs w:val="21"/>
                      <w:highlight w:val="none"/>
                      <w:u w:val="none"/>
                      <w:lang w:val="en-US" w:eastAsia="zh-CN" w:bidi="ar"/>
                    </w:rPr>
                    <w:t>·h</w:t>
                  </w:r>
                </w:p>
              </w:tc>
              <w:tc>
                <w:tcPr>
                  <w:tcW w:w="981" w:type="pct"/>
                  <w:tcBorders>
                    <w:tl2br w:val="nil"/>
                    <w:tr2bl w:val="nil"/>
                  </w:tcBorders>
                  <w:shd w:val="clear" w:color="auto" w:fill="auto"/>
                  <w:noWrap w:val="0"/>
                  <w:vAlign w:val="center"/>
                </w:tcPr>
                <w:p w14:paraId="4DCC69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250</w:t>
                  </w:r>
                </w:p>
              </w:tc>
              <w:tc>
                <w:tcPr>
                  <w:tcW w:w="860" w:type="pct"/>
                  <w:tcBorders>
                    <w:tl2br w:val="nil"/>
                    <w:tr2bl w:val="nil"/>
                  </w:tcBorders>
                  <w:shd w:val="clear" w:color="auto" w:fill="auto"/>
                  <w:noWrap w:val="0"/>
                  <w:vAlign w:val="center"/>
                </w:tcPr>
                <w:p w14:paraId="28B18F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20</w:t>
                  </w:r>
                </w:p>
              </w:tc>
              <w:tc>
                <w:tcPr>
                  <w:tcW w:w="977" w:type="pct"/>
                  <w:tcBorders>
                    <w:tl2br w:val="nil"/>
                    <w:tr2bl w:val="nil"/>
                  </w:tcBorders>
                  <w:shd w:val="clear" w:color="auto" w:fill="auto"/>
                  <w:noWrap w:val="0"/>
                  <w:vAlign w:val="center"/>
                </w:tcPr>
                <w:p w14:paraId="6B3C79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270</w:t>
                  </w:r>
                </w:p>
              </w:tc>
            </w:tr>
          </w:tbl>
          <w:p w14:paraId="2B8C5E83">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jc w:val="left"/>
              <w:textAlignment w:val="auto"/>
              <w:rPr>
                <w:rFonts w:hint="default" w:ascii="Times New Roman" w:hAnsi="Times New Roman" w:cs="Times New Roman"/>
                <w:b w:val="0"/>
                <w:bCs w:val="0"/>
                <w:color w:val="auto"/>
                <w:sz w:val="24"/>
                <w:highlight w:val="none"/>
                <w:lang w:val="en-US" w:eastAsia="zh-CN"/>
              </w:rPr>
            </w:pPr>
            <w:r>
              <w:rPr>
                <w:rFonts w:hint="default" w:ascii="Times New Roman" w:hAnsi="Times New Roman" w:cs="Times New Roman"/>
                <w:b w:val="0"/>
                <w:bCs w:val="0"/>
                <w:color w:val="auto"/>
                <w:sz w:val="24"/>
                <w:highlight w:val="none"/>
              </w:rPr>
              <w:t>主要原辅材料介绍</w:t>
            </w:r>
            <w:r>
              <w:rPr>
                <w:rFonts w:hint="default" w:ascii="Times New Roman" w:hAnsi="Times New Roman" w:cs="Times New Roman"/>
                <w:b w:val="0"/>
                <w:bCs w:val="0"/>
                <w:color w:val="auto"/>
                <w:sz w:val="24"/>
                <w:highlight w:val="none"/>
                <w:lang w:val="en-US" w:eastAsia="zh-CN"/>
              </w:rPr>
              <w:t>如下。</w:t>
            </w:r>
          </w:p>
          <w:p w14:paraId="75EF5B7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lang w:eastAsia="zh-CN"/>
                <w14:textFill>
                  <w14:solidFill>
                    <w14:schemeClr w14:val="tx1"/>
                  </w14:solidFill>
                </w14:textFill>
              </w:rPr>
            </w:pP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1</w:t>
            </w:r>
            <w:r>
              <w:rPr>
                <w:rFonts w:hint="default" w:ascii="Times New Roman" w:hAnsi="Times New Roman" w:cs="Times New Roman"/>
                <w:color w:val="000000" w:themeColor="text1"/>
                <w:sz w:val="24"/>
                <w:szCs w:val="24"/>
                <w:lang w:eastAsia="zh-CN"/>
                <w14:textFill>
                  <w14:solidFill>
                    <w14:schemeClr w14:val="tx1"/>
                  </w14:solidFill>
                </w14:textFill>
              </w:rPr>
              <w:t>）PA66尼龙颗粒：</w:t>
            </w:r>
            <w:r>
              <w:rPr>
                <w:rFonts w:hint="default" w:ascii="Times New Roman" w:hAnsi="Times New Roman" w:cs="Times New Roman"/>
                <w:color w:val="000000" w:themeColor="text1"/>
                <w:sz w:val="24"/>
                <w:szCs w:val="24"/>
                <w:lang w:val="en-US" w:eastAsia="zh-CN"/>
                <w14:textFill>
                  <w14:solidFill>
                    <w14:schemeClr w14:val="tx1"/>
                  </w14:solidFill>
                </w14:textFill>
              </w:rPr>
              <w:t>俗称尼龙66，PA66尼龙颗粒由</w:t>
            </w:r>
            <w:r>
              <w:rPr>
                <w:rFonts w:hint="eastAsia" w:cs="Times New Roman"/>
                <w:color w:val="000000" w:themeColor="text1"/>
                <w:sz w:val="24"/>
                <w:szCs w:val="24"/>
                <w:lang w:val="en-US" w:eastAsia="zh-CN"/>
                <w14:textFill>
                  <w14:solidFill>
                    <w14:schemeClr w14:val="tx1"/>
                  </w14:solidFill>
                </w14:textFill>
              </w:rPr>
              <w:t>75</w:t>
            </w:r>
            <w:r>
              <w:rPr>
                <w:rFonts w:hint="default" w:ascii="Times New Roman" w:hAnsi="Times New Roman" w:cs="Times New Roman"/>
                <w:color w:val="000000" w:themeColor="text1"/>
                <w:sz w:val="24"/>
                <w:szCs w:val="24"/>
                <w:lang w:val="en-US" w:eastAsia="zh-CN"/>
                <w14:textFill>
                  <w14:solidFill>
                    <w14:schemeClr w14:val="tx1"/>
                  </w14:solidFill>
                </w14:textFill>
              </w:rPr>
              <w:t>%聚酰胺树脂和</w:t>
            </w:r>
            <w:r>
              <w:rPr>
                <w:rFonts w:hint="eastAsia" w:cs="Times New Roman"/>
                <w:color w:val="000000" w:themeColor="text1"/>
                <w:sz w:val="24"/>
                <w:szCs w:val="24"/>
                <w:lang w:val="en-US" w:eastAsia="zh-CN"/>
                <w14:textFill>
                  <w14:solidFill>
                    <w14:schemeClr w14:val="tx1"/>
                  </w14:solidFill>
                </w14:textFill>
              </w:rPr>
              <w:t>2</w:t>
            </w:r>
            <w:r>
              <w:rPr>
                <w:rFonts w:hint="default" w:ascii="Times New Roman" w:hAnsi="Times New Roman" w:cs="Times New Roman"/>
                <w:color w:val="000000" w:themeColor="text1"/>
                <w:sz w:val="24"/>
                <w:szCs w:val="24"/>
                <w:lang w:val="en-US" w:eastAsia="zh-CN"/>
                <w14:textFill>
                  <w14:solidFill>
                    <w14:schemeClr w14:val="tx1"/>
                  </w14:solidFill>
                </w14:textFill>
              </w:rPr>
              <w:t>5%玻璃纤维混合熔融产生的塑料粒子。该塑料粒子是一种热塑性树脂，</w:t>
            </w:r>
            <w:r>
              <w:rPr>
                <w:rFonts w:hint="eastAsia" w:cs="Times New Roman"/>
                <w:color w:val="000000" w:themeColor="text1"/>
                <w:sz w:val="24"/>
                <w:szCs w:val="24"/>
                <w:lang w:val="en-US" w:eastAsia="zh-CN"/>
                <w14:textFill>
                  <w14:solidFill>
                    <w14:schemeClr w14:val="tx1"/>
                  </w14:solidFill>
                </w14:textFill>
              </w:rPr>
              <w:t>黑色</w:t>
            </w:r>
            <w:r>
              <w:rPr>
                <w:rFonts w:hint="default" w:ascii="Times New Roman" w:hAnsi="Times New Roman" w:cs="Times New Roman"/>
                <w:color w:val="000000" w:themeColor="text1"/>
                <w:sz w:val="24"/>
                <w:szCs w:val="24"/>
                <w:lang w:val="en-US" w:eastAsia="zh-CN"/>
                <w14:textFill>
                  <w14:solidFill>
                    <w14:schemeClr w14:val="tx1"/>
                  </w14:solidFill>
                </w14:textFill>
              </w:rPr>
              <w:t>固体，密度1.14，熔点2</w:t>
            </w:r>
            <w:r>
              <w:rPr>
                <w:rFonts w:hint="eastAsia" w:cs="Times New Roman"/>
                <w:color w:val="000000" w:themeColor="text1"/>
                <w:sz w:val="24"/>
                <w:szCs w:val="24"/>
                <w:lang w:val="en-US" w:eastAsia="zh-CN"/>
                <w14:textFill>
                  <w14:solidFill>
                    <w14:schemeClr w14:val="tx1"/>
                  </w14:solidFill>
                </w14:textFill>
              </w:rPr>
              <w:t>65</w:t>
            </w:r>
            <w:r>
              <w:rPr>
                <w:rFonts w:hint="default" w:ascii="Times New Roman" w:hAnsi="Times New Roman" w:cs="Times New Roman"/>
                <w:color w:val="000000" w:themeColor="text1"/>
                <w:sz w:val="24"/>
                <w:szCs w:val="24"/>
                <w:lang w:val="en-US" w:eastAsia="zh-CN"/>
                <w14:textFill>
                  <w14:solidFill>
                    <w14:schemeClr w14:val="tx1"/>
                  </w14:solidFill>
                </w14:textFill>
              </w:rPr>
              <w:t>℃，不溶于一般溶剂，仅溶于间苯甲酚等。PA66 尼龙颗粒由25%聚酰胺树脂和75%玻璃纤维混合熔融产生的塑料粒子。</w:t>
            </w:r>
          </w:p>
          <w:p w14:paraId="4BC8F611">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textAlignment w:val="auto"/>
              <w:rPr>
                <w:rFonts w:hint="default" w:ascii="Times New Roman" w:hAnsi="Times New Roman" w:cs="Times New Roman"/>
                <w:b/>
                <w:bCs/>
                <w:color w:val="auto"/>
                <w:highlight w:val="none"/>
                <w:lang w:val="zh-CN"/>
              </w:rPr>
            </w:pPr>
            <w:r>
              <w:rPr>
                <w:rFonts w:hint="default" w:ascii="Times New Roman" w:hAnsi="Times New Roman" w:cs="Times New Roman"/>
                <w:b/>
                <w:bCs/>
                <w:color w:val="auto"/>
                <w:highlight w:val="none"/>
                <w:lang w:val="en-US" w:eastAsia="zh-CN"/>
              </w:rPr>
              <w:t>6</w:t>
            </w:r>
            <w:r>
              <w:rPr>
                <w:rFonts w:hint="default" w:ascii="Times New Roman" w:hAnsi="Times New Roman" w:cs="Times New Roman"/>
                <w:b/>
                <w:bCs/>
                <w:color w:val="auto"/>
                <w:highlight w:val="none"/>
                <w:lang w:val="zh-CN"/>
              </w:rPr>
              <w:t>、公用工程情况</w:t>
            </w:r>
          </w:p>
          <w:p w14:paraId="5A2D66E9">
            <w:pPr>
              <w:keepNext w:val="0"/>
              <w:keepLines w:val="0"/>
              <w:suppressLineNumbers w:val="0"/>
              <w:bidi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（1）给水：本项目位于</w:t>
            </w:r>
            <w:r>
              <w:rPr>
                <w:rFonts w:hint="default" w:ascii="Times New Roman" w:hAnsi="Times New Roman" w:cs="Times New Roman"/>
                <w:color w:val="auto"/>
                <w:highlight w:val="none"/>
                <w:lang w:val="en-US" w:eastAsia="zh-CN"/>
              </w:rPr>
              <w:t>江西安义</w:t>
            </w:r>
            <w:r>
              <w:rPr>
                <w:rFonts w:hint="default" w:ascii="Times New Roman" w:hAnsi="Times New Roman" w:cs="Times New Roman"/>
                <w:color w:val="auto"/>
                <w:highlight w:val="none"/>
                <w:lang w:eastAsia="zh-CN"/>
              </w:rPr>
              <w:t>高新技术产业园区</w:t>
            </w:r>
            <w:r>
              <w:rPr>
                <w:rFonts w:hint="default" w:ascii="Times New Roman" w:hAnsi="Times New Roman" w:cs="Times New Roman"/>
                <w:color w:val="auto"/>
                <w:highlight w:val="none"/>
              </w:rPr>
              <w:t>，用水</w:t>
            </w:r>
            <w:r>
              <w:rPr>
                <w:rFonts w:hint="default" w:ascii="Times New Roman" w:hAnsi="Times New Roman" w:cs="Times New Roman"/>
                <w:color w:val="auto"/>
                <w:highlight w:val="none"/>
                <w:lang w:val="en-US" w:eastAsia="zh-CN"/>
              </w:rPr>
              <w:t>由</w:t>
            </w:r>
            <w:r>
              <w:rPr>
                <w:rFonts w:hint="default" w:ascii="Times New Roman" w:hAnsi="Times New Roman" w:cs="Times New Roman"/>
                <w:color w:val="auto"/>
                <w:highlight w:val="none"/>
              </w:rPr>
              <w:t>园区供水</w:t>
            </w:r>
            <w:r>
              <w:rPr>
                <w:rFonts w:hint="default" w:ascii="Times New Roman" w:hAnsi="Times New Roman" w:cs="Times New Roman"/>
                <w:color w:val="auto"/>
                <w:highlight w:val="none"/>
                <w:lang w:val="en-US" w:eastAsia="zh-CN"/>
              </w:rPr>
              <w:t>管网供给。</w:t>
            </w:r>
          </w:p>
          <w:p w14:paraId="58076DD7">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（2）排水：项目排水实行雨污分流制。雨水排入雨水管网；项目生活污水</w:t>
            </w:r>
            <w:r>
              <w:rPr>
                <w:rFonts w:hint="default" w:ascii="Times New Roman" w:hAnsi="Times New Roman" w:cs="Times New Roman"/>
                <w:color w:val="auto"/>
                <w:highlight w:val="none"/>
                <w:lang w:val="en-US" w:eastAsia="zh-CN"/>
              </w:rPr>
              <w:t>经</w:t>
            </w:r>
            <w:r>
              <w:rPr>
                <w:rFonts w:hint="eastAsia" w:cs="Times New Roman"/>
                <w:color w:val="auto"/>
                <w:highlight w:val="none"/>
                <w:lang w:val="en-US" w:eastAsia="zh-CN"/>
              </w:rPr>
              <w:t>现有隔油池+</w:t>
            </w:r>
            <w:r>
              <w:rPr>
                <w:rFonts w:hint="default" w:ascii="Times New Roman" w:hAnsi="Times New Roman" w:cs="Times New Roman"/>
                <w:color w:val="auto"/>
                <w:highlight w:val="none"/>
              </w:rPr>
              <w:t>化粪池</w:t>
            </w:r>
            <w:r>
              <w:rPr>
                <w:rFonts w:hint="default" w:ascii="Times New Roman" w:hAnsi="Times New Roman" w:cs="Times New Roman"/>
                <w:color w:val="auto"/>
                <w:highlight w:val="none"/>
                <w:lang w:val="en-US" w:eastAsia="zh-CN"/>
              </w:rPr>
              <w:t>预</w:t>
            </w:r>
            <w:r>
              <w:rPr>
                <w:rFonts w:hint="default" w:ascii="Times New Roman" w:hAnsi="Times New Roman" w:cs="Times New Roman"/>
                <w:color w:val="000000" w:themeColor="text1"/>
                <w:highlight w:val="none"/>
                <w14:textFill>
                  <w14:solidFill>
                    <w14:schemeClr w14:val="tx1"/>
                  </w14:solidFill>
                </w14:textFill>
              </w:rPr>
              <w:t>处理</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达《污水综合排放标准》(GB8978-1996)表4中三级标准及</w:t>
            </w:r>
            <w:r>
              <w:rPr>
                <w:rFonts w:hint="default" w:ascii="Times New Roman" w:hAnsi="Times New Roman" w:cs="Times New Roman"/>
                <w:color w:val="000000" w:themeColor="text1"/>
                <w:highlight w:val="none"/>
                <w:lang w:eastAsia="zh-CN"/>
                <w14:textFill>
                  <w14:solidFill>
                    <w14:schemeClr w14:val="tx1"/>
                  </w14:solidFill>
                </w14:textFill>
              </w:rPr>
              <w:t>园区</w:t>
            </w:r>
            <w:r>
              <w:rPr>
                <w:rFonts w:hint="default" w:ascii="Times New Roman" w:hAnsi="Times New Roman" w:cs="Times New Roman"/>
                <w:color w:val="000000" w:themeColor="text1"/>
                <w:highlight w:val="none"/>
                <w14:textFill>
                  <w14:solidFill>
                    <w14:schemeClr w14:val="tx1"/>
                  </w14:solidFill>
                </w14:textFill>
              </w:rPr>
              <w:t>污水处理厂接管标准后排入</w:t>
            </w:r>
            <w:r>
              <w:rPr>
                <w:rFonts w:hint="eastAsia"/>
                <w:color w:val="000000" w:themeColor="text1"/>
                <w:highlight w:val="none"/>
                <w:lang w:val="en-US" w:eastAsia="zh-CN"/>
                <w14:textFill>
                  <w14:solidFill>
                    <w14:schemeClr w14:val="tx1"/>
                  </w14:solidFill>
                </w14:textFill>
              </w:rPr>
              <w:t>江西安义</w:t>
            </w:r>
            <w:r>
              <w:rPr>
                <w:rFonts w:hint="eastAsia"/>
                <w:color w:val="auto"/>
                <w:highlight w:val="none"/>
                <w:lang w:val="en-US" w:eastAsia="zh-CN"/>
              </w:rPr>
              <w:t>高新技术产业园区</w:t>
            </w:r>
            <w:r>
              <w:rPr>
                <w:rFonts w:hint="default" w:ascii="Times New Roman" w:hAnsi="Times New Roman" w:cs="Times New Roman"/>
                <w:color w:val="auto"/>
                <w:highlight w:val="none"/>
                <w:lang w:val="en-US" w:eastAsia="zh-CN"/>
              </w:rPr>
              <w:t>污水处理厂</w:t>
            </w:r>
            <w:r>
              <w:rPr>
                <w:rFonts w:hint="default" w:ascii="Times New Roman" w:hAnsi="Times New Roman" w:cs="Times New Roman"/>
                <w:color w:val="auto"/>
                <w:highlight w:val="none"/>
              </w:rPr>
              <w:t>进行深度处理</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达《城镇污水处理厂污染物排放标准》（</w:t>
            </w:r>
            <w:r>
              <w:rPr>
                <w:rFonts w:hint="default"/>
                <w:color w:val="auto"/>
                <w:highlight w:val="none"/>
                <w:lang w:val="en-US" w:eastAsia="zh-CN"/>
              </w:rPr>
              <w:t>GB18918-2002</w:t>
            </w:r>
            <w:r>
              <w:rPr>
                <w:rFonts w:hint="eastAsia"/>
                <w:color w:val="auto"/>
                <w:highlight w:val="none"/>
                <w:lang w:val="en-US" w:eastAsia="zh-CN"/>
              </w:rPr>
              <w:t>，含2025年</w:t>
            </w:r>
            <w:r>
              <w:rPr>
                <w:rFonts w:hint="default"/>
                <w:color w:val="auto"/>
                <w:highlight w:val="none"/>
                <w:lang w:val="en-US" w:eastAsia="zh-CN"/>
              </w:rPr>
              <w:t>修改单</w:t>
            </w:r>
            <w:r>
              <w:rPr>
                <w:rFonts w:hint="default" w:ascii="Times New Roman" w:hAnsi="Times New Roman" w:cs="Times New Roman"/>
                <w:color w:val="auto"/>
                <w:highlight w:val="none"/>
              </w:rPr>
              <w:t>）一级</w:t>
            </w:r>
            <w:r>
              <w:rPr>
                <w:rFonts w:hint="default" w:ascii="Times New Roman" w:hAnsi="Times New Roman" w:cs="Times New Roman"/>
                <w:color w:val="auto"/>
                <w:highlight w:val="none"/>
                <w:lang w:val="en-US" w:eastAsia="zh-CN"/>
              </w:rPr>
              <w:t>A</w:t>
            </w:r>
            <w:r>
              <w:rPr>
                <w:rFonts w:hint="default" w:ascii="Times New Roman" w:hAnsi="Times New Roman" w:cs="Times New Roman"/>
                <w:color w:val="auto"/>
                <w:highlight w:val="none"/>
              </w:rPr>
              <w:t>标准后排入</w:t>
            </w:r>
            <w:r>
              <w:rPr>
                <w:rFonts w:hint="default" w:ascii="Times New Roman" w:hAnsi="Times New Roman" w:cs="Times New Roman"/>
                <w:color w:val="auto"/>
                <w:highlight w:val="none"/>
                <w:lang w:val="en-US" w:eastAsia="zh-CN"/>
              </w:rPr>
              <w:t>潦河</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项目冷却用水循环使用，</w:t>
            </w:r>
            <w:r>
              <w:rPr>
                <w:rFonts w:hint="eastAsia" w:cs="Times New Roman"/>
                <w:color w:val="auto"/>
                <w:highlight w:val="none"/>
                <w:lang w:val="en-US" w:eastAsia="zh-CN"/>
              </w:rPr>
              <w:t>定期外排</w:t>
            </w:r>
            <w:r>
              <w:rPr>
                <w:rFonts w:hint="default" w:ascii="Times New Roman" w:hAnsi="Times New Roman" w:cs="Times New Roman"/>
                <w:color w:val="auto"/>
                <w:highlight w:val="none"/>
                <w:lang w:val="en-US" w:eastAsia="zh-CN"/>
              </w:rPr>
              <w:t>。</w:t>
            </w:r>
          </w:p>
          <w:p w14:paraId="4602F85E">
            <w:pPr>
              <w:keepNext w:val="0"/>
              <w:keepLines w:val="0"/>
              <w:suppressLineNumbers w:val="0"/>
              <w:bidi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（3）供电：本项目用电由市政电网系统</w:t>
            </w:r>
            <w:r>
              <w:rPr>
                <w:rFonts w:hint="default" w:ascii="Times New Roman" w:hAnsi="Times New Roman" w:cs="Times New Roman"/>
                <w:color w:val="auto"/>
                <w:highlight w:val="none"/>
                <w:lang w:val="en-US" w:eastAsia="zh-CN"/>
              </w:rPr>
              <w:t>供给</w:t>
            </w:r>
            <w:r>
              <w:rPr>
                <w:rFonts w:hint="default" w:ascii="Times New Roman" w:hAnsi="Times New Roman" w:cs="Times New Roman"/>
                <w:color w:val="auto"/>
                <w:highlight w:val="none"/>
              </w:rPr>
              <w:t>。</w:t>
            </w:r>
          </w:p>
          <w:p w14:paraId="6F6C8725">
            <w:pPr>
              <w:keepNext w:val="0"/>
              <w:keepLines w:val="0"/>
              <w:suppressLineNumbers w:val="0"/>
              <w:bidi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eastAsia" w:cs="Times New Roman"/>
                <w:color w:val="auto"/>
                <w:sz w:val="24"/>
                <w:lang w:val="en-US" w:eastAsia="zh-CN"/>
              </w:rPr>
              <w:t>项目冷却水循环水量420.96t/d，补充水量0.48t/d，企业水重复利用率为99.89%，</w:t>
            </w:r>
            <w:r>
              <w:rPr>
                <w:rFonts w:hint="default" w:ascii="Times New Roman" w:hAnsi="Times New Roman" w:eastAsia="宋体" w:cs="Times New Roman"/>
                <w:color w:val="auto"/>
                <w:sz w:val="24"/>
                <w:lang w:val="en-US" w:eastAsia="zh-CN"/>
              </w:rPr>
              <w:t>本项目用水平衡见表2-</w:t>
            </w:r>
            <w:r>
              <w:rPr>
                <w:rFonts w:hint="eastAsia" w:cs="Times New Roman"/>
                <w:color w:val="auto"/>
                <w:sz w:val="24"/>
                <w:lang w:val="en-US" w:eastAsia="zh-CN"/>
              </w:rPr>
              <w:t>9</w:t>
            </w:r>
            <w:r>
              <w:rPr>
                <w:rFonts w:hint="default" w:ascii="Times New Roman" w:hAnsi="Times New Roman" w:eastAsia="宋体" w:cs="Times New Roman"/>
                <w:color w:val="auto"/>
                <w:sz w:val="24"/>
                <w:lang w:val="en-US" w:eastAsia="zh-CN"/>
              </w:rPr>
              <w:t>，水平衡见图2-1。</w:t>
            </w:r>
          </w:p>
          <w:p w14:paraId="07A953C1">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4"/>
                <w:lang w:val="en-US" w:eastAsia="zh-CN" w:bidi="ar-SA"/>
              </w:rPr>
            </w:pPr>
            <w:r>
              <w:rPr>
                <w:rFonts w:hint="default" w:ascii="Times New Roman" w:hAnsi="Times New Roman" w:eastAsia="宋体" w:cs="Times New Roman"/>
                <w:b/>
                <w:bCs/>
                <w:color w:val="auto"/>
                <w:kern w:val="2"/>
                <w:sz w:val="21"/>
                <w:szCs w:val="24"/>
                <w:lang w:val="en-US" w:eastAsia="zh-CN" w:bidi="ar-SA"/>
              </w:rPr>
              <w:t>表2-</w:t>
            </w:r>
            <w:r>
              <w:rPr>
                <w:rFonts w:hint="eastAsia" w:cs="Times New Roman"/>
                <w:b/>
                <w:bCs/>
                <w:color w:val="auto"/>
                <w:kern w:val="2"/>
                <w:sz w:val="21"/>
                <w:szCs w:val="24"/>
                <w:lang w:val="en-US" w:eastAsia="zh-CN" w:bidi="ar-SA"/>
              </w:rPr>
              <w:t>9</w:t>
            </w:r>
            <w:r>
              <w:rPr>
                <w:rFonts w:hint="default" w:ascii="Times New Roman" w:hAnsi="Times New Roman" w:eastAsia="宋体" w:cs="Times New Roman"/>
                <w:b/>
                <w:bCs/>
                <w:color w:val="auto"/>
                <w:kern w:val="2"/>
                <w:sz w:val="21"/>
                <w:szCs w:val="24"/>
                <w:lang w:val="en-US" w:eastAsia="zh-CN" w:bidi="ar-SA"/>
              </w:rPr>
              <w:t xml:space="preserve">   项目水平衡一览表   单位：m</w:t>
            </w:r>
            <w:r>
              <w:rPr>
                <w:rFonts w:hint="default" w:ascii="Times New Roman" w:hAnsi="Times New Roman" w:eastAsia="宋体" w:cs="Times New Roman"/>
                <w:b/>
                <w:bCs/>
                <w:color w:val="auto"/>
                <w:kern w:val="2"/>
                <w:sz w:val="21"/>
                <w:szCs w:val="24"/>
                <w:vertAlign w:val="superscript"/>
                <w:lang w:val="en-US" w:eastAsia="zh-CN" w:bidi="ar-SA"/>
              </w:rPr>
              <w:t>3</w:t>
            </w:r>
            <w:r>
              <w:rPr>
                <w:rFonts w:hint="default" w:ascii="Times New Roman" w:hAnsi="Times New Roman" w:eastAsia="宋体" w:cs="Times New Roman"/>
                <w:b/>
                <w:bCs/>
                <w:color w:val="auto"/>
                <w:kern w:val="2"/>
                <w:sz w:val="21"/>
                <w:szCs w:val="24"/>
                <w:lang w:val="en-US" w:eastAsia="zh-CN" w:bidi="ar-SA"/>
              </w:rPr>
              <w:t>/</w:t>
            </w:r>
            <w:r>
              <w:rPr>
                <w:rFonts w:hint="eastAsia" w:cs="Times New Roman"/>
                <w:b/>
                <w:bCs/>
                <w:color w:val="auto"/>
                <w:kern w:val="2"/>
                <w:sz w:val="21"/>
                <w:szCs w:val="24"/>
                <w:lang w:val="en-US" w:eastAsia="zh-CN" w:bidi="ar-SA"/>
              </w:rPr>
              <w:t>d</w:t>
            </w:r>
          </w:p>
          <w:tbl>
            <w:tblPr>
              <w:tblStyle w:val="32"/>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812"/>
              <w:gridCol w:w="1649"/>
              <w:gridCol w:w="1710"/>
              <w:gridCol w:w="1260"/>
              <w:gridCol w:w="1651"/>
              <w:gridCol w:w="1304"/>
            </w:tblGrid>
            <w:tr w14:paraId="0429F73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812" w:type="dxa"/>
                  <w:vMerge w:val="restart"/>
                  <w:tcBorders>
                    <w:bottom w:val="single" w:color="auto" w:sz="12" w:space="0"/>
                  </w:tcBorders>
                  <w:noWrap w:val="0"/>
                  <w:vAlign w:val="center"/>
                </w:tcPr>
                <w:p w14:paraId="1FCBBC2A">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shd w:val="clear" w:color="auto" w:fill="FFFFFF"/>
                    </w:rPr>
                  </w:pPr>
                  <w:r>
                    <w:rPr>
                      <w:rFonts w:hint="default" w:ascii="Times New Roman" w:hAnsi="Times New Roman" w:cs="Times New Roman"/>
                      <w:b/>
                      <w:bCs/>
                      <w:color w:val="auto"/>
                      <w:sz w:val="21"/>
                      <w:szCs w:val="21"/>
                      <w:shd w:val="clear" w:color="auto" w:fill="FFFFFF"/>
                      <w:lang w:val="en-US" w:eastAsia="zh-CN"/>
                    </w:rPr>
                    <w:t>序号</w:t>
                  </w:r>
                </w:p>
              </w:tc>
              <w:tc>
                <w:tcPr>
                  <w:tcW w:w="1649" w:type="dxa"/>
                  <w:vMerge w:val="restart"/>
                  <w:tcBorders>
                    <w:bottom w:val="single" w:color="auto" w:sz="12" w:space="0"/>
                  </w:tcBorders>
                  <w:noWrap w:val="0"/>
                  <w:vAlign w:val="center"/>
                </w:tcPr>
                <w:p w14:paraId="41A3F126">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shd w:val="clear" w:color="auto" w:fill="FFFFFF"/>
                    </w:rPr>
                  </w:pPr>
                  <w:r>
                    <w:rPr>
                      <w:rFonts w:hint="default" w:ascii="Times New Roman" w:hAnsi="Times New Roman" w:eastAsia="宋体" w:cs="Times New Roman"/>
                      <w:b/>
                      <w:bCs/>
                      <w:color w:val="auto"/>
                      <w:sz w:val="21"/>
                      <w:szCs w:val="21"/>
                      <w:shd w:val="clear" w:color="auto" w:fill="FFFFFF"/>
                    </w:rPr>
                    <w:t>用水工序</w:t>
                  </w:r>
                </w:p>
              </w:tc>
              <w:tc>
                <w:tcPr>
                  <w:tcW w:w="1710" w:type="dxa"/>
                  <w:tcBorders>
                    <w:bottom w:val="single" w:color="auto" w:sz="12" w:space="0"/>
                  </w:tcBorders>
                  <w:noWrap w:val="0"/>
                  <w:vAlign w:val="center"/>
                </w:tcPr>
                <w:p w14:paraId="3047332A">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shd w:val="clear" w:color="auto" w:fill="FFFFFF"/>
                    </w:rPr>
                  </w:pPr>
                  <w:r>
                    <w:rPr>
                      <w:rFonts w:hint="default" w:ascii="Times New Roman" w:hAnsi="Times New Roman" w:cs="Times New Roman"/>
                      <w:b/>
                      <w:bCs/>
                      <w:color w:val="auto"/>
                      <w:sz w:val="21"/>
                      <w:szCs w:val="21"/>
                      <w:shd w:val="clear" w:color="auto" w:fill="FFFFFF"/>
                      <w:lang w:val="en-US" w:eastAsia="zh-CN"/>
                    </w:rPr>
                    <w:t>投入量</w:t>
                  </w:r>
                </w:p>
              </w:tc>
              <w:tc>
                <w:tcPr>
                  <w:tcW w:w="1260" w:type="dxa"/>
                  <w:vMerge w:val="restart"/>
                  <w:tcBorders>
                    <w:bottom w:val="single" w:color="auto" w:sz="12" w:space="0"/>
                  </w:tcBorders>
                  <w:noWrap w:val="0"/>
                  <w:vAlign w:val="center"/>
                </w:tcPr>
                <w:p w14:paraId="08F464B6">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shd w:val="clear" w:color="auto" w:fill="FFFFFF"/>
                    </w:rPr>
                  </w:pPr>
                  <w:r>
                    <w:rPr>
                      <w:rFonts w:hint="default" w:ascii="Times New Roman" w:hAnsi="Times New Roman" w:eastAsia="宋体" w:cs="Times New Roman"/>
                      <w:b/>
                      <w:bCs/>
                      <w:color w:val="auto"/>
                      <w:sz w:val="21"/>
                      <w:szCs w:val="21"/>
                      <w:shd w:val="clear" w:color="auto" w:fill="FFFFFF"/>
                    </w:rPr>
                    <w:t>循环</w:t>
                  </w:r>
                  <w:r>
                    <w:rPr>
                      <w:rFonts w:hint="default" w:ascii="Times New Roman" w:hAnsi="Times New Roman" w:cs="Times New Roman"/>
                      <w:b/>
                      <w:bCs/>
                      <w:color w:val="auto"/>
                      <w:sz w:val="21"/>
                      <w:szCs w:val="21"/>
                      <w:shd w:val="clear" w:color="auto" w:fill="FFFFFF"/>
                      <w:lang w:val="en-US" w:eastAsia="zh-CN"/>
                    </w:rPr>
                    <w:t>水</w:t>
                  </w:r>
                </w:p>
              </w:tc>
              <w:tc>
                <w:tcPr>
                  <w:tcW w:w="2953" w:type="dxa"/>
                  <w:gridSpan w:val="2"/>
                  <w:tcBorders>
                    <w:bottom w:val="single" w:color="auto" w:sz="12" w:space="0"/>
                  </w:tcBorders>
                  <w:noWrap w:val="0"/>
                  <w:vAlign w:val="center"/>
                </w:tcPr>
                <w:p w14:paraId="3EC049F7">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shd w:val="clear" w:color="auto" w:fill="FFFFFF"/>
                    </w:rPr>
                  </w:pPr>
                  <w:r>
                    <w:rPr>
                      <w:rFonts w:hint="default" w:ascii="Times New Roman" w:hAnsi="Times New Roman" w:cs="Times New Roman"/>
                      <w:b/>
                      <w:bCs/>
                      <w:color w:val="auto"/>
                      <w:sz w:val="21"/>
                      <w:szCs w:val="21"/>
                      <w:shd w:val="clear" w:color="auto" w:fill="FFFFFF"/>
                      <w:lang w:val="en-US" w:eastAsia="zh-CN"/>
                    </w:rPr>
                    <w:t>排出量</w:t>
                  </w:r>
                </w:p>
              </w:tc>
            </w:tr>
            <w:tr w14:paraId="3265991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812" w:type="dxa"/>
                  <w:vMerge w:val="continue"/>
                  <w:tcBorders>
                    <w:top w:val="single" w:color="auto" w:sz="12" w:space="0"/>
                  </w:tcBorders>
                  <w:noWrap w:val="0"/>
                  <w:vAlign w:val="center"/>
                </w:tcPr>
                <w:p w14:paraId="1E887853">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lang w:val="en-US" w:eastAsia="zh-CN" w:bidi="ar-SA"/>
                    </w:rPr>
                  </w:pPr>
                </w:p>
              </w:tc>
              <w:tc>
                <w:tcPr>
                  <w:tcW w:w="1649" w:type="dxa"/>
                  <w:vMerge w:val="continue"/>
                  <w:tcBorders>
                    <w:top w:val="single" w:color="auto" w:sz="12" w:space="0"/>
                  </w:tcBorders>
                  <w:noWrap w:val="0"/>
                  <w:vAlign w:val="center"/>
                </w:tcPr>
                <w:p w14:paraId="0E30F5FD">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lang w:val="en-US" w:eastAsia="zh-CN" w:bidi="ar-SA"/>
                    </w:rPr>
                  </w:pPr>
                </w:p>
              </w:tc>
              <w:tc>
                <w:tcPr>
                  <w:tcW w:w="1710" w:type="dxa"/>
                  <w:tcBorders>
                    <w:top w:val="single" w:color="auto" w:sz="12" w:space="0"/>
                  </w:tcBorders>
                  <w:noWrap w:val="0"/>
                  <w:vAlign w:val="center"/>
                </w:tcPr>
                <w:p w14:paraId="0F30F156">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bCs/>
                      <w:color w:val="auto"/>
                      <w:sz w:val="21"/>
                      <w:szCs w:val="21"/>
                      <w:shd w:val="clear" w:color="auto" w:fill="FFFFFF"/>
                    </w:rPr>
                    <w:t>新鲜水</w:t>
                  </w:r>
                </w:p>
              </w:tc>
              <w:tc>
                <w:tcPr>
                  <w:tcW w:w="1260" w:type="dxa"/>
                  <w:vMerge w:val="continue"/>
                  <w:tcBorders>
                    <w:top w:val="single" w:color="auto" w:sz="12" w:space="0"/>
                  </w:tcBorders>
                  <w:noWrap w:val="0"/>
                  <w:vAlign w:val="center"/>
                </w:tcPr>
                <w:p w14:paraId="2FAC8951">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lang w:val="en-US" w:eastAsia="zh-CN" w:bidi="ar-SA"/>
                    </w:rPr>
                  </w:pPr>
                </w:p>
              </w:tc>
              <w:tc>
                <w:tcPr>
                  <w:tcW w:w="1650" w:type="dxa"/>
                  <w:tcBorders>
                    <w:top w:val="single" w:color="auto" w:sz="12" w:space="0"/>
                  </w:tcBorders>
                  <w:noWrap w:val="0"/>
                  <w:vAlign w:val="center"/>
                </w:tcPr>
                <w:p w14:paraId="74ECA68E">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b/>
                      <w:bCs/>
                      <w:color w:val="auto"/>
                      <w:sz w:val="21"/>
                      <w:szCs w:val="21"/>
                      <w:shd w:val="clear" w:color="auto" w:fill="FFFFFF"/>
                      <w:lang w:val="en-US" w:eastAsia="zh-CN"/>
                    </w:rPr>
                    <w:t>蒸发及损耗</w:t>
                  </w:r>
                </w:p>
              </w:tc>
              <w:tc>
                <w:tcPr>
                  <w:tcW w:w="1303" w:type="dxa"/>
                  <w:tcBorders>
                    <w:top w:val="single" w:color="auto" w:sz="12" w:space="0"/>
                  </w:tcBorders>
                  <w:noWrap w:val="0"/>
                  <w:vAlign w:val="center"/>
                </w:tcPr>
                <w:p w14:paraId="427CE119">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rPr>
                  </w:pPr>
                  <w:r>
                    <w:rPr>
                      <w:rFonts w:hint="default" w:ascii="Times New Roman" w:hAnsi="Times New Roman" w:eastAsia="宋体" w:cs="Times New Roman"/>
                      <w:b/>
                      <w:bCs/>
                      <w:color w:val="auto"/>
                      <w:sz w:val="21"/>
                      <w:szCs w:val="21"/>
                      <w:shd w:val="clear" w:color="auto" w:fill="FFFFFF"/>
                    </w:rPr>
                    <w:t>排放</w:t>
                  </w:r>
                  <w:r>
                    <w:rPr>
                      <w:rFonts w:hint="default" w:ascii="Times New Roman" w:hAnsi="Times New Roman" w:cs="Times New Roman"/>
                      <w:b/>
                      <w:bCs/>
                      <w:color w:val="auto"/>
                      <w:sz w:val="21"/>
                      <w:szCs w:val="21"/>
                      <w:shd w:val="clear" w:color="auto" w:fill="FFFFFF"/>
                      <w:lang w:val="en-US" w:eastAsia="zh-CN"/>
                    </w:rPr>
                    <w:t>水</w:t>
                  </w:r>
                </w:p>
              </w:tc>
            </w:tr>
            <w:tr w14:paraId="71C92E8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68" w:hRule="atLeast"/>
                <w:jc w:val="center"/>
              </w:trPr>
              <w:tc>
                <w:tcPr>
                  <w:tcW w:w="812" w:type="dxa"/>
                  <w:noWrap w:val="0"/>
                  <w:vAlign w:val="center"/>
                </w:tcPr>
                <w:p w14:paraId="3B865362">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1</w:t>
                  </w:r>
                </w:p>
              </w:tc>
              <w:tc>
                <w:tcPr>
                  <w:tcW w:w="1649" w:type="dxa"/>
                  <w:noWrap w:val="0"/>
                  <w:vAlign w:val="center"/>
                </w:tcPr>
                <w:p w14:paraId="31E1D428">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循环</w:t>
                  </w:r>
                  <w:r>
                    <w:rPr>
                      <w:rFonts w:hint="default" w:ascii="Times New Roman" w:hAnsi="Times New Roman" w:eastAsia="宋体" w:cs="Times New Roman"/>
                      <w:color w:val="auto"/>
                      <w:sz w:val="21"/>
                      <w:szCs w:val="21"/>
                      <w:lang w:val="en-US" w:eastAsia="zh-CN"/>
                    </w:rPr>
                    <w:t>冷却用水</w:t>
                  </w:r>
                </w:p>
              </w:tc>
              <w:tc>
                <w:tcPr>
                  <w:tcW w:w="1710" w:type="dxa"/>
                  <w:noWrap w:val="0"/>
                  <w:vAlign w:val="center"/>
                </w:tcPr>
                <w:p w14:paraId="5B18B6A5">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0.48</w:t>
                  </w:r>
                </w:p>
              </w:tc>
              <w:tc>
                <w:tcPr>
                  <w:tcW w:w="1260" w:type="dxa"/>
                  <w:noWrap w:val="0"/>
                  <w:vAlign w:val="center"/>
                </w:tcPr>
                <w:p w14:paraId="59FE1DC5">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420.96</w:t>
                  </w:r>
                </w:p>
              </w:tc>
              <w:tc>
                <w:tcPr>
                  <w:tcW w:w="1650" w:type="dxa"/>
                  <w:noWrap w:val="0"/>
                  <w:vAlign w:val="center"/>
                </w:tcPr>
                <w:p w14:paraId="237D42D8">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0.42</w:t>
                  </w:r>
                </w:p>
              </w:tc>
              <w:tc>
                <w:tcPr>
                  <w:tcW w:w="1303" w:type="dxa"/>
                  <w:noWrap w:val="0"/>
                  <w:vAlign w:val="center"/>
                </w:tcPr>
                <w:p w14:paraId="64BB53FC">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lang w:val="en-US"/>
                    </w:rPr>
                  </w:pPr>
                  <w:r>
                    <w:rPr>
                      <w:rFonts w:hint="eastAsia" w:cs="Times New Roman"/>
                      <w:color w:val="auto"/>
                      <w:kern w:val="2"/>
                      <w:sz w:val="21"/>
                      <w:szCs w:val="21"/>
                      <w:lang w:val="en-US" w:eastAsia="zh-CN" w:bidi="ar-SA"/>
                    </w:rPr>
                    <w:t>0.06</w:t>
                  </w:r>
                </w:p>
              </w:tc>
            </w:tr>
            <w:tr w14:paraId="65275B4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812" w:type="dxa"/>
                  <w:noWrap w:val="0"/>
                  <w:vAlign w:val="center"/>
                </w:tcPr>
                <w:p w14:paraId="04587FD8">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cs="Times New Roman"/>
                      <w:color w:val="auto"/>
                      <w:kern w:val="2"/>
                      <w:sz w:val="21"/>
                      <w:szCs w:val="21"/>
                      <w:lang w:val="en-US" w:eastAsia="zh-CN" w:bidi="ar-SA"/>
                    </w:rPr>
                    <w:t>2</w:t>
                  </w:r>
                </w:p>
              </w:tc>
              <w:tc>
                <w:tcPr>
                  <w:tcW w:w="1649" w:type="dxa"/>
                  <w:noWrap w:val="0"/>
                  <w:vAlign w:val="center"/>
                </w:tcPr>
                <w:p w14:paraId="20D2B468">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员工生活</w:t>
                  </w:r>
                </w:p>
              </w:tc>
              <w:tc>
                <w:tcPr>
                  <w:tcW w:w="1710" w:type="dxa"/>
                  <w:noWrap w:val="0"/>
                  <w:vAlign w:val="center"/>
                </w:tcPr>
                <w:p w14:paraId="02080F1F">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eastAsia" w:cs="Times New Roman"/>
                      <w:color w:val="auto"/>
                      <w:kern w:val="2"/>
                      <w:sz w:val="21"/>
                      <w:szCs w:val="21"/>
                      <w:lang w:val="en-US" w:eastAsia="zh-CN" w:bidi="ar-SA"/>
                    </w:rPr>
                    <w:t>2.4</w:t>
                  </w:r>
                </w:p>
              </w:tc>
              <w:tc>
                <w:tcPr>
                  <w:tcW w:w="1260" w:type="dxa"/>
                  <w:noWrap w:val="0"/>
                  <w:vAlign w:val="center"/>
                </w:tcPr>
                <w:p w14:paraId="25EEA915">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w:t>
                  </w:r>
                </w:p>
              </w:tc>
              <w:tc>
                <w:tcPr>
                  <w:tcW w:w="1650" w:type="dxa"/>
                  <w:noWrap w:val="0"/>
                  <w:vAlign w:val="center"/>
                </w:tcPr>
                <w:p w14:paraId="411EF632">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0.48</w:t>
                  </w:r>
                </w:p>
              </w:tc>
              <w:tc>
                <w:tcPr>
                  <w:tcW w:w="1303" w:type="dxa"/>
                  <w:noWrap w:val="0"/>
                  <w:vAlign w:val="center"/>
                </w:tcPr>
                <w:p w14:paraId="370930AA">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lang w:val="en-US"/>
                    </w:rPr>
                  </w:pPr>
                  <w:r>
                    <w:rPr>
                      <w:rFonts w:hint="eastAsia" w:cs="Times New Roman"/>
                      <w:color w:val="auto"/>
                      <w:kern w:val="2"/>
                      <w:sz w:val="21"/>
                      <w:szCs w:val="21"/>
                      <w:lang w:val="en-US" w:eastAsia="zh-CN" w:bidi="ar-SA"/>
                    </w:rPr>
                    <w:t>1.92</w:t>
                  </w:r>
                </w:p>
              </w:tc>
            </w:tr>
            <w:tr w14:paraId="5385359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461" w:type="dxa"/>
                  <w:gridSpan w:val="2"/>
                  <w:noWrap w:val="0"/>
                  <w:vAlign w:val="center"/>
                </w:tcPr>
                <w:p w14:paraId="27A77594">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合计</w:t>
                  </w:r>
                </w:p>
              </w:tc>
              <w:tc>
                <w:tcPr>
                  <w:tcW w:w="1710" w:type="dxa"/>
                  <w:noWrap w:val="0"/>
                  <w:vAlign w:val="center"/>
                </w:tcPr>
                <w:p w14:paraId="426D4116">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2.88</w:t>
                  </w:r>
                </w:p>
              </w:tc>
              <w:tc>
                <w:tcPr>
                  <w:tcW w:w="1260" w:type="dxa"/>
                  <w:noWrap w:val="0"/>
                  <w:vAlign w:val="center"/>
                </w:tcPr>
                <w:p w14:paraId="31DAA891">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420.96</w:t>
                  </w:r>
                </w:p>
              </w:tc>
              <w:tc>
                <w:tcPr>
                  <w:tcW w:w="1650" w:type="dxa"/>
                  <w:noWrap w:val="0"/>
                  <w:vAlign w:val="center"/>
                </w:tcPr>
                <w:p w14:paraId="6E733024">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0.9</w:t>
                  </w:r>
                </w:p>
              </w:tc>
              <w:tc>
                <w:tcPr>
                  <w:tcW w:w="1303" w:type="dxa"/>
                  <w:noWrap w:val="0"/>
                  <w:vAlign w:val="center"/>
                </w:tcPr>
                <w:p w14:paraId="7484F01B">
                  <w:pPr>
                    <w:keepNext w:val="0"/>
                    <w:keepLines w:val="0"/>
                    <w:pageBreakBefore w:val="0"/>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1.98</w:t>
                  </w:r>
                </w:p>
              </w:tc>
            </w:tr>
          </w:tbl>
          <w:p w14:paraId="139200C0">
            <w:pPr>
              <w:keepNext w:val="0"/>
              <w:keepLines w:val="0"/>
              <w:widowControl w:val="0"/>
              <w:suppressLineNumbers w:val="0"/>
              <w:autoSpaceDE w:val="0"/>
              <w:autoSpaceDN w:val="0"/>
              <w:spacing w:before="0" w:beforeAutospacing="0" w:after="0" w:afterAutospacing="0"/>
              <w:ind w:left="0" w:leftChars="0" w:right="0"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object>
                <v:shape id="_x0000_i1025" o:spt="75" type="#_x0000_t75" style="height:129.95pt;width:360.2pt;" o:ole="t" filled="f" o:preferrelative="t" stroked="f" coordsize="21600,21600">
                  <v:path/>
                  <v:fill on="f" focussize="0,0"/>
                  <v:stroke on="f"/>
                  <v:imagedata r:id="rId14" o:title=""/>
                  <o:lock v:ext="edit" aspectratio="t"/>
                  <w10:wrap type="none"/>
                  <w10:anchorlock/>
                </v:shape>
                <o:OLEObject Type="Embed" ProgID="Visio.Drawing.11" ShapeID="_x0000_i1025" DrawAspect="Content" ObjectID="_1468075725" r:id="rId13">
                  <o:LockedField>false</o:LockedField>
                </o:OLEObject>
              </w:object>
            </w:r>
          </w:p>
          <w:p w14:paraId="056D94E6">
            <w:pPr>
              <w:keepNext w:val="0"/>
              <w:keepLines w:val="0"/>
              <w:widowControl w:val="0"/>
              <w:suppressLineNumbers w:val="0"/>
              <w:autoSpaceDE w:val="0"/>
              <w:autoSpaceDN w:val="0"/>
              <w:spacing w:before="0" w:beforeAutospacing="0" w:after="0" w:afterAutospacing="0" w:line="240" w:lineRule="auto"/>
              <w:ind w:left="0" w:right="0"/>
              <w:jc w:val="center"/>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图2-</w:t>
            </w:r>
            <w:r>
              <w:rPr>
                <w:rFonts w:hint="default" w:ascii="Times New Roman" w:hAnsi="Times New Roman" w:cs="Times New Roman"/>
                <w:b/>
                <w:bCs/>
                <w:color w:val="auto"/>
                <w:kern w:val="2"/>
                <w:sz w:val="21"/>
                <w:szCs w:val="21"/>
                <w:lang w:val="en-US" w:eastAsia="zh-CN" w:bidi="ar-SA"/>
              </w:rPr>
              <w:t>1</w:t>
            </w:r>
            <w:r>
              <w:rPr>
                <w:rFonts w:hint="default" w:ascii="Times New Roman" w:hAnsi="Times New Roman" w:eastAsia="宋体" w:cs="Times New Roman"/>
                <w:b/>
                <w:bCs/>
                <w:color w:val="auto"/>
                <w:kern w:val="2"/>
                <w:sz w:val="21"/>
                <w:szCs w:val="21"/>
                <w:lang w:val="en-US" w:eastAsia="zh-CN" w:bidi="ar-SA"/>
              </w:rPr>
              <w:t xml:space="preserve">  </w:t>
            </w:r>
            <w:r>
              <w:rPr>
                <w:rFonts w:hint="eastAsia" w:cs="Times New Roman"/>
                <w:b/>
                <w:bCs/>
                <w:color w:val="auto"/>
                <w:kern w:val="2"/>
                <w:sz w:val="21"/>
                <w:szCs w:val="21"/>
                <w:lang w:val="en-US" w:eastAsia="zh-CN" w:bidi="ar-SA"/>
              </w:rPr>
              <w:t>本</w:t>
            </w:r>
            <w:r>
              <w:rPr>
                <w:rFonts w:hint="default" w:ascii="Times New Roman" w:hAnsi="Times New Roman" w:eastAsia="宋体" w:cs="Times New Roman"/>
                <w:b/>
                <w:bCs/>
                <w:color w:val="auto"/>
                <w:kern w:val="2"/>
                <w:sz w:val="21"/>
                <w:szCs w:val="21"/>
                <w:lang w:val="en-US" w:eastAsia="zh-CN" w:bidi="ar-SA"/>
              </w:rPr>
              <w:t>项目水平衡图  单位：</w:t>
            </w:r>
            <w:r>
              <w:rPr>
                <w:rFonts w:hint="eastAsia" w:cs="Times New Roman"/>
                <w:b/>
                <w:bCs/>
                <w:color w:val="auto"/>
                <w:kern w:val="2"/>
                <w:sz w:val="21"/>
                <w:szCs w:val="21"/>
                <w:lang w:val="en-US" w:eastAsia="zh-CN" w:bidi="ar-SA"/>
              </w:rPr>
              <w:t>m</w:t>
            </w:r>
            <w:r>
              <w:rPr>
                <w:rFonts w:hint="eastAsia" w:cs="Times New Roman"/>
                <w:b/>
                <w:bCs/>
                <w:color w:val="auto"/>
                <w:kern w:val="2"/>
                <w:sz w:val="21"/>
                <w:szCs w:val="21"/>
                <w:vertAlign w:val="superscript"/>
                <w:lang w:val="en-US" w:eastAsia="zh-CN" w:bidi="ar-SA"/>
              </w:rPr>
              <w:t>3</w:t>
            </w:r>
            <w:r>
              <w:rPr>
                <w:rFonts w:hint="default" w:ascii="Times New Roman" w:hAnsi="Times New Roman" w:eastAsia="宋体" w:cs="Times New Roman"/>
                <w:b/>
                <w:bCs/>
                <w:color w:val="auto"/>
                <w:kern w:val="2"/>
                <w:sz w:val="21"/>
                <w:szCs w:val="21"/>
                <w:lang w:val="en-US" w:eastAsia="zh-CN" w:bidi="ar-SA"/>
              </w:rPr>
              <w:t>/</w:t>
            </w:r>
            <w:r>
              <w:rPr>
                <w:rFonts w:hint="eastAsia" w:ascii="Times New Roman" w:hAnsi="Times New Roman" w:eastAsia="宋体" w:cs="Times New Roman"/>
                <w:b/>
                <w:bCs/>
                <w:color w:val="auto"/>
                <w:kern w:val="2"/>
                <w:sz w:val="21"/>
                <w:szCs w:val="21"/>
                <w:lang w:val="en-US" w:eastAsia="zh-CN" w:bidi="ar-SA"/>
              </w:rPr>
              <w:t>d</w:t>
            </w:r>
          </w:p>
          <w:p w14:paraId="6A2B17AB">
            <w:pPr>
              <w:keepNext w:val="0"/>
              <w:keepLines w:val="0"/>
              <w:widowControl w:val="0"/>
              <w:suppressLineNumbers w:val="0"/>
              <w:autoSpaceDE w:val="0"/>
              <w:autoSpaceDN w:val="0"/>
              <w:spacing w:before="0" w:beforeAutospacing="0" w:after="0" w:afterAutospacing="0"/>
              <w:ind w:left="0" w:leftChars="0" w:right="0"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rPr>
              <mc:AlternateContent>
                <mc:Choice Requires="wps">
                  <w:drawing>
                    <wp:anchor distT="0" distB="0" distL="114300" distR="114300" simplePos="0" relativeHeight="251666432" behindDoc="0" locked="0" layoutInCell="1" allowOverlap="1">
                      <wp:simplePos x="0" y="0"/>
                      <wp:positionH relativeFrom="column">
                        <wp:posOffset>3138170</wp:posOffset>
                      </wp:positionH>
                      <wp:positionV relativeFrom="paragraph">
                        <wp:posOffset>184150</wp:posOffset>
                      </wp:positionV>
                      <wp:extent cx="793750" cy="292100"/>
                      <wp:effectExtent l="0" t="0" r="0" b="0"/>
                      <wp:wrapNone/>
                      <wp:docPr id="60" name="矩形 60"/>
                      <wp:cNvGraphicFramePr/>
                      <a:graphic xmlns:a="http://schemas.openxmlformats.org/drawingml/2006/main">
                        <a:graphicData uri="http://schemas.microsoft.com/office/word/2010/wordprocessingShape">
                          <wps:wsp>
                            <wps:cNvSpPr/>
                            <wps:spPr>
                              <a:xfrm>
                                <a:off x="0" y="0"/>
                                <a:ext cx="793750" cy="292100"/>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3BB9CB0D">
                                  <w:pPr>
                                    <w:ind w:left="0" w:leftChars="0"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7.1pt;margin-top:14.5pt;height:23pt;width:62.5pt;z-index:251666432;v-text-anchor:middle;mso-width-relative:page;mso-height-relative:page;" filled="f" stroked="f" coordsize="21600,21600" o:gfxdata="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4ljGR1wAAAAkBAAAP&#10;AAAAAAAAAAEAIAAAACIAAABkcnMvZG93bnJldi54bWxQSwECFAAUAAAACACHTuJAZP6N5lICAACX&#10;BAAADgAAAAAAAAABACAAAAAmAQAAZHJzL2Uyb0RvYy54bWxQSwUGAAAAAAYABgBZAQAA6gUAAAAA&#10;">
                      <v:fill on="f" focussize="0,0"/>
                      <v:stroke on="f" weight="2pt"/>
                      <v:imagedata o:title=""/>
                      <o:lock v:ext="edit" aspectratio="f"/>
                      <v:textbox>
                        <w:txbxContent>
                          <w:p w14:paraId="3BB9CB0D">
                            <w:pPr>
                              <w:ind w:left="0" w:leftChars="0"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本项目</w:t>
                            </w:r>
                          </w:p>
                        </w:txbxContent>
                      </v:textbox>
                    </v:rect>
                  </w:pict>
                </mc:Fallback>
              </mc:AlternateContent>
            </w:r>
            <w:r>
              <w:rPr>
                <w:rFonts w:hint="default"/>
                <w:color w:val="auto"/>
                <w:sz w:val="24"/>
              </w:rPr>
              <mc:AlternateContent>
                <mc:Choice Requires="wps">
                  <w:drawing>
                    <wp:anchor distT="0" distB="0" distL="114300" distR="114300" simplePos="0" relativeHeight="251665408" behindDoc="0" locked="0" layoutInCell="1" allowOverlap="1">
                      <wp:simplePos x="0" y="0"/>
                      <wp:positionH relativeFrom="column">
                        <wp:posOffset>3722370</wp:posOffset>
                      </wp:positionH>
                      <wp:positionV relativeFrom="paragraph">
                        <wp:posOffset>2984500</wp:posOffset>
                      </wp:positionV>
                      <wp:extent cx="793750" cy="292100"/>
                      <wp:effectExtent l="0" t="0" r="0" b="0"/>
                      <wp:wrapNone/>
                      <wp:docPr id="54" name="矩形 54"/>
                      <wp:cNvGraphicFramePr/>
                      <a:graphic xmlns:a="http://schemas.openxmlformats.org/drawingml/2006/main">
                        <a:graphicData uri="http://schemas.microsoft.com/office/word/2010/wordprocessingShape">
                          <wps:wsp>
                            <wps:cNvSpPr/>
                            <wps:spPr>
                              <a:xfrm>
                                <a:off x="4913630" y="6116320"/>
                                <a:ext cx="793750" cy="292100"/>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0F1E7DEC">
                                  <w:pPr>
                                    <w:ind w:left="0" w:leftChars="0" w:firstLine="0" w:firstLineChars="0"/>
                                    <w:jc w:val="center"/>
                                    <w:rPr>
                                      <w:rFonts w:hint="default" w:eastAsia="宋体"/>
                                      <w:color w:val="FFC000"/>
                                      <w:sz w:val="21"/>
                                      <w:szCs w:val="21"/>
                                      <w:lang w:val="en-US" w:eastAsia="zh-CN"/>
                                    </w:rPr>
                                  </w:pPr>
                                  <w:r>
                                    <w:rPr>
                                      <w:rFonts w:hint="eastAsia"/>
                                      <w:color w:val="FFC000"/>
                                      <w:sz w:val="21"/>
                                      <w:szCs w:val="21"/>
                                      <w:lang w:val="en-US" w:eastAsia="zh-CN"/>
                                    </w:rPr>
                                    <w:t>现有项目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3.1pt;margin-top:235pt;height:23pt;width:62.5pt;z-index:251665408;v-text-anchor:middle;mso-width-relative:page;mso-height-relative:page;" filled="f" stroked="f" coordsize="21600,21600" o:gfxdata="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NkcQlfYAAAACwEAAA8AAAAAAAAAAQAgAAAAIgAAAGRycy9kb3ducmV2LnhtbFBLAQIUABQAAAAI&#10;AIdO4kBoTYmHXwIAAKMEAAAOAAAAAAAAAAEAIAAAACcBAABkcnMvZTJvRG9jLnhtbFBLBQYAAAAA&#10;BgAGAFkBAAD4BQAAAAA=&#10;">
                      <v:fill on="f" focussize="0,0"/>
                      <v:stroke on="f" weight="2pt"/>
                      <v:imagedata o:title=""/>
                      <o:lock v:ext="edit" aspectratio="f"/>
                      <v:textbox>
                        <w:txbxContent>
                          <w:p w14:paraId="0F1E7DEC">
                            <w:pPr>
                              <w:ind w:left="0" w:leftChars="0" w:firstLine="0" w:firstLineChars="0"/>
                              <w:jc w:val="center"/>
                              <w:rPr>
                                <w:rFonts w:hint="default" w:eastAsia="宋体"/>
                                <w:color w:val="FFC000"/>
                                <w:sz w:val="21"/>
                                <w:szCs w:val="21"/>
                                <w:lang w:val="en-US" w:eastAsia="zh-CN"/>
                              </w:rPr>
                            </w:pPr>
                            <w:r>
                              <w:rPr>
                                <w:rFonts w:hint="eastAsia"/>
                                <w:color w:val="FFC000"/>
                                <w:sz w:val="21"/>
                                <w:szCs w:val="21"/>
                                <w:lang w:val="en-US" w:eastAsia="zh-CN"/>
                              </w:rPr>
                              <w:t>现有项目</w:t>
                            </w:r>
                          </w:p>
                        </w:txbxContent>
                      </v:textbox>
                    </v:rect>
                  </w:pict>
                </mc:Fallback>
              </mc:AlternateContent>
            </w:r>
            <w:r>
              <w:rPr>
                <w:rFonts w:hint="default"/>
                <w:color w:val="auto"/>
                <w:sz w:val="24"/>
              </w:rPr>
              <mc:AlternateContent>
                <mc:Choice Requires="wps">
                  <w:drawing>
                    <wp:anchor distT="0" distB="0" distL="114300" distR="114300" simplePos="0" relativeHeight="251661312" behindDoc="0" locked="0" layoutInCell="1" allowOverlap="1">
                      <wp:simplePos x="0" y="0"/>
                      <wp:positionH relativeFrom="column">
                        <wp:posOffset>1099820</wp:posOffset>
                      </wp:positionH>
                      <wp:positionV relativeFrom="paragraph">
                        <wp:posOffset>125730</wp:posOffset>
                      </wp:positionV>
                      <wp:extent cx="2851150" cy="1346200"/>
                      <wp:effectExtent l="4445" t="4445" r="20955" b="20955"/>
                      <wp:wrapNone/>
                      <wp:docPr id="51" name="矩形 51"/>
                      <wp:cNvGraphicFramePr/>
                      <a:graphic xmlns:a="http://schemas.openxmlformats.org/drawingml/2006/main">
                        <a:graphicData uri="http://schemas.microsoft.com/office/word/2010/wordprocessingShape">
                          <wps:wsp>
                            <wps:cNvSpPr/>
                            <wps:spPr>
                              <a:xfrm>
                                <a:off x="2018030" y="3352800"/>
                                <a:ext cx="2851150" cy="1346200"/>
                              </a:xfrm>
                              <a:prstGeom prst="rect">
                                <a:avLst/>
                              </a:prstGeom>
                              <a:noFill/>
                              <a:ln w="9525">
                                <a:solidFill>
                                  <a:schemeClr val="tx1"/>
                                </a:solidFill>
                                <a:prstDash val="dashDot"/>
                              </a:ln>
                            </wps:spPr>
                            <wps:style>
                              <a:lnRef idx="2">
                                <a:schemeClr val="accent1">
                                  <a:lumMod val="75000"/>
                                </a:schemeClr>
                              </a:lnRef>
                              <a:fillRef idx="1">
                                <a:schemeClr val="accent1"/>
                              </a:fillRef>
                              <a:effectRef idx="0">
                                <a:srgbClr val="FFFFFF"/>
                              </a:effectRef>
                              <a:fontRef idx="minor">
                                <a:schemeClr val="lt1"/>
                              </a:fontRef>
                            </wps:style>
                            <wps:txbx>
                              <w:txbxContent>
                                <w:p w14:paraId="25FA2F9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6.6pt;margin-top:9.9pt;height:106pt;width:224.5pt;z-index:251661312;v-text-anchor:middle;mso-width-relative:page;mso-height-relative:page;" filled="f" stroked="t" coordsize="21600,21600" o:gfxdata="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bclkndgAAAAKAQAADwAAAAAAAAABACAAAAAiAAAAZHJzL2Rvd25y&#10;ZXYueG1sUEsBAhQAFAAAAAgAh07iQORWjLxwAgAAzwQAAA4AAAAAAAAAAQAgAAAAJwEAAGRycy9l&#10;Mm9Eb2MueG1sUEsFBgAAAAAGAAYAWQEAAAkGAAAAAA==&#10;">
                      <v:fill on="f" focussize="0,0"/>
                      <v:stroke color="#000000 [3213]" joinstyle="round" dashstyle="dashDot"/>
                      <v:imagedata o:title=""/>
                      <o:lock v:ext="edit" aspectratio="f"/>
                      <v:textbox>
                        <w:txbxContent>
                          <w:p w14:paraId="25FA2F92">
                            <w:pPr>
                              <w:jc w:val="center"/>
                            </w:pPr>
                          </w:p>
                        </w:txbxContent>
                      </v:textbox>
                    </v:rect>
                  </w:pict>
                </mc:Fallback>
              </mc:AlternateContent>
            </w:r>
            <w:r>
              <w:rPr>
                <w:rFonts w:hint="default"/>
                <w:color w:val="auto"/>
                <w:sz w:val="24"/>
              </w:rPr>
              <mc:AlternateContent>
                <mc:Choice Requires="wps">
                  <w:drawing>
                    <wp:anchor distT="0" distB="0" distL="114300" distR="114300" simplePos="0" relativeHeight="251664384" behindDoc="0" locked="0" layoutInCell="1" allowOverlap="1">
                      <wp:simplePos x="0" y="0"/>
                      <wp:positionH relativeFrom="column">
                        <wp:posOffset>1106170</wp:posOffset>
                      </wp:positionH>
                      <wp:positionV relativeFrom="paragraph">
                        <wp:posOffset>1617980</wp:posOffset>
                      </wp:positionV>
                      <wp:extent cx="3771265" cy="1847215"/>
                      <wp:effectExtent l="5080" t="4445" r="14605" b="15240"/>
                      <wp:wrapNone/>
                      <wp:docPr id="52" name="矩形 52"/>
                      <wp:cNvGraphicFramePr/>
                      <a:graphic xmlns:a="http://schemas.openxmlformats.org/drawingml/2006/main">
                        <a:graphicData uri="http://schemas.microsoft.com/office/word/2010/wordprocessingShape">
                          <wps:wsp>
                            <wps:cNvSpPr/>
                            <wps:spPr>
                              <a:xfrm>
                                <a:off x="0" y="0"/>
                                <a:ext cx="3771265" cy="1847215"/>
                              </a:xfrm>
                              <a:prstGeom prst="rect">
                                <a:avLst/>
                              </a:prstGeom>
                              <a:noFill/>
                              <a:ln w="9525">
                                <a:solidFill>
                                  <a:srgbClr val="FFC000"/>
                                </a:solidFill>
                                <a:prstDash val="dashDot"/>
                              </a:ln>
                            </wps:spPr>
                            <wps:style>
                              <a:lnRef idx="2">
                                <a:schemeClr val="accent1">
                                  <a:lumMod val="75000"/>
                                </a:schemeClr>
                              </a:lnRef>
                              <a:fillRef idx="1">
                                <a:schemeClr val="accent1"/>
                              </a:fillRef>
                              <a:effectRef idx="0">
                                <a:srgbClr val="FFFFFF"/>
                              </a:effectRef>
                              <a:fontRef idx="minor">
                                <a:schemeClr val="lt1"/>
                              </a:fontRef>
                            </wps:style>
                            <wps:txbx>
                              <w:txbxContent>
                                <w:p w14:paraId="69D117AF">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7.1pt;margin-top:127.4pt;height:145.45pt;width:296.95pt;z-index:251664384;v-text-anchor:middle;mso-width-relative:page;mso-height-relative:page;" filled="f" stroked="t" coordsize="21600,21600" o:gfxdata="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efnl+2AAAAAsBAAAPAAAAAAAAAAEAIAAAACIAAABkcnMvZG93bnJldi54&#10;bWxQSwECFAAUAAAACACHTuJA/ULxymwCAADDBAAADgAAAAAAAAABACAAAAAnAQAAZHJzL2Uyb0Rv&#10;Yy54bWxQSwUGAAAAAAYABgBZAQAABQYAAAAA&#10;">
                      <v:fill on="f" focussize="0,0"/>
                      <v:stroke color="#FFC000 [2404]" joinstyle="round" dashstyle="dashDot"/>
                      <v:imagedata o:title=""/>
                      <o:lock v:ext="edit" aspectratio="f"/>
                      <v:textbox>
                        <w:txbxContent>
                          <w:p w14:paraId="69D117AF">
                            <w:pPr>
                              <w:jc w:val="center"/>
                            </w:pPr>
                          </w:p>
                        </w:txbxContent>
                      </v:textbox>
                    </v:rect>
                  </w:pict>
                </mc:Fallback>
              </mc:AlternateContent>
            </w:r>
            <w:r>
              <w:rPr>
                <w:rFonts w:hint="default" w:ascii="Times New Roman" w:hAnsi="Times New Roman" w:eastAsia="宋体" w:cs="Times New Roman"/>
                <w:color w:val="auto"/>
                <w:kern w:val="2"/>
                <w:sz w:val="24"/>
                <w:szCs w:val="24"/>
                <w:lang w:val="en-US" w:eastAsia="zh-CN" w:bidi="ar-SA"/>
              </w:rPr>
              <w:object>
                <v:shape id="_x0000_i1026" o:spt="75" type="#_x0000_t75" style="height:280.45pt;width:359.1pt;" o:ole="t" filled="f" o:preferrelative="t" stroked="f" coordsize="21600,21600">
                  <v:path/>
                  <v:fill on="f" focussize="0,0"/>
                  <v:stroke on="f"/>
                  <v:imagedata r:id="rId16" o:title=""/>
                  <o:lock v:ext="edit" aspectratio="t"/>
                  <w10:wrap type="none"/>
                  <w10:anchorlock/>
                </v:shape>
                <o:OLEObject Type="Embed" ProgID="Visio.Drawing.11" ShapeID="_x0000_i1026" DrawAspect="Content" ObjectID="_1468075726" r:id="rId15">
                  <o:LockedField>false</o:LockedField>
                </o:OLEObject>
              </w:object>
            </w:r>
          </w:p>
          <w:p w14:paraId="60AD8869">
            <w:pPr>
              <w:keepNext w:val="0"/>
              <w:keepLines w:val="0"/>
              <w:widowControl w:val="0"/>
              <w:suppressLineNumbers w:val="0"/>
              <w:autoSpaceDE w:val="0"/>
              <w:autoSpaceDN w:val="0"/>
              <w:spacing w:before="0" w:beforeAutospacing="0" w:after="0" w:afterAutospacing="0" w:line="240" w:lineRule="auto"/>
              <w:ind w:left="0" w:right="0"/>
              <w:jc w:val="center"/>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图2-</w:t>
            </w:r>
            <w:r>
              <w:rPr>
                <w:rFonts w:hint="eastAsia" w:cs="Times New Roman"/>
                <w:b/>
                <w:bCs/>
                <w:color w:val="auto"/>
                <w:kern w:val="2"/>
                <w:sz w:val="21"/>
                <w:szCs w:val="21"/>
                <w:lang w:val="en-US" w:eastAsia="zh-CN" w:bidi="ar-SA"/>
              </w:rPr>
              <w:t>2</w:t>
            </w:r>
            <w:r>
              <w:rPr>
                <w:rFonts w:hint="default" w:ascii="Times New Roman" w:hAnsi="Times New Roman" w:eastAsia="宋体" w:cs="Times New Roman"/>
                <w:b/>
                <w:bCs/>
                <w:color w:val="auto"/>
                <w:kern w:val="2"/>
                <w:sz w:val="21"/>
                <w:szCs w:val="21"/>
                <w:lang w:val="en-US" w:eastAsia="zh-CN" w:bidi="ar-SA"/>
              </w:rPr>
              <w:t xml:space="preserve">  </w:t>
            </w:r>
            <w:r>
              <w:rPr>
                <w:rFonts w:hint="eastAsia" w:cs="Times New Roman"/>
                <w:b/>
                <w:bCs/>
                <w:color w:val="auto"/>
                <w:kern w:val="2"/>
                <w:sz w:val="21"/>
                <w:szCs w:val="21"/>
                <w:lang w:val="en-US" w:eastAsia="zh-CN" w:bidi="ar-SA"/>
              </w:rPr>
              <w:t>全厂</w:t>
            </w:r>
            <w:r>
              <w:rPr>
                <w:rFonts w:hint="default" w:ascii="Times New Roman" w:hAnsi="Times New Roman" w:eastAsia="宋体" w:cs="Times New Roman"/>
                <w:b/>
                <w:bCs/>
                <w:color w:val="auto"/>
                <w:kern w:val="2"/>
                <w:sz w:val="21"/>
                <w:szCs w:val="21"/>
                <w:lang w:val="en-US" w:eastAsia="zh-CN" w:bidi="ar-SA"/>
              </w:rPr>
              <w:t>水平衡图  单位：</w:t>
            </w:r>
            <w:r>
              <w:rPr>
                <w:rFonts w:hint="eastAsia" w:cs="Times New Roman"/>
                <w:b/>
                <w:bCs/>
                <w:color w:val="auto"/>
                <w:kern w:val="2"/>
                <w:sz w:val="21"/>
                <w:szCs w:val="21"/>
                <w:lang w:val="en-US" w:eastAsia="zh-CN" w:bidi="ar-SA"/>
              </w:rPr>
              <w:t>m</w:t>
            </w:r>
            <w:r>
              <w:rPr>
                <w:rFonts w:hint="eastAsia" w:cs="Times New Roman"/>
                <w:b/>
                <w:bCs/>
                <w:color w:val="auto"/>
                <w:kern w:val="2"/>
                <w:sz w:val="21"/>
                <w:szCs w:val="21"/>
                <w:vertAlign w:val="superscript"/>
                <w:lang w:val="en-US" w:eastAsia="zh-CN" w:bidi="ar-SA"/>
              </w:rPr>
              <w:t>3</w:t>
            </w:r>
            <w:r>
              <w:rPr>
                <w:rFonts w:hint="default" w:ascii="Times New Roman" w:hAnsi="Times New Roman" w:eastAsia="宋体" w:cs="Times New Roman"/>
                <w:b/>
                <w:bCs/>
                <w:color w:val="auto"/>
                <w:kern w:val="2"/>
                <w:sz w:val="21"/>
                <w:szCs w:val="21"/>
                <w:lang w:val="en-US" w:eastAsia="zh-CN" w:bidi="ar-SA"/>
              </w:rPr>
              <w:t>/</w:t>
            </w:r>
            <w:r>
              <w:rPr>
                <w:rFonts w:hint="eastAsia" w:cs="Times New Roman"/>
                <w:b/>
                <w:bCs/>
                <w:color w:val="auto"/>
                <w:kern w:val="2"/>
                <w:sz w:val="21"/>
                <w:szCs w:val="21"/>
                <w:lang w:val="en-US" w:eastAsia="zh-CN" w:bidi="ar-SA"/>
              </w:rPr>
              <w:t>d</w:t>
            </w:r>
          </w:p>
          <w:p w14:paraId="0BD480DD">
            <w:pPr>
              <w:keepNext w:val="0"/>
              <w:keepLines w:val="0"/>
              <w:suppressLineNumbers w:val="0"/>
              <w:spacing w:before="0" w:beforeAutospacing="0" w:after="0" w:afterAutospacing="0" w:line="360" w:lineRule="auto"/>
              <w:ind w:left="0" w:leftChars="0" w:right="0" w:firstLine="482" w:firstLineChars="200"/>
              <w:rPr>
                <w:rFonts w:hint="default" w:ascii="Times New Roman" w:hAnsi="Times New Roman" w:cs="Times New Roman"/>
                <w:b/>
                <w:bCs/>
                <w:color w:val="auto"/>
                <w:sz w:val="24"/>
                <w:highlight w:val="none"/>
                <w:lang w:val="zh-CN"/>
              </w:rPr>
            </w:pPr>
            <w:r>
              <w:rPr>
                <w:rFonts w:hint="default" w:ascii="Times New Roman" w:hAnsi="Times New Roman" w:cs="Times New Roman"/>
                <w:b/>
                <w:bCs/>
                <w:color w:val="auto"/>
                <w:sz w:val="24"/>
                <w:highlight w:val="none"/>
                <w:lang w:val="en-US" w:eastAsia="zh-CN"/>
              </w:rPr>
              <w:t>7</w:t>
            </w:r>
            <w:r>
              <w:rPr>
                <w:rFonts w:hint="default" w:ascii="Times New Roman" w:hAnsi="Times New Roman" w:cs="Times New Roman"/>
                <w:b/>
                <w:bCs/>
                <w:color w:val="auto"/>
                <w:sz w:val="24"/>
                <w:highlight w:val="none"/>
              </w:rPr>
              <w:t>、</w:t>
            </w:r>
            <w:r>
              <w:rPr>
                <w:rFonts w:hint="default" w:ascii="Times New Roman" w:hAnsi="Times New Roman" w:cs="Times New Roman"/>
                <w:b/>
                <w:bCs/>
                <w:color w:val="auto"/>
                <w:sz w:val="24"/>
                <w:highlight w:val="none"/>
                <w:lang w:val="zh-CN"/>
              </w:rPr>
              <w:t>劳动定员及工作制度</w:t>
            </w:r>
          </w:p>
          <w:p w14:paraId="2194C6D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w:t>
            </w:r>
            <w:r>
              <w:rPr>
                <w:rFonts w:hint="eastAsia" w:cs="Times New Roman"/>
                <w:color w:val="auto"/>
                <w:sz w:val="24"/>
                <w:highlight w:val="none"/>
                <w:lang w:val="en-US" w:eastAsia="zh-CN"/>
              </w:rPr>
              <w:t>扩建</w:t>
            </w:r>
            <w:r>
              <w:rPr>
                <w:rFonts w:hint="default" w:ascii="Times New Roman" w:hAnsi="Times New Roman" w:cs="Times New Roman"/>
                <w:color w:val="auto"/>
                <w:sz w:val="24"/>
                <w:highlight w:val="none"/>
              </w:rPr>
              <w:t>项目</w:t>
            </w:r>
            <w:r>
              <w:rPr>
                <w:rFonts w:hint="eastAsia" w:cs="Times New Roman"/>
                <w:color w:val="auto"/>
                <w:sz w:val="24"/>
                <w:highlight w:val="none"/>
                <w:lang w:val="en-US" w:eastAsia="zh-CN"/>
              </w:rPr>
              <w:t>新增</w:t>
            </w:r>
            <w:r>
              <w:rPr>
                <w:rFonts w:hint="default" w:ascii="Times New Roman" w:hAnsi="Times New Roman" w:cs="Times New Roman"/>
                <w:color w:val="auto"/>
                <w:sz w:val="24"/>
                <w:highlight w:val="none"/>
                <w:lang w:val="en-US" w:eastAsia="zh-CN"/>
              </w:rPr>
              <w:t>劳动人员为</w:t>
            </w:r>
            <w:r>
              <w:rPr>
                <w:rFonts w:hint="eastAsia" w:cs="Times New Roman"/>
                <w:color w:val="auto"/>
                <w:sz w:val="24"/>
                <w:highlight w:val="none"/>
                <w:lang w:val="en-US" w:eastAsia="zh-CN"/>
              </w:rPr>
              <w:t>15</w:t>
            </w:r>
            <w:r>
              <w:rPr>
                <w:rFonts w:hint="default" w:ascii="Times New Roman" w:hAnsi="Times New Roman" w:cs="Times New Roman"/>
                <w:color w:val="auto"/>
                <w:sz w:val="24"/>
                <w:highlight w:val="none"/>
                <w:lang w:val="en-US" w:eastAsia="zh-CN"/>
              </w:rPr>
              <w:t>人</w:t>
            </w:r>
            <w:r>
              <w:rPr>
                <w:rFonts w:hint="default" w:ascii="Times New Roman" w:hAnsi="Times New Roman" w:cs="Times New Roman"/>
                <w:color w:val="auto"/>
                <w:sz w:val="24"/>
                <w:highlight w:val="none"/>
              </w:rPr>
              <w:t>，项目年生产</w:t>
            </w:r>
            <w:r>
              <w:rPr>
                <w:rFonts w:hint="default" w:ascii="Times New Roman" w:hAnsi="Times New Roman" w:cs="Times New Roman"/>
                <w:color w:val="auto"/>
                <w:sz w:val="24"/>
                <w:highlight w:val="none"/>
                <w:lang w:val="en-US" w:eastAsia="zh-CN"/>
              </w:rPr>
              <w:t>300</w:t>
            </w:r>
            <w:r>
              <w:rPr>
                <w:rFonts w:hint="default" w:ascii="Times New Roman" w:hAnsi="Times New Roman" w:cs="Times New Roman"/>
                <w:color w:val="auto"/>
                <w:sz w:val="24"/>
                <w:highlight w:val="none"/>
              </w:rPr>
              <w:t>天，实行</w:t>
            </w:r>
            <w:r>
              <w:rPr>
                <w:rFonts w:hint="eastAsia" w:cs="Times New Roman"/>
                <w:color w:val="auto"/>
                <w:sz w:val="24"/>
                <w:highlight w:val="none"/>
                <w:lang w:val="en-US" w:eastAsia="zh-CN"/>
              </w:rPr>
              <w:t>3</w:t>
            </w:r>
            <w:r>
              <w:rPr>
                <w:rFonts w:hint="default" w:ascii="Times New Roman" w:hAnsi="Times New Roman" w:cs="Times New Roman"/>
                <w:color w:val="auto"/>
                <w:sz w:val="24"/>
                <w:highlight w:val="none"/>
              </w:rPr>
              <w:t>班制生产，每班</w:t>
            </w:r>
            <w:r>
              <w:rPr>
                <w:rFonts w:hint="default" w:ascii="Times New Roman" w:hAnsi="Times New Roman" w:cs="Times New Roman"/>
                <w:color w:val="auto"/>
                <w:sz w:val="24"/>
                <w:highlight w:val="none"/>
                <w:lang w:val="en-US" w:eastAsia="zh-CN"/>
              </w:rPr>
              <w:t>8</w:t>
            </w:r>
            <w:r>
              <w:rPr>
                <w:rFonts w:hint="default" w:ascii="Times New Roman" w:hAnsi="Times New Roman" w:cs="Times New Roman"/>
                <w:color w:val="auto"/>
                <w:sz w:val="24"/>
                <w:highlight w:val="none"/>
              </w:rPr>
              <w:t>小时。</w:t>
            </w:r>
          </w:p>
          <w:p w14:paraId="0569BDE8">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highlight w:val="none"/>
                <w:lang w:val="zh-CN"/>
              </w:rPr>
            </w:pPr>
            <w:r>
              <w:rPr>
                <w:rFonts w:hint="default" w:ascii="Times New Roman" w:hAnsi="Times New Roman" w:cs="Times New Roman"/>
                <w:b/>
                <w:bCs/>
                <w:color w:val="auto"/>
                <w:sz w:val="24"/>
                <w:highlight w:val="none"/>
                <w:lang w:val="en-US" w:eastAsia="zh-CN"/>
              </w:rPr>
              <w:t>8</w:t>
            </w:r>
            <w:r>
              <w:rPr>
                <w:rFonts w:hint="default" w:ascii="Times New Roman" w:hAnsi="Times New Roman" w:cs="Times New Roman"/>
                <w:b/>
                <w:bCs/>
                <w:color w:val="auto"/>
                <w:sz w:val="24"/>
                <w:highlight w:val="none"/>
              </w:rPr>
              <w:t>、</w:t>
            </w:r>
            <w:r>
              <w:rPr>
                <w:rFonts w:hint="default" w:ascii="Times New Roman" w:hAnsi="Times New Roman" w:cs="Times New Roman"/>
                <w:b/>
                <w:color w:val="auto"/>
                <w:sz w:val="24"/>
                <w:highlight w:val="none"/>
              </w:rPr>
              <w:t>项目总平面布置</w:t>
            </w:r>
          </w:p>
          <w:p w14:paraId="5AEA2C91">
            <w:pPr>
              <w:keepNext w:val="0"/>
              <w:keepLines w:val="0"/>
              <w:suppressLineNumbers w:val="0"/>
              <w:bidi w:val="0"/>
              <w:spacing w:before="0" w:beforeAutospacing="0" w:after="0" w:afterAutospacing="0"/>
              <w:ind w:left="0" w:right="0"/>
              <w:rPr>
                <w:rFonts w:hint="default" w:ascii="Times New Roman" w:hAnsi="Times New Roman" w:cs="Times New Roman"/>
                <w:color w:val="auto"/>
                <w:highlight w:val="none"/>
                <w:lang w:val="en-US" w:eastAsia="zh-CN"/>
              </w:rPr>
            </w:pPr>
            <w:r>
              <w:rPr>
                <w:rFonts w:hint="default" w:ascii="Times New Roman" w:hAnsi="Times New Roman" w:cs="Times New Roman"/>
                <w:color w:val="auto"/>
                <w:kern w:val="10"/>
                <w:sz w:val="24"/>
                <w:highlight w:val="none"/>
                <w:lang w:val="en-US" w:eastAsia="zh-CN"/>
              </w:rPr>
              <w:t>本项目</w:t>
            </w:r>
            <w:r>
              <w:rPr>
                <w:rFonts w:hint="eastAsia" w:cs="Times New Roman"/>
                <w:color w:val="auto"/>
                <w:kern w:val="10"/>
                <w:sz w:val="24"/>
                <w:highlight w:val="none"/>
                <w:lang w:val="en-US" w:eastAsia="zh-CN"/>
              </w:rPr>
              <w:t>利用备用车间</w:t>
            </w:r>
            <w:r>
              <w:rPr>
                <w:rFonts w:hint="default"/>
                <w:color w:val="auto"/>
                <w:highlight w:val="none"/>
                <w:lang w:val="en-US" w:eastAsia="zh-CN"/>
              </w:rPr>
              <w:t>进行建设</w:t>
            </w:r>
            <w:r>
              <w:rPr>
                <w:rFonts w:hint="eastAsia" w:cs="Times New Roman"/>
                <w:color w:val="auto"/>
                <w:kern w:val="21"/>
                <w:sz w:val="24"/>
                <w:highlight w:val="none"/>
                <w:lang w:val="en-US" w:eastAsia="zh-CN"/>
              </w:rPr>
              <w:t>，</w:t>
            </w:r>
            <w:r>
              <w:rPr>
                <w:rFonts w:hint="eastAsia" w:cs="Times New Roman"/>
                <w:color w:val="auto"/>
                <w:sz w:val="24"/>
                <w:highlight w:val="none"/>
                <w:lang w:val="en-US" w:eastAsia="zh-CN"/>
              </w:rPr>
              <w:t>车间呈矩形，车间内分区布设</w:t>
            </w:r>
            <w:r>
              <w:rPr>
                <w:rFonts w:hint="default" w:ascii="Times New Roman" w:hAnsi="Times New Roman" w:cs="Times New Roman"/>
                <w:color w:val="auto"/>
                <w:kern w:val="21"/>
                <w:sz w:val="24"/>
                <w:highlight w:val="none"/>
                <w:lang w:val="zh-CN" w:eastAsia="zh-CN"/>
              </w:rPr>
              <w:t>生产区、</w:t>
            </w:r>
            <w:r>
              <w:rPr>
                <w:rFonts w:hint="eastAsia" w:cs="Times New Roman"/>
                <w:color w:val="auto"/>
                <w:kern w:val="21"/>
                <w:sz w:val="24"/>
                <w:highlight w:val="none"/>
                <w:lang w:val="en-US" w:eastAsia="zh-CN"/>
              </w:rPr>
              <w:t>车间</w:t>
            </w:r>
            <w:r>
              <w:rPr>
                <w:rFonts w:hint="default" w:ascii="Times New Roman" w:hAnsi="Times New Roman" w:cs="Times New Roman"/>
                <w:color w:val="auto"/>
                <w:kern w:val="21"/>
                <w:sz w:val="24"/>
                <w:highlight w:val="none"/>
                <w:lang w:val="zh-CN" w:eastAsia="zh-CN"/>
              </w:rPr>
              <w:t>办公</w:t>
            </w:r>
            <w:r>
              <w:rPr>
                <w:rFonts w:hint="eastAsia" w:cs="Times New Roman"/>
                <w:color w:val="auto"/>
                <w:kern w:val="21"/>
                <w:sz w:val="24"/>
                <w:highlight w:val="none"/>
                <w:lang w:val="en-US" w:eastAsia="zh-CN"/>
              </w:rPr>
              <w:t>区</w:t>
            </w:r>
            <w:r>
              <w:rPr>
                <w:rFonts w:hint="default" w:ascii="Times New Roman" w:hAnsi="Times New Roman" w:cs="Times New Roman"/>
                <w:color w:val="auto"/>
                <w:kern w:val="21"/>
                <w:sz w:val="24"/>
                <w:highlight w:val="none"/>
                <w:lang w:val="zh-CN" w:eastAsia="zh-CN"/>
              </w:rPr>
              <w:t>、</w:t>
            </w:r>
            <w:r>
              <w:rPr>
                <w:rFonts w:hint="eastAsia" w:cs="Times New Roman"/>
                <w:color w:val="auto"/>
                <w:kern w:val="21"/>
                <w:sz w:val="24"/>
                <w:highlight w:val="none"/>
                <w:lang w:val="en-US" w:eastAsia="zh-CN"/>
              </w:rPr>
              <w:t>原料区、成品区</w:t>
            </w:r>
            <w:r>
              <w:rPr>
                <w:rFonts w:hint="default" w:ascii="Times New Roman" w:hAnsi="Times New Roman" w:cs="Times New Roman"/>
                <w:color w:val="auto"/>
                <w:kern w:val="21"/>
                <w:sz w:val="24"/>
                <w:highlight w:val="none"/>
                <w:lang w:val="zh-CN"/>
              </w:rPr>
              <w:t>及配套设施，</w:t>
            </w:r>
            <w:r>
              <w:rPr>
                <w:rFonts w:hint="eastAsia" w:cs="Times New Roman"/>
                <w:color w:val="auto"/>
                <w:sz w:val="24"/>
                <w:highlight w:val="none"/>
                <w:lang w:val="en-US" w:eastAsia="zh-CN"/>
              </w:rPr>
              <w:t>项目车间办公区位于车间西南侧，生产区位于车间东北侧，原料区、成品区、</w:t>
            </w:r>
            <w:r>
              <w:rPr>
                <w:rFonts w:hint="default" w:ascii="Times New Roman" w:hAnsi="Times New Roman" w:cs="Times New Roman"/>
                <w:color w:val="auto"/>
                <w:kern w:val="10"/>
                <w:sz w:val="24"/>
                <w:highlight w:val="none"/>
                <w:lang w:val="en-US" w:eastAsia="zh-CN"/>
              </w:rPr>
              <w:t>一般固废</w:t>
            </w:r>
            <w:r>
              <w:rPr>
                <w:rFonts w:hint="eastAsia" w:cs="Times New Roman"/>
                <w:color w:val="auto"/>
                <w:kern w:val="10"/>
                <w:sz w:val="24"/>
                <w:highlight w:val="none"/>
                <w:lang w:val="en-US" w:eastAsia="zh-CN"/>
              </w:rPr>
              <w:t>暂存区区</w:t>
            </w:r>
            <w:r>
              <w:rPr>
                <w:rFonts w:hint="eastAsia" w:cs="Times New Roman"/>
                <w:color w:val="auto"/>
                <w:sz w:val="24"/>
                <w:highlight w:val="none"/>
                <w:lang w:val="en-US" w:eastAsia="zh-CN"/>
              </w:rPr>
              <w:t>位于车间中段靠北侧区域</w:t>
            </w:r>
            <w:r>
              <w:rPr>
                <w:rFonts w:hint="default" w:ascii="Times New Roman" w:hAnsi="Times New Roman" w:cs="Times New Roman"/>
                <w:color w:val="auto"/>
                <w:kern w:val="10"/>
                <w:sz w:val="24"/>
                <w:highlight w:val="none"/>
              </w:rPr>
              <w:t>，</w:t>
            </w:r>
            <w:r>
              <w:rPr>
                <w:rFonts w:hint="default" w:ascii="Times New Roman" w:hAnsi="Times New Roman" w:cs="Times New Roman"/>
                <w:color w:val="auto"/>
                <w:kern w:val="10"/>
                <w:sz w:val="24"/>
                <w:highlight w:val="none"/>
                <w:lang w:val="en-US" w:eastAsia="zh-CN"/>
              </w:rPr>
              <w:t>危废</w:t>
            </w:r>
            <w:r>
              <w:rPr>
                <w:rFonts w:hint="eastAsia" w:cs="Times New Roman"/>
                <w:color w:val="auto"/>
                <w:kern w:val="10"/>
                <w:sz w:val="24"/>
                <w:highlight w:val="none"/>
                <w:lang w:val="en-US" w:eastAsia="zh-CN"/>
              </w:rPr>
              <w:t>暂存</w:t>
            </w:r>
            <w:r>
              <w:rPr>
                <w:rFonts w:hint="default" w:ascii="Times New Roman" w:hAnsi="Times New Roman" w:cs="Times New Roman"/>
                <w:color w:val="auto"/>
                <w:kern w:val="10"/>
                <w:sz w:val="24"/>
                <w:highlight w:val="none"/>
                <w:lang w:val="en-US" w:eastAsia="zh-CN"/>
              </w:rPr>
              <w:t>间</w:t>
            </w:r>
            <w:r>
              <w:rPr>
                <w:rFonts w:hint="eastAsia" w:cs="Times New Roman"/>
                <w:color w:val="auto"/>
                <w:kern w:val="10"/>
                <w:sz w:val="24"/>
                <w:highlight w:val="none"/>
                <w:lang w:val="en-US" w:eastAsia="zh-CN"/>
              </w:rPr>
              <w:t>依托现有项目已建危废暂存间，</w:t>
            </w:r>
            <w:r>
              <w:rPr>
                <w:rFonts w:hint="default" w:ascii="Times New Roman" w:hAnsi="Times New Roman" w:cs="Times New Roman"/>
                <w:color w:val="auto"/>
                <w:kern w:val="10"/>
                <w:sz w:val="24"/>
                <w:highlight w:val="none"/>
                <w:lang w:val="en-US" w:eastAsia="zh-CN"/>
              </w:rPr>
              <w:t>位于</w:t>
            </w:r>
            <w:r>
              <w:rPr>
                <w:rFonts w:hint="eastAsia" w:cs="Times New Roman"/>
                <w:color w:val="auto"/>
                <w:kern w:val="10"/>
                <w:sz w:val="24"/>
                <w:highlight w:val="none"/>
                <w:lang w:val="en-US" w:eastAsia="zh-CN"/>
              </w:rPr>
              <w:t>厂区南侧，在满足生产工艺、运输、防火、卫生及安全要求的前提下，企业根据生产工序合理布设功能分区，</w:t>
            </w:r>
            <w:r>
              <w:rPr>
                <w:rFonts w:hint="default" w:ascii="Times New Roman" w:hAnsi="Times New Roman" w:cs="Times New Roman"/>
                <w:bCs/>
                <w:color w:val="auto"/>
                <w:sz w:val="24"/>
                <w:highlight w:val="none"/>
                <w:lang w:val="en-US" w:eastAsia="zh-CN"/>
              </w:rPr>
              <w:t>车间</w:t>
            </w:r>
            <w:r>
              <w:rPr>
                <w:rFonts w:hint="default" w:ascii="Times New Roman" w:hAnsi="Times New Roman" w:cs="Times New Roman"/>
                <w:color w:val="auto"/>
                <w:sz w:val="24"/>
                <w:highlight w:val="none"/>
              </w:rPr>
              <w:t>平面布置紧凑合理，有利生产，满足企业需要，项目总平面布置图见附图</w:t>
            </w:r>
            <w:r>
              <w:rPr>
                <w:rFonts w:hint="default" w:ascii="Times New Roman" w:hAnsi="Times New Roman" w:eastAsia="宋体" w:cs="Times New Roman"/>
                <w:color w:val="auto"/>
                <w:sz w:val="24"/>
                <w:highlight w:val="none"/>
                <w:lang w:val="en-US" w:eastAsia="zh-CN"/>
              </w:rPr>
              <w:t>二</w:t>
            </w:r>
            <w:r>
              <w:rPr>
                <w:rFonts w:hint="default" w:ascii="Times New Roman" w:hAnsi="Times New Roman" w:cs="Times New Roman"/>
                <w:color w:val="auto"/>
                <w:sz w:val="24"/>
                <w:highlight w:val="none"/>
              </w:rPr>
              <w:t>。</w:t>
            </w:r>
          </w:p>
        </w:tc>
      </w:tr>
      <w:tr w14:paraId="0AF72F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455" w:type="dxa"/>
            <w:vAlign w:val="center"/>
          </w:tcPr>
          <w:p w14:paraId="1A30B622">
            <w:pPr>
              <w:pStyle w:val="22"/>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工艺流程和产排污环节</w:t>
            </w:r>
          </w:p>
        </w:tc>
        <w:tc>
          <w:tcPr>
            <w:tcW w:w="8605" w:type="dxa"/>
            <w:vAlign w:val="top"/>
          </w:tcPr>
          <w:p w14:paraId="5B1841A7">
            <w:pPr>
              <w:keepNext w:val="0"/>
              <w:keepLines w:val="0"/>
              <w:suppressLineNumbers w:val="0"/>
              <w:spacing w:before="0" w:beforeAutospacing="0" w:after="0" w:afterAutospacing="0" w:line="360" w:lineRule="auto"/>
              <w:ind w:left="0" w:right="0" w:firstLine="482" w:firstLineChars="200"/>
              <w:rPr>
                <w:rFonts w:hint="default"/>
                <w:color w:val="auto"/>
                <w:highlight w:val="none"/>
                <w:lang w:val="en-US" w:eastAsia="zh-CN"/>
              </w:rPr>
            </w:pPr>
            <w:r>
              <w:rPr>
                <w:rFonts w:hint="eastAsia"/>
                <w:b/>
                <w:color w:val="auto"/>
                <w:sz w:val="24"/>
                <w:highlight w:val="none"/>
                <w:lang w:val="en-US" w:eastAsia="zh-CN"/>
              </w:rPr>
              <w:t>1、</w:t>
            </w:r>
            <w:r>
              <w:rPr>
                <w:rFonts w:hint="eastAsia" w:ascii="Times New Roman" w:hAnsi="Times New Roman" w:cs="Times New Roman"/>
                <w:b/>
                <w:color w:val="auto"/>
                <w:sz w:val="24"/>
                <w:highlight w:val="none"/>
                <w:lang w:val="en-US" w:eastAsia="zh-CN"/>
              </w:rPr>
              <w:t>施工期</w:t>
            </w:r>
          </w:p>
          <w:p w14:paraId="29FA1CF6">
            <w:pPr>
              <w:keepNext w:val="0"/>
              <w:keepLines w:val="0"/>
              <w:suppressLineNumbers w:val="0"/>
              <w:spacing w:before="0" w:beforeAutospacing="0" w:after="0" w:afterAutospacing="0" w:line="360" w:lineRule="auto"/>
              <w:ind w:left="0" w:right="0" w:firstLine="480" w:firstLineChars="200"/>
              <w:rPr>
                <w:rFonts w:hint="default"/>
                <w:b w:val="0"/>
                <w:bCs/>
                <w:color w:val="auto"/>
                <w:sz w:val="24"/>
                <w:highlight w:val="none"/>
              </w:rPr>
            </w:pPr>
            <w:r>
              <w:rPr>
                <w:rFonts w:hint="default" w:ascii="Times New Roman" w:hAnsi="Times New Roman"/>
                <w:b w:val="0"/>
                <w:bCs w:val="0"/>
                <w:color w:val="auto"/>
                <w:szCs w:val="24"/>
              </w:rPr>
              <w:t>本项目厂房等建筑已建设完成，因此无施工期环境影响。</w:t>
            </w:r>
            <w:r>
              <w:rPr>
                <w:rFonts w:hint="eastAsia"/>
                <w:b w:val="0"/>
                <w:bCs w:val="0"/>
                <w:color w:val="auto"/>
                <w:szCs w:val="24"/>
                <w:lang w:val="en-US" w:eastAsia="zh-CN"/>
              </w:rPr>
              <w:t>设备</w:t>
            </w:r>
            <w:r>
              <w:rPr>
                <w:rFonts w:hint="default" w:ascii="Times New Roman" w:hAnsi="Times New Roman"/>
                <w:b w:val="0"/>
                <w:bCs w:val="0"/>
                <w:color w:val="auto"/>
                <w:szCs w:val="24"/>
              </w:rPr>
              <w:t>安装调试在厂房内进行，且安装周期较短，安装人员不多，因此设备安装过程对周边环境的影响也很小，因此本报告中对施工期的环境影响不</w:t>
            </w:r>
            <w:r>
              <w:rPr>
                <w:rFonts w:hint="eastAsia"/>
                <w:b w:val="0"/>
                <w:bCs w:val="0"/>
                <w:color w:val="auto"/>
                <w:szCs w:val="24"/>
                <w:lang w:eastAsia="zh-CN"/>
              </w:rPr>
              <w:t>作</w:t>
            </w:r>
            <w:r>
              <w:rPr>
                <w:rFonts w:hint="default" w:ascii="Times New Roman" w:hAnsi="Times New Roman"/>
                <w:b w:val="0"/>
                <w:bCs w:val="0"/>
                <w:color w:val="auto"/>
                <w:szCs w:val="24"/>
              </w:rPr>
              <w:t>详细评价。</w:t>
            </w:r>
          </w:p>
          <w:p w14:paraId="53335687">
            <w:pPr>
              <w:keepNext w:val="0"/>
              <w:keepLines w:val="0"/>
              <w:suppressLineNumbers w:val="0"/>
              <w:spacing w:before="0" w:beforeAutospacing="0" w:after="0" w:afterAutospacing="0" w:line="360" w:lineRule="auto"/>
              <w:ind w:left="0" w:right="0" w:firstLine="482" w:firstLineChars="200"/>
              <w:rPr>
                <w:rFonts w:hint="eastAsia" w:eastAsia="宋体"/>
                <w:b/>
                <w:bCs/>
                <w:color w:val="auto"/>
                <w:sz w:val="24"/>
                <w:highlight w:val="none"/>
                <w:lang w:val="en-US" w:eastAsia="zh-CN"/>
              </w:rPr>
            </w:pPr>
            <w:r>
              <w:rPr>
                <w:rFonts w:hint="eastAsia"/>
                <w:b/>
                <w:bCs/>
                <w:color w:val="auto"/>
                <w:sz w:val="24"/>
                <w:highlight w:val="none"/>
                <w:lang w:val="en-US" w:eastAsia="zh-CN"/>
              </w:rPr>
              <w:t>2</w:t>
            </w:r>
            <w:r>
              <w:rPr>
                <w:rFonts w:hint="eastAsia"/>
                <w:b/>
                <w:bCs/>
                <w:color w:val="auto"/>
                <w:sz w:val="24"/>
                <w:highlight w:val="none"/>
              </w:rPr>
              <w:t>、</w:t>
            </w:r>
            <w:r>
              <w:rPr>
                <w:rFonts w:hint="eastAsia"/>
                <w:b/>
                <w:bCs/>
                <w:color w:val="auto"/>
                <w:sz w:val="24"/>
                <w:highlight w:val="none"/>
                <w:lang w:val="en-US" w:eastAsia="zh-CN"/>
              </w:rPr>
              <w:t>运营期</w:t>
            </w:r>
          </w:p>
          <w:p w14:paraId="067B0424">
            <w:pPr>
              <w:keepNext w:val="0"/>
              <w:keepLines w:val="0"/>
              <w:suppressLineNumbers w:val="0"/>
              <w:spacing w:before="0" w:beforeAutospacing="0" w:after="0" w:afterAutospacing="0" w:line="360" w:lineRule="auto"/>
              <w:ind w:left="0" w:right="0" w:firstLine="482" w:firstLineChars="200"/>
              <w:rPr>
                <w:rFonts w:hint="default"/>
                <w:b/>
                <w:bCs/>
                <w:color w:val="auto"/>
                <w:sz w:val="24"/>
                <w:highlight w:val="none"/>
              </w:rPr>
            </w:pPr>
            <w:r>
              <w:rPr>
                <w:rFonts w:hint="default"/>
                <w:b/>
                <w:bCs/>
                <w:color w:val="auto"/>
                <w:sz w:val="24"/>
                <w:highlight w:val="none"/>
              </w:rPr>
              <w:t>工艺流程及产污环节（图示）：</w:t>
            </w:r>
          </w:p>
          <w:p w14:paraId="0FDFA694">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 w:val="0"/>
                <w:bCs w:val="0"/>
                <w:color w:val="auto"/>
                <w:sz w:val="24"/>
                <w:highlight w:val="none"/>
                <w:lang w:val="en-US" w:eastAsia="zh-CN"/>
              </w:rPr>
            </w:pPr>
            <w:r>
              <w:rPr>
                <w:rFonts w:hint="eastAsia" w:ascii="Times New Roman" w:hAnsi="Times New Roman" w:cs="Times New Roman"/>
                <w:b w:val="0"/>
                <w:bCs w:val="0"/>
                <w:color w:val="auto"/>
                <w:sz w:val="24"/>
                <w:highlight w:val="none"/>
                <w:lang w:val="en-US" w:eastAsia="zh-CN"/>
              </w:rPr>
              <w:t>本项目</w:t>
            </w:r>
            <w:r>
              <w:rPr>
                <w:rFonts w:hint="eastAsia" w:cs="Times New Roman"/>
                <w:b w:val="0"/>
                <w:bCs w:val="0"/>
                <w:color w:val="auto"/>
                <w:sz w:val="24"/>
                <w:highlight w:val="none"/>
                <w:lang w:val="en-US" w:eastAsia="zh-CN"/>
              </w:rPr>
              <w:t>本次评价范围的主要</w:t>
            </w:r>
            <w:r>
              <w:rPr>
                <w:rFonts w:hint="eastAsia" w:ascii="Times New Roman" w:hAnsi="Times New Roman" w:cs="Times New Roman"/>
                <w:b w:val="0"/>
                <w:bCs w:val="0"/>
                <w:color w:val="auto"/>
                <w:sz w:val="24"/>
                <w:highlight w:val="none"/>
                <w:lang w:val="en-US" w:eastAsia="zh-CN"/>
              </w:rPr>
              <w:t>产品为</w:t>
            </w:r>
            <w:r>
              <w:rPr>
                <w:rFonts w:hint="eastAsia" w:cs="Times New Roman"/>
                <w:b w:val="0"/>
                <w:bCs w:val="0"/>
                <w:color w:val="auto"/>
                <w:sz w:val="24"/>
                <w:highlight w:val="none"/>
                <w:lang w:val="en-US" w:eastAsia="zh-CN"/>
              </w:rPr>
              <w:t>尼龙隔热条，具体生产工艺流程及污染物产生环节如图2-3：</w:t>
            </w:r>
          </w:p>
          <w:p w14:paraId="79C864E4">
            <w:pPr>
              <w:keepNext w:val="0"/>
              <w:keepLines w:val="0"/>
              <w:suppressLineNumbers w:val="0"/>
              <w:spacing w:before="0" w:beforeAutospacing="0" w:after="0" w:afterAutospacing="0" w:line="240" w:lineRule="auto"/>
              <w:ind w:left="0" w:leftChars="0" w:right="0" w:firstLine="0" w:firstLineChars="0"/>
              <w:jc w:val="center"/>
              <w:rPr>
                <w:rFonts w:hint="default"/>
                <w:color w:val="auto"/>
                <w:lang w:eastAsia="zh-CN"/>
              </w:rPr>
            </w:pPr>
            <w:r>
              <w:rPr>
                <w:rFonts w:hint="eastAsia"/>
                <w:color w:val="auto"/>
              </w:rPr>
              <w:object>
                <v:shape id="_x0000_i1027" o:spt="75" type="#_x0000_t75" style="height:73.55pt;width:423.7pt;" o:ole="t" filled="f" o:preferrelative="t" stroked="f" coordsize="21600,21600">
                  <v:path/>
                  <v:fill on="f" focussize="0,0"/>
                  <v:stroke on="f"/>
                  <v:imagedata r:id="rId18" o:title=""/>
                  <o:lock v:ext="edit" aspectratio="t"/>
                  <w10:wrap type="none"/>
                  <w10:anchorlock/>
                </v:shape>
                <o:OLEObject Type="Embed" ProgID="Visio.Drawing.15" ShapeID="_x0000_i1027" DrawAspect="Content" ObjectID="_1468075727" r:id="rId17">
                  <o:LockedField>false</o:LockedField>
                </o:OLEObject>
              </w:object>
            </w:r>
            <w:r>
              <w:rPr>
                <w:rFonts w:hint="default"/>
                <w:b/>
                <w:bCs/>
                <w:color w:val="auto"/>
                <w:sz w:val="21"/>
                <w:szCs w:val="21"/>
                <w:lang w:val="en-US" w:eastAsia="zh-CN"/>
              </w:rPr>
              <w:t>图2</w:t>
            </w:r>
            <w:r>
              <w:rPr>
                <w:rFonts w:hint="eastAsia"/>
                <w:b/>
                <w:bCs/>
                <w:color w:val="auto"/>
                <w:sz w:val="21"/>
                <w:szCs w:val="21"/>
                <w:lang w:val="en-US" w:eastAsia="zh-CN"/>
              </w:rPr>
              <w:t xml:space="preserve">-3  </w:t>
            </w:r>
            <w:r>
              <w:rPr>
                <w:rFonts w:hint="default"/>
                <w:b/>
                <w:bCs/>
                <w:color w:val="auto"/>
                <w:sz w:val="21"/>
                <w:szCs w:val="21"/>
                <w:lang w:val="en-US" w:eastAsia="zh-CN"/>
              </w:rPr>
              <w:t xml:space="preserve"> </w:t>
            </w:r>
            <w:r>
              <w:rPr>
                <w:rFonts w:hint="eastAsia"/>
                <w:b/>
                <w:bCs/>
                <w:color w:val="auto"/>
                <w:sz w:val="21"/>
                <w:szCs w:val="21"/>
                <w:lang w:val="en-US" w:eastAsia="zh-CN"/>
              </w:rPr>
              <w:t>尼龙隔热条生产</w:t>
            </w:r>
            <w:r>
              <w:rPr>
                <w:rFonts w:hint="default"/>
                <w:b/>
                <w:bCs/>
                <w:color w:val="auto"/>
                <w:sz w:val="21"/>
                <w:szCs w:val="21"/>
                <w:lang w:val="en-US" w:eastAsia="zh-CN"/>
              </w:rPr>
              <w:t>工艺流程及产污环节示意图</w:t>
            </w:r>
          </w:p>
          <w:p w14:paraId="1472C9E9">
            <w:pPr>
              <w:keepNext w:val="0"/>
              <w:keepLines w:val="0"/>
              <w:suppressLineNumbers w:val="0"/>
              <w:spacing w:before="0" w:beforeAutospacing="0" w:after="0" w:afterAutospacing="0" w:line="360" w:lineRule="auto"/>
              <w:ind w:left="0" w:right="0" w:firstLine="472" w:firstLineChars="196"/>
              <w:rPr>
                <w:rFonts w:hint="default"/>
                <w:color w:val="auto"/>
                <w:sz w:val="24"/>
                <w:highlight w:val="none"/>
              </w:rPr>
            </w:pPr>
            <w:r>
              <w:rPr>
                <w:rFonts w:hint="default"/>
                <w:b/>
                <w:bCs/>
                <w:color w:val="auto"/>
                <w:sz w:val="24"/>
                <w:highlight w:val="none"/>
              </w:rPr>
              <w:t>工艺流程简述：</w:t>
            </w:r>
          </w:p>
          <w:p w14:paraId="07EBBAD1">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（1）投料烘干</w:t>
            </w:r>
          </w:p>
          <w:p w14:paraId="71C65FC0">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将外购的隔热条专用尼龙颗粒，通过人工加入烘干料筒内，</w:t>
            </w:r>
            <w:r>
              <w:rPr>
                <w:rFonts w:hint="eastAsia"/>
                <w:bCs/>
                <w:color w:val="auto"/>
                <w:sz w:val="24"/>
                <w:szCs w:val="24"/>
              </w:rPr>
              <w:t>项目使用的尼龙颗粒为4mm的粒料</w:t>
            </w:r>
            <w:r>
              <w:rPr>
                <w:rFonts w:hint="eastAsia"/>
                <w:bCs/>
                <w:color w:val="auto"/>
                <w:sz w:val="24"/>
                <w:szCs w:val="24"/>
                <w:lang w:eastAsia="zh-CN"/>
              </w:rPr>
              <w:t>，</w:t>
            </w:r>
            <w:r>
              <w:rPr>
                <w:rFonts w:hint="eastAsia"/>
                <w:bCs/>
                <w:color w:val="auto"/>
                <w:sz w:val="24"/>
                <w:szCs w:val="24"/>
                <w:lang w:val="en-US" w:eastAsia="zh-CN"/>
              </w:rPr>
              <w:t>吸湿性强</w:t>
            </w:r>
            <w:r>
              <w:rPr>
                <w:rFonts w:hint="eastAsia"/>
                <w:bCs/>
                <w:color w:val="auto"/>
                <w:sz w:val="24"/>
                <w:szCs w:val="24"/>
              </w:rPr>
              <w:t>，投入不易起尘</w:t>
            </w:r>
            <w:r>
              <w:rPr>
                <w:rFonts w:hint="eastAsia"/>
                <w:bCs/>
                <w:color w:val="auto"/>
                <w:sz w:val="24"/>
                <w:szCs w:val="24"/>
                <w:lang w:eastAsia="zh-CN"/>
              </w:rPr>
              <w:t>，</w:t>
            </w:r>
            <w:r>
              <w:rPr>
                <w:rFonts w:hint="eastAsia" w:cs="Times New Roman"/>
                <w:color w:val="auto"/>
                <w:sz w:val="24"/>
                <w:szCs w:val="24"/>
                <w:highlight w:val="none"/>
                <w:lang w:val="en-US" w:eastAsia="zh-CN"/>
              </w:rPr>
              <w:t>该过程不考虑投料粉尘。烘干采用电加热的方式，烘干温度为120℃，烘干3~5分钟，烘干料筒与挤出机管道密闭连接，该过程产生的烘干废气与挤出废气一同排出处理。</w:t>
            </w:r>
          </w:p>
          <w:p w14:paraId="1F703179">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（2）加热挤出</w:t>
            </w:r>
          </w:p>
          <w:p w14:paraId="365176F5">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本项目采用螺杆挤出机，无过滤网，挤出采用电加热的方式，挤出机工作温度为240℃，工作时间3~5分钟，挤出后为长条状。由于项目PA66尼龙颗粒的分解温度为350℃以上，熔化挤出温度未达到分解温度，PA66尼龙颗粒不会分解，但塑料中残存未聚合的反应单体挥发会产生有机废气并伴随微量异味。原料颗粒在螺杆挤出机料筒内通过螺杆剪切摩擦+料筒加热共同作用，受热熔融塑化，熔融物料经螺杆输送至机头模具，在模具内维持成型温度，经模口挤出成型。此过程产生烘干、挤出废气、设备噪声和S1不合格品。项目生产区域布置60台注塑机，集气罩统一收集后经活性炭处理设施处理后经1根15m高排气筒排放，不合格品产生量约占产品3</w:t>
            </w:r>
            <w:r>
              <w:rPr>
                <w:rFonts w:hint="default" w:ascii="Arial" w:hAnsi="Arial" w:cs="Arial"/>
                <w:color w:val="auto"/>
                <w:sz w:val="24"/>
                <w:szCs w:val="24"/>
                <w:highlight w:val="none"/>
                <w:lang w:val="en-US" w:eastAsia="zh-CN"/>
              </w:rPr>
              <w:t>‰</w:t>
            </w:r>
            <w:r>
              <w:rPr>
                <w:rFonts w:hint="eastAsia" w:cs="Times New Roman"/>
                <w:color w:val="auto"/>
                <w:sz w:val="24"/>
                <w:szCs w:val="24"/>
                <w:highlight w:val="none"/>
                <w:lang w:val="en-US" w:eastAsia="zh-CN"/>
              </w:rPr>
              <w:t>。</w:t>
            </w:r>
          </w:p>
          <w:p w14:paraId="7745B1AC">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（3）冷却</w:t>
            </w:r>
          </w:p>
          <w:p w14:paraId="51737CBB">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项目挤出机内配置设置1套循环冷却水系统，为间接冷却方式，自来水经管道连通挤出机，再经挤出机的管道流至模具内部进行冷却，使模具腔内的产品冷却成型，再从排水管排入冷却塔。项目冷却水一年排一次，该过程会产生冷却水定排水。</w:t>
            </w:r>
          </w:p>
          <w:p w14:paraId="735E59D5">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（4）切条</w:t>
            </w:r>
          </w:p>
          <w:p w14:paraId="7FCAF0D0">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冷却后的隔热条被切割成一定规格的成品。该工序会产生S2边角料及设备噪声，边角料产生量约占1%。</w:t>
            </w:r>
          </w:p>
          <w:p w14:paraId="6992A1EA">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（5）激光打码</w:t>
            </w:r>
          </w:p>
          <w:p w14:paraId="2D4D9587">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使用激光打码机对冷却切条后的隔热条进行激光打码，该过程会产生噪声。</w:t>
            </w:r>
          </w:p>
          <w:p w14:paraId="1AE6596A">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（6）检验</w:t>
            </w:r>
          </w:p>
          <w:p w14:paraId="5D9B85BE">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检验产品是否符合相关要求，本工序会产生S1不合格品，不合格品产生量约占1%。</w:t>
            </w:r>
          </w:p>
          <w:p w14:paraId="52979C35">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（7）打包</w:t>
            </w:r>
          </w:p>
          <w:p w14:paraId="39927EB8">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eastAsia" w:eastAsia="宋体"/>
                <w:color w:val="auto"/>
                <w:sz w:val="24"/>
                <w:highlight w:val="none"/>
              </w:rPr>
            </w:pPr>
            <w:r>
              <w:rPr>
                <w:rFonts w:hint="eastAsia" w:cs="Times New Roman"/>
                <w:color w:val="auto"/>
                <w:sz w:val="24"/>
                <w:szCs w:val="24"/>
                <w:highlight w:val="none"/>
                <w:lang w:val="en-US" w:eastAsia="zh-CN"/>
              </w:rPr>
              <w:t>将检验合格后的成品通过打包机进行打包，入库得到成品。</w:t>
            </w:r>
          </w:p>
          <w:p w14:paraId="5C17C81A">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zCs w:val="24"/>
              </w:rPr>
            </w:pPr>
            <w:r>
              <w:rPr>
                <w:rFonts w:hint="eastAsia" w:eastAsia="宋体" w:cs="Times New Roman"/>
                <w:b/>
                <w:bCs/>
                <w:color w:val="auto"/>
                <w:sz w:val="24"/>
                <w:szCs w:val="24"/>
                <w:lang w:val="en-US" w:eastAsia="zh-CN"/>
              </w:rPr>
              <w:t>3、</w:t>
            </w:r>
            <w:r>
              <w:rPr>
                <w:rFonts w:hint="default" w:ascii="Times New Roman" w:hAnsi="Times New Roman" w:eastAsia="宋体" w:cs="Times New Roman"/>
                <w:b/>
                <w:bCs/>
                <w:color w:val="auto"/>
                <w:sz w:val="24"/>
                <w:szCs w:val="24"/>
              </w:rPr>
              <w:t>物料平衡</w:t>
            </w:r>
          </w:p>
          <w:p w14:paraId="79A62AA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1"/>
                <w:szCs w:val="20"/>
              </w:rPr>
            </w:pPr>
            <w:r>
              <w:rPr>
                <w:rFonts w:hint="eastAsia" w:cs="Times New Roman"/>
                <w:color w:val="auto"/>
                <w:sz w:val="24"/>
                <w:szCs w:val="24"/>
                <w:lang w:val="en-US" w:eastAsia="zh-CN"/>
              </w:rPr>
              <w:t>本</w:t>
            </w:r>
            <w:r>
              <w:rPr>
                <w:rFonts w:hint="default" w:ascii="Times New Roman" w:hAnsi="Times New Roman" w:eastAsia="宋体" w:cs="Times New Roman"/>
                <w:color w:val="auto"/>
                <w:sz w:val="24"/>
                <w:szCs w:val="24"/>
              </w:rPr>
              <w:t>项目</w:t>
            </w:r>
            <w:r>
              <w:rPr>
                <w:rFonts w:hint="eastAsia" w:cs="Times New Roman"/>
                <w:color w:val="auto"/>
                <w:sz w:val="24"/>
                <w:szCs w:val="24"/>
                <w:lang w:val="en-US" w:eastAsia="zh-CN"/>
              </w:rPr>
              <w:t>物料平衡图详见图2-4</w:t>
            </w:r>
            <w:r>
              <w:rPr>
                <w:rFonts w:hint="default" w:ascii="Times New Roman" w:hAnsi="Times New Roman" w:eastAsia="宋体" w:cs="Times New Roman"/>
                <w:color w:val="auto"/>
                <w:sz w:val="24"/>
                <w:szCs w:val="24"/>
              </w:rPr>
              <w:t>。</w:t>
            </w:r>
          </w:p>
          <w:p w14:paraId="280EADA1">
            <w:pPr>
              <w:keepNext w:val="0"/>
              <w:keepLines w:val="0"/>
              <w:widowControl/>
              <w:suppressLineNumbers w:val="0"/>
              <w:overflowPunct w:val="0"/>
              <w:topLinePunct/>
              <w:autoSpaceDE w:val="0"/>
              <w:spacing w:before="0" w:beforeAutospacing="0" w:after="0" w:afterAutospacing="0" w:line="360" w:lineRule="auto"/>
              <w:ind w:left="0" w:right="0" w:firstLine="0" w:firstLineChars="0"/>
              <w:jc w:val="center"/>
              <w:rPr>
                <w:rFonts w:hint="default" w:ascii="Times New Roman" w:hAnsi="Times New Roman" w:eastAsia="宋体" w:cs="Times New Roman"/>
                <w:color w:val="auto"/>
                <w:sz w:val="21"/>
                <w:szCs w:val="20"/>
              </w:rPr>
            </w:pPr>
            <w:r>
              <w:rPr>
                <w:rFonts w:hint="default" w:ascii="Times New Roman" w:hAnsi="Times New Roman" w:eastAsia="宋体" w:cs="Times New Roman"/>
                <w:color w:val="auto"/>
                <w:sz w:val="21"/>
                <w:szCs w:val="20"/>
              </w:rPr>
              <mc:AlternateContent>
                <mc:Choice Requires="wpc">
                  <w:drawing>
                    <wp:inline distT="0" distB="0" distL="114300" distR="114300">
                      <wp:extent cx="5278120" cy="3993515"/>
                      <wp:effectExtent l="0" t="0" r="0" b="0"/>
                      <wp:docPr id="90" name="画布 90"/>
                      <wp:cNvGraphicFramePr/>
                      <a:graphic xmlns:a="http://schemas.openxmlformats.org/drawingml/2006/main">
                        <a:graphicData uri="http://schemas.microsoft.com/office/word/2010/wordprocessingCanvas">
                          <wpc:wpc>
                            <wpc:bg>
                              <a:noFill/>
                            </wpc:bg>
                            <wpc:whole>
                              <a:ln>
                                <a:noFill/>
                              </a:ln>
                            </wpc:whole>
                            <wps:wsp>
                              <wps:cNvPr id="150" name="直接连接符 150"/>
                              <wps:cNvCnPr/>
                              <wps:spPr>
                                <a:prstGeom prst="line">
                                  <a:avLst/>
                                </a:prstGeom>
                              </wps:spPr>
                              <wps:style>
                                <a:lnRef idx="2">
                                  <a:schemeClr val="accent1"/>
                                </a:lnRef>
                                <a:fillRef idx="0">
                                  <a:srgbClr val="FFFFFF"/>
                                </a:fillRef>
                                <a:effectRef idx="0">
                                  <a:srgbClr val="FFFFFF"/>
                                </a:effectRef>
                                <a:fontRef idx="minor">
                                  <a:schemeClr val="tx1"/>
                                </a:fontRef>
                              </wps:style>
                              <wps:bodyPr/>
                            </wps:wsp>
                            <wps:wsp>
                              <wps:cNvPr id="14" name="流程图: 过程 24"/>
                              <wps:cNvSpPr/>
                              <wps:spPr>
                                <a:xfrm>
                                  <a:off x="2090420" y="27305"/>
                                  <a:ext cx="878205" cy="299085"/>
                                </a:xfrm>
                                <a:prstGeom prst="flowChartProcess">
                                  <a:avLst/>
                                </a:prstGeom>
                                <a:noFill/>
                                <a:ln w="9525" cap="flat" cmpd="sng">
                                  <a:noFill/>
                                  <a:prstDash val="solid"/>
                                  <a:miter/>
                                  <a:headEnd type="none" w="med" len="med"/>
                                  <a:tailEnd type="none" w="med" len="med"/>
                                </a:ln>
                              </wps:spPr>
                              <wps:txbx>
                                <w:txbxContent>
                                  <w:p w14:paraId="04AE74B8">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eastAsia="宋体" w:cs="Times New Roman"/>
                                        <w:sz w:val="21"/>
                                        <w:szCs w:val="20"/>
                                        <w:lang w:val="en-US" w:eastAsia="zh-CN"/>
                                      </w:rPr>
                                      <w:t>尼龙</w:t>
                                    </w:r>
                                    <w:r>
                                      <w:rPr>
                                        <w:rFonts w:hint="eastAsia" w:cs="Times New Roman"/>
                                        <w:sz w:val="21"/>
                                        <w:szCs w:val="20"/>
                                        <w:lang w:val="en-US" w:eastAsia="zh-CN"/>
                                      </w:rPr>
                                      <w:t>颗粒</w:t>
                                    </w:r>
                                  </w:p>
                                </w:txbxContent>
                              </wps:txbx>
                              <wps:bodyPr upright="1"/>
                            </wps:wsp>
                            <wps:wsp>
                              <wps:cNvPr id="9" name="直接箭头连接符 9"/>
                              <wps:cNvCnPr/>
                              <wps:spPr>
                                <a:xfrm flipH="1">
                                  <a:off x="2548255" y="256540"/>
                                  <a:ext cx="6350" cy="256540"/>
                                </a:xfrm>
                                <a:prstGeom prst="straightConnector1">
                                  <a:avLst/>
                                </a:prstGeom>
                                <a:ln w="1270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12" name="流程图: 过程 24"/>
                              <wps:cNvSpPr/>
                              <wps:spPr>
                                <a:xfrm>
                                  <a:off x="2172970" y="506730"/>
                                  <a:ext cx="768985" cy="257810"/>
                                </a:xfrm>
                                <a:prstGeom prst="flowChartProcess">
                                  <a:avLst/>
                                </a:prstGeom>
                                <a:noFill/>
                                <a:ln w="9525" cap="flat" cmpd="sng">
                                  <a:solidFill>
                                    <a:schemeClr val="tx1"/>
                                  </a:solidFill>
                                  <a:prstDash val="solid"/>
                                  <a:miter/>
                                  <a:headEnd type="none" w="med" len="med"/>
                                  <a:tailEnd type="none" w="med" len="med"/>
                                </a:ln>
                              </wps:spPr>
                              <wps:txbx>
                                <w:txbxContent>
                                  <w:p w14:paraId="13678AF1">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eastAsia="宋体" w:cs="Times New Roman"/>
                                        <w:sz w:val="21"/>
                                        <w:szCs w:val="20"/>
                                        <w:lang w:val="en-US" w:eastAsia="zh-CN"/>
                                      </w:rPr>
                                      <w:t>投料烘干</w:t>
                                    </w:r>
                                  </w:p>
                                </w:txbxContent>
                              </wps:txbx>
                              <wps:bodyPr upright="1"/>
                            </wps:wsp>
                            <wps:wsp>
                              <wps:cNvPr id="13" name="直接箭头连接符 13"/>
                              <wps:cNvCnPr/>
                              <wps:spPr>
                                <a:xfrm flipH="1">
                                  <a:off x="2553970" y="773430"/>
                                  <a:ext cx="635" cy="266065"/>
                                </a:xfrm>
                                <a:prstGeom prst="straightConnector1">
                                  <a:avLst/>
                                </a:prstGeom>
                                <a:ln w="1270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16" name="流程图: 过程 24"/>
                              <wps:cNvSpPr/>
                              <wps:spPr>
                                <a:xfrm>
                                  <a:off x="2165985" y="1037590"/>
                                  <a:ext cx="768985" cy="264795"/>
                                </a:xfrm>
                                <a:prstGeom prst="flowChartProcess">
                                  <a:avLst/>
                                </a:prstGeom>
                                <a:noFill/>
                                <a:ln w="9525" cap="flat" cmpd="sng">
                                  <a:solidFill>
                                    <a:schemeClr val="tx1"/>
                                  </a:solidFill>
                                  <a:prstDash val="solid"/>
                                  <a:miter/>
                                  <a:headEnd type="none" w="med" len="med"/>
                                  <a:tailEnd type="none" w="med" len="med"/>
                                </a:ln>
                              </wps:spPr>
                              <wps:txbx>
                                <w:txbxContent>
                                  <w:p w14:paraId="2A825433">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eastAsia="宋体" w:cs="Times New Roman"/>
                                        <w:sz w:val="21"/>
                                        <w:szCs w:val="20"/>
                                        <w:lang w:val="en-US" w:eastAsia="zh-CN"/>
                                      </w:rPr>
                                      <w:t>加热挤出</w:t>
                                    </w:r>
                                  </w:p>
                                </w:txbxContent>
                              </wps:txbx>
                              <wps:bodyPr upright="1"/>
                            </wps:wsp>
                            <wps:wsp>
                              <wps:cNvPr id="18" name="流程图: 过程 24"/>
                              <wps:cNvSpPr/>
                              <wps:spPr>
                                <a:xfrm>
                                  <a:off x="2159635" y="1574800"/>
                                  <a:ext cx="768985" cy="264795"/>
                                </a:xfrm>
                                <a:prstGeom prst="flowChartProcess">
                                  <a:avLst/>
                                </a:prstGeom>
                                <a:noFill/>
                                <a:ln w="9525" cap="flat" cmpd="sng">
                                  <a:solidFill>
                                    <a:schemeClr val="tx1"/>
                                  </a:solidFill>
                                  <a:prstDash val="solid"/>
                                  <a:miter/>
                                  <a:headEnd type="none" w="med" len="med"/>
                                  <a:tailEnd type="none" w="med" len="med"/>
                                </a:ln>
                              </wps:spPr>
                              <wps:txbx>
                                <w:txbxContent>
                                  <w:p w14:paraId="23EBD507">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ascii="Times New Roman" w:hAnsi="Times New Roman" w:eastAsia="宋体" w:cs="Times New Roman"/>
                                        <w:sz w:val="21"/>
                                        <w:szCs w:val="20"/>
                                        <w:lang w:val="en-US" w:eastAsia="zh-CN"/>
                                      </w:rPr>
                                      <w:t>冷却切条</w:t>
                                    </w:r>
                                  </w:p>
                                </w:txbxContent>
                              </wps:txbx>
                              <wps:bodyPr upright="1"/>
                            </wps:wsp>
                            <wps:wsp>
                              <wps:cNvPr id="19" name="直接箭头连接符 19"/>
                              <wps:cNvCnPr/>
                              <wps:spPr>
                                <a:xfrm flipH="1">
                                  <a:off x="2533650" y="1846580"/>
                                  <a:ext cx="2540" cy="295275"/>
                                </a:xfrm>
                                <a:prstGeom prst="straightConnector1">
                                  <a:avLst/>
                                </a:prstGeom>
                                <a:ln w="1270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20" name="流程图: 过程 24"/>
                              <wps:cNvSpPr/>
                              <wps:spPr>
                                <a:xfrm>
                                  <a:off x="2159635" y="2139315"/>
                                  <a:ext cx="768985" cy="264795"/>
                                </a:xfrm>
                                <a:prstGeom prst="flowChartProcess">
                                  <a:avLst/>
                                </a:prstGeom>
                                <a:noFill/>
                                <a:ln w="9525" cap="flat" cmpd="sng">
                                  <a:solidFill>
                                    <a:schemeClr val="tx1"/>
                                  </a:solidFill>
                                  <a:prstDash val="solid"/>
                                  <a:miter/>
                                  <a:headEnd type="none" w="med" len="med"/>
                                  <a:tailEnd type="none" w="med" len="med"/>
                                </a:ln>
                              </wps:spPr>
                              <wps:txbx>
                                <w:txbxContent>
                                  <w:p w14:paraId="0C96A420">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ascii="Times New Roman" w:hAnsi="Times New Roman" w:eastAsia="宋体" w:cs="Times New Roman"/>
                                        <w:sz w:val="21"/>
                                        <w:szCs w:val="20"/>
                                        <w:lang w:val="en-US" w:eastAsia="zh-CN"/>
                                      </w:rPr>
                                      <w:t>激光打码</w:t>
                                    </w:r>
                                  </w:p>
                                </w:txbxContent>
                              </wps:txbx>
                              <wps:bodyPr upright="1"/>
                            </wps:wsp>
                            <wps:wsp>
                              <wps:cNvPr id="21" name="流程图: 过程 24"/>
                              <wps:cNvSpPr/>
                              <wps:spPr>
                                <a:xfrm>
                                  <a:off x="2397760" y="220345"/>
                                  <a:ext cx="878205" cy="299085"/>
                                </a:xfrm>
                                <a:prstGeom prst="flowChartProcess">
                                  <a:avLst/>
                                </a:prstGeom>
                                <a:noFill/>
                                <a:ln w="9525" cap="flat" cmpd="sng">
                                  <a:noFill/>
                                  <a:prstDash val="solid"/>
                                  <a:miter/>
                                  <a:headEnd type="none" w="med" len="med"/>
                                  <a:tailEnd type="none" w="med" len="med"/>
                                </a:ln>
                              </wps:spPr>
                              <wps:txbx>
                                <w:txbxContent>
                                  <w:p w14:paraId="5AA4C330">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eastAsia="宋体" w:cs="Times New Roman"/>
                                        <w:sz w:val="21"/>
                                        <w:szCs w:val="20"/>
                                        <w:lang w:val="en-US" w:eastAsia="zh-CN"/>
                                      </w:rPr>
                                      <w:t>2559.104</w:t>
                                    </w:r>
                                  </w:p>
                                </w:txbxContent>
                              </wps:txbx>
                              <wps:bodyPr upright="1"/>
                            </wps:wsp>
                            <wps:wsp>
                              <wps:cNvPr id="22" name="直接箭头连接符 22"/>
                              <wps:cNvCnPr/>
                              <wps:spPr>
                                <a:xfrm>
                                  <a:off x="2929255" y="1172210"/>
                                  <a:ext cx="278765" cy="4445"/>
                                </a:xfrm>
                                <a:prstGeom prst="straightConnector1">
                                  <a:avLst/>
                                </a:prstGeom>
                                <a:ln w="12700">
                                  <a:solidFill>
                                    <a:schemeClr val="tx1"/>
                                  </a:solidFill>
                                  <a:prstDash val="sysDash"/>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23" name="直接箭头连接符 23"/>
                              <wps:cNvCnPr/>
                              <wps:spPr>
                                <a:xfrm flipH="1">
                                  <a:off x="2550160" y="1304925"/>
                                  <a:ext cx="635" cy="266065"/>
                                </a:xfrm>
                                <a:prstGeom prst="straightConnector1">
                                  <a:avLst/>
                                </a:prstGeom>
                                <a:ln w="1270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24" name="流程图: 过程 24"/>
                              <wps:cNvSpPr/>
                              <wps:spPr>
                                <a:xfrm>
                                  <a:off x="2384425" y="738505"/>
                                  <a:ext cx="878205" cy="299085"/>
                                </a:xfrm>
                                <a:prstGeom prst="flowChartProcess">
                                  <a:avLst/>
                                </a:prstGeom>
                                <a:noFill/>
                                <a:ln w="9525" cap="flat" cmpd="sng">
                                  <a:noFill/>
                                  <a:prstDash val="solid"/>
                                  <a:miter/>
                                  <a:headEnd type="none" w="med" len="med"/>
                                  <a:tailEnd type="none" w="med" len="med"/>
                                </a:ln>
                              </wps:spPr>
                              <wps:txbx>
                                <w:txbxContent>
                                  <w:p w14:paraId="49A06EFB">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eastAsia="宋体" w:cs="Times New Roman"/>
                                        <w:sz w:val="21"/>
                                        <w:szCs w:val="20"/>
                                        <w:lang w:val="en-US" w:eastAsia="zh-CN"/>
                                      </w:rPr>
                                      <w:t>2559.104</w:t>
                                    </w:r>
                                  </w:p>
                                </w:txbxContent>
                              </wps:txbx>
                              <wps:bodyPr upright="1"/>
                            </wps:wsp>
                            <wps:wsp>
                              <wps:cNvPr id="25" name="流程图: 过程 25"/>
                              <wps:cNvSpPr/>
                              <wps:spPr>
                                <a:xfrm>
                                  <a:off x="2438400" y="1302385"/>
                                  <a:ext cx="878205" cy="299085"/>
                                </a:xfrm>
                                <a:prstGeom prst="flowChartProcess">
                                  <a:avLst/>
                                </a:prstGeom>
                                <a:noFill/>
                                <a:ln w="9525" cap="flat" cmpd="sng">
                                  <a:noFill/>
                                  <a:prstDash val="solid"/>
                                  <a:miter/>
                                  <a:headEnd type="none" w="med" len="med"/>
                                  <a:tailEnd type="none" w="med" len="med"/>
                                </a:ln>
                              </wps:spPr>
                              <wps:txbx>
                                <w:txbxContent>
                                  <w:p w14:paraId="0BDDE0C3">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eastAsia="宋体" w:cs="Times New Roman"/>
                                        <w:sz w:val="21"/>
                                        <w:szCs w:val="20"/>
                                        <w:lang w:val="en-US" w:eastAsia="zh-CN"/>
                                      </w:rPr>
                                      <w:t>2550</w:t>
                                    </w:r>
                                  </w:p>
                                </w:txbxContent>
                              </wps:txbx>
                              <wps:bodyPr upright="1"/>
                            </wps:wsp>
                            <wps:wsp>
                              <wps:cNvPr id="29" name="直接箭头连接符 29"/>
                              <wps:cNvCnPr/>
                              <wps:spPr>
                                <a:xfrm flipH="1">
                                  <a:off x="2548890" y="2400935"/>
                                  <a:ext cx="635" cy="266065"/>
                                </a:xfrm>
                                <a:prstGeom prst="straightConnector1">
                                  <a:avLst/>
                                </a:prstGeom>
                                <a:ln w="1270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30" name="流程图: 过程 30"/>
                              <wps:cNvSpPr/>
                              <wps:spPr>
                                <a:xfrm>
                                  <a:off x="3201035" y="852805"/>
                                  <a:ext cx="1299210" cy="632460"/>
                                </a:xfrm>
                                <a:prstGeom prst="flowChartProcess">
                                  <a:avLst/>
                                </a:prstGeom>
                                <a:noFill/>
                                <a:ln w="9525" cap="flat" cmpd="sng">
                                  <a:noFill/>
                                  <a:prstDash val="solid"/>
                                  <a:miter/>
                                  <a:headEnd type="none" w="med" len="med"/>
                                  <a:tailEnd type="none" w="med" len="med"/>
                                </a:ln>
                              </wps:spPr>
                              <wps:txbx>
                                <w:txbxContent>
                                  <w:p w14:paraId="69BAB33D">
                                    <w:pPr>
                                      <w:spacing w:line="240" w:lineRule="auto"/>
                                      <w:ind w:firstLine="0" w:firstLineChars="0"/>
                                      <w:jc w:val="both"/>
                                      <w:rPr>
                                        <w:rFonts w:hint="default" w:eastAsia="宋体" w:cs="Times New Roman"/>
                                        <w:sz w:val="21"/>
                                        <w:szCs w:val="20"/>
                                        <w:lang w:val="en-US" w:eastAsia="zh-CN"/>
                                      </w:rPr>
                                    </w:pPr>
                                    <w:r>
                                      <w:rPr>
                                        <w:rFonts w:hint="eastAsia" w:eastAsia="宋体" w:cs="Times New Roman"/>
                                        <w:sz w:val="21"/>
                                        <w:szCs w:val="20"/>
                                        <w:lang w:val="en-US" w:eastAsia="zh-CN"/>
                                      </w:rPr>
                                      <w:t>非甲烷总烃：1.348</w:t>
                                    </w:r>
                                  </w:p>
                                  <w:p w14:paraId="424399D0">
                                    <w:pPr>
                                      <w:spacing w:line="240" w:lineRule="auto"/>
                                      <w:ind w:firstLine="0" w:firstLineChars="0"/>
                                      <w:jc w:val="both"/>
                                      <w:rPr>
                                        <w:rFonts w:hint="eastAsia" w:eastAsia="宋体" w:cs="Times New Roman"/>
                                        <w:sz w:val="21"/>
                                        <w:szCs w:val="20"/>
                                        <w:lang w:val="en-US" w:eastAsia="zh-CN"/>
                                      </w:rPr>
                                    </w:pPr>
                                    <w:r>
                                      <w:rPr>
                                        <w:rFonts w:hint="eastAsia" w:eastAsia="宋体" w:cs="Times New Roman"/>
                                        <w:sz w:val="21"/>
                                        <w:szCs w:val="20"/>
                                        <w:lang w:val="en-US" w:eastAsia="zh-CN"/>
                                      </w:rPr>
                                      <w:t>氨气：0.256</w:t>
                                    </w:r>
                                  </w:p>
                                  <w:p w14:paraId="55D2CD01">
                                    <w:pPr>
                                      <w:spacing w:line="240" w:lineRule="auto"/>
                                      <w:ind w:firstLine="0" w:firstLineChars="0"/>
                                      <w:jc w:val="both"/>
                                      <w:rPr>
                                        <w:rFonts w:hint="default" w:eastAsia="宋体" w:cs="Times New Roman"/>
                                        <w:sz w:val="21"/>
                                        <w:szCs w:val="20"/>
                                        <w:lang w:val="en-US" w:eastAsia="zh-CN"/>
                                      </w:rPr>
                                    </w:pPr>
                                    <w:r>
                                      <w:rPr>
                                        <w:rFonts w:hint="eastAsia" w:eastAsia="宋体" w:cs="Times New Roman"/>
                                        <w:sz w:val="21"/>
                                        <w:szCs w:val="20"/>
                                        <w:lang w:val="en-US" w:eastAsia="zh-CN"/>
                                      </w:rPr>
                                      <w:t>不合格品：7.5</w:t>
                                    </w:r>
                                  </w:p>
                                </w:txbxContent>
                              </wps:txbx>
                              <wps:bodyPr upright="1"/>
                            </wps:wsp>
                            <wps:wsp>
                              <wps:cNvPr id="31" name="流程图: 过程 31"/>
                              <wps:cNvSpPr/>
                              <wps:spPr>
                                <a:xfrm>
                                  <a:off x="2384425" y="1847850"/>
                                  <a:ext cx="762635" cy="251460"/>
                                </a:xfrm>
                                <a:prstGeom prst="flowChartProcess">
                                  <a:avLst/>
                                </a:prstGeom>
                                <a:noFill/>
                                <a:ln w="9525" cap="flat" cmpd="sng">
                                  <a:noFill/>
                                  <a:prstDash val="solid"/>
                                  <a:miter/>
                                  <a:headEnd type="none" w="med" len="med"/>
                                  <a:tailEnd type="none" w="med" len="med"/>
                                </a:ln>
                              </wps:spPr>
                              <wps:txbx>
                                <w:txbxContent>
                                  <w:p w14:paraId="51D429DF">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eastAsia="宋体" w:cs="Times New Roman"/>
                                        <w:sz w:val="21"/>
                                        <w:szCs w:val="20"/>
                                        <w:lang w:val="en-US" w:eastAsia="zh-CN"/>
                                      </w:rPr>
                                      <w:t>2525</w:t>
                                    </w:r>
                                  </w:p>
                                </w:txbxContent>
                              </wps:txbx>
                              <wps:bodyPr upright="1"/>
                            </wps:wsp>
                            <wps:wsp>
                              <wps:cNvPr id="34" name="流程图: 过程 24"/>
                              <wps:cNvSpPr/>
                              <wps:spPr>
                                <a:xfrm>
                                  <a:off x="2159635" y="2668905"/>
                                  <a:ext cx="768985" cy="264795"/>
                                </a:xfrm>
                                <a:prstGeom prst="flowChartProcess">
                                  <a:avLst/>
                                </a:prstGeom>
                                <a:noFill/>
                                <a:ln w="9525" cap="flat" cmpd="sng">
                                  <a:solidFill>
                                    <a:schemeClr val="tx1"/>
                                  </a:solidFill>
                                  <a:prstDash val="solid"/>
                                  <a:miter/>
                                  <a:headEnd type="none" w="med" len="med"/>
                                  <a:tailEnd type="none" w="med" len="med"/>
                                </a:ln>
                              </wps:spPr>
                              <wps:txbx>
                                <w:txbxContent>
                                  <w:p w14:paraId="29223451">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ascii="Times New Roman" w:hAnsi="Times New Roman" w:eastAsia="宋体" w:cs="Times New Roman"/>
                                        <w:sz w:val="21"/>
                                        <w:szCs w:val="20"/>
                                        <w:lang w:val="en-US" w:eastAsia="zh-CN"/>
                                      </w:rPr>
                                      <w:t>检验</w:t>
                                    </w:r>
                                  </w:p>
                                </w:txbxContent>
                              </wps:txbx>
                              <wps:bodyPr upright="1"/>
                            </wps:wsp>
                            <wps:wsp>
                              <wps:cNvPr id="35" name="直接箭头连接符 35"/>
                              <wps:cNvCnPr/>
                              <wps:spPr>
                                <a:xfrm flipH="1">
                                  <a:off x="2548890" y="2936240"/>
                                  <a:ext cx="635" cy="266065"/>
                                </a:xfrm>
                                <a:prstGeom prst="straightConnector1">
                                  <a:avLst/>
                                </a:prstGeom>
                                <a:ln w="1270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36" name="流程图: 过程 24"/>
                              <wps:cNvSpPr/>
                              <wps:spPr>
                                <a:xfrm>
                                  <a:off x="2166620" y="3193415"/>
                                  <a:ext cx="768985" cy="264795"/>
                                </a:xfrm>
                                <a:prstGeom prst="flowChartProcess">
                                  <a:avLst/>
                                </a:prstGeom>
                                <a:noFill/>
                                <a:ln w="9525" cap="flat" cmpd="sng">
                                  <a:solidFill>
                                    <a:schemeClr val="tx1"/>
                                  </a:solidFill>
                                  <a:prstDash val="solid"/>
                                  <a:miter/>
                                  <a:headEnd type="none" w="med" len="med"/>
                                  <a:tailEnd type="none" w="med" len="med"/>
                                </a:ln>
                              </wps:spPr>
                              <wps:txbx>
                                <w:txbxContent>
                                  <w:p w14:paraId="7F4184C7">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ascii="Times New Roman" w:hAnsi="Times New Roman" w:eastAsia="宋体" w:cs="Times New Roman"/>
                                        <w:sz w:val="21"/>
                                        <w:szCs w:val="20"/>
                                        <w:lang w:val="en-US" w:eastAsia="zh-CN"/>
                                      </w:rPr>
                                      <w:t>打包</w:t>
                                    </w:r>
                                  </w:p>
                                </w:txbxContent>
                              </wps:txbx>
                              <wps:bodyPr upright="1"/>
                            </wps:wsp>
                            <wps:wsp>
                              <wps:cNvPr id="38" name="直接箭头连接符 38"/>
                              <wps:cNvCnPr/>
                              <wps:spPr>
                                <a:xfrm flipH="1">
                                  <a:off x="2548255" y="3460115"/>
                                  <a:ext cx="635" cy="266065"/>
                                </a:xfrm>
                                <a:prstGeom prst="straightConnector1">
                                  <a:avLst/>
                                </a:prstGeom>
                                <a:ln w="1270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39" name="流程图: 过程 39"/>
                              <wps:cNvSpPr/>
                              <wps:spPr>
                                <a:xfrm>
                                  <a:off x="1942465" y="3683000"/>
                                  <a:ext cx="1211580" cy="299085"/>
                                </a:xfrm>
                                <a:prstGeom prst="flowChartProcess">
                                  <a:avLst/>
                                </a:prstGeom>
                                <a:noFill/>
                                <a:ln w="9525" cap="flat" cmpd="sng">
                                  <a:noFill/>
                                  <a:prstDash val="solid"/>
                                  <a:miter/>
                                  <a:headEnd type="none" w="med" len="med"/>
                                  <a:tailEnd type="none" w="med" len="med"/>
                                </a:ln>
                              </wps:spPr>
                              <wps:txbx>
                                <w:txbxContent>
                                  <w:p w14:paraId="6DD3F0D6">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eastAsia="宋体" w:cs="Times New Roman"/>
                                        <w:sz w:val="21"/>
                                        <w:szCs w:val="20"/>
                                        <w:lang w:val="en-US" w:eastAsia="zh-CN"/>
                                      </w:rPr>
                                      <w:t>产品2500</w:t>
                                    </w:r>
                                  </w:p>
                                </w:txbxContent>
                              </wps:txbx>
                              <wps:bodyPr upright="1"/>
                            </wps:wsp>
                            <wps:wsp>
                              <wps:cNvPr id="40" name="流程图: 过程 40"/>
                              <wps:cNvSpPr/>
                              <wps:spPr>
                                <a:xfrm>
                                  <a:off x="3139440" y="1574165"/>
                                  <a:ext cx="993775" cy="285750"/>
                                </a:xfrm>
                                <a:prstGeom prst="flowChartProcess">
                                  <a:avLst/>
                                </a:prstGeom>
                                <a:noFill/>
                                <a:ln w="9525" cap="flat" cmpd="sng">
                                  <a:noFill/>
                                  <a:prstDash val="solid"/>
                                  <a:miter/>
                                  <a:headEnd type="none" w="med" len="med"/>
                                  <a:tailEnd type="none" w="med" len="med"/>
                                </a:ln>
                              </wps:spPr>
                              <wps:txbx>
                                <w:txbxContent>
                                  <w:p w14:paraId="666AA9E6">
                                    <w:pPr>
                                      <w:spacing w:line="240" w:lineRule="auto"/>
                                      <w:ind w:firstLine="0" w:firstLineChars="0"/>
                                      <w:jc w:val="both"/>
                                      <w:rPr>
                                        <w:rFonts w:hint="default" w:eastAsia="宋体" w:cs="Times New Roman"/>
                                        <w:sz w:val="21"/>
                                        <w:szCs w:val="20"/>
                                        <w:lang w:val="en-US" w:eastAsia="zh-CN"/>
                                      </w:rPr>
                                    </w:pPr>
                                    <w:r>
                                      <w:rPr>
                                        <w:rFonts w:hint="eastAsia" w:eastAsia="宋体" w:cs="Times New Roman"/>
                                        <w:sz w:val="21"/>
                                        <w:szCs w:val="20"/>
                                        <w:lang w:val="en-US" w:eastAsia="zh-CN"/>
                                      </w:rPr>
                                      <w:t>边角料：25.0</w:t>
                                    </w:r>
                                  </w:p>
                                </w:txbxContent>
                              </wps:txbx>
                              <wps:bodyPr upright="1"/>
                            </wps:wsp>
                            <wps:wsp>
                              <wps:cNvPr id="41" name="直接箭头连接符 41"/>
                              <wps:cNvCnPr/>
                              <wps:spPr>
                                <a:xfrm>
                                  <a:off x="2941955" y="1703705"/>
                                  <a:ext cx="278765" cy="4445"/>
                                </a:xfrm>
                                <a:prstGeom prst="straightConnector1">
                                  <a:avLst/>
                                </a:prstGeom>
                                <a:ln w="12700">
                                  <a:solidFill>
                                    <a:schemeClr val="tx1"/>
                                  </a:solidFill>
                                  <a:prstDash val="sysDash"/>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42" name="直接箭头连接符 42"/>
                              <wps:cNvCnPr/>
                              <wps:spPr>
                                <a:xfrm>
                                  <a:off x="2928620" y="2799080"/>
                                  <a:ext cx="278765" cy="4445"/>
                                </a:xfrm>
                                <a:prstGeom prst="straightConnector1">
                                  <a:avLst/>
                                </a:prstGeom>
                                <a:ln w="12700">
                                  <a:solidFill>
                                    <a:schemeClr val="tx1"/>
                                  </a:solidFill>
                                  <a:prstDash val="sysDash"/>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43" name="流程图: 过程 43"/>
                              <wps:cNvSpPr/>
                              <wps:spPr>
                                <a:xfrm>
                                  <a:off x="3166110" y="2676525"/>
                                  <a:ext cx="1183640" cy="285750"/>
                                </a:xfrm>
                                <a:prstGeom prst="flowChartProcess">
                                  <a:avLst/>
                                </a:prstGeom>
                                <a:noFill/>
                                <a:ln w="9525" cap="flat" cmpd="sng">
                                  <a:noFill/>
                                  <a:prstDash val="solid"/>
                                  <a:miter/>
                                  <a:headEnd type="none" w="med" len="med"/>
                                  <a:tailEnd type="none" w="med" len="med"/>
                                </a:ln>
                              </wps:spPr>
                              <wps:txbx>
                                <w:txbxContent>
                                  <w:p w14:paraId="6B4AC0A5">
                                    <w:pPr>
                                      <w:spacing w:line="240" w:lineRule="auto"/>
                                      <w:ind w:firstLine="0" w:firstLineChars="0"/>
                                      <w:jc w:val="both"/>
                                      <w:rPr>
                                        <w:rFonts w:hint="default" w:eastAsia="宋体" w:cs="Times New Roman"/>
                                        <w:sz w:val="21"/>
                                        <w:szCs w:val="20"/>
                                        <w:lang w:val="en-US" w:eastAsia="zh-CN"/>
                                      </w:rPr>
                                    </w:pPr>
                                    <w:r>
                                      <w:rPr>
                                        <w:rFonts w:hint="eastAsia" w:eastAsia="宋体" w:cs="Times New Roman"/>
                                        <w:sz w:val="21"/>
                                        <w:szCs w:val="20"/>
                                        <w:lang w:val="en-US" w:eastAsia="zh-CN"/>
                                      </w:rPr>
                                      <w:t>不合格品：25.0</w:t>
                                    </w:r>
                                  </w:p>
                                </w:txbxContent>
                              </wps:txbx>
                              <wps:bodyPr upright="1"/>
                            </wps:wsp>
                            <wps:wsp>
                              <wps:cNvPr id="44" name="流程图: 过程 44"/>
                              <wps:cNvSpPr/>
                              <wps:spPr>
                                <a:xfrm>
                                  <a:off x="2377440" y="2370455"/>
                                  <a:ext cx="762635" cy="251460"/>
                                </a:xfrm>
                                <a:prstGeom prst="flowChartProcess">
                                  <a:avLst/>
                                </a:prstGeom>
                                <a:noFill/>
                                <a:ln w="9525" cap="flat" cmpd="sng">
                                  <a:noFill/>
                                  <a:prstDash val="solid"/>
                                  <a:miter/>
                                  <a:headEnd type="none" w="med" len="med"/>
                                  <a:tailEnd type="none" w="med" len="med"/>
                                </a:ln>
                              </wps:spPr>
                              <wps:txbx>
                                <w:txbxContent>
                                  <w:p w14:paraId="14BC2FB6">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eastAsia="宋体" w:cs="Times New Roman"/>
                                        <w:sz w:val="21"/>
                                        <w:szCs w:val="20"/>
                                        <w:lang w:val="en-US" w:eastAsia="zh-CN"/>
                                      </w:rPr>
                                      <w:t>2525</w:t>
                                    </w:r>
                                  </w:p>
                                </w:txbxContent>
                              </wps:txbx>
                              <wps:bodyPr upright="1"/>
                            </wps:wsp>
                            <wps:wsp>
                              <wps:cNvPr id="45" name="流程图: 过程 45"/>
                              <wps:cNvSpPr/>
                              <wps:spPr>
                                <a:xfrm>
                                  <a:off x="2350135" y="2934970"/>
                                  <a:ext cx="762635" cy="251460"/>
                                </a:xfrm>
                                <a:prstGeom prst="flowChartProcess">
                                  <a:avLst/>
                                </a:prstGeom>
                                <a:noFill/>
                                <a:ln w="9525" cap="flat" cmpd="sng">
                                  <a:noFill/>
                                  <a:prstDash val="solid"/>
                                  <a:miter/>
                                  <a:headEnd type="none" w="med" len="med"/>
                                  <a:tailEnd type="none" w="med" len="med"/>
                                </a:ln>
                              </wps:spPr>
                              <wps:txbx>
                                <w:txbxContent>
                                  <w:p w14:paraId="765D4CD3">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eastAsia="宋体" w:cs="Times New Roman"/>
                                        <w:sz w:val="21"/>
                                        <w:szCs w:val="20"/>
                                        <w:lang w:val="en-US" w:eastAsia="zh-CN"/>
                                      </w:rPr>
                                      <w:t>2500</w:t>
                                    </w:r>
                                  </w:p>
                                </w:txbxContent>
                              </wps:txbx>
                              <wps:bodyPr upright="1"/>
                            </wps:wsp>
                          </wpc:wpc>
                        </a:graphicData>
                      </a:graphic>
                    </wp:inline>
                  </w:drawing>
                </mc:Choice>
                <mc:Fallback>
                  <w:pict>
                    <v:group id="_x0000_s1026" o:spid="_x0000_s1026" o:spt="203" style="height:314.45pt;width:415.6pt;" coordsize="5278120,3993515" editas="canvas" o:gfxdata="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">
                      <o:lock v:ext="edit" aspectratio="f"/>
                      <v:shape id="_x0000_s1026" o:spid="_x0000_s1026" style="position:absolute;left:0;top:0;height:3993515;width:5278120;" filled="f" stroked="f" coordsize="21600,21600" o:gfxdata="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">
                        <v:fill on="f" focussize="0,0"/>
                        <v:stroke on="f"/>
                        <v:imagedata o:title=""/>
                        <o:lock v:ext="edit" aspectratio="f"/>
                      </v:shape>
                      <v:line id="_x0000_s1026" o:spid="_x0000_s1026" o:spt="20" style="position:absolute;left:0;top:0;height:0;width:0;" filled="f" stroked="t" coordsize="21600,21600" o:gfxdata="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mPuoh0QAAAAUBAAAPAAAAAAAAAAEAIAAAACIA&#10;AABkcnMvZG93bnJldi54bWxQSwECFAAUAAAACACHTuJAWLX1b9cBAACZAwAADgAAAAAAAAABACAA&#10;AAAgAQAAZHJzL2Uyb0RvYy54bWxQSwUGAAAAAAYABgBZAQAAaQUAAAAA&#10;">
                        <v:fill on="f" focussize="0,0"/>
                        <v:stroke weight="2pt" color="#4F81BD [3204]" joinstyle="round"/>
                        <v:imagedata o:title=""/>
                        <o:lock v:ext="edit" aspectratio="f"/>
                      </v:line>
                      <v:shape id="流程图: 过程 24" o:spid="_x0000_s1026" o:spt="109" type="#_x0000_t109" style="position:absolute;left:2090420;top:27305;height:299085;width:878205;" filled="f" stroked="f" coordsize="21600,21600" o:gfxdata="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mTFUt1AAAAAUBAAAPAAAAAAAAAAEAIAAAACIAAABk&#10;cnMvZG93bnJldi54bWxQSwECFAAUAAAACACHTuJA0RfhCQoCAAD5AwAADgAAAAAAAAABACAAAAAj&#10;AQAAZHJzL2Uyb0RvYy54bWxQSwUGAAAAAAYABgBZAQAAnwUAAAAA&#10;">
                        <v:fill on="f" focussize="0,0"/>
                        <v:stroke on="f" joinstyle="miter"/>
                        <v:imagedata o:title=""/>
                        <o:lock v:ext="edit" aspectratio="f"/>
                        <v:textbox>
                          <w:txbxContent>
                            <w:p w14:paraId="04AE74B8">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eastAsia="宋体" w:cs="Times New Roman"/>
                                  <w:sz w:val="21"/>
                                  <w:szCs w:val="20"/>
                                  <w:lang w:val="en-US" w:eastAsia="zh-CN"/>
                                </w:rPr>
                                <w:t>尼龙</w:t>
                              </w:r>
                              <w:r>
                                <w:rPr>
                                  <w:rFonts w:hint="eastAsia" w:cs="Times New Roman"/>
                                  <w:sz w:val="21"/>
                                  <w:szCs w:val="20"/>
                                  <w:lang w:val="en-US" w:eastAsia="zh-CN"/>
                                </w:rPr>
                                <w:t>颗粒</w:t>
                              </w:r>
                            </w:p>
                          </w:txbxContent>
                        </v:textbox>
                      </v:shape>
                      <v:shape id="_x0000_s1026" o:spid="_x0000_s1026" o:spt="32" type="#_x0000_t32" style="position:absolute;left:2548255;top:256540;flip:x;height:256540;width:6350;" filled="f" stroked="t" coordsize="21600,21600" o:gfxdata="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U0xVVNYAAAAF&#10;AQAADwAAAAAAAAABACAAAAAiAAAAZHJzL2Rvd25yZXYueG1sUEsBAhQAFAAAAAgAh07iQE1qUG0e&#10;AgAADAQAAA4AAAAAAAAAAQAgAAAAJQEAAGRycy9lMm9Eb2MueG1sUEsFBgAAAAAGAAYAWQEAALUF&#10;AAAAAA==&#10;">
                        <v:fill on="f" focussize="0,0"/>
                        <v:stroke weight="1pt" color="#000000 [3213]" joinstyle="round" endarrow="block"/>
                        <v:imagedata o:title=""/>
                        <o:lock v:ext="edit" aspectratio="f"/>
                      </v:shape>
                      <v:shape id="流程图: 过程 24" o:spid="_x0000_s1026" o:spt="109" type="#_x0000_t109" style="position:absolute;left:2172970;top:506730;height:257810;width:768985;" filled="f" stroked="t" coordsize="21600,21600" o:gfxdata="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QPp7k1AAAAAUB&#10;AAAPAAAAAAAAAAEAIAAAACIAAABkcnMvZG93bnJldi54bWxQSwECFAAUAAAACACHTuJAcAULlh8C&#10;AAAjBAAADgAAAAAAAAABACAAAAAjAQAAZHJzL2Uyb0RvYy54bWxQSwUGAAAAAAYABgBZAQAAtAUA&#10;AAAA&#10;">
                        <v:fill on="f" focussize="0,0"/>
                        <v:stroke color="#000000 [3213]" joinstyle="miter"/>
                        <v:imagedata o:title=""/>
                        <o:lock v:ext="edit" aspectratio="f"/>
                        <v:textbox>
                          <w:txbxContent>
                            <w:p w14:paraId="13678AF1">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eastAsia="宋体" w:cs="Times New Roman"/>
                                  <w:sz w:val="21"/>
                                  <w:szCs w:val="20"/>
                                  <w:lang w:val="en-US" w:eastAsia="zh-CN"/>
                                </w:rPr>
                                <w:t>投料烘干</w:t>
                              </w:r>
                            </w:p>
                          </w:txbxContent>
                        </v:textbox>
                      </v:shape>
                      <v:shape id="_x0000_s1026" o:spid="_x0000_s1026" o:spt="32" type="#_x0000_t32" style="position:absolute;left:2553970;top:773430;flip:x;height:266065;width:635;" filled="f" stroked="t" coordsize="21600,21600" o:gfxdata="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U0xV&#10;VNYAAAAFAQAADwAAAAAAAAABACAAAAAiAAAAZHJzL2Rvd25yZXYueG1sUEsBAhQAFAAAAAgAh07i&#10;QMptyJokAgAADQQAAA4AAAAAAAAAAQAgAAAAJQEAAGRycy9lMm9Eb2MueG1sUEsFBgAAAAAGAAYA&#10;WQEAALsFAAAAAA==&#10;">
                        <v:fill on="f" focussize="0,0"/>
                        <v:stroke weight="1pt" color="#000000 [3213]" joinstyle="round" endarrow="block"/>
                        <v:imagedata o:title=""/>
                        <o:lock v:ext="edit" aspectratio="f"/>
                      </v:shape>
                      <v:shape id="流程图: 过程 24" o:spid="_x0000_s1026" o:spt="109" type="#_x0000_t109" style="position:absolute;left:2165985;top:1037590;height:264795;width:768985;" filled="f" stroked="t" coordsize="21600,21600" o:gfxdata="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FA+nuTUAAAABQEA&#10;AA8AAAAAAAAAAQAgAAAAIgAAAGRycy9kb3ducmV2LnhtbFBLAQIUABQAAAAIAIdO4kBNCys3HgIA&#10;ACQEAAAOAAAAAAAAAAEAIAAAACMBAABkcnMvZTJvRG9jLnhtbFBLBQYAAAAABgAGAFkBAACzBQAA&#10;AAA=&#10;">
                        <v:fill on="f" focussize="0,0"/>
                        <v:stroke color="#000000 [3213]" joinstyle="miter"/>
                        <v:imagedata o:title=""/>
                        <o:lock v:ext="edit" aspectratio="f"/>
                        <v:textbox>
                          <w:txbxContent>
                            <w:p w14:paraId="2A825433">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eastAsia="宋体" w:cs="Times New Roman"/>
                                  <w:sz w:val="21"/>
                                  <w:szCs w:val="20"/>
                                  <w:lang w:val="en-US" w:eastAsia="zh-CN"/>
                                </w:rPr>
                                <w:t>加热挤出</w:t>
                              </w:r>
                            </w:p>
                          </w:txbxContent>
                        </v:textbox>
                      </v:shape>
                      <v:shape id="流程图: 过程 24" o:spid="_x0000_s1026" o:spt="109" type="#_x0000_t109" style="position:absolute;left:2159635;top:1574800;height:264795;width:768985;" filled="f" stroked="t" coordsize="21600,21600" o:gfxdata="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QPp7k1AAAAAUB&#10;AAAPAAAAAAAAAAEAIAAAACIAAABkcnMvZG93bnJldi54bWxQSwECFAAUAAAACACHTuJAZHNjQx8C&#10;AAAkBAAADgAAAAAAAAABACAAAAAjAQAAZHJzL2Uyb0RvYy54bWxQSwUGAAAAAAYABgBZAQAAtAUA&#10;AAAA&#10;">
                        <v:fill on="f" focussize="0,0"/>
                        <v:stroke color="#000000 [3213]" joinstyle="miter"/>
                        <v:imagedata o:title=""/>
                        <o:lock v:ext="edit" aspectratio="f"/>
                        <v:textbox>
                          <w:txbxContent>
                            <w:p w14:paraId="23EBD507">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ascii="Times New Roman" w:hAnsi="Times New Roman" w:eastAsia="宋体" w:cs="Times New Roman"/>
                                  <w:sz w:val="21"/>
                                  <w:szCs w:val="20"/>
                                  <w:lang w:val="en-US" w:eastAsia="zh-CN"/>
                                </w:rPr>
                                <w:t>冷却切条</w:t>
                              </w:r>
                            </w:p>
                          </w:txbxContent>
                        </v:textbox>
                      </v:shape>
                      <v:shape id="_x0000_s1026" o:spid="_x0000_s1026" o:spt="32" type="#_x0000_t32" style="position:absolute;left:2533650;top:1846580;flip:x;height:295275;width:2540;" filled="f" stroked="t" coordsize="21600,21600" o:gfxdata="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U0xV&#10;VNYAAAAFAQAADwAAAAAAAAABACAAAAAiAAAAZHJzL2Rvd25yZXYueG1sUEsBAhQAFAAAAAgAh07i&#10;QNJskmMkAgAADwQAAA4AAAAAAAAAAQAgAAAAJQEAAGRycy9lMm9Eb2MueG1sUEsFBgAAAAAGAAYA&#10;WQEAALsFAAAAAA==&#10;">
                        <v:fill on="f" focussize="0,0"/>
                        <v:stroke weight="1pt" color="#000000 [3213]" joinstyle="round" endarrow="block"/>
                        <v:imagedata o:title=""/>
                        <o:lock v:ext="edit" aspectratio="f"/>
                      </v:shape>
                      <v:shape id="流程图: 过程 24" o:spid="_x0000_s1026" o:spt="109" type="#_x0000_t109" style="position:absolute;left:2159635;top:2139315;height:264795;width:768985;" filled="f" stroked="t" coordsize="21600,21600" o:gfxdata="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FA+nuTUAAAABQEA&#10;AA8AAAAAAAAAAQAgAAAAIgAAAGRycy9kb3ducmV2LnhtbFBLAQIUABQAAAAIAIdO4kCmAj27HgIA&#10;ACQEAAAOAAAAAAAAAAEAIAAAACMBAABkcnMvZTJvRG9jLnhtbFBLBQYAAAAABgAGAFkBAACzBQAA&#10;AAA=&#10;">
                        <v:fill on="f" focussize="0,0"/>
                        <v:stroke color="#000000 [3213]" joinstyle="miter"/>
                        <v:imagedata o:title=""/>
                        <o:lock v:ext="edit" aspectratio="f"/>
                        <v:textbox>
                          <w:txbxContent>
                            <w:p w14:paraId="0C96A420">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ascii="Times New Roman" w:hAnsi="Times New Roman" w:eastAsia="宋体" w:cs="Times New Roman"/>
                                  <w:sz w:val="21"/>
                                  <w:szCs w:val="20"/>
                                  <w:lang w:val="en-US" w:eastAsia="zh-CN"/>
                                </w:rPr>
                                <w:t>激光打码</w:t>
                              </w:r>
                            </w:p>
                          </w:txbxContent>
                        </v:textbox>
                      </v:shape>
                      <v:shape id="流程图: 过程 24" o:spid="_x0000_s1026" o:spt="109" type="#_x0000_t109" style="position:absolute;left:2397760;top:220345;height:299085;width:878205;" filled="f" stroked="f" coordsize="21600,21600" o:gfxdata="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KZMVS3UAAAABQEAAA8AAAAAAAAAAQAgAAAAIgAA&#10;AGRycy9kb3ducmV2LnhtbFBLAQIUABQAAAAIAIdO4kAsFHZZDAIAAPoDAAAOAAAAAAAAAAEAIAAA&#10;ACMBAABkcnMvZTJvRG9jLnhtbFBLBQYAAAAABgAGAFkBAAChBQAAAAA=&#10;">
                        <v:fill on="f" focussize="0,0"/>
                        <v:stroke on="f" joinstyle="miter"/>
                        <v:imagedata o:title=""/>
                        <o:lock v:ext="edit" aspectratio="f"/>
                        <v:textbox>
                          <w:txbxContent>
                            <w:p w14:paraId="5AA4C330">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eastAsia="宋体" w:cs="Times New Roman"/>
                                  <w:sz w:val="21"/>
                                  <w:szCs w:val="20"/>
                                  <w:lang w:val="en-US" w:eastAsia="zh-CN"/>
                                </w:rPr>
                                <w:t>2559.104</w:t>
                              </w:r>
                            </w:p>
                          </w:txbxContent>
                        </v:textbox>
                      </v:shape>
                      <v:shape id="_x0000_s1026" o:spid="_x0000_s1026" o:spt="32" type="#_x0000_t32" style="position:absolute;left:2929255;top:1172210;height:4445;width:278765;" filled="f" stroked="t" coordsize="21600,21600" o:gfxdata="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Na84gdYAAAAF&#10;AQAADwAAAAAAAAABACAAAAAiAAAAZHJzL2Rvd25yZXYueG1sUEsBAhQAFAAAAAgAh07iQCS2ugMe&#10;AgAABwQAAA4AAAAAAAAAAQAgAAAAJQEAAGRycy9lMm9Eb2MueG1sUEsFBgAAAAAGAAYAWQEAALUF&#10;AAAAAA==&#10;">
                        <v:fill on="f" focussize="0,0"/>
                        <v:stroke weight="1pt" color="#000000 [3213]" joinstyle="round" dashstyle="3 1" endarrow="block"/>
                        <v:imagedata o:title=""/>
                        <o:lock v:ext="edit" aspectratio="f"/>
                      </v:shape>
                      <v:shape id="_x0000_s1026" o:spid="_x0000_s1026" o:spt="32" type="#_x0000_t32" style="position:absolute;left:2550160;top:1304925;flip:x;height:266065;width:635;" filled="f" stroked="t" coordsize="21600,21600" o:gfxdata="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U0xV&#10;VNYAAAAFAQAADwAAAAAAAAABACAAAAAiAAAAZHJzL2Rvd25yZXYueG1sUEsBAhQAFAAAAAgAh07i&#10;QIwPkdYkAgAADgQAAA4AAAAAAAAAAQAgAAAAJQEAAGRycy9lMm9Eb2MueG1sUEsFBgAAAAAGAAYA&#10;WQEAALsFAAAAAA==&#10;">
                        <v:fill on="f" focussize="0,0"/>
                        <v:stroke weight="1pt" color="#000000 [3213]" joinstyle="round" endarrow="block"/>
                        <v:imagedata o:title=""/>
                        <o:lock v:ext="edit" aspectratio="f"/>
                      </v:shape>
                      <v:shape id="_x0000_s1026" o:spid="_x0000_s1026" o:spt="109" type="#_x0000_t109" style="position:absolute;left:2384425;top:738505;height:299085;width:878205;" filled="f" stroked="f" coordsize="21600,21600" o:gfxdata="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mTFUt1AAAAAUBAAAPAAAAAAAAAAEAIAAAACIA&#10;AABkcnMvZG93bnJldi54bWxQSwECFAAUAAAACACHTuJAkDH86Q0CAAD6AwAADgAAAAAAAAABACAA&#10;AAAjAQAAZHJzL2Uyb0RvYy54bWxQSwUGAAAAAAYABgBZAQAAogUAAAAA&#10;">
                        <v:fill on="f" focussize="0,0"/>
                        <v:stroke on="f" joinstyle="miter"/>
                        <v:imagedata o:title=""/>
                        <o:lock v:ext="edit" aspectratio="f"/>
                        <v:textbox>
                          <w:txbxContent>
                            <w:p w14:paraId="49A06EFB">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eastAsia="宋体" w:cs="Times New Roman"/>
                                  <w:sz w:val="21"/>
                                  <w:szCs w:val="20"/>
                                  <w:lang w:val="en-US" w:eastAsia="zh-CN"/>
                                </w:rPr>
                                <w:t>2559.104</w:t>
                              </w:r>
                            </w:p>
                          </w:txbxContent>
                        </v:textbox>
                      </v:shape>
                      <v:shape id="_x0000_s1026" o:spid="_x0000_s1026" o:spt="109" type="#_x0000_t109" style="position:absolute;left:2438400;top:1302385;height:299085;width:878205;" filled="f" stroked="f" coordsize="21600,21600" o:gfxdata="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KZMVS3UAAAABQEAAA8AAAAAAAAAAQAgAAAAIgAA&#10;AGRycy9kb3ducmV2LnhtbFBLAQIUABQAAAAIAIdO4kAT/mnMDAIAAPsDAAAOAAAAAAAAAAEAIAAA&#10;ACMBAABkcnMvZTJvRG9jLnhtbFBLBQYAAAAABgAGAFkBAAChBQAAAAA=&#10;">
                        <v:fill on="f" focussize="0,0"/>
                        <v:stroke on="f" joinstyle="miter"/>
                        <v:imagedata o:title=""/>
                        <o:lock v:ext="edit" aspectratio="f"/>
                        <v:textbox>
                          <w:txbxContent>
                            <w:p w14:paraId="0BDDE0C3">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eastAsia="宋体" w:cs="Times New Roman"/>
                                  <w:sz w:val="21"/>
                                  <w:szCs w:val="20"/>
                                  <w:lang w:val="en-US" w:eastAsia="zh-CN"/>
                                </w:rPr>
                                <w:t>2550</w:t>
                              </w:r>
                            </w:p>
                          </w:txbxContent>
                        </v:textbox>
                      </v:shape>
                      <v:shape id="_x0000_s1026" o:spid="_x0000_s1026" o:spt="32" type="#_x0000_t32" style="position:absolute;left:2548890;top:2400935;flip:x;height:266065;width:635;" filled="f" stroked="t" coordsize="21600,21600" o:gfxdata="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TTFVU&#10;1gAAAAUBAAAPAAAAAAAAAAEAIAAAACIAAABkcnMvZG93bnJldi54bWxQSwECFAAUAAAACACHTuJA&#10;Jto4+SMCAAAOBAAADgAAAAAAAAABACAAAAAlAQAAZHJzL2Uyb0RvYy54bWxQSwUGAAAAAAYABgBZ&#10;AQAAugUAAAAA&#10;">
                        <v:fill on="f" focussize="0,0"/>
                        <v:stroke weight="1pt" color="#000000 [3213]" joinstyle="round" endarrow="block"/>
                        <v:imagedata o:title=""/>
                        <o:lock v:ext="edit" aspectratio="f"/>
                      </v:shape>
                      <v:shape id="_x0000_s1026" o:spid="_x0000_s1026" o:spt="109" type="#_x0000_t109" style="position:absolute;left:3201035;top:852805;height:632460;width:1299210;" filled="f" stroked="f" coordsize="21600,21600" o:gfxdata="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KZMVS3UAAAABQEAAA8AAAAAAAAAAQAgAAAAIgAA&#10;AGRycy9kb3ducmV2LnhtbFBLAQIUABQAAAAIAIdO4kAAnCeCDAIAAPsDAAAOAAAAAAAAAAEAIAAA&#10;ACMBAABkcnMvZTJvRG9jLnhtbFBLBQYAAAAABgAGAFkBAAChBQAAAAA=&#10;">
                        <v:fill on="f" focussize="0,0"/>
                        <v:stroke on="f" joinstyle="miter"/>
                        <v:imagedata o:title=""/>
                        <o:lock v:ext="edit" aspectratio="f"/>
                        <v:textbox>
                          <w:txbxContent>
                            <w:p w14:paraId="69BAB33D">
                              <w:pPr>
                                <w:spacing w:line="240" w:lineRule="auto"/>
                                <w:ind w:firstLine="0" w:firstLineChars="0"/>
                                <w:jc w:val="both"/>
                                <w:rPr>
                                  <w:rFonts w:hint="default" w:eastAsia="宋体" w:cs="Times New Roman"/>
                                  <w:sz w:val="21"/>
                                  <w:szCs w:val="20"/>
                                  <w:lang w:val="en-US" w:eastAsia="zh-CN"/>
                                </w:rPr>
                              </w:pPr>
                              <w:r>
                                <w:rPr>
                                  <w:rFonts w:hint="eastAsia" w:eastAsia="宋体" w:cs="Times New Roman"/>
                                  <w:sz w:val="21"/>
                                  <w:szCs w:val="20"/>
                                  <w:lang w:val="en-US" w:eastAsia="zh-CN"/>
                                </w:rPr>
                                <w:t>非甲烷总烃：1.348</w:t>
                              </w:r>
                            </w:p>
                            <w:p w14:paraId="424399D0">
                              <w:pPr>
                                <w:spacing w:line="240" w:lineRule="auto"/>
                                <w:ind w:firstLine="0" w:firstLineChars="0"/>
                                <w:jc w:val="both"/>
                                <w:rPr>
                                  <w:rFonts w:hint="eastAsia" w:eastAsia="宋体" w:cs="Times New Roman"/>
                                  <w:sz w:val="21"/>
                                  <w:szCs w:val="20"/>
                                  <w:lang w:val="en-US" w:eastAsia="zh-CN"/>
                                </w:rPr>
                              </w:pPr>
                              <w:r>
                                <w:rPr>
                                  <w:rFonts w:hint="eastAsia" w:eastAsia="宋体" w:cs="Times New Roman"/>
                                  <w:sz w:val="21"/>
                                  <w:szCs w:val="20"/>
                                  <w:lang w:val="en-US" w:eastAsia="zh-CN"/>
                                </w:rPr>
                                <w:t>氨气：0.256</w:t>
                              </w:r>
                            </w:p>
                            <w:p w14:paraId="55D2CD01">
                              <w:pPr>
                                <w:spacing w:line="240" w:lineRule="auto"/>
                                <w:ind w:firstLine="0" w:firstLineChars="0"/>
                                <w:jc w:val="both"/>
                                <w:rPr>
                                  <w:rFonts w:hint="default" w:eastAsia="宋体" w:cs="Times New Roman"/>
                                  <w:sz w:val="21"/>
                                  <w:szCs w:val="20"/>
                                  <w:lang w:val="en-US" w:eastAsia="zh-CN"/>
                                </w:rPr>
                              </w:pPr>
                              <w:r>
                                <w:rPr>
                                  <w:rFonts w:hint="eastAsia" w:eastAsia="宋体" w:cs="Times New Roman"/>
                                  <w:sz w:val="21"/>
                                  <w:szCs w:val="20"/>
                                  <w:lang w:val="en-US" w:eastAsia="zh-CN"/>
                                </w:rPr>
                                <w:t>不合格品：7.5</w:t>
                              </w:r>
                            </w:p>
                          </w:txbxContent>
                        </v:textbox>
                      </v:shape>
                      <v:shape id="_x0000_s1026" o:spid="_x0000_s1026" o:spt="109" type="#_x0000_t109" style="position:absolute;left:2384425;top:1847850;height:251460;width:762635;" filled="f" stroked="f" coordsize="21600,21600" o:gfxdata="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mTFUt1AAAAAUBAAAPAAAAAAAAAAEAIAAAACIA&#10;AABkcnMvZG93bnJldi54bWxQSwECFAAUAAAACACHTuJAy74VqA0CAAD7AwAADgAAAAAAAAABACAA&#10;AAAjAQAAZHJzL2Uyb0RvYy54bWxQSwUGAAAAAAYABgBZAQAAogUAAAAA&#10;">
                        <v:fill on="f" focussize="0,0"/>
                        <v:stroke on="f" joinstyle="miter"/>
                        <v:imagedata o:title=""/>
                        <o:lock v:ext="edit" aspectratio="f"/>
                        <v:textbox>
                          <w:txbxContent>
                            <w:p w14:paraId="51D429DF">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eastAsia="宋体" w:cs="Times New Roman"/>
                                  <w:sz w:val="21"/>
                                  <w:szCs w:val="20"/>
                                  <w:lang w:val="en-US" w:eastAsia="zh-CN"/>
                                </w:rPr>
                                <w:t>2525</w:t>
                              </w:r>
                            </w:p>
                          </w:txbxContent>
                        </v:textbox>
                      </v:shape>
                      <v:shape id="流程图: 过程 24" o:spid="_x0000_s1026" o:spt="109" type="#_x0000_t109" style="position:absolute;left:2159635;top:2668905;height:264795;width:768985;" filled="f" stroked="t" coordsize="21600,21600" o:gfxdata="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QPp7k1AAAAAUB&#10;AAAPAAAAAAAAAAEAIAAAACIAAABkcnMvZG93bnJldi54bWxQSwECFAAUAAAACACHTuJAmcDENR8C&#10;AAAkBAAADgAAAAAAAAABACAAAAAjAQAAZHJzL2Uyb0RvYy54bWxQSwUGAAAAAAYABgBZAQAAtAUA&#10;AAAA&#10;">
                        <v:fill on="f" focussize="0,0"/>
                        <v:stroke color="#000000 [3213]" joinstyle="miter"/>
                        <v:imagedata o:title=""/>
                        <o:lock v:ext="edit" aspectratio="f"/>
                        <v:textbox>
                          <w:txbxContent>
                            <w:p w14:paraId="29223451">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ascii="Times New Roman" w:hAnsi="Times New Roman" w:eastAsia="宋体" w:cs="Times New Roman"/>
                                  <w:sz w:val="21"/>
                                  <w:szCs w:val="20"/>
                                  <w:lang w:val="en-US" w:eastAsia="zh-CN"/>
                                </w:rPr>
                                <w:t>检验</w:t>
                              </w:r>
                            </w:p>
                          </w:txbxContent>
                        </v:textbox>
                      </v:shape>
                      <v:shape id="_x0000_s1026" o:spid="_x0000_s1026" o:spt="32" type="#_x0000_t32" style="position:absolute;left:2548890;top:2936240;flip:x;height:266065;width:635;" filled="f" stroked="t" coordsize="21600,21600" o:gfxdata="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U0xV&#10;VNYAAAAFAQAADwAAAAAAAAABACAAAAAiAAAAZHJzL2Rvd25yZXYueG1sUEsBAhQAFAAAAAgAh07i&#10;QHqnVTEkAgAADgQAAA4AAAAAAAAAAQAgAAAAJQEAAGRycy9lMm9Eb2MueG1sUEsFBgAAAAAGAAYA&#10;WQEAALsFAAAAAA==&#10;">
                        <v:fill on="f" focussize="0,0"/>
                        <v:stroke weight="1pt" color="#000000 [3213]" joinstyle="round" endarrow="block"/>
                        <v:imagedata o:title=""/>
                        <o:lock v:ext="edit" aspectratio="f"/>
                      </v:shape>
                      <v:shape id="流程图: 过程 24" o:spid="_x0000_s1026" o:spt="109" type="#_x0000_t109" style="position:absolute;left:2166620;top:3193415;height:264795;width:768985;" filled="f" stroked="t" coordsize="21600,21600" o:gfxdata="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QPp7k1AAA&#10;AAUBAAAPAAAAAAAAAAEAIAAAACIAAABkcnMvZG93bnJldi54bWxQSwECFAAUAAAACACHTuJAlAc9&#10;3CICAAAkBAAADgAAAAAAAAABACAAAAAjAQAAZHJzL2Uyb0RvYy54bWxQSwUGAAAAAAYABgBZAQAA&#10;twUAAAAA&#10;">
                        <v:fill on="f" focussize="0,0"/>
                        <v:stroke color="#000000 [3213]" joinstyle="miter"/>
                        <v:imagedata o:title=""/>
                        <o:lock v:ext="edit" aspectratio="f"/>
                        <v:textbox>
                          <w:txbxContent>
                            <w:p w14:paraId="7F4184C7">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ascii="Times New Roman" w:hAnsi="Times New Roman" w:eastAsia="宋体" w:cs="Times New Roman"/>
                                  <w:sz w:val="21"/>
                                  <w:szCs w:val="20"/>
                                  <w:lang w:val="en-US" w:eastAsia="zh-CN"/>
                                </w:rPr>
                                <w:t>打包</w:t>
                              </w:r>
                            </w:p>
                          </w:txbxContent>
                        </v:textbox>
                      </v:shape>
                      <v:shape id="_x0000_s1026" o:spid="_x0000_s1026" o:spt="32" type="#_x0000_t32" style="position:absolute;left:2548255;top:3460115;flip:x;height:266065;width:635;" filled="f" stroked="t" coordsize="21600,21600" o:gfxdata="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FNM&#10;VVTWAAAABQEAAA8AAAAAAAAAAQAgAAAAIgAAAGRycy9kb3ducmV2LnhtbFBLAQIUABQAAAAIAIdO&#10;4kAJMEjfJQIAAA4EAAAOAAAAAAAAAAEAIAAAACUBAABkcnMvZTJvRG9jLnhtbFBLBQYAAAAABgAG&#10;AFkBAAC8BQAAAAA=&#10;">
                        <v:fill on="f" focussize="0,0"/>
                        <v:stroke weight="1pt" color="#000000 [3213]" joinstyle="round" endarrow="block"/>
                        <v:imagedata o:title=""/>
                        <o:lock v:ext="edit" aspectratio="f"/>
                      </v:shape>
                      <v:shape id="_x0000_s1026" o:spid="_x0000_s1026" o:spt="109" type="#_x0000_t109" style="position:absolute;left:1942465;top:3683000;height:299085;width:1211580;" filled="f" stroked="f" coordsize="21600,21600" o:gfxdata="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KZMVS3UAAAABQEAAA8AAAAAAAAAAQAgAAAA&#10;IgAAAGRycy9kb3ducmV2LnhtbFBLAQIUABQAAAAIAIdO4kDiF+ZPDwIAAPwDAAAOAAAAAAAAAAEA&#10;IAAAACMBAABkcnMvZTJvRG9jLnhtbFBLBQYAAAAABgAGAFkBAACkBQAAAAA=&#10;">
                        <v:fill on="f" focussize="0,0"/>
                        <v:stroke on="f" joinstyle="miter"/>
                        <v:imagedata o:title=""/>
                        <o:lock v:ext="edit" aspectratio="f"/>
                        <v:textbox>
                          <w:txbxContent>
                            <w:p w14:paraId="6DD3F0D6">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eastAsia="宋体" w:cs="Times New Roman"/>
                                  <w:sz w:val="21"/>
                                  <w:szCs w:val="20"/>
                                  <w:lang w:val="en-US" w:eastAsia="zh-CN"/>
                                </w:rPr>
                                <w:t>产品2500</w:t>
                              </w:r>
                            </w:p>
                          </w:txbxContent>
                        </v:textbox>
                      </v:shape>
                      <v:shape id="_x0000_s1026" o:spid="_x0000_s1026" o:spt="109" type="#_x0000_t109" style="position:absolute;left:3139440;top:1574165;height:285750;width:993775;" filled="f" stroked="f" coordsize="21600,21600" o:gfxdata="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mTFUt1AAAAAUBAAAPAAAAAAAAAAEAIAAAACIA&#10;AABkcnMvZG93bnJldi54bWxQSwECFAAUAAAACACHTuJAIJdseQ0CAAD7AwAADgAAAAAAAAABACAA&#10;AAAjAQAAZHJzL2Uyb0RvYy54bWxQSwUGAAAAAAYABgBZAQAAogUAAAAA&#10;">
                        <v:fill on="f" focussize="0,0"/>
                        <v:stroke on="f" joinstyle="miter"/>
                        <v:imagedata o:title=""/>
                        <o:lock v:ext="edit" aspectratio="f"/>
                        <v:textbox>
                          <w:txbxContent>
                            <w:p w14:paraId="666AA9E6">
                              <w:pPr>
                                <w:spacing w:line="240" w:lineRule="auto"/>
                                <w:ind w:firstLine="0" w:firstLineChars="0"/>
                                <w:jc w:val="both"/>
                                <w:rPr>
                                  <w:rFonts w:hint="default" w:eastAsia="宋体" w:cs="Times New Roman"/>
                                  <w:sz w:val="21"/>
                                  <w:szCs w:val="20"/>
                                  <w:lang w:val="en-US" w:eastAsia="zh-CN"/>
                                </w:rPr>
                              </w:pPr>
                              <w:r>
                                <w:rPr>
                                  <w:rFonts w:hint="eastAsia" w:eastAsia="宋体" w:cs="Times New Roman"/>
                                  <w:sz w:val="21"/>
                                  <w:szCs w:val="20"/>
                                  <w:lang w:val="en-US" w:eastAsia="zh-CN"/>
                                </w:rPr>
                                <w:t>边角料：25.0</w:t>
                              </w:r>
                            </w:p>
                          </w:txbxContent>
                        </v:textbox>
                      </v:shape>
                      <v:shape id="_x0000_s1026" o:spid="_x0000_s1026" o:spt="32" type="#_x0000_t32" style="position:absolute;left:2941955;top:1703705;height:4445;width:278765;" filled="f" stroked="t" coordsize="21600,21600" o:gfxdata="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Na84gdYA&#10;AAAFAQAADwAAAAAAAAABACAAAAAiAAAAZHJzL2Rvd25yZXYueG1sUEsBAhQAFAAAAAgAh07iQPPp&#10;Da0hAgAABwQAAA4AAAAAAAAAAQAgAAAAJQEAAGRycy9lMm9Eb2MueG1sUEsFBgAAAAAGAAYAWQEA&#10;ALgFAAAAAA==&#10;">
                        <v:fill on="f" focussize="0,0"/>
                        <v:stroke weight="1pt" color="#000000 [3213]" joinstyle="round" dashstyle="3 1" endarrow="block"/>
                        <v:imagedata o:title=""/>
                        <o:lock v:ext="edit" aspectratio="f"/>
                      </v:shape>
                      <v:shape id="_x0000_s1026" o:spid="_x0000_s1026" o:spt="32" type="#_x0000_t32" style="position:absolute;left:2928620;top:2799080;height:4445;width:278765;" filled="f" stroked="t" coordsize="21600,21600" o:gfxdata="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WvOIHWAAAA&#10;BQEAAA8AAAAAAAAAAQAgAAAAIgAAAGRycy9kb3ducmV2LnhtbFBLAQIUABQAAAAIAIdO4kABsMZ9&#10;HwIAAAcEAAAOAAAAAAAAAAEAIAAAACUBAABkcnMvZTJvRG9jLnhtbFBLBQYAAAAABgAGAFkBAAC2&#10;BQAAAAA=&#10;">
                        <v:fill on="f" focussize="0,0"/>
                        <v:stroke weight="1pt" color="#000000 [3213]" joinstyle="round" dashstyle="3 1" endarrow="block"/>
                        <v:imagedata o:title=""/>
                        <o:lock v:ext="edit" aspectratio="f"/>
                      </v:shape>
                      <v:shape id="_x0000_s1026" o:spid="_x0000_s1026" o:spt="109" type="#_x0000_t109" style="position:absolute;left:3166110;top:2676525;height:285750;width:1183640;" filled="f" stroked="f" coordsize="21600,21600" o:gfxdata="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pkxVLdQAAAAFAQAADwAAAAAAAAABACAAAAAi&#10;AAAAZHJzL2Rvd25yZXYueG1sUEsBAhQAFAAAAAgAh07iQPHnKokOAgAA/AMAAA4AAAAAAAAAAQAg&#10;AAAAIwEAAGRycy9lMm9Eb2MueG1sUEsFBgAAAAAGAAYAWQEAAKMFAAAAAA==&#10;">
                        <v:fill on="f" focussize="0,0"/>
                        <v:stroke on="f" joinstyle="miter"/>
                        <v:imagedata o:title=""/>
                        <o:lock v:ext="edit" aspectratio="f"/>
                        <v:textbox>
                          <w:txbxContent>
                            <w:p w14:paraId="6B4AC0A5">
                              <w:pPr>
                                <w:spacing w:line="240" w:lineRule="auto"/>
                                <w:ind w:firstLine="0" w:firstLineChars="0"/>
                                <w:jc w:val="both"/>
                                <w:rPr>
                                  <w:rFonts w:hint="default" w:eastAsia="宋体" w:cs="Times New Roman"/>
                                  <w:sz w:val="21"/>
                                  <w:szCs w:val="20"/>
                                  <w:lang w:val="en-US" w:eastAsia="zh-CN"/>
                                </w:rPr>
                              </w:pPr>
                              <w:r>
                                <w:rPr>
                                  <w:rFonts w:hint="eastAsia" w:eastAsia="宋体" w:cs="Times New Roman"/>
                                  <w:sz w:val="21"/>
                                  <w:szCs w:val="20"/>
                                  <w:lang w:val="en-US" w:eastAsia="zh-CN"/>
                                </w:rPr>
                                <w:t>不合格品：25.0</w:t>
                              </w:r>
                            </w:p>
                          </w:txbxContent>
                        </v:textbox>
                      </v:shape>
                      <v:shape id="_x0000_s1026" o:spid="_x0000_s1026" o:spt="109" type="#_x0000_t109" style="position:absolute;left:2377440;top:2370455;height:251460;width:762635;" filled="f" stroked="f" coordsize="21600,21600" o:gfxdata="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KZMVS3UAAAABQEAAA8AAAAAAAAAAQAgAAAAIgAA&#10;AGRycy9kb3ducmV2LnhtbFBLAQIUABQAAAAIAIdO4kDRJjdcDAIAAPsDAAAOAAAAAAAAAAEAIAAA&#10;ACMBAABkcnMvZTJvRG9jLnhtbFBLBQYAAAAABgAGAFkBAAChBQAAAAA=&#10;">
                        <v:fill on="f" focussize="0,0"/>
                        <v:stroke on="f" joinstyle="miter"/>
                        <v:imagedata o:title=""/>
                        <o:lock v:ext="edit" aspectratio="f"/>
                        <v:textbox>
                          <w:txbxContent>
                            <w:p w14:paraId="14BC2FB6">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eastAsia="宋体" w:cs="Times New Roman"/>
                                  <w:sz w:val="21"/>
                                  <w:szCs w:val="20"/>
                                  <w:lang w:val="en-US" w:eastAsia="zh-CN"/>
                                </w:rPr>
                                <w:t>2525</w:t>
                              </w:r>
                            </w:p>
                          </w:txbxContent>
                        </v:textbox>
                      </v:shape>
                      <v:shape id="_x0000_s1026" o:spid="_x0000_s1026" o:spt="109" type="#_x0000_t109" style="position:absolute;left:2350135;top:2934970;height:251460;width:762635;" filled="f" stroked="f" coordsize="21600,21600" o:gfxdata="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pkxVLdQAAAAFAQAADwAAAAAAAAABACAAAAAiAAAA&#10;ZHJzL2Rvd25yZXYueG1sUEsBAhQAFAAAAAgAh07iQG/JIbYLAgAA+wMAAA4AAAAAAAAAAQAgAAAA&#10;IwEAAGRycy9lMm9Eb2MueG1sUEsFBgAAAAAGAAYAWQEAAKAFAAAAAA==&#10;">
                        <v:fill on="f" focussize="0,0"/>
                        <v:stroke on="f" joinstyle="miter"/>
                        <v:imagedata o:title=""/>
                        <o:lock v:ext="edit" aspectratio="f"/>
                        <v:textbox>
                          <w:txbxContent>
                            <w:p w14:paraId="765D4CD3">
                              <w:pPr>
                                <w:spacing w:line="240" w:lineRule="auto"/>
                                <w:ind w:firstLine="0" w:firstLineChars="0"/>
                                <w:jc w:val="center"/>
                                <w:rPr>
                                  <w:rFonts w:hint="default" w:ascii="Times New Roman" w:hAnsi="Times New Roman" w:eastAsia="宋体" w:cs="Times New Roman"/>
                                  <w:sz w:val="21"/>
                                  <w:szCs w:val="20"/>
                                  <w:lang w:val="en-US" w:eastAsia="zh-CN"/>
                                </w:rPr>
                              </w:pPr>
                              <w:r>
                                <w:rPr>
                                  <w:rFonts w:hint="eastAsia" w:eastAsia="宋体" w:cs="Times New Roman"/>
                                  <w:sz w:val="21"/>
                                  <w:szCs w:val="20"/>
                                  <w:lang w:val="en-US" w:eastAsia="zh-CN"/>
                                </w:rPr>
                                <w:t>2500</w:t>
                              </w:r>
                            </w:p>
                          </w:txbxContent>
                        </v:textbox>
                      </v:shape>
                      <w10:wrap type="none"/>
                      <w10:anchorlock/>
                    </v:group>
                  </w:pict>
                </mc:Fallback>
              </mc:AlternateContent>
            </w:r>
          </w:p>
          <w:p w14:paraId="4196D3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图</w:t>
            </w:r>
            <w:r>
              <w:rPr>
                <w:rFonts w:hint="eastAsia" w:ascii="Times New Roman" w:hAnsi="Times New Roman" w:eastAsia="宋体" w:cs="Times New Roman"/>
                <w:b/>
                <w:bCs/>
                <w:color w:val="auto"/>
                <w:sz w:val="21"/>
                <w:szCs w:val="21"/>
                <w:lang w:val="en-US" w:eastAsia="zh-CN"/>
              </w:rPr>
              <w:t>2</w:t>
            </w:r>
            <w:r>
              <w:rPr>
                <w:rFonts w:hint="default" w:ascii="Times New Roman" w:hAnsi="Times New Roman" w:eastAsia="宋体" w:cs="Times New Roman"/>
                <w:b/>
                <w:bCs/>
                <w:color w:val="auto"/>
                <w:sz w:val="21"/>
                <w:szCs w:val="21"/>
              </w:rPr>
              <w:t>-</w:t>
            </w:r>
            <w:r>
              <w:rPr>
                <w:rFonts w:hint="eastAsia" w:cs="Times New Roman"/>
                <w:b/>
                <w:bCs/>
                <w:color w:val="auto"/>
                <w:sz w:val="21"/>
                <w:szCs w:val="21"/>
                <w:lang w:val="en-US" w:eastAsia="zh-CN"/>
              </w:rPr>
              <w:t xml:space="preserve">4  </w:t>
            </w:r>
            <w:r>
              <w:rPr>
                <w:rFonts w:hint="default" w:ascii="Times New Roman" w:hAnsi="Times New Roman" w:eastAsia="宋体" w:cs="Times New Roman"/>
                <w:b/>
                <w:bCs/>
                <w:color w:val="auto"/>
                <w:sz w:val="21"/>
                <w:szCs w:val="21"/>
              </w:rPr>
              <w:t xml:space="preserve"> 项目物料平衡图（单位：t/a）</w:t>
            </w:r>
          </w:p>
          <w:p w14:paraId="717192E2">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本项目物料平衡表见表</w:t>
            </w:r>
            <w:r>
              <w:rPr>
                <w:rFonts w:hint="eastAsia"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10</w:t>
            </w:r>
            <w:r>
              <w:rPr>
                <w:rFonts w:hint="default" w:ascii="Times New Roman" w:hAnsi="Times New Roman" w:eastAsia="宋体" w:cs="Times New Roman"/>
                <w:color w:val="auto"/>
                <w:sz w:val="24"/>
                <w:szCs w:val="24"/>
              </w:rPr>
              <w:t>。</w:t>
            </w:r>
          </w:p>
          <w:p w14:paraId="442B73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w:t>
            </w:r>
            <w:r>
              <w:rPr>
                <w:rFonts w:hint="eastAsia" w:ascii="Times New Roman" w:hAnsi="Times New Roman" w:eastAsia="宋体" w:cs="Times New Roman"/>
                <w:b/>
                <w:bCs/>
                <w:color w:val="auto"/>
                <w:sz w:val="21"/>
                <w:szCs w:val="21"/>
                <w:lang w:val="en-US" w:eastAsia="zh-CN"/>
              </w:rPr>
              <w:t>2</w:t>
            </w:r>
            <w:r>
              <w:rPr>
                <w:rFonts w:hint="default" w:ascii="Times New Roman" w:hAnsi="Times New Roman" w:eastAsia="宋体" w:cs="Times New Roman"/>
                <w:b/>
                <w:bCs/>
                <w:color w:val="auto"/>
                <w:sz w:val="21"/>
                <w:szCs w:val="21"/>
              </w:rPr>
              <w:t>-</w:t>
            </w:r>
            <w:r>
              <w:rPr>
                <w:rFonts w:hint="eastAsia" w:cs="Times New Roman"/>
                <w:b/>
                <w:bCs/>
                <w:color w:val="auto"/>
                <w:sz w:val="21"/>
                <w:szCs w:val="21"/>
                <w:lang w:val="en-US" w:eastAsia="zh-CN"/>
              </w:rPr>
              <w:t>10</w:t>
            </w:r>
            <w:r>
              <w:rPr>
                <w:rFonts w:hint="default" w:ascii="Times New Roman" w:hAnsi="Times New Roman" w:eastAsia="宋体" w:cs="Times New Roman"/>
                <w:b/>
                <w:bCs/>
                <w:color w:val="auto"/>
                <w:sz w:val="21"/>
                <w:szCs w:val="21"/>
              </w:rPr>
              <w:t xml:space="preserve"> </w:t>
            </w:r>
            <w:r>
              <w:rPr>
                <w:rFonts w:hint="eastAsia"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物料平衡表</w:t>
            </w:r>
          </w:p>
          <w:tbl>
            <w:tblPr>
              <w:tblStyle w:val="32"/>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78"/>
              <w:gridCol w:w="1838"/>
              <w:gridCol w:w="2840"/>
              <w:gridCol w:w="1556"/>
            </w:tblGrid>
            <w:tr w14:paraId="0B2077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16" w:type="dxa"/>
                  <w:gridSpan w:val="2"/>
                  <w:tcBorders>
                    <w:bottom w:val="single" w:color="auto" w:sz="12" w:space="0"/>
                  </w:tcBorders>
                  <w:noWrap w:val="0"/>
                  <w:vAlign w:val="center"/>
                </w:tcPr>
                <w:p w14:paraId="41A6F64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lang w:val="en-US" w:eastAsia="zh-CN" w:bidi="ar-SA"/>
                    </w:rPr>
                  </w:pPr>
                  <w:r>
                    <w:rPr>
                      <w:rFonts w:hint="default" w:ascii="Times New Roman" w:hAnsi="Times New Roman" w:eastAsia="宋体" w:cs="Times New Roman"/>
                      <w:b/>
                      <w:bCs/>
                      <w:color w:val="auto"/>
                      <w:sz w:val="21"/>
                      <w:szCs w:val="21"/>
                      <w:lang w:val="en-US" w:eastAsia="zh-CN" w:bidi="ar-SA"/>
                    </w:rPr>
                    <w:t>投入</w:t>
                  </w:r>
                </w:p>
              </w:tc>
              <w:tc>
                <w:tcPr>
                  <w:tcW w:w="4396" w:type="dxa"/>
                  <w:gridSpan w:val="2"/>
                  <w:tcBorders>
                    <w:bottom w:val="single" w:color="auto" w:sz="12" w:space="0"/>
                  </w:tcBorders>
                  <w:noWrap w:val="0"/>
                  <w:vAlign w:val="center"/>
                </w:tcPr>
                <w:p w14:paraId="67C82F2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lang w:val="en-US" w:eastAsia="zh-CN" w:bidi="ar-SA"/>
                    </w:rPr>
                  </w:pPr>
                  <w:r>
                    <w:rPr>
                      <w:rFonts w:hint="default" w:ascii="Times New Roman" w:hAnsi="Times New Roman" w:eastAsia="宋体" w:cs="Times New Roman"/>
                      <w:b/>
                      <w:bCs/>
                      <w:color w:val="auto"/>
                      <w:sz w:val="21"/>
                      <w:szCs w:val="21"/>
                      <w:lang w:val="en-US" w:eastAsia="zh-CN" w:bidi="ar-SA"/>
                    </w:rPr>
                    <w:t>产出</w:t>
                  </w:r>
                </w:p>
              </w:tc>
            </w:tr>
            <w:tr w14:paraId="406CFD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078" w:type="dxa"/>
                  <w:tcBorders>
                    <w:top w:val="single" w:color="auto" w:sz="12" w:space="0"/>
                  </w:tcBorders>
                  <w:noWrap w:val="0"/>
                  <w:vAlign w:val="center"/>
                </w:tcPr>
                <w:p w14:paraId="33A7EC1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名称</w:t>
                  </w:r>
                </w:p>
              </w:tc>
              <w:tc>
                <w:tcPr>
                  <w:tcW w:w="1838" w:type="dxa"/>
                  <w:tcBorders>
                    <w:top w:val="single" w:color="auto" w:sz="12" w:space="0"/>
                  </w:tcBorders>
                  <w:noWrap w:val="0"/>
                  <w:vAlign w:val="center"/>
                </w:tcPr>
                <w:p w14:paraId="52216D5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数量（t/a）</w:t>
                  </w:r>
                </w:p>
              </w:tc>
              <w:tc>
                <w:tcPr>
                  <w:tcW w:w="2840" w:type="dxa"/>
                  <w:tcBorders>
                    <w:top w:val="single" w:color="auto" w:sz="12" w:space="0"/>
                  </w:tcBorders>
                  <w:noWrap w:val="0"/>
                  <w:vAlign w:val="center"/>
                </w:tcPr>
                <w:p w14:paraId="02B4A0C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名称</w:t>
                  </w:r>
                </w:p>
              </w:tc>
              <w:tc>
                <w:tcPr>
                  <w:tcW w:w="1556" w:type="dxa"/>
                  <w:tcBorders>
                    <w:top w:val="single" w:color="auto" w:sz="12" w:space="0"/>
                  </w:tcBorders>
                  <w:noWrap w:val="0"/>
                  <w:vAlign w:val="center"/>
                </w:tcPr>
                <w:p w14:paraId="164224C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数量（t/a）</w:t>
                  </w:r>
                </w:p>
              </w:tc>
            </w:tr>
            <w:tr w14:paraId="2F1D8F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078" w:type="dxa"/>
                  <w:vMerge w:val="restart"/>
                  <w:noWrap w:val="0"/>
                  <w:vAlign w:val="center"/>
                </w:tcPr>
                <w:p w14:paraId="41B2D60C">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PA66尼龙颗粒</w:t>
                  </w:r>
                </w:p>
              </w:tc>
              <w:tc>
                <w:tcPr>
                  <w:tcW w:w="1838" w:type="dxa"/>
                  <w:vMerge w:val="restart"/>
                  <w:noWrap w:val="0"/>
                  <w:vAlign w:val="center"/>
                </w:tcPr>
                <w:p w14:paraId="1B320F4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cs="Times New Roman"/>
                      <w:color w:val="auto"/>
                      <w:sz w:val="21"/>
                      <w:szCs w:val="21"/>
                      <w:lang w:val="en-US" w:eastAsia="zh-CN" w:bidi="ar-SA"/>
                    </w:rPr>
                    <w:t>2559.104</w:t>
                  </w:r>
                </w:p>
              </w:tc>
              <w:tc>
                <w:tcPr>
                  <w:tcW w:w="2840" w:type="dxa"/>
                  <w:noWrap w:val="0"/>
                  <w:vAlign w:val="center"/>
                </w:tcPr>
                <w:p w14:paraId="02FCC8F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cs="Times New Roman"/>
                      <w:color w:val="auto"/>
                      <w:sz w:val="21"/>
                      <w:szCs w:val="21"/>
                      <w:lang w:val="en-US" w:eastAsia="zh-CN" w:bidi="ar-SA"/>
                    </w:rPr>
                    <w:t>尼龙隔热条</w:t>
                  </w:r>
                </w:p>
              </w:tc>
              <w:tc>
                <w:tcPr>
                  <w:tcW w:w="1556" w:type="dxa"/>
                  <w:noWrap w:val="0"/>
                  <w:vAlign w:val="center"/>
                </w:tcPr>
                <w:p w14:paraId="6365B8A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cs="Times New Roman"/>
                      <w:color w:val="auto"/>
                      <w:sz w:val="21"/>
                      <w:szCs w:val="21"/>
                      <w:lang w:val="en-US" w:eastAsia="zh-CN" w:bidi="ar-SA"/>
                    </w:rPr>
                    <w:t>2500</w:t>
                  </w:r>
                </w:p>
              </w:tc>
            </w:tr>
            <w:tr w14:paraId="0DAA30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078" w:type="dxa"/>
                  <w:vMerge w:val="continue"/>
                  <w:noWrap w:val="0"/>
                  <w:vAlign w:val="center"/>
                </w:tcPr>
                <w:p w14:paraId="0A4CA50C">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1"/>
                      <w:szCs w:val="21"/>
                      <w:lang w:val="en-US" w:eastAsia="zh-CN" w:bidi="ar-SA"/>
                    </w:rPr>
                  </w:pPr>
                </w:p>
              </w:tc>
              <w:tc>
                <w:tcPr>
                  <w:tcW w:w="1838" w:type="dxa"/>
                  <w:vMerge w:val="continue"/>
                  <w:noWrap w:val="0"/>
                  <w:vAlign w:val="center"/>
                </w:tcPr>
                <w:p w14:paraId="6DDDCF4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bidi="ar-SA"/>
                    </w:rPr>
                  </w:pPr>
                </w:p>
              </w:tc>
              <w:tc>
                <w:tcPr>
                  <w:tcW w:w="2840" w:type="dxa"/>
                  <w:noWrap w:val="0"/>
                  <w:vAlign w:val="center"/>
                </w:tcPr>
                <w:p w14:paraId="7098086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cs="Times New Roman"/>
                      <w:color w:val="auto"/>
                      <w:sz w:val="21"/>
                      <w:szCs w:val="21"/>
                      <w:lang w:val="en-US" w:eastAsia="zh-CN" w:bidi="ar-SA"/>
                    </w:rPr>
                    <w:t>非甲烷总烃产生量</w:t>
                  </w:r>
                </w:p>
              </w:tc>
              <w:tc>
                <w:tcPr>
                  <w:tcW w:w="1556" w:type="dxa"/>
                  <w:noWrap w:val="0"/>
                  <w:vAlign w:val="center"/>
                </w:tcPr>
                <w:p w14:paraId="24ADCE1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cs="Times New Roman"/>
                      <w:color w:val="auto"/>
                      <w:sz w:val="21"/>
                      <w:szCs w:val="21"/>
                      <w:lang w:val="en-US" w:eastAsia="zh-CN" w:bidi="ar-SA"/>
                    </w:rPr>
                    <w:t>1.348</w:t>
                  </w:r>
                </w:p>
              </w:tc>
            </w:tr>
            <w:tr w14:paraId="72698C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078" w:type="dxa"/>
                  <w:vMerge w:val="continue"/>
                  <w:noWrap w:val="0"/>
                  <w:vAlign w:val="center"/>
                </w:tcPr>
                <w:p w14:paraId="32B528CD">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1"/>
                      <w:szCs w:val="21"/>
                      <w:lang w:val="en-US" w:eastAsia="zh-CN" w:bidi="ar-SA"/>
                    </w:rPr>
                  </w:pPr>
                </w:p>
              </w:tc>
              <w:tc>
                <w:tcPr>
                  <w:tcW w:w="1838" w:type="dxa"/>
                  <w:vMerge w:val="continue"/>
                  <w:noWrap w:val="0"/>
                  <w:vAlign w:val="center"/>
                </w:tcPr>
                <w:p w14:paraId="3C3AAFD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bidi="ar-SA"/>
                    </w:rPr>
                  </w:pPr>
                </w:p>
              </w:tc>
              <w:tc>
                <w:tcPr>
                  <w:tcW w:w="2840" w:type="dxa"/>
                  <w:noWrap w:val="0"/>
                  <w:vAlign w:val="center"/>
                </w:tcPr>
                <w:p w14:paraId="6E3CC52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lang w:val="en-US" w:eastAsia="zh-CN" w:bidi="ar-SA"/>
                    </w:rPr>
                  </w:pPr>
                  <w:r>
                    <w:rPr>
                      <w:rFonts w:hint="eastAsia" w:cs="Times New Roman"/>
                      <w:color w:val="auto"/>
                      <w:sz w:val="21"/>
                      <w:szCs w:val="21"/>
                      <w:lang w:val="en-US" w:eastAsia="zh-CN" w:bidi="ar-SA"/>
                    </w:rPr>
                    <w:t>氨气产生量</w:t>
                  </w:r>
                </w:p>
              </w:tc>
              <w:tc>
                <w:tcPr>
                  <w:tcW w:w="1556" w:type="dxa"/>
                  <w:noWrap w:val="0"/>
                  <w:vAlign w:val="center"/>
                </w:tcPr>
                <w:p w14:paraId="13CD09E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cs="Times New Roman"/>
                      <w:color w:val="auto"/>
                      <w:sz w:val="21"/>
                      <w:szCs w:val="21"/>
                      <w:lang w:val="en-US" w:eastAsia="zh-CN" w:bidi="ar-SA"/>
                    </w:rPr>
                  </w:pPr>
                  <w:r>
                    <w:rPr>
                      <w:rFonts w:hint="eastAsia" w:cs="Times New Roman"/>
                      <w:color w:val="auto"/>
                      <w:sz w:val="21"/>
                      <w:szCs w:val="21"/>
                      <w:lang w:val="en-US" w:eastAsia="zh-CN" w:bidi="ar-SA"/>
                    </w:rPr>
                    <w:t>0.256</w:t>
                  </w:r>
                </w:p>
              </w:tc>
            </w:tr>
            <w:tr w14:paraId="6347B3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2078" w:type="dxa"/>
                  <w:vMerge w:val="continue"/>
                  <w:noWrap w:val="0"/>
                  <w:vAlign w:val="center"/>
                </w:tcPr>
                <w:p w14:paraId="578AEE61">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1"/>
                      <w:szCs w:val="21"/>
                      <w:lang w:val="en-US" w:eastAsia="zh-CN" w:bidi="ar-SA"/>
                    </w:rPr>
                  </w:pPr>
                </w:p>
              </w:tc>
              <w:tc>
                <w:tcPr>
                  <w:tcW w:w="1838" w:type="dxa"/>
                  <w:vMerge w:val="continue"/>
                  <w:noWrap w:val="0"/>
                  <w:vAlign w:val="center"/>
                </w:tcPr>
                <w:p w14:paraId="2C7DB2D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bidi="ar-SA"/>
                    </w:rPr>
                  </w:pPr>
                </w:p>
              </w:tc>
              <w:tc>
                <w:tcPr>
                  <w:tcW w:w="2840" w:type="dxa"/>
                  <w:noWrap w:val="0"/>
                  <w:vAlign w:val="center"/>
                </w:tcPr>
                <w:p w14:paraId="6A6179E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边角料及不合格品</w:t>
                  </w:r>
                </w:p>
              </w:tc>
              <w:tc>
                <w:tcPr>
                  <w:tcW w:w="1556" w:type="dxa"/>
                  <w:noWrap w:val="0"/>
                  <w:vAlign w:val="center"/>
                </w:tcPr>
                <w:p w14:paraId="78772E1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57.5</w:t>
                  </w:r>
                </w:p>
              </w:tc>
            </w:tr>
            <w:tr w14:paraId="1AF5DD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078" w:type="dxa"/>
                  <w:noWrap w:val="0"/>
                  <w:vAlign w:val="center"/>
                </w:tcPr>
                <w:p w14:paraId="37025B9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合计</w:t>
                  </w:r>
                </w:p>
              </w:tc>
              <w:tc>
                <w:tcPr>
                  <w:tcW w:w="1838" w:type="dxa"/>
                  <w:noWrap w:val="0"/>
                  <w:vAlign w:val="center"/>
                </w:tcPr>
                <w:p w14:paraId="08D4EDC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cs="Times New Roman"/>
                      <w:color w:val="auto"/>
                      <w:sz w:val="21"/>
                      <w:szCs w:val="21"/>
                      <w:lang w:val="en-US" w:eastAsia="zh-CN" w:bidi="ar-SA"/>
                    </w:rPr>
                    <w:t>2559.104</w:t>
                  </w:r>
                </w:p>
              </w:tc>
              <w:tc>
                <w:tcPr>
                  <w:tcW w:w="2840" w:type="dxa"/>
                  <w:noWrap w:val="0"/>
                  <w:vAlign w:val="center"/>
                </w:tcPr>
                <w:p w14:paraId="16290C9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合计</w:t>
                  </w:r>
                </w:p>
              </w:tc>
              <w:tc>
                <w:tcPr>
                  <w:tcW w:w="1556" w:type="dxa"/>
                  <w:noWrap w:val="0"/>
                  <w:vAlign w:val="center"/>
                </w:tcPr>
                <w:p w14:paraId="7E67A21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cs="Times New Roman"/>
                      <w:color w:val="auto"/>
                      <w:sz w:val="21"/>
                      <w:szCs w:val="21"/>
                      <w:lang w:val="en-US" w:eastAsia="zh-CN" w:bidi="ar-SA"/>
                    </w:rPr>
                    <w:t>2559.104</w:t>
                  </w:r>
                </w:p>
              </w:tc>
            </w:tr>
          </w:tbl>
          <w:p w14:paraId="76B858ED">
            <w:pPr>
              <w:keepNext w:val="0"/>
              <w:keepLines w:val="0"/>
              <w:suppressLineNumbers w:val="0"/>
              <w:spacing w:before="0" w:beforeAutospacing="0" w:after="0" w:afterAutospacing="0" w:line="360" w:lineRule="auto"/>
              <w:ind w:left="0" w:right="0" w:firstLine="482" w:firstLineChars="200"/>
              <w:rPr>
                <w:rFonts w:hint="default"/>
                <w:b/>
                <w:bCs/>
                <w:color w:val="auto"/>
                <w:highlight w:val="none"/>
              </w:rPr>
            </w:pPr>
            <w:r>
              <w:rPr>
                <w:rFonts w:hint="eastAsia"/>
                <w:b/>
                <w:bCs/>
                <w:color w:val="auto"/>
                <w:highlight w:val="none"/>
                <w:lang w:val="en-US" w:eastAsia="zh-CN"/>
              </w:rPr>
              <w:t>4</w:t>
            </w:r>
            <w:r>
              <w:rPr>
                <w:rFonts w:hint="eastAsia"/>
                <w:b/>
                <w:bCs/>
                <w:color w:val="auto"/>
                <w:highlight w:val="none"/>
              </w:rPr>
              <w:t>、产污环节分析</w:t>
            </w:r>
          </w:p>
          <w:p w14:paraId="59CB7D31">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宋体"/>
                <w:color w:val="auto"/>
                <w:kern w:val="0"/>
                <w:sz w:val="24"/>
                <w:szCs w:val="24"/>
                <w:highlight w:val="none"/>
                <w:shd w:val="clear" w:color="auto" w:fill="auto"/>
                <w:lang w:val="en-US" w:eastAsia="zh-CN" w:bidi="ar-SA"/>
              </w:rPr>
            </w:pPr>
            <w:r>
              <w:rPr>
                <w:rFonts w:hint="eastAsia" w:ascii="Times New Roman" w:hAnsi="Times New Roman" w:eastAsia="宋体" w:cs="宋体"/>
                <w:color w:val="auto"/>
                <w:kern w:val="0"/>
                <w:sz w:val="24"/>
                <w:szCs w:val="24"/>
                <w:highlight w:val="none"/>
                <w:shd w:val="clear" w:color="auto" w:fill="auto"/>
                <w:lang w:val="en-US" w:eastAsia="zh-CN" w:bidi="ar-SA"/>
              </w:rPr>
              <w:t>本项目产污环节具体见表2-11。</w:t>
            </w:r>
          </w:p>
          <w:p w14:paraId="3481B482">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b/>
                <w:bCs/>
                <w:color w:val="auto"/>
                <w:kern w:val="2"/>
                <w:sz w:val="21"/>
                <w:szCs w:val="24"/>
                <w:highlight w:val="none"/>
                <w:lang w:val="en-US" w:eastAsia="zh-CN" w:bidi="ar-SA"/>
              </w:rPr>
            </w:pPr>
            <w:r>
              <w:rPr>
                <w:rFonts w:hint="eastAsia" w:ascii="Times New Roman" w:hAnsi="Times New Roman" w:eastAsia="宋体" w:cs="Times New Roman"/>
                <w:b/>
                <w:bCs/>
                <w:color w:val="auto"/>
                <w:kern w:val="2"/>
                <w:sz w:val="21"/>
                <w:szCs w:val="24"/>
                <w:highlight w:val="none"/>
                <w:lang w:val="en-US" w:eastAsia="zh-CN" w:bidi="ar-SA"/>
              </w:rPr>
              <w:t>表2-11   本项目产污环节</w:t>
            </w:r>
          </w:p>
          <w:tbl>
            <w:tblPr>
              <w:tblStyle w:val="107"/>
              <w:tblW w:w="499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00"/>
              <w:gridCol w:w="1538"/>
              <w:gridCol w:w="1233"/>
              <w:gridCol w:w="2388"/>
              <w:gridCol w:w="2617"/>
            </w:tblGrid>
            <w:tr w14:paraId="40D4F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8" w:type="pct"/>
                  <w:tcBorders>
                    <w:tl2br w:val="nil"/>
                    <w:tr2bl w:val="nil"/>
                  </w:tcBorders>
                  <w:noWrap w:val="0"/>
                  <w:vAlign w:val="center"/>
                </w:tcPr>
                <w:p w14:paraId="688DAFA8">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b/>
                      <w:color w:val="auto"/>
                      <w:kern w:val="2"/>
                      <w:sz w:val="21"/>
                      <w:szCs w:val="21"/>
                      <w:highlight w:val="none"/>
                      <w:lang w:val="zh-CN" w:eastAsia="zh-CN" w:bidi="zh-CN"/>
                    </w:rPr>
                  </w:pPr>
                  <w:r>
                    <w:rPr>
                      <w:rFonts w:hint="default" w:ascii="Times New Roman" w:hAnsi="Times New Roman" w:eastAsia="宋体" w:cs="Times New Roman"/>
                      <w:b/>
                      <w:color w:val="auto"/>
                      <w:kern w:val="2"/>
                      <w:sz w:val="21"/>
                      <w:szCs w:val="21"/>
                      <w:highlight w:val="none"/>
                      <w:lang w:val="zh-CN" w:eastAsia="zh-CN" w:bidi="zh-CN"/>
                    </w:rPr>
                    <w:t>类别</w:t>
                  </w:r>
                </w:p>
              </w:tc>
              <w:tc>
                <w:tcPr>
                  <w:tcW w:w="918" w:type="pct"/>
                  <w:tcBorders>
                    <w:tl2br w:val="nil"/>
                    <w:tr2bl w:val="nil"/>
                  </w:tcBorders>
                  <w:noWrap w:val="0"/>
                  <w:vAlign w:val="center"/>
                </w:tcPr>
                <w:p w14:paraId="3D7E5B31">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b/>
                      <w:color w:val="auto"/>
                      <w:kern w:val="2"/>
                      <w:sz w:val="21"/>
                      <w:szCs w:val="21"/>
                      <w:highlight w:val="none"/>
                      <w:lang w:val="zh-CN" w:eastAsia="zh-CN" w:bidi="zh-CN"/>
                    </w:rPr>
                  </w:pPr>
                  <w:r>
                    <w:rPr>
                      <w:rFonts w:hint="default" w:ascii="Times New Roman" w:hAnsi="Times New Roman" w:eastAsia="宋体" w:cs="Times New Roman"/>
                      <w:b/>
                      <w:color w:val="auto"/>
                      <w:kern w:val="2"/>
                      <w:sz w:val="21"/>
                      <w:szCs w:val="21"/>
                      <w:highlight w:val="none"/>
                      <w:lang w:val="zh-CN" w:eastAsia="zh-CN" w:bidi="zh-CN"/>
                    </w:rPr>
                    <w:t>名称</w:t>
                  </w:r>
                </w:p>
              </w:tc>
              <w:tc>
                <w:tcPr>
                  <w:tcW w:w="736" w:type="pct"/>
                  <w:tcBorders>
                    <w:tl2br w:val="nil"/>
                    <w:tr2bl w:val="nil"/>
                  </w:tcBorders>
                  <w:noWrap w:val="0"/>
                  <w:vAlign w:val="center"/>
                </w:tcPr>
                <w:p w14:paraId="25A6386B">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b/>
                      <w:color w:val="auto"/>
                      <w:kern w:val="2"/>
                      <w:sz w:val="21"/>
                      <w:szCs w:val="21"/>
                      <w:highlight w:val="none"/>
                      <w:lang w:val="zh-CN" w:eastAsia="zh-CN" w:bidi="zh-CN"/>
                    </w:rPr>
                  </w:pPr>
                  <w:r>
                    <w:rPr>
                      <w:rFonts w:hint="default" w:ascii="Times New Roman" w:hAnsi="Times New Roman" w:eastAsia="宋体" w:cs="Times New Roman"/>
                      <w:b/>
                      <w:color w:val="auto"/>
                      <w:kern w:val="2"/>
                      <w:sz w:val="21"/>
                      <w:szCs w:val="21"/>
                      <w:highlight w:val="none"/>
                      <w:lang w:val="zh-CN" w:eastAsia="zh-CN" w:bidi="zh-CN"/>
                    </w:rPr>
                    <w:t>产生工段</w:t>
                  </w:r>
                </w:p>
              </w:tc>
              <w:tc>
                <w:tcPr>
                  <w:tcW w:w="1425" w:type="pct"/>
                  <w:tcBorders>
                    <w:tl2br w:val="nil"/>
                    <w:tr2bl w:val="nil"/>
                  </w:tcBorders>
                  <w:noWrap w:val="0"/>
                  <w:vAlign w:val="center"/>
                </w:tcPr>
                <w:p w14:paraId="52CBE614">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b/>
                      <w:color w:val="auto"/>
                      <w:kern w:val="2"/>
                      <w:sz w:val="21"/>
                      <w:szCs w:val="21"/>
                      <w:highlight w:val="none"/>
                      <w:lang w:val="zh-CN" w:eastAsia="zh-CN" w:bidi="zh-CN"/>
                    </w:rPr>
                  </w:pPr>
                  <w:r>
                    <w:rPr>
                      <w:rFonts w:hint="default" w:ascii="Times New Roman" w:hAnsi="Times New Roman" w:eastAsia="宋体" w:cs="Times New Roman"/>
                      <w:b/>
                      <w:color w:val="auto"/>
                      <w:kern w:val="2"/>
                      <w:sz w:val="21"/>
                      <w:szCs w:val="21"/>
                      <w:highlight w:val="none"/>
                      <w:lang w:val="zh-CN" w:eastAsia="zh-CN" w:bidi="zh-CN"/>
                    </w:rPr>
                    <w:t>污染因子</w:t>
                  </w:r>
                </w:p>
              </w:tc>
              <w:tc>
                <w:tcPr>
                  <w:tcW w:w="1562" w:type="pct"/>
                  <w:tcBorders>
                    <w:tl2br w:val="nil"/>
                    <w:tr2bl w:val="nil"/>
                  </w:tcBorders>
                  <w:noWrap w:val="0"/>
                  <w:vAlign w:val="center"/>
                </w:tcPr>
                <w:p w14:paraId="03A45748">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b/>
                      <w:color w:val="auto"/>
                      <w:kern w:val="2"/>
                      <w:sz w:val="21"/>
                      <w:szCs w:val="21"/>
                      <w:highlight w:val="none"/>
                      <w:lang w:val="zh-CN" w:eastAsia="zh-CN" w:bidi="zh-CN"/>
                    </w:rPr>
                  </w:pPr>
                  <w:r>
                    <w:rPr>
                      <w:rFonts w:hint="default" w:ascii="Times New Roman" w:hAnsi="Times New Roman" w:eastAsia="宋体" w:cs="Times New Roman"/>
                      <w:b/>
                      <w:color w:val="auto"/>
                      <w:kern w:val="2"/>
                      <w:sz w:val="21"/>
                      <w:szCs w:val="21"/>
                      <w:highlight w:val="none"/>
                      <w:lang w:val="zh-CN" w:eastAsia="zh-CN" w:bidi="zh-CN"/>
                    </w:rPr>
                    <w:t>治理措施</w:t>
                  </w:r>
                </w:p>
              </w:tc>
            </w:tr>
            <w:tr w14:paraId="729DF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8" w:type="pct"/>
                  <w:vMerge w:val="restart"/>
                  <w:tcBorders>
                    <w:tl2br w:val="nil"/>
                    <w:tr2bl w:val="nil"/>
                  </w:tcBorders>
                  <w:noWrap w:val="0"/>
                  <w:vAlign w:val="center"/>
                </w:tcPr>
                <w:p w14:paraId="2AEE87A7">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zh-CN"/>
                    </w:rPr>
                  </w:pPr>
                  <w:r>
                    <w:rPr>
                      <w:rFonts w:hint="default" w:ascii="Times New Roman" w:hAnsi="Times New Roman" w:eastAsia="宋体" w:cs="Times New Roman"/>
                      <w:color w:val="auto"/>
                      <w:kern w:val="2"/>
                      <w:sz w:val="21"/>
                      <w:szCs w:val="21"/>
                      <w:highlight w:val="none"/>
                      <w:lang w:val="en-US" w:eastAsia="zh-CN" w:bidi="zh-CN"/>
                    </w:rPr>
                    <w:t>废气</w:t>
                  </w:r>
                </w:p>
              </w:tc>
              <w:tc>
                <w:tcPr>
                  <w:tcW w:w="918" w:type="pct"/>
                  <w:tcBorders>
                    <w:tl2br w:val="nil"/>
                    <w:tr2bl w:val="nil"/>
                  </w:tcBorders>
                  <w:noWrap w:val="0"/>
                  <w:vAlign w:val="center"/>
                </w:tcPr>
                <w:p w14:paraId="7C751B6B">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zh-CN"/>
                    </w:rPr>
                  </w:pPr>
                  <w:r>
                    <w:rPr>
                      <w:rFonts w:hint="eastAsia" w:ascii="Times New Roman" w:hAnsi="Times New Roman" w:eastAsia="宋体" w:cs="Times New Roman"/>
                      <w:color w:val="auto"/>
                      <w:kern w:val="2"/>
                      <w:sz w:val="21"/>
                      <w:szCs w:val="21"/>
                      <w:highlight w:val="none"/>
                      <w:lang w:val="en-US" w:eastAsia="zh-CN" w:bidi="zh-CN"/>
                    </w:rPr>
                    <w:t>烘干、挤出废气</w:t>
                  </w:r>
                </w:p>
              </w:tc>
              <w:tc>
                <w:tcPr>
                  <w:tcW w:w="736" w:type="pct"/>
                  <w:tcBorders>
                    <w:tl2br w:val="nil"/>
                    <w:tr2bl w:val="nil"/>
                  </w:tcBorders>
                  <w:noWrap w:val="0"/>
                  <w:vAlign w:val="center"/>
                </w:tcPr>
                <w:p w14:paraId="10E9C0DF">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zh-CN"/>
                    </w:rPr>
                  </w:pPr>
                  <w:r>
                    <w:rPr>
                      <w:rFonts w:hint="eastAsia" w:ascii="Times New Roman" w:hAnsi="Times New Roman" w:eastAsia="宋体" w:cs="Times New Roman"/>
                      <w:color w:val="auto"/>
                      <w:kern w:val="0"/>
                      <w:sz w:val="21"/>
                      <w:szCs w:val="21"/>
                      <w:highlight w:val="none"/>
                      <w:lang w:val="en-US" w:eastAsia="zh-CN" w:bidi="ar-SA"/>
                    </w:rPr>
                    <w:t>烘干、挤出</w:t>
                  </w:r>
                </w:p>
              </w:tc>
              <w:tc>
                <w:tcPr>
                  <w:tcW w:w="1425" w:type="pct"/>
                  <w:tcBorders>
                    <w:tl2br w:val="nil"/>
                    <w:tr2bl w:val="nil"/>
                  </w:tcBorders>
                  <w:noWrap w:val="0"/>
                  <w:vAlign w:val="center"/>
                </w:tcPr>
                <w:p w14:paraId="01AFD3E1">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zh-CN"/>
                    </w:rPr>
                  </w:pPr>
                  <w:r>
                    <w:rPr>
                      <w:rFonts w:hint="eastAsia" w:ascii="Times New Roman" w:hAnsi="Times New Roman" w:eastAsia="宋体" w:cs="Times New Roman"/>
                      <w:color w:val="auto"/>
                      <w:kern w:val="2"/>
                      <w:sz w:val="21"/>
                      <w:szCs w:val="21"/>
                      <w:highlight w:val="none"/>
                      <w:lang w:val="en-US" w:eastAsia="zh-CN" w:bidi="zh-CN"/>
                    </w:rPr>
                    <w:t>非甲烷总烃、氨、臭气浓度</w:t>
                  </w:r>
                </w:p>
              </w:tc>
              <w:tc>
                <w:tcPr>
                  <w:tcW w:w="1562" w:type="pct"/>
                  <w:tcBorders>
                    <w:tl2br w:val="nil"/>
                    <w:tr2bl w:val="nil"/>
                  </w:tcBorders>
                  <w:noWrap w:val="0"/>
                  <w:vAlign w:val="center"/>
                </w:tcPr>
                <w:p w14:paraId="14C97353">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b/>
                      <w:color w:val="auto"/>
                      <w:kern w:val="2"/>
                      <w:sz w:val="21"/>
                      <w:szCs w:val="21"/>
                      <w:highlight w:val="none"/>
                      <w:lang w:val="en-US" w:eastAsia="zh-CN" w:bidi="zh-CN"/>
                    </w:rPr>
                  </w:pPr>
                  <w:r>
                    <w:rPr>
                      <w:rFonts w:hint="default" w:ascii="Times New Roman" w:hAnsi="Times New Roman" w:eastAsia="宋体" w:cs="Times New Roman"/>
                      <w:color w:val="auto"/>
                      <w:sz w:val="21"/>
                      <w:szCs w:val="21"/>
                      <w:highlight w:val="none"/>
                      <w:lang w:val="en-US" w:eastAsia="zh-CN"/>
                    </w:rPr>
                    <w:t>活性炭吸附装置+</w:t>
                  </w:r>
                  <w:r>
                    <w:rPr>
                      <w:rFonts w:hint="eastAsia" w:ascii="Times New Roman" w:hAnsi="Times New Roman" w:eastAsia="宋体" w:cs="Times New Roman"/>
                      <w:color w:val="auto"/>
                      <w:sz w:val="21"/>
                      <w:szCs w:val="21"/>
                      <w:highlight w:val="none"/>
                      <w:lang w:val="en-US" w:eastAsia="zh-CN"/>
                    </w:rPr>
                    <w:t>15</w:t>
                  </w:r>
                  <w:r>
                    <w:rPr>
                      <w:rFonts w:hint="default" w:ascii="Times New Roman" w:hAnsi="Times New Roman" w:eastAsia="宋体" w:cs="Times New Roman"/>
                      <w:color w:val="auto"/>
                      <w:sz w:val="21"/>
                      <w:szCs w:val="21"/>
                      <w:highlight w:val="none"/>
                      <w:lang w:val="en-US" w:eastAsia="zh-CN"/>
                    </w:rPr>
                    <w:t>m排气筒（DA00</w:t>
                  </w:r>
                  <w:r>
                    <w:rPr>
                      <w:rFonts w:hint="eastAsia"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lang w:val="en-US" w:eastAsia="zh-CN"/>
                    </w:rPr>
                    <w:t>）</w:t>
                  </w:r>
                </w:p>
              </w:tc>
            </w:tr>
            <w:tr w14:paraId="39A06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8" w:type="pct"/>
                  <w:vMerge w:val="continue"/>
                  <w:tcBorders>
                    <w:tl2br w:val="nil"/>
                    <w:tr2bl w:val="nil"/>
                  </w:tcBorders>
                  <w:noWrap w:val="0"/>
                  <w:vAlign w:val="center"/>
                </w:tcPr>
                <w:p w14:paraId="032C5AF6">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zh-CN"/>
                    </w:rPr>
                  </w:pPr>
                </w:p>
              </w:tc>
              <w:tc>
                <w:tcPr>
                  <w:tcW w:w="918" w:type="pct"/>
                  <w:tcBorders>
                    <w:tl2br w:val="nil"/>
                    <w:tr2bl w:val="nil"/>
                  </w:tcBorders>
                  <w:noWrap w:val="0"/>
                  <w:vAlign w:val="center"/>
                </w:tcPr>
                <w:p w14:paraId="12303CF2">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zh-CN"/>
                    </w:rPr>
                  </w:pPr>
                  <w:r>
                    <w:rPr>
                      <w:rFonts w:hint="default" w:ascii="Times New Roman" w:hAnsi="Times New Roman" w:eastAsia="宋体" w:cs="Times New Roman"/>
                      <w:color w:val="auto"/>
                      <w:kern w:val="2"/>
                      <w:sz w:val="21"/>
                      <w:szCs w:val="21"/>
                      <w:highlight w:val="none"/>
                      <w:lang w:val="en-US" w:eastAsia="zh-CN" w:bidi="zh-CN"/>
                    </w:rPr>
                    <w:t>危废暂存间贮存废气</w:t>
                  </w:r>
                </w:p>
              </w:tc>
              <w:tc>
                <w:tcPr>
                  <w:tcW w:w="736" w:type="pct"/>
                  <w:tcBorders>
                    <w:tl2br w:val="nil"/>
                    <w:tr2bl w:val="nil"/>
                  </w:tcBorders>
                  <w:noWrap w:val="0"/>
                  <w:vAlign w:val="center"/>
                </w:tcPr>
                <w:p w14:paraId="252D9097">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危险废物贮存</w:t>
                  </w:r>
                </w:p>
              </w:tc>
              <w:tc>
                <w:tcPr>
                  <w:tcW w:w="1425" w:type="pct"/>
                  <w:tcBorders>
                    <w:tl2br w:val="nil"/>
                    <w:tr2bl w:val="nil"/>
                  </w:tcBorders>
                  <w:noWrap w:val="0"/>
                  <w:vAlign w:val="center"/>
                </w:tcPr>
                <w:p w14:paraId="2C06FAEB">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zh-CN"/>
                    </w:rPr>
                  </w:pPr>
                  <w:r>
                    <w:rPr>
                      <w:rFonts w:hint="eastAsia" w:ascii="Times New Roman" w:hAnsi="Times New Roman" w:eastAsia="宋体" w:cs="Times New Roman"/>
                      <w:color w:val="auto"/>
                      <w:kern w:val="2"/>
                      <w:sz w:val="21"/>
                      <w:szCs w:val="21"/>
                      <w:highlight w:val="none"/>
                      <w:lang w:val="en-US" w:eastAsia="zh-CN" w:bidi="zh-CN"/>
                    </w:rPr>
                    <w:t>非甲烷总烃</w:t>
                  </w:r>
                </w:p>
              </w:tc>
              <w:tc>
                <w:tcPr>
                  <w:tcW w:w="1562" w:type="pct"/>
                  <w:tcBorders>
                    <w:tl2br w:val="nil"/>
                    <w:tr2bl w:val="nil"/>
                  </w:tcBorders>
                  <w:noWrap w:val="0"/>
                  <w:vAlign w:val="center"/>
                </w:tcPr>
                <w:p w14:paraId="086A7D88">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废活性炭袋装密封</w:t>
                  </w:r>
                </w:p>
              </w:tc>
            </w:tr>
            <w:tr w14:paraId="18278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1" w:hRule="atLeast"/>
              </w:trPr>
              <w:tc>
                <w:tcPr>
                  <w:tcW w:w="358" w:type="pct"/>
                  <w:vMerge w:val="restart"/>
                  <w:tcBorders>
                    <w:tl2br w:val="nil"/>
                    <w:tr2bl w:val="nil"/>
                  </w:tcBorders>
                  <w:noWrap w:val="0"/>
                  <w:vAlign w:val="center"/>
                </w:tcPr>
                <w:p w14:paraId="69EF7B03">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zh-CN" w:eastAsia="zh-CN" w:bidi="zh-CN"/>
                    </w:rPr>
                  </w:pPr>
                  <w:r>
                    <w:rPr>
                      <w:rFonts w:hint="default" w:ascii="Times New Roman" w:hAnsi="Times New Roman" w:eastAsia="宋体" w:cs="Times New Roman"/>
                      <w:color w:val="auto"/>
                      <w:kern w:val="2"/>
                      <w:sz w:val="21"/>
                      <w:szCs w:val="21"/>
                      <w:highlight w:val="none"/>
                      <w:lang w:val="zh-CN" w:eastAsia="zh-CN" w:bidi="zh-CN"/>
                    </w:rPr>
                    <w:t>废水</w:t>
                  </w:r>
                </w:p>
              </w:tc>
              <w:tc>
                <w:tcPr>
                  <w:tcW w:w="918" w:type="pct"/>
                  <w:tcBorders>
                    <w:tl2br w:val="nil"/>
                    <w:tr2bl w:val="nil"/>
                  </w:tcBorders>
                  <w:noWrap w:val="0"/>
                  <w:vAlign w:val="center"/>
                </w:tcPr>
                <w:p w14:paraId="1CFCBC74">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zh-CN"/>
                    </w:rPr>
                  </w:pPr>
                  <w:r>
                    <w:rPr>
                      <w:rFonts w:hint="default" w:ascii="Times New Roman" w:hAnsi="Times New Roman" w:eastAsia="宋体" w:cs="Times New Roman"/>
                      <w:color w:val="auto"/>
                      <w:kern w:val="2"/>
                      <w:sz w:val="21"/>
                      <w:szCs w:val="21"/>
                      <w:highlight w:val="none"/>
                      <w:lang w:val="en-US" w:eastAsia="zh-CN" w:bidi="zh-CN"/>
                    </w:rPr>
                    <w:t>生活污水</w:t>
                  </w:r>
                </w:p>
              </w:tc>
              <w:tc>
                <w:tcPr>
                  <w:tcW w:w="736" w:type="pct"/>
                  <w:tcBorders>
                    <w:tl2br w:val="nil"/>
                    <w:tr2bl w:val="nil"/>
                  </w:tcBorders>
                  <w:noWrap w:val="0"/>
                  <w:vAlign w:val="center"/>
                </w:tcPr>
                <w:p w14:paraId="6C7CB8AA">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zh-CN"/>
                    </w:rPr>
                  </w:pPr>
                  <w:r>
                    <w:rPr>
                      <w:rFonts w:hint="default" w:ascii="Times New Roman" w:hAnsi="Times New Roman" w:eastAsia="宋体" w:cs="Times New Roman"/>
                      <w:color w:val="auto"/>
                      <w:kern w:val="2"/>
                      <w:sz w:val="21"/>
                      <w:szCs w:val="21"/>
                      <w:highlight w:val="none"/>
                      <w:lang w:val="en-US" w:eastAsia="zh-CN" w:bidi="zh-CN"/>
                    </w:rPr>
                    <w:t>办公生活</w:t>
                  </w:r>
                </w:p>
              </w:tc>
              <w:tc>
                <w:tcPr>
                  <w:tcW w:w="1425" w:type="pct"/>
                  <w:tcBorders>
                    <w:tl2br w:val="nil"/>
                    <w:tr2bl w:val="nil"/>
                  </w:tcBorders>
                  <w:noWrap w:val="0"/>
                  <w:vAlign w:val="center"/>
                </w:tcPr>
                <w:p w14:paraId="12CC3DC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kern w:val="2"/>
                      <w:sz w:val="21"/>
                      <w:szCs w:val="21"/>
                      <w:highlight w:val="none"/>
                      <w:lang w:val="en-US" w:eastAsia="zh-CN" w:bidi="zh-CN"/>
                    </w:rPr>
                  </w:pPr>
                  <w:r>
                    <w:rPr>
                      <w:rFonts w:hint="eastAsia" w:ascii="Times New Roman" w:hAnsi="Times New Roman" w:eastAsia="宋体" w:cs="Times New Roman"/>
                      <w:color w:val="auto"/>
                      <w:sz w:val="21"/>
                      <w:szCs w:val="21"/>
                      <w:highlight w:val="none"/>
                      <w:lang w:val="en-US" w:eastAsia="zh-CN"/>
                    </w:rPr>
                    <w:t>pH、</w:t>
                  </w:r>
                  <w:r>
                    <w:rPr>
                      <w:rFonts w:hint="default" w:ascii="Times New Roman" w:hAnsi="Times New Roman" w:eastAsia="宋体" w:cs="Times New Roman"/>
                      <w:color w:val="auto"/>
                      <w:sz w:val="21"/>
                      <w:szCs w:val="21"/>
                      <w:highlight w:val="none"/>
                    </w:rPr>
                    <w:t>COD</w:t>
                  </w:r>
                  <w:r>
                    <w:rPr>
                      <w:rFonts w:hint="eastAsia"/>
                      <w:color w:val="auto"/>
                      <w:sz w:val="21"/>
                      <w:szCs w:val="21"/>
                      <w:highlight w:val="none"/>
                      <w:vertAlign w:val="subscript"/>
                      <w:lang w:val="en-US" w:eastAsia="zh-CN"/>
                    </w:rPr>
                    <w:t>Cr</w:t>
                  </w:r>
                  <w:r>
                    <w:rPr>
                      <w:rFonts w:hint="default" w:ascii="Times New Roman" w:hAnsi="Times New Roman" w:eastAsia="宋体" w:cs="Times New Roman"/>
                      <w:color w:val="auto"/>
                      <w:sz w:val="21"/>
                      <w:szCs w:val="21"/>
                      <w:highlight w:val="none"/>
                    </w:rPr>
                    <w:t>、BOD</w:t>
                  </w:r>
                  <w:r>
                    <w:rPr>
                      <w:rFonts w:hint="default" w:ascii="Times New Roman" w:hAnsi="Times New Roman" w:eastAsia="宋体" w:cs="Times New Roman"/>
                      <w:color w:val="auto"/>
                      <w:sz w:val="21"/>
                      <w:szCs w:val="21"/>
                      <w:highlight w:val="none"/>
                      <w:vertAlign w:val="subscript"/>
                    </w:rPr>
                    <w:t>5</w:t>
                  </w:r>
                  <w:r>
                    <w:rPr>
                      <w:rFonts w:hint="default" w:ascii="Times New Roman" w:hAnsi="Times New Roman" w:eastAsia="宋体" w:cs="Times New Roman"/>
                      <w:color w:val="auto"/>
                      <w:sz w:val="21"/>
                      <w:szCs w:val="21"/>
                      <w:highlight w:val="none"/>
                    </w:rPr>
                    <w:t>、SS、NH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-N</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TP、总氮、动植物油、石油类</w:t>
                  </w:r>
                </w:p>
              </w:tc>
              <w:tc>
                <w:tcPr>
                  <w:tcW w:w="1562" w:type="pct"/>
                  <w:tcBorders>
                    <w:tl2br w:val="nil"/>
                    <w:tr2bl w:val="nil"/>
                  </w:tcBorders>
                  <w:noWrap w:val="0"/>
                  <w:vAlign w:val="center"/>
                </w:tcPr>
                <w:p w14:paraId="6D816A4F">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zh-CN"/>
                    </w:rPr>
                  </w:pPr>
                  <w:r>
                    <w:rPr>
                      <w:rFonts w:hint="eastAsia" w:ascii="Times New Roman" w:hAnsi="Times New Roman" w:eastAsia="宋体" w:cs="Times New Roman"/>
                      <w:color w:val="auto"/>
                      <w:kern w:val="2"/>
                      <w:sz w:val="21"/>
                      <w:szCs w:val="21"/>
                      <w:highlight w:val="none"/>
                      <w:lang w:val="en-US" w:eastAsia="zh-CN" w:bidi="zh-CN"/>
                    </w:rPr>
                    <w:t>隔油池+</w:t>
                  </w:r>
                  <w:r>
                    <w:rPr>
                      <w:rFonts w:hint="default" w:ascii="Times New Roman" w:hAnsi="Times New Roman" w:eastAsia="宋体" w:cs="Times New Roman"/>
                      <w:color w:val="auto"/>
                      <w:kern w:val="2"/>
                      <w:sz w:val="21"/>
                      <w:szCs w:val="21"/>
                      <w:highlight w:val="none"/>
                      <w:lang w:val="en-US" w:eastAsia="zh-CN" w:bidi="zh-CN"/>
                    </w:rPr>
                    <w:t>化粪池</w:t>
                  </w:r>
                </w:p>
              </w:tc>
            </w:tr>
            <w:tr w14:paraId="575BE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8" w:type="pct"/>
                  <w:vMerge w:val="continue"/>
                  <w:tcBorders>
                    <w:tl2br w:val="nil"/>
                    <w:tr2bl w:val="nil"/>
                  </w:tcBorders>
                  <w:noWrap w:val="0"/>
                  <w:vAlign w:val="center"/>
                </w:tcPr>
                <w:p w14:paraId="5095041B">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zh-CN" w:eastAsia="zh-CN" w:bidi="zh-CN"/>
                    </w:rPr>
                  </w:pPr>
                </w:p>
              </w:tc>
              <w:tc>
                <w:tcPr>
                  <w:tcW w:w="918" w:type="pct"/>
                  <w:tcBorders>
                    <w:tl2br w:val="nil"/>
                    <w:tr2bl w:val="nil"/>
                  </w:tcBorders>
                  <w:noWrap w:val="0"/>
                  <w:vAlign w:val="center"/>
                </w:tcPr>
                <w:p w14:paraId="7471BA46">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zh-CN"/>
                    </w:rPr>
                  </w:pPr>
                  <w:r>
                    <w:rPr>
                      <w:rFonts w:hint="eastAsia" w:ascii="Times New Roman" w:hAnsi="Times New Roman" w:eastAsia="宋体" w:cs="Times New Roman"/>
                      <w:color w:val="auto"/>
                      <w:kern w:val="2"/>
                      <w:sz w:val="21"/>
                      <w:szCs w:val="21"/>
                      <w:highlight w:val="none"/>
                      <w:lang w:val="en-US" w:eastAsia="zh-CN" w:bidi="zh-CN"/>
                    </w:rPr>
                    <w:t>冷却水定排水</w:t>
                  </w:r>
                </w:p>
              </w:tc>
              <w:tc>
                <w:tcPr>
                  <w:tcW w:w="736" w:type="pct"/>
                  <w:tcBorders>
                    <w:tl2br w:val="nil"/>
                    <w:tr2bl w:val="nil"/>
                  </w:tcBorders>
                  <w:noWrap w:val="0"/>
                  <w:vAlign w:val="center"/>
                </w:tcPr>
                <w:p w14:paraId="1C65FEAC">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zh-CN"/>
                    </w:rPr>
                  </w:pPr>
                  <w:r>
                    <w:rPr>
                      <w:rFonts w:hint="eastAsia" w:ascii="Times New Roman" w:hAnsi="Times New Roman" w:eastAsia="宋体" w:cs="Times New Roman"/>
                      <w:color w:val="auto"/>
                      <w:kern w:val="2"/>
                      <w:sz w:val="21"/>
                      <w:szCs w:val="21"/>
                      <w:highlight w:val="none"/>
                      <w:lang w:val="en-US" w:eastAsia="zh-CN" w:bidi="zh-CN"/>
                    </w:rPr>
                    <w:t>冷却</w:t>
                  </w:r>
                </w:p>
              </w:tc>
              <w:tc>
                <w:tcPr>
                  <w:tcW w:w="1425" w:type="pct"/>
                  <w:tcBorders>
                    <w:tl2br w:val="nil"/>
                    <w:tr2bl w:val="nil"/>
                  </w:tcBorders>
                  <w:noWrap w:val="0"/>
                  <w:vAlign w:val="center"/>
                </w:tcPr>
                <w:p w14:paraId="1E2E6F69">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zh-CN"/>
                    </w:rPr>
                  </w:pPr>
                  <w:r>
                    <w:rPr>
                      <w:rFonts w:hint="default" w:ascii="Times New Roman" w:hAnsi="Times New Roman" w:eastAsia="宋体" w:cs="Times New Roman"/>
                      <w:color w:val="auto"/>
                      <w:sz w:val="21"/>
                      <w:szCs w:val="21"/>
                      <w:highlight w:val="none"/>
                    </w:rPr>
                    <w:t>COD</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SS</w:t>
                  </w:r>
                </w:p>
              </w:tc>
              <w:tc>
                <w:tcPr>
                  <w:tcW w:w="1562" w:type="pct"/>
                  <w:tcBorders>
                    <w:tl2br w:val="nil"/>
                    <w:tr2bl w:val="nil"/>
                  </w:tcBorders>
                  <w:noWrap w:val="0"/>
                  <w:vAlign w:val="center"/>
                </w:tcPr>
                <w:p w14:paraId="3FB4700B">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zh-CN"/>
                    </w:rPr>
                  </w:pPr>
                  <w:r>
                    <w:rPr>
                      <w:rFonts w:hint="eastAsia" w:ascii="Times New Roman" w:hAnsi="Times New Roman" w:eastAsia="宋体" w:cs="Times New Roman"/>
                      <w:color w:val="auto"/>
                      <w:kern w:val="2"/>
                      <w:sz w:val="21"/>
                      <w:szCs w:val="21"/>
                      <w:highlight w:val="none"/>
                      <w:lang w:val="en-US" w:eastAsia="zh-CN" w:bidi="zh-CN"/>
                    </w:rPr>
                    <w:t>循环水池</w:t>
                  </w:r>
                </w:p>
              </w:tc>
            </w:tr>
            <w:tr w14:paraId="6CCF1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8" w:type="pct"/>
                  <w:tcBorders>
                    <w:tl2br w:val="nil"/>
                    <w:tr2bl w:val="nil"/>
                  </w:tcBorders>
                  <w:noWrap w:val="0"/>
                  <w:vAlign w:val="center"/>
                </w:tcPr>
                <w:p w14:paraId="13C71354">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2"/>
                      <w:sz w:val="21"/>
                      <w:szCs w:val="21"/>
                      <w:highlight w:val="none"/>
                      <w:lang w:val="zh-CN" w:eastAsia="zh-CN" w:bidi="zh-CN"/>
                    </w:rPr>
                    <w:t>噪声</w:t>
                  </w:r>
                </w:p>
              </w:tc>
              <w:tc>
                <w:tcPr>
                  <w:tcW w:w="918" w:type="pct"/>
                  <w:tcBorders>
                    <w:tl2br w:val="nil"/>
                    <w:tr2bl w:val="nil"/>
                  </w:tcBorders>
                  <w:noWrap w:val="0"/>
                  <w:vAlign w:val="center"/>
                </w:tcPr>
                <w:p w14:paraId="49D66260">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zh-CN" w:eastAsia="zh-CN" w:bidi="zh-CN"/>
                    </w:rPr>
                    <w:t>设备噪声</w:t>
                  </w:r>
                </w:p>
              </w:tc>
              <w:tc>
                <w:tcPr>
                  <w:tcW w:w="736" w:type="pct"/>
                  <w:tcBorders>
                    <w:tl2br w:val="nil"/>
                    <w:tr2bl w:val="nil"/>
                  </w:tcBorders>
                  <w:noWrap w:val="0"/>
                  <w:vAlign w:val="center"/>
                </w:tcPr>
                <w:p w14:paraId="711FC892">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zh-CN" w:eastAsia="zh-CN" w:bidi="zh-CN"/>
                    </w:rPr>
                    <w:t>设备运行</w:t>
                  </w:r>
                </w:p>
              </w:tc>
              <w:tc>
                <w:tcPr>
                  <w:tcW w:w="1425" w:type="pct"/>
                  <w:tcBorders>
                    <w:tl2br w:val="nil"/>
                    <w:tr2bl w:val="nil"/>
                  </w:tcBorders>
                  <w:noWrap w:val="0"/>
                  <w:vAlign w:val="center"/>
                </w:tcPr>
                <w:p w14:paraId="4ADD34D8">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2"/>
                      <w:sz w:val="21"/>
                      <w:szCs w:val="21"/>
                      <w:highlight w:val="none"/>
                      <w:lang w:val="zh-CN" w:eastAsia="en-US" w:bidi="zh-CN"/>
                    </w:rPr>
                    <w:t>dB（A)</w:t>
                  </w:r>
                </w:p>
              </w:tc>
              <w:tc>
                <w:tcPr>
                  <w:tcW w:w="1562" w:type="pct"/>
                  <w:tcBorders>
                    <w:tl2br w:val="nil"/>
                    <w:tr2bl w:val="nil"/>
                  </w:tcBorders>
                  <w:noWrap w:val="0"/>
                  <w:vAlign w:val="center"/>
                </w:tcPr>
                <w:p w14:paraId="61461C0F">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zh-CN" w:eastAsia="zh-CN" w:bidi="zh-CN"/>
                    </w:rPr>
                    <w:t>减振、隔声等</w:t>
                  </w:r>
                </w:p>
              </w:tc>
            </w:tr>
            <w:tr w14:paraId="3C1FF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8" w:type="pct"/>
                  <w:vMerge w:val="restart"/>
                  <w:tcBorders>
                    <w:tl2br w:val="nil"/>
                    <w:tr2bl w:val="nil"/>
                  </w:tcBorders>
                  <w:noWrap w:val="0"/>
                  <w:vAlign w:val="center"/>
                </w:tcPr>
                <w:p w14:paraId="39EB2026">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zh-CN" w:eastAsia="zh-CN" w:bidi="zh-CN"/>
                    </w:rPr>
                  </w:pPr>
                  <w:r>
                    <w:rPr>
                      <w:rFonts w:hint="default" w:ascii="Times New Roman" w:hAnsi="Times New Roman" w:eastAsia="宋体" w:cs="Times New Roman"/>
                      <w:color w:val="auto"/>
                      <w:kern w:val="2"/>
                      <w:sz w:val="21"/>
                      <w:szCs w:val="21"/>
                      <w:highlight w:val="none"/>
                      <w:lang w:val="zh-CN" w:eastAsia="zh-CN" w:bidi="zh-CN"/>
                    </w:rPr>
                    <w:t>固体</w:t>
                  </w:r>
                </w:p>
                <w:p w14:paraId="1BA0D7E6">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zh-CN" w:eastAsia="zh-CN" w:bidi="zh-CN"/>
                    </w:rPr>
                  </w:pPr>
                  <w:r>
                    <w:rPr>
                      <w:rFonts w:hint="default" w:ascii="Times New Roman" w:hAnsi="Times New Roman" w:eastAsia="宋体" w:cs="Times New Roman"/>
                      <w:color w:val="auto"/>
                      <w:kern w:val="2"/>
                      <w:sz w:val="21"/>
                      <w:szCs w:val="21"/>
                      <w:highlight w:val="none"/>
                      <w:lang w:val="zh-CN" w:eastAsia="zh-CN" w:bidi="zh-CN"/>
                    </w:rPr>
                    <w:t>废物</w:t>
                  </w:r>
                </w:p>
              </w:tc>
              <w:tc>
                <w:tcPr>
                  <w:tcW w:w="918" w:type="pct"/>
                  <w:vMerge w:val="restart"/>
                  <w:tcBorders>
                    <w:tl2br w:val="nil"/>
                    <w:tr2bl w:val="nil"/>
                  </w:tcBorders>
                  <w:noWrap w:val="0"/>
                  <w:vAlign w:val="center"/>
                </w:tcPr>
                <w:p w14:paraId="1BD7BC04">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zh-CN"/>
                    </w:rPr>
                  </w:pPr>
                  <w:r>
                    <w:rPr>
                      <w:rFonts w:hint="eastAsia" w:ascii="Times New Roman" w:hAnsi="Times New Roman" w:eastAsia="宋体" w:cs="Times New Roman"/>
                      <w:color w:val="auto"/>
                      <w:kern w:val="2"/>
                      <w:sz w:val="21"/>
                      <w:szCs w:val="21"/>
                      <w:highlight w:val="none"/>
                      <w:lang w:val="en-US" w:eastAsia="zh-CN" w:bidi="zh-CN"/>
                    </w:rPr>
                    <w:t>一般工业固体废物</w:t>
                  </w:r>
                </w:p>
              </w:tc>
              <w:tc>
                <w:tcPr>
                  <w:tcW w:w="736" w:type="pct"/>
                  <w:tcBorders>
                    <w:tl2br w:val="nil"/>
                    <w:tr2bl w:val="nil"/>
                  </w:tcBorders>
                  <w:noWrap w:val="0"/>
                  <w:vAlign w:val="center"/>
                </w:tcPr>
                <w:p w14:paraId="0E2B12F5">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原料拆包</w:t>
                  </w:r>
                </w:p>
              </w:tc>
              <w:tc>
                <w:tcPr>
                  <w:tcW w:w="1425" w:type="pct"/>
                  <w:tcBorders>
                    <w:tl2br w:val="nil"/>
                    <w:tr2bl w:val="nil"/>
                  </w:tcBorders>
                  <w:noWrap w:val="0"/>
                  <w:vAlign w:val="center"/>
                </w:tcPr>
                <w:p w14:paraId="15BA2233">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zh-CN"/>
                    </w:rPr>
                  </w:pPr>
                  <w:r>
                    <w:rPr>
                      <w:rFonts w:hint="eastAsia" w:ascii="Times New Roman" w:hAnsi="Times New Roman" w:eastAsia="宋体" w:cs="Times New Roman"/>
                      <w:color w:val="auto"/>
                      <w:kern w:val="2"/>
                      <w:sz w:val="21"/>
                      <w:szCs w:val="24"/>
                      <w:highlight w:val="none"/>
                      <w:lang w:val="en-US" w:eastAsia="zh-CN" w:bidi="ar-SA"/>
                    </w:rPr>
                    <w:t>废包装材料</w:t>
                  </w:r>
                </w:p>
              </w:tc>
              <w:tc>
                <w:tcPr>
                  <w:tcW w:w="1562" w:type="pct"/>
                  <w:tcBorders>
                    <w:tl2br w:val="nil"/>
                    <w:tr2bl w:val="nil"/>
                  </w:tcBorders>
                  <w:noWrap w:val="0"/>
                  <w:vAlign w:val="center"/>
                </w:tcPr>
                <w:p w14:paraId="5BA18317">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一般固废区暂存，外售综合利用</w:t>
                  </w:r>
                </w:p>
              </w:tc>
            </w:tr>
            <w:tr w14:paraId="3EEF9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8" w:type="pct"/>
                  <w:vMerge w:val="continue"/>
                  <w:tcBorders>
                    <w:tl2br w:val="nil"/>
                    <w:tr2bl w:val="nil"/>
                  </w:tcBorders>
                  <w:noWrap w:val="0"/>
                  <w:vAlign w:val="center"/>
                </w:tcPr>
                <w:p w14:paraId="34FCCC63">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zh-CN" w:eastAsia="zh-CN" w:bidi="zh-CN"/>
                    </w:rPr>
                  </w:pPr>
                </w:p>
              </w:tc>
              <w:tc>
                <w:tcPr>
                  <w:tcW w:w="918" w:type="pct"/>
                  <w:vMerge w:val="continue"/>
                  <w:tcBorders>
                    <w:tl2br w:val="nil"/>
                    <w:tr2bl w:val="nil"/>
                  </w:tcBorders>
                  <w:noWrap w:val="0"/>
                  <w:vAlign w:val="center"/>
                </w:tcPr>
                <w:p w14:paraId="41442464">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zh-CN"/>
                    </w:rPr>
                  </w:pPr>
                </w:p>
              </w:tc>
              <w:tc>
                <w:tcPr>
                  <w:tcW w:w="736" w:type="pct"/>
                  <w:tcBorders>
                    <w:tl2br w:val="nil"/>
                    <w:tr2bl w:val="nil"/>
                  </w:tcBorders>
                  <w:noWrap w:val="0"/>
                  <w:vAlign w:val="center"/>
                </w:tcPr>
                <w:p w14:paraId="510F188A">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挤出、切条、检验</w:t>
                  </w:r>
                </w:p>
              </w:tc>
              <w:tc>
                <w:tcPr>
                  <w:tcW w:w="1425" w:type="pct"/>
                  <w:tcBorders>
                    <w:tl2br w:val="nil"/>
                    <w:tr2bl w:val="nil"/>
                  </w:tcBorders>
                  <w:noWrap w:val="0"/>
                  <w:vAlign w:val="center"/>
                </w:tcPr>
                <w:p w14:paraId="7D781462">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zh-CN"/>
                    </w:rPr>
                  </w:pPr>
                  <w:r>
                    <w:rPr>
                      <w:rFonts w:hint="eastAsia" w:ascii="Times New Roman" w:hAnsi="Times New Roman" w:eastAsia="宋体" w:cs="Times New Roman"/>
                      <w:color w:val="auto"/>
                      <w:kern w:val="2"/>
                      <w:sz w:val="21"/>
                      <w:szCs w:val="21"/>
                      <w:highlight w:val="none"/>
                      <w:lang w:val="en-US" w:eastAsia="zh-CN" w:bidi="zh-CN"/>
                    </w:rPr>
                    <w:t>边角料及不合格品</w:t>
                  </w:r>
                </w:p>
              </w:tc>
              <w:tc>
                <w:tcPr>
                  <w:tcW w:w="1562" w:type="pct"/>
                  <w:tcBorders>
                    <w:tl2br w:val="nil"/>
                    <w:tr2bl w:val="nil"/>
                  </w:tcBorders>
                  <w:noWrap w:val="0"/>
                  <w:vAlign w:val="center"/>
                </w:tcPr>
                <w:p w14:paraId="531EA00A">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一般固废区暂存，定期由厂家回收处理</w:t>
                  </w:r>
                </w:p>
              </w:tc>
            </w:tr>
            <w:tr w14:paraId="3ACB4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8" w:type="pct"/>
                  <w:vMerge w:val="continue"/>
                  <w:tcBorders>
                    <w:tl2br w:val="nil"/>
                    <w:tr2bl w:val="nil"/>
                  </w:tcBorders>
                  <w:noWrap w:val="0"/>
                  <w:vAlign w:val="center"/>
                </w:tcPr>
                <w:p w14:paraId="0BE60DB7">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zh-CN" w:eastAsia="zh-CN" w:bidi="zh-CN"/>
                    </w:rPr>
                  </w:pPr>
                </w:p>
              </w:tc>
              <w:tc>
                <w:tcPr>
                  <w:tcW w:w="918" w:type="pct"/>
                  <w:vMerge w:val="restart"/>
                  <w:tcBorders>
                    <w:tl2br w:val="nil"/>
                    <w:tr2bl w:val="nil"/>
                  </w:tcBorders>
                  <w:noWrap w:val="0"/>
                  <w:vAlign w:val="center"/>
                </w:tcPr>
                <w:p w14:paraId="02FEAF74">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zh-CN"/>
                    </w:rPr>
                  </w:pPr>
                  <w:r>
                    <w:rPr>
                      <w:rFonts w:hint="eastAsia" w:ascii="Times New Roman" w:hAnsi="Times New Roman" w:eastAsia="宋体" w:cs="Times New Roman"/>
                      <w:color w:val="auto"/>
                      <w:kern w:val="2"/>
                      <w:sz w:val="21"/>
                      <w:szCs w:val="24"/>
                      <w:highlight w:val="none"/>
                      <w:lang w:val="en-US" w:eastAsia="zh-CN" w:bidi="ar-SA"/>
                    </w:rPr>
                    <w:t>危险废物</w:t>
                  </w:r>
                </w:p>
              </w:tc>
              <w:tc>
                <w:tcPr>
                  <w:tcW w:w="736" w:type="pct"/>
                  <w:vMerge w:val="restart"/>
                  <w:tcBorders>
                    <w:tl2br w:val="nil"/>
                    <w:tr2bl w:val="nil"/>
                  </w:tcBorders>
                  <w:shd w:val="clear" w:color="auto" w:fill="auto"/>
                  <w:noWrap w:val="0"/>
                  <w:vAlign w:val="center"/>
                </w:tcPr>
                <w:p w14:paraId="11B7E470">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设备运维</w:t>
                  </w:r>
                </w:p>
              </w:tc>
              <w:tc>
                <w:tcPr>
                  <w:tcW w:w="1425" w:type="pct"/>
                  <w:tcBorders>
                    <w:tl2br w:val="nil"/>
                    <w:tr2bl w:val="nil"/>
                  </w:tcBorders>
                  <w:shd w:val="clear" w:color="auto" w:fill="auto"/>
                  <w:noWrap w:val="0"/>
                  <w:vAlign w:val="center"/>
                </w:tcPr>
                <w:p w14:paraId="4394BDAE">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zh-CN"/>
                    </w:rPr>
                  </w:pP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废含油抹布</w:t>
                  </w:r>
                </w:p>
              </w:tc>
              <w:tc>
                <w:tcPr>
                  <w:tcW w:w="1562" w:type="pct"/>
                  <w:vMerge w:val="restart"/>
                  <w:tcBorders>
                    <w:tl2br w:val="nil"/>
                    <w:tr2bl w:val="nil"/>
                  </w:tcBorders>
                  <w:noWrap w:val="0"/>
                  <w:vAlign w:val="center"/>
                </w:tcPr>
                <w:p w14:paraId="4BD20004">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危废暂存间暂存，委托有资质的单位处理</w:t>
                  </w:r>
                </w:p>
              </w:tc>
            </w:tr>
            <w:tr w14:paraId="58846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8" w:type="pct"/>
                  <w:vMerge w:val="continue"/>
                  <w:tcBorders>
                    <w:tl2br w:val="nil"/>
                    <w:tr2bl w:val="nil"/>
                  </w:tcBorders>
                  <w:noWrap w:val="0"/>
                  <w:vAlign w:val="center"/>
                </w:tcPr>
                <w:p w14:paraId="05116251">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zh-CN" w:eastAsia="zh-CN" w:bidi="zh-CN"/>
                    </w:rPr>
                  </w:pPr>
                </w:p>
              </w:tc>
              <w:tc>
                <w:tcPr>
                  <w:tcW w:w="918" w:type="pct"/>
                  <w:vMerge w:val="continue"/>
                  <w:tcBorders>
                    <w:tl2br w:val="nil"/>
                    <w:tr2bl w:val="nil"/>
                  </w:tcBorders>
                  <w:noWrap w:val="0"/>
                  <w:vAlign w:val="center"/>
                </w:tcPr>
                <w:p w14:paraId="3E8A8C76">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p>
              </w:tc>
              <w:tc>
                <w:tcPr>
                  <w:tcW w:w="736" w:type="pct"/>
                  <w:vMerge w:val="continue"/>
                  <w:tcBorders>
                    <w:tl2br w:val="nil"/>
                    <w:tr2bl w:val="nil"/>
                  </w:tcBorders>
                  <w:shd w:val="clear" w:color="auto" w:fill="auto"/>
                  <w:noWrap w:val="0"/>
                  <w:vAlign w:val="center"/>
                </w:tcPr>
                <w:p w14:paraId="2C980B92">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p>
              </w:tc>
              <w:tc>
                <w:tcPr>
                  <w:tcW w:w="1425" w:type="pct"/>
                  <w:tcBorders>
                    <w:tl2br w:val="nil"/>
                    <w:tr2bl w:val="nil"/>
                  </w:tcBorders>
                  <w:shd w:val="clear" w:color="auto" w:fill="auto"/>
                  <w:noWrap w:val="0"/>
                  <w:vAlign w:val="center"/>
                </w:tcPr>
                <w:p w14:paraId="0F2E679E">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废机油</w:t>
                  </w:r>
                </w:p>
              </w:tc>
              <w:tc>
                <w:tcPr>
                  <w:tcW w:w="1562" w:type="pct"/>
                  <w:vMerge w:val="continue"/>
                  <w:tcBorders>
                    <w:tl2br w:val="nil"/>
                    <w:tr2bl w:val="nil"/>
                  </w:tcBorders>
                  <w:noWrap w:val="0"/>
                  <w:vAlign w:val="center"/>
                </w:tcPr>
                <w:p w14:paraId="70B1DFDB">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p>
              </w:tc>
            </w:tr>
            <w:tr w14:paraId="1E48D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8" w:type="pct"/>
                  <w:vMerge w:val="continue"/>
                  <w:tcBorders>
                    <w:tl2br w:val="nil"/>
                    <w:tr2bl w:val="nil"/>
                  </w:tcBorders>
                  <w:noWrap w:val="0"/>
                  <w:vAlign w:val="center"/>
                </w:tcPr>
                <w:p w14:paraId="3543D7B6">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zh-CN" w:eastAsia="zh-CN" w:bidi="zh-CN"/>
                    </w:rPr>
                  </w:pPr>
                </w:p>
              </w:tc>
              <w:tc>
                <w:tcPr>
                  <w:tcW w:w="918" w:type="pct"/>
                  <w:vMerge w:val="continue"/>
                  <w:tcBorders>
                    <w:tl2br w:val="nil"/>
                    <w:tr2bl w:val="nil"/>
                  </w:tcBorders>
                  <w:noWrap w:val="0"/>
                  <w:vAlign w:val="center"/>
                </w:tcPr>
                <w:p w14:paraId="0B593B67">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p>
              </w:tc>
              <w:tc>
                <w:tcPr>
                  <w:tcW w:w="736" w:type="pct"/>
                  <w:vMerge w:val="continue"/>
                  <w:tcBorders>
                    <w:tl2br w:val="nil"/>
                    <w:tr2bl w:val="nil"/>
                  </w:tcBorders>
                  <w:shd w:val="clear" w:color="auto" w:fill="auto"/>
                  <w:noWrap w:val="0"/>
                  <w:vAlign w:val="center"/>
                </w:tcPr>
                <w:p w14:paraId="01B3EEBB">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p>
              </w:tc>
              <w:tc>
                <w:tcPr>
                  <w:tcW w:w="1425" w:type="pct"/>
                  <w:tcBorders>
                    <w:tl2br w:val="nil"/>
                    <w:tr2bl w:val="nil"/>
                  </w:tcBorders>
                  <w:shd w:val="clear" w:color="auto" w:fill="auto"/>
                  <w:noWrap w:val="0"/>
                  <w:vAlign w:val="center"/>
                </w:tcPr>
                <w:p w14:paraId="4C15D03F">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废机油桶</w:t>
                  </w:r>
                </w:p>
              </w:tc>
              <w:tc>
                <w:tcPr>
                  <w:tcW w:w="1562" w:type="pct"/>
                  <w:vMerge w:val="continue"/>
                  <w:tcBorders>
                    <w:tl2br w:val="nil"/>
                    <w:tr2bl w:val="nil"/>
                  </w:tcBorders>
                  <w:noWrap w:val="0"/>
                  <w:vAlign w:val="center"/>
                </w:tcPr>
                <w:p w14:paraId="4C7244B2">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p>
              </w:tc>
            </w:tr>
            <w:tr w14:paraId="25F53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atLeast"/>
              </w:trPr>
              <w:tc>
                <w:tcPr>
                  <w:tcW w:w="358" w:type="pct"/>
                  <w:vMerge w:val="continue"/>
                  <w:tcBorders>
                    <w:tl2br w:val="nil"/>
                    <w:tr2bl w:val="nil"/>
                  </w:tcBorders>
                  <w:noWrap w:val="0"/>
                  <w:vAlign w:val="center"/>
                </w:tcPr>
                <w:p w14:paraId="5923FD61">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zh-CN" w:eastAsia="zh-CN" w:bidi="zh-CN"/>
                    </w:rPr>
                  </w:pPr>
                </w:p>
              </w:tc>
              <w:tc>
                <w:tcPr>
                  <w:tcW w:w="918" w:type="pct"/>
                  <w:vMerge w:val="continue"/>
                  <w:tcBorders>
                    <w:tl2br w:val="nil"/>
                    <w:tr2bl w:val="nil"/>
                  </w:tcBorders>
                  <w:noWrap w:val="0"/>
                  <w:vAlign w:val="center"/>
                </w:tcPr>
                <w:p w14:paraId="40A160C5">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zh-CN"/>
                    </w:rPr>
                  </w:pPr>
                </w:p>
              </w:tc>
              <w:tc>
                <w:tcPr>
                  <w:tcW w:w="736" w:type="pct"/>
                  <w:tcBorders>
                    <w:tl2br w:val="nil"/>
                    <w:tr2bl w:val="nil"/>
                  </w:tcBorders>
                  <w:noWrap w:val="0"/>
                  <w:vAlign w:val="center"/>
                </w:tcPr>
                <w:p w14:paraId="0EC65C8C">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废气处理</w:t>
                  </w:r>
                </w:p>
              </w:tc>
              <w:tc>
                <w:tcPr>
                  <w:tcW w:w="1425" w:type="pct"/>
                  <w:tcBorders>
                    <w:tl2br w:val="nil"/>
                    <w:tr2bl w:val="nil"/>
                  </w:tcBorders>
                  <w:noWrap w:val="0"/>
                  <w:vAlign w:val="center"/>
                </w:tcPr>
                <w:p w14:paraId="3DED8200">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zh-CN"/>
                    </w:rPr>
                  </w:pPr>
                  <w:r>
                    <w:rPr>
                      <w:rFonts w:hint="eastAsia" w:ascii="Times New Roman" w:hAnsi="Times New Roman" w:eastAsia="宋体" w:cs="Times New Roman"/>
                      <w:color w:val="auto"/>
                      <w:kern w:val="2"/>
                      <w:sz w:val="21"/>
                      <w:szCs w:val="24"/>
                      <w:highlight w:val="none"/>
                      <w:lang w:val="en-US" w:eastAsia="zh-CN" w:bidi="ar-SA"/>
                    </w:rPr>
                    <w:t>废活性炭</w:t>
                  </w:r>
                </w:p>
              </w:tc>
              <w:tc>
                <w:tcPr>
                  <w:tcW w:w="1562" w:type="pct"/>
                  <w:vMerge w:val="continue"/>
                  <w:tcBorders>
                    <w:tl2br w:val="nil"/>
                    <w:tr2bl w:val="nil"/>
                  </w:tcBorders>
                  <w:noWrap w:val="0"/>
                  <w:vAlign w:val="center"/>
                </w:tcPr>
                <w:p w14:paraId="264C3219">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p>
              </w:tc>
            </w:tr>
            <w:tr w14:paraId="22189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8" w:type="pct"/>
                  <w:vMerge w:val="continue"/>
                </w:tcPr>
                <w:p w14:paraId="73E6E4AE">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zh-CN" w:eastAsia="zh-CN" w:bidi="zh-CN"/>
                    </w:rPr>
                  </w:pPr>
                </w:p>
              </w:tc>
              <w:tc>
                <w:tcPr>
                  <w:tcW w:w="918" w:type="pct"/>
                  <w:vAlign w:val="center"/>
                </w:tcPr>
                <w:p w14:paraId="0C3FD8C9">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zh-CN"/>
                    </w:rPr>
                  </w:pPr>
                  <w:r>
                    <w:rPr>
                      <w:rFonts w:hint="eastAsia" w:ascii="Times New Roman" w:hAnsi="Times New Roman" w:eastAsia="宋体" w:cs="Times New Roman"/>
                      <w:color w:val="auto"/>
                      <w:kern w:val="2"/>
                      <w:sz w:val="21"/>
                      <w:szCs w:val="24"/>
                      <w:highlight w:val="none"/>
                      <w:lang w:val="en-US" w:eastAsia="zh-CN" w:bidi="ar-SA"/>
                    </w:rPr>
                    <w:t>生活垃圾</w:t>
                  </w:r>
                </w:p>
              </w:tc>
              <w:tc>
                <w:tcPr>
                  <w:tcW w:w="736" w:type="pct"/>
                  <w:vAlign w:val="center"/>
                </w:tcPr>
                <w:p w14:paraId="2FA6B813">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员工生活</w:t>
                  </w:r>
                </w:p>
              </w:tc>
              <w:tc>
                <w:tcPr>
                  <w:tcW w:w="1425" w:type="pct"/>
                  <w:vAlign w:val="center"/>
                </w:tcPr>
                <w:p w14:paraId="607B5D50">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zh-CN"/>
                    </w:rPr>
                  </w:pPr>
                  <w:r>
                    <w:rPr>
                      <w:rFonts w:hint="eastAsia" w:ascii="Times New Roman" w:hAnsi="Times New Roman" w:eastAsia="宋体" w:cs="Times New Roman"/>
                      <w:color w:val="auto"/>
                      <w:kern w:val="2"/>
                      <w:sz w:val="21"/>
                      <w:szCs w:val="24"/>
                      <w:highlight w:val="none"/>
                      <w:lang w:val="en-US" w:eastAsia="zh-CN" w:bidi="ar-SA"/>
                    </w:rPr>
                    <w:t>生活垃圾</w:t>
                  </w:r>
                </w:p>
              </w:tc>
              <w:tc>
                <w:tcPr>
                  <w:tcW w:w="1562" w:type="pct"/>
                  <w:vAlign w:val="center"/>
                </w:tcPr>
                <w:p w14:paraId="54AEDC82">
                  <w:pPr>
                    <w:keepNext w:val="0"/>
                    <w:keepLines w:val="0"/>
                    <w:pageBreakBefore w:val="0"/>
                    <w:widowControl w:val="0"/>
                    <w:suppressLineNumbers w:val="0"/>
                    <w:kinsoku/>
                    <w:wordWrap/>
                    <w:overflowPunct/>
                    <w:topLinePunct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环卫部门清运</w:t>
                  </w:r>
                </w:p>
              </w:tc>
            </w:tr>
          </w:tbl>
          <w:p w14:paraId="00CFE9A1">
            <w:pPr>
              <w:keepNext w:val="0"/>
              <w:keepLines w:val="0"/>
              <w:suppressLineNumbers w:val="0"/>
              <w:bidi w:val="0"/>
              <w:spacing w:before="0" w:beforeAutospacing="0" w:after="0" w:afterAutospacing="0"/>
              <w:ind w:left="0" w:right="0"/>
              <w:rPr>
                <w:rFonts w:hint="default"/>
                <w:color w:val="auto"/>
                <w:highlight w:val="none"/>
                <w:lang w:val="en-US" w:eastAsia="zh-CN"/>
              </w:rPr>
            </w:pPr>
          </w:p>
        </w:tc>
      </w:tr>
      <w:tr w14:paraId="75A2D4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796" w:hRule="atLeast"/>
          <w:jc w:val="center"/>
        </w:trPr>
        <w:tc>
          <w:tcPr>
            <w:tcW w:w="455" w:type="dxa"/>
            <w:vAlign w:val="center"/>
          </w:tcPr>
          <w:p w14:paraId="7584AF1C">
            <w:pPr>
              <w:pStyle w:val="22"/>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val="0"/>
                <w:color w:val="auto"/>
                <w:kern w:val="2"/>
                <w:sz w:val="24"/>
                <w:szCs w:val="24"/>
                <w:highlight w:val="none"/>
              </w:rPr>
              <w:t>与项目有关的原有环境污染问题</w:t>
            </w:r>
          </w:p>
        </w:tc>
        <w:tc>
          <w:tcPr>
            <w:tcW w:w="8605" w:type="dxa"/>
            <w:vAlign w:val="center"/>
          </w:tcPr>
          <w:p w14:paraId="4D5B00AC">
            <w:pPr>
              <w:keepNext w:val="0"/>
              <w:keepLines w:val="0"/>
              <w:suppressLineNumbers w:val="0"/>
              <w:spacing w:before="0" w:beforeAutospacing="0" w:after="0" w:afterAutospacing="0" w:line="360" w:lineRule="auto"/>
              <w:ind w:left="0" w:right="0" w:firstLine="0" w:firstLineChars="0"/>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本项目有关的污染情况及主要环境问题：</w:t>
            </w:r>
          </w:p>
          <w:p w14:paraId="68E78F23">
            <w:pPr>
              <w:keepNext w:val="0"/>
              <w:keepLines w:val="0"/>
              <w:suppressLineNumbers w:val="0"/>
              <w:bidi w:val="0"/>
              <w:spacing w:before="0" w:beforeAutospacing="0" w:after="0" w:afterAutospacing="0"/>
              <w:ind w:left="0" w:right="0"/>
              <w:rPr>
                <w:rFonts w:hint="default" w:ascii="Times New Roman" w:hAnsi="Times New Roman" w:eastAsia="宋体" w:cs="Times New Roman"/>
                <w:b/>
                <w:bCs/>
                <w:color w:val="auto"/>
                <w:lang w:val="en-US" w:eastAsia="zh-CN"/>
              </w:rPr>
            </w:pPr>
            <w:bookmarkStart w:id="14" w:name="_Toc30257"/>
            <w:bookmarkStart w:id="15" w:name="_Toc9925"/>
            <w:r>
              <w:rPr>
                <w:rFonts w:hint="eastAsia" w:ascii="Times New Roman" w:hAnsi="Times New Roman" w:eastAsia="宋体" w:cs="Times New Roman"/>
                <w:b/>
                <w:bCs/>
                <w:color w:val="auto"/>
                <w:lang w:val="en-US" w:eastAsia="zh-CN"/>
              </w:rPr>
              <w:t>1、现有项目概况</w:t>
            </w:r>
            <w:bookmarkEnd w:id="14"/>
            <w:bookmarkEnd w:id="15"/>
          </w:p>
          <w:p w14:paraId="7B67974D">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shd w:val="clear" w:color="auto" w:fill="auto"/>
                <w:lang w:val="en-US" w:eastAsia="zh-CN"/>
              </w:rPr>
            </w:pPr>
            <w:r>
              <w:rPr>
                <w:rFonts w:hint="eastAsia" w:cs="Times New Roman"/>
                <w:color w:val="auto"/>
                <w:highlight w:val="none"/>
                <w:lang w:val="en-US" w:eastAsia="zh-CN"/>
              </w:rPr>
              <w:t>江西奋发科技有限公司</w:t>
            </w:r>
            <w:r>
              <w:rPr>
                <w:rFonts w:hint="eastAsia" w:ascii="Times New Roman" w:hAnsi="Times New Roman" w:eastAsia="宋体" w:cs="Times New Roman"/>
                <w:color w:val="auto"/>
                <w:sz w:val="24"/>
                <w:highlight w:val="none"/>
                <w:shd w:val="clear" w:color="auto" w:fill="auto"/>
                <w:lang w:val="en-US" w:eastAsia="zh-CN"/>
              </w:rPr>
              <w:t>于2014年</w:t>
            </w:r>
            <w:r>
              <w:rPr>
                <w:rFonts w:hint="eastAsia" w:ascii="Times New Roman" w:hAnsi="Times New Roman" w:cs="Times New Roman"/>
                <w:color w:val="auto"/>
                <w:sz w:val="24"/>
                <w:highlight w:val="none"/>
                <w:shd w:val="clear" w:color="auto" w:fill="auto"/>
                <w:lang w:val="en-US" w:eastAsia="zh-CN"/>
              </w:rPr>
              <w:t>5</w:t>
            </w:r>
            <w:r>
              <w:rPr>
                <w:rFonts w:hint="eastAsia" w:ascii="Times New Roman" w:hAnsi="Times New Roman" w:eastAsia="宋体" w:cs="Times New Roman"/>
                <w:color w:val="auto"/>
                <w:sz w:val="24"/>
                <w:highlight w:val="none"/>
                <w:shd w:val="clear" w:color="auto" w:fill="auto"/>
                <w:lang w:val="en-US" w:eastAsia="zh-CN"/>
              </w:rPr>
              <w:t>月</w:t>
            </w:r>
            <w:r>
              <w:rPr>
                <w:rFonts w:hint="eastAsia" w:ascii="Times New Roman" w:hAnsi="Times New Roman" w:cs="Times New Roman"/>
                <w:color w:val="auto"/>
                <w:sz w:val="24"/>
                <w:highlight w:val="none"/>
                <w:shd w:val="clear" w:color="auto" w:fill="auto"/>
                <w:lang w:val="en-US" w:eastAsia="zh-CN"/>
              </w:rPr>
              <w:t>组织</w:t>
            </w:r>
            <w:r>
              <w:rPr>
                <w:rFonts w:hint="eastAsia" w:ascii="Times New Roman" w:hAnsi="Times New Roman" w:eastAsia="宋体" w:cs="Times New Roman"/>
                <w:color w:val="auto"/>
                <w:sz w:val="24"/>
                <w:highlight w:val="none"/>
                <w:shd w:val="clear" w:color="auto" w:fill="auto"/>
                <w:lang w:val="en-US" w:eastAsia="zh-CN"/>
              </w:rPr>
              <w:t>编制了《</w:t>
            </w:r>
            <w:r>
              <w:rPr>
                <w:rFonts w:hint="eastAsia" w:ascii="Times New Roman" w:hAnsi="Times New Roman" w:cs="Times New Roman"/>
                <w:color w:val="auto"/>
                <w:sz w:val="24"/>
                <w:highlight w:val="none"/>
                <w:shd w:val="clear" w:color="auto" w:fill="auto"/>
                <w:lang w:val="en-US" w:eastAsia="zh-CN"/>
              </w:rPr>
              <w:t>江西奋发科技有限公司年产18000吨硅酮密封胶和8000吨三元乙丙密封胶条项目</w:t>
            </w:r>
            <w:r>
              <w:rPr>
                <w:rFonts w:hint="eastAsia" w:ascii="Times New Roman" w:hAnsi="Times New Roman" w:eastAsia="宋体" w:cs="Times New Roman"/>
                <w:color w:val="auto"/>
                <w:sz w:val="24"/>
                <w:highlight w:val="none"/>
                <w:shd w:val="clear" w:color="auto" w:fill="auto"/>
                <w:lang w:val="en-US" w:eastAsia="zh-CN"/>
              </w:rPr>
              <w:t>环境影响报告</w:t>
            </w:r>
            <w:r>
              <w:rPr>
                <w:rFonts w:hint="eastAsia" w:ascii="Times New Roman" w:hAnsi="Times New Roman" w:cs="Times New Roman"/>
                <w:color w:val="auto"/>
                <w:sz w:val="24"/>
                <w:highlight w:val="none"/>
                <w:shd w:val="clear" w:color="auto" w:fill="auto"/>
                <w:lang w:val="en-US" w:eastAsia="zh-CN"/>
              </w:rPr>
              <w:t>书</w:t>
            </w:r>
            <w:r>
              <w:rPr>
                <w:rFonts w:hint="eastAsia" w:ascii="Times New Roman" w:hAnsi="Times New Roman" w:eastAsia="宋体" w:cs="Times New Roman"/>
                <w:color w:val="auto"/>
                <w:sz w:val="24"/>
                <w:highlight w:val="none"/>
                <w:shd w:val="clear" w:color="auto" w:fill="auto"/>
                <w:lang w:val="en-US" w:eastAsia="zh-CN"/>
              </w:rPr>
              <w:t>》，并取得了</w:t>
            </w:r>
            <w:r>
              <w:rPr>
                <w:rFonts w:hint="eastAsia" w:ascii="Times New Roman" w:hAnsi="Times New Roman" w:cs="Times New Roman"/>
                <w:color w:val="auto"/>
                <w:sz w:val="24"/>
                <w:highlight w:val="none"/>
                <w:shd w:val="clear" w:color="auto" w:fill="auto"/>
                <w:lang w:val="en-US" w:eastAsia="zh-CN"/>
              </w:rPr>
              <w:t>南昌市</w:t>
            </w:r>
            <w:r>
              <w:rPr>
                <w:rFonts w:hint="eastAsia" w:ascii="Times New Roman" w:hAnsi="Times New Roman" w:eastAsia="宋体" w:cs="Times New Roman"/>
                <w:color w:val="auto"/>
                <w:sz w:val="24"/>
                <w:highlight w:val="none"/>
                <w:shd w:val="clear" w:color="auto" w:fill="auto"/>
                <w:lang w:val="en-US" w:eastAsia="zh-CN"/>
              </w:rPr>
              <w:t>环境保护局下发的批复（</w:t>
            </w:r>
            <w:r>
              <w:rPr>
                <w:rFonts w:hint="eastAsia" w:ascii="Times New Roman" w:hAnsi="Times New Roman" w:cs="Times New Roman"/>
                <w:color w:val="auto"/>
                <w:sz w:val="24"/>
                <w:highlight w:val="none"/>
                <w:shd w:val="clear" w:color="auto" w:fill="auto"/>
                <w:lang w:val="en-US" w:eastAsia="zh-CN"/>
              </w:rPr>
              <w:t>洪环审批</w:t>
            </w:r>
            <w:r>
              <w:rPr>
                <w:rFonts w:hint="default" w:ascii="Times New Roman" w:hAnsi="Times New Roman" w:cs="Times New Roman"/>
                <w:color w:val="auto"/>
                <w:kern w:val="0"/>
                <w:szCs w:val="21"/>
                <w:highlight w:val="none"/>
                <w:lang w:val="en-US" w:eastAsia="zh-CN"/>
              </w:rPr>
              <w:t>〔</w:t>
            </w:r>
            <w:r>
              <w:rPr>
                <w:rFonts w:hint="eastAsia" w:ascii="Times New Roman" w:hAnsi="Times New Roman" w:eastAsia="宋体" w:cs="Times New Roman"/>
                <w:color w:val="auto"/>
                <w:sz w:val="24"/>
                <w:highlight w:val="none"/>
                <w:shd w:val="clear" w:color="auto" w:fill="auto"/>
                <w:lang w:val="en-US" w:eastAsia="zh-CN"/>
              </w:rPr>
              <w:t>2014</w:t>
            </w:r>
            <w:r>
              <w:rPr>
                <w:rFonts w:hint="default" w:ascii="Times New Roman" w:hAnsi="Times New Roman" w:cs="Times New Roman"/>
                <w:color w:val="auto"/>
                <w:kern w:val="0"/>
                <w:szCs w:val="21"/>
                <w:highlight w:val="none"/>
                <w:lang w:val="en-US" w:eastAsia="zh-CN"/>
              </w:rPr>
              <w:t>〕</w:t>
            </w:r>
            <w:r>
              <w:rPr>
                <w:rFonts w:hint="eastAsia" w:ascii="Times New Roman" w:hAnsi="Times New Roman" w:cs="Times New Roman"/>
                <w:color w:val="auto"/>
                <w:sz w:val="24"/>
                <w:highlight w:val="none"/>
                <w:shd w:val="clear" w:color="auto" w:fill="auto"/>
                <w:lang w:val="en-US" w:eastAsia="zh-CN"/>
              </w:rPr>
              <w:t>105</w:t>
            </w:r>
            <w:r>
              <w:rPr>
                <w:rFonts w:hint="eastAsia" w:ascii="Times New Roman" w:hAnsi="Times New Roman" w:eastAsia="宋体" w:cs="Times New Roman"/>
                <w:color w:val="auto"/>
                <w:sz w:val="24"/>
                <w:highlight w:val="none"/>
                <w:shd w:val="clear" w:color="auto" w:fill="auto"/>
                <w:lang w:val="en-US" w:eastAsia="zh-CN"/>
              </w:rPr>
              <w:t>号），</w:t>
            </w:r>
            <w:r>
              <w:rPr>
                <w:rFonts w:hint="eastAsia" w:ascii="Times New Roman" w:hAnsi="Times New Roman" w:cs="Times New Roman"/>
                <w:color w:val="auto"/>
                <w:sz w:val="24"/>
                <w:highlight w:val="none"/>
                <w:shd w:val="clear" w:color="auto" w:fill="auto"/>
                <w:lang w:val="en-US" w:eastAsia="zh-CN"/>
              </w:rPr>
              <w:t>2017年1月6日</w:t>
            </w:r>
            <w:r>
              <w:rPr>
                <w:rFonts w:hint="eastAsia" w:ascii="Times New Roman" w:hAnsi="Times New Roman" w:eastAsia="宋体" w:cs="Times New Roman"/>
                <w:color w:val="auto"/>
                <w:sz w:val="24"/>
                <w:highlight w:val="none"/>
                <w:shd w:val="clear" w:color="auto" w:fill="auto"/>
                <w:lang w:val="en-US" w:eastAsia="zh-CN"/>
              </w:rPr>
              <w:t>取得了</w:t>
            </w:r>
            <w:r>
              <w:rPr>
                <w:rFonts w:hint="eastAsia" w:ascii="Times New Roman" w:hAnsi="Times New Roman" w:cs="Times New Roman"/>
                <w:color w:val="auto"/>
                <w:sz w:val="24"/>
                <w:highlight w:val="none"/>
                <w:shd w:val="clear" w:color="auto" w:fill="auto"/>
                <w:lang w:val="en-US" w:eastAsia="zh-CN"/>
              </w:rPr>
              <w:t>安义县</w:t>
            </w:r>
            <w:r>
              <w:rPr>
                <w:rFonts w:hint="eastAsia" w:ascii="Times New Roman" w:hAnsi="Times New Roman" w:eastAsia="宋体" w:cs="Times New Roman"/>
                <w:color w:val="auto"/>
                <w:sz w:val="24"/>
                <w:highlight w:val="none"/>
                <w:shd w:val="clear" w:color="auto" w:fill="auto"/>
                <w:lang w:val="en-US" w:eastAsia="zh-CN"/>
              </w:rPr>
              <w:t>环境保护局对该项目的验收</w:t>
            </w:r>
            <w:r>
              <w:rPr>
                <w:rFonts w:hint="eastAsia" w:ascii="Times New Roman" w:hAnsi="Times New Roman" w:cs="Times New Roman"/>
                <w:color w:val="auto"/>
                <w:sz w:val="24"/>
                <w:highlight w:val="none"/>
                <w:shd w:val="clear" w:color="auto" w:fill="auto"/>
                <w:lang w:val="en-US" w:eastAsia="zh-CN"/>
              </w:rPr>
              <w:t>意见的函</w:t>
            </w:r>
            <w:r>
              <w:rPr>
                <w:rFonts w:hint="eastAsia" w:ascii="Times New Roman" w:hAnsi="Times New Roman" w:eastAsia="宋体"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安环审批</w:t>
            </w:r>
            <w:r>
              <w:rPr>
                <w:rFonts w:hint="default" w:ascii="Times New Roman" w:hAnsi="Times New Roman" w:cs="Times New Roman"/>
                <w:color w:val="auto"/>
                <w:kern w:val="0"/>
                <w:szCs w:val="21"/>
                <w:highlight w:val="none"/>
                <w:lang w:val="en-US" w:eastAsia="zh-CN"/>
              </w:rPr>
              <w:t>〔</w:t>
            </w:r>
            <w:r>
              <w:rPr>
                <w:rFonts w:hint="eastAsia" w:ascii="Times New Roman" w:hAnsi="Times New Roman" w:eastAsia="宋体" w:cs="Times New Roman"/>
                <w:color w:val="auto"/>
                <w:sz w:val="24"/>
                <w:highlight w:val="none"/>
                <w:shd w:val="clear" w:color="auto" w:fill="auto"/>
                <w:lang w:val="en-US" w:eastAsia="zh-CN"/>
              </w:rPr>
              <w:t>201</w:t>
            </w:r>
            <w:r>
              <w:rPr>
                <w:rFonts w:hint="eastAsia" w:ascii="Times New Roman" w:hAnsi="Times New Roman" w:cs="Times New Roman"/>
                <w:color w:val="auto"/>
                <w:sz w:val="24"/>
                <w:highlight w:val="none"/>
                <w:shd w:val="clear" w:color="auto" w:fill="auto"/>
                <w:lang w:val="en-US" w:eastAsia="zh-CN"/>
              </w:rPr>
              <w:t>7</w:t>
            </w:r>
            <w:r>
              <w:rPr>
                <w:rFonts w:hint="default" w:ascii="Times New Roman" w:hAnsi="Times New Roman" w:cs="Times New Roman"/>
                <w:color w:val="auto"/>
                <w:kern w:val="0"/>
                <w:szCs w:val="21"/>
                <w:highlight w:val="none"/>
                <w:lang w:val="en-US" w:eastAsia="zh-CN"/>
              </w:rPr>
              <w:t>〕</w:t>
            </w:r>
            <w:r>
              <w:rPr>
                <w:rFonts w:hint="eastAsia" w:ascii="Times New Roman" w:hAnsi="Times New Roman" w:eastAsia="宋体" w:cs="Times New Roman"/>
                <w:color w:val="auto"/>
                <w:sz w:val="24"/>
                <w:highlight w:val="none"/>
                <w:shd w:val="clear" w:color="auto" w:fill="auto"/>
                <w:lang w:val="en-US" w:eastAsia="zh-CN"/>
              </w:rPr>
              <w:t>4号）。</w:t>
            </w:r>
          </w:p>
          <w:p w14:paraId="75EC8D6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（1）现有项目主要建设内容</w:t>
            </w:r>
          </w:p>
          <w:p w14:paraId="7C3A656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现有项目总用地面积68666.67m</w:t>
            </w:r>
            <w:r>
              <w:rPr>
                <w:rFonts w:hint="eastAsia" w:ascii="Times New Roman" w:hAnsi="Times New Roman" w:cs="Times New Roman"/>
                <w:color w:val="auto"/>
                <w:sz w:val="24"/>
                <w:highlight w:val="none"/>
                <w:shd w:val="clear" w:color="auto" w:fill="auto"/>
                <w:vertAlign w:val="superscript"/>
                <w:lang w:val="en-US" w:eastAsia="zh-CN"/>
              </w:rPr>
              <w:t>2</w:t>
            </w:r>
            <w:r>
              <w:rPr>
                <w:rFonts w:hint="eastAsia" w:ascii="Times New Roman" w:hAnsi="Times New Roman" w:cs="Times New Roman"/>
                <w:color w:val="auto"/>
                <w:sz w:val="24"/>
                <w:highlight w:val="none"/>
                <w:shd w:val="clear" w:color="auto" w:fill="auto"/>
                <w:lang w:val="en-US" w:eastAsia="zh-CN"/>
              </w:rPr>
              <w:t>约（103亩），总建筑面积42126m</w:t>
            </w:r>
            <w:r>
              <w:rPr>
                <w:rFonts w:hint="eastAsia" w:ascii="Times New Roman" w:hAnsi="Times New Roman" w:cs="Times New Roman"/>
                <w:color w:val="auto"/>
                <w:sz w:val="24"/>
                <w:highlight w:val="none"/>
                <w:shd w:val="clear" w:color="auto" w:fill="auto"/>
                <w:vertAlign w:val="superscript"/>
                <w:lang w:val="en-US" w:eastAsia="zh-CN"/>
              </w:rPr>
              <w:t>2</w:t>
            </w:r>
            <w:r>
              <w:rPr>
                <w:rFonts w:hint="eastAsia" w:ascii="Times New Roman" w:hAnsi="Times New Roman" w:cs="Times New Roman"/>
                <w:color w:val="auto"/>
                <w:sz w:val="24"/>
                <w:highlight w:val="none"/>
                <w:shd w:val="clear" w:color="auto" w:fill="auto"/>
                <w:lang w:val="en-US" w:eastAsia="zh-CN"/>
              </w:rPr>
              <w:t>，主要建设3栋生产车间、2栋仓库、1栋综合楼、1栋员工宿舍及食堂、2栋门卫室和1栋配电房，现有项目主要建设内容详见表2-</w:t>
            </w:r>
            <w:r>
              <w:rPr>
                <w:rFonts w:hint="eastAsia" w:cs="Times New Roman"/>
                <w:color w:val="auto"/>
                <w:sz w:val="24"/>
                <w:highlight w:val="none"/>
                <w:shd w:val="clear" w:color="auto" w:fill="auto"/>
                <w:lang w:val="en-US" w:eastAsia="zh-CN"/>
              </w:rPr>
              <w:t>12</w:t>
            </w:r>
            <w:r>
              <w:rPr>
                <w:rFonts w:hint="eastAsia" w:ascii="Times New Roman" w:hAnsi="Times New Roman" w:cs="Times New Roman"/>
                <w:color w:val="auto"/>
                <w:sz w:val="24"/>
                <w:highlight w:val="none"/>
                <w:shd w:val="clear" w:color="auto" w:fill="auto"/>
                <w:lang w:val="en-US" w:eastAsia="zh-CN"/>
              </w:rPr>
              <w:t>。</w:t>
            </w:r>
          </w:p>
          <w:p w14:paraId="1CA4CBD9">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表2-</w:t>
            </w:r>
            <w:r>
              <w:rPr>
                <w:rFonts w:hint="eastAsia" w:cs="Times New Roman"/>
                <w:b/>
                <w:bCs/>
                <w:color w:val="auto"/>
                <w:highlight w:val="none"/>
                <w:lang w:val="en-US" w:eastAsia="zh-CN"/>
              </w:rPr>
              <w:t>12</w:t>
            </w:r>
            <w:r>
              <w:rPr>
                <w:rFonts w:hint="default" w:ascii="Times New Roman" w:hAnsi="Times New Roman" w:cs="Times New Roman"/>
                <w:b/>
                <w:bCs/>
                <w:color w:val="auto"/>
                <w:highlight w:val="none"/>
                <w:lang w:val="en-US" w:eastAsia="zh-CN"/>
              </w:rPr>
              <w:t xml:space="preserve">   </w:t>
            </w:r>
            <w:r>
              <w:rPr>
                <w:rFonts w:hint="eastAsia" w:ascii="Times New Roman" w:hAnsi="Times New Roman" w:cs="Times New Roman"/>
                <w:b/>
                <w:bCs/>
                <w:color w:val="auto"/>
                <w:highlight w:val="none"/>
                <w:lang w:val="en-US" w:eastAsia="zh-CN"/>
              </w:rPr>
              <w:t>现有</w:t>
            </w:r>
            <w:r>
              <w:rPr>
                <w:rFonts w:hint="default" w:ascii="Times New Roman" w:hAnsi="Times New Roman" w:cs="Times New Roman"/>
                <w:b/>
                <w:bCs/>
                <w:color w:val="auto"/>
                <w:highlight w:val="none"/>
                <w:lang w:val="en-US" w:eastAsia="zh-CN"/>
              </w:rPr>
              <w:t>项目建设内容一览表</w:t>
            </w:r>
          </w:p>
          <w:tbl>
            <w:tblPr>
              <w:tblStyle w:val="32"/>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098"/>
              <w:gridCol w:w="1129"/>
              <w:gridCol w:w="4778"/>
              <w:gridCol w:w="1381"/>
            </w:tblGrid>
            <w:tr w14:paraId="506478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05" w:hRule="atLeast"/>
                <w:tblHeader/>
              </w:trPr>
              <w:tc>
                <w:tcPr>
                  <w:tcW w:w="655" w:type="pct"/>
                  <w:tcBorders>
                    <w:bottom w:val="single" w:color="auto" w:sz="12" w:space="0"/>
                  </w:tcBorders>
                  <w:vAlign w:val="center"/>
                </w:tcPr>
                <w:p w14:paraId="0ED46C86">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工程名称</w:t>
                  </w:r>
                </w:p>
              </w:tc>
              <w:tc>
                <w:tcPr>
                  <w:tcW w:w="3521" w:type="pct"/>
                  <w:gridSpan w:val="2"/>
                  <w:tcBorders>
                    <w:bottom w:val="single" w:color="auto" w:sz="12" w:space="0"/>
                  </w:tcBorders>
                  <w:vAlign w:val="center"/>
                </w:tcPr>
                <w:p w14:paraId="36FDC681">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主要建设内容</w:t>
                  </w:r>
                </w:p>
              </w:tc>
              <w:tc>
                <w:tcPr>
                  <w:tcW w:w="823" w:type="pct"/>
                  <w:tcBorders>
                    <w:bottom w:val="single" w:color="auto" w:sz="12" w:space="0"/>
                  </w:tcBorders>
                  <w:vAlign w:val="center"/>
                </w:tcPr>
                <w:p w14:paraId="478ECD9A">
                  <w:pPr>
                    <w:pStyle w:val="6"/>
                    <w:keepNext w:val="0"/>
                    <w:keepLines w:val="0"/>
                    <w:suppressLineNumbers w:val="0"/>
                    <w:bidi w:val="0"/>
                    <w:spacing w:before="0" w:beforeAutospacing="0" w:after="0" w:afterAutospacing="0"/>
                    <w:ind w:right="0"/>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备注</w:t>
                  </w:r>
                </w:p>
              </w:tc>
            </w:tr>
            <w:tr w14:paraId="7457F2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655" w:type="pct"/>
                  <w:vMerge w:val="restart"/>
                  <w:tcBorders>
                    <w:top w:val="single" w:color="auto" w:sz="12" w:space="0"/>
                    <w:tl2br w:val="nil"/>
                    <w:tr2bl w:val="nil"/>
                  </w:tcBorders>
                  <w:vAlign w:val="center"/>
                </w:tcPr>
                <w:p w14:paraId="2047C710">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主体工程</w:t>
                  </w:r>
                </w:p>
              </w:tc>
              <w:tc>
                <w:tcPr>
                  <w:tcW w:w="3521" w:type="pct"/>
                  <w:gridSpan w:val="2"/>
                  <w:tcBorders>
                    <w:top w:val="single" w:color="auto" w:sz="12" w:space="0"/>
                    <w:tl2br w:val="nil"/>
                    <w:tr2bl w:val="nil"/>
                  </w:tcBorders>
                  <w:vAlign w:val="center"/>
                </w:tcPr>
                <w:p w14:paraId="4E1EE1B2">
                  <w:pPr>
                    <w:pStyle w:val="6"/>
                    <w:keepNext w:val="0"/>
                    <w:keepLines w:val="0"/>
                    <w:suppressLineNumbers w:val="0"/>
                    <w:bidi w:val="0"/>
                    <w:spacing w:before="0" w:beforeAutospacing="0" w:after="0" w:afterAutospacing="0"/>
                    <w:ind w:left="0" w:leftChars="0" w:right="0" w:rightChars="0" w:firstLine="0" w:firstLineChars="0"/>
                    <w:jc w:val="both"/>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硅酮密封胶车间，1F，建筑面积5</w:t>
                  </w:r>
                  <w:r>
                    <w:rPr>
                      <w:rFonts w:hint="eastAsia" w:cs="Times New Roman"/>
                      <w:color w:val="auto"/>
                      <w:kern w:val="2"/>
                      <w:sz w:val="21"/>
                      <w:szCs w:val="24"/>
                      <w:highlight w:val="none"/>
                      <w:lang w:val="en-US" w:eastAsia="zh-CN" w:bidi="ar-SA"/>
                    </w:rPr>
                    <w:t>105</w:t>
                  </w:r>
                  <w:r>
                    <w:rPr>
                      <w:rFonts w:hint="eastAsia" w:ascii="Times New Roman" w:hAnsi="Times New Roman" w:eastAsia="宋体" w:cs="Times New Roman"/>
                      <w:color w:val="auto"/>
                      <w:kern w:val="2"/>
                      <w:sz w:val="21"/>
                      <w:szCs w:val="24"/>
                      <w:highlight w:val="none"/>
                      <w:lang w:val="en-US" w:eastAsia="zh-CN" w:bidi="ar-SA"/>
                    </w:rPr>
                    <w:t>m</w:t>
                  </w:r>
                  <w:r>
                    <w:rPr>
                      <w:rFonts w:hint="eastAsia" w:ascii="Times New Roman" w:hAnsi="Times New Roman" w:eastAsia="宋体" w:cs="Times New Roman"/>
                      <w:color w:val="auto"/>
                      <w:kern w:val="2"/>
                      <w:sz w:val="21"/>
                      <w:szCs w:val="24"/>
                      <w:highlight w:val="none"/>
                      <w:vertAlign w:val="superscript"/>
                      <w:lang w:val="en-US" w:eastAsia="zh-CN" w:bidi="ar-SA"/>
                    </w:rPr>
                    <w:t>2</w:t>
                  </w:r>
                  <w:r>
                    <w:rPr>
                      <w:rFonts w:hint="eastAsia" w:ascii="Times New Roman" w:hAnsi="Times New Roman" w:eastAsia="宋体" w:cs="Times New Roman"/>
                      <w:color w:val="auto"/>
                      <w:kern w:val="2"/>
                      <w:sz w:val="21"/>
                      <w:szCs w:val="24"/>
                      <w:highlight w:val="none"/>
                      <w:lang w:val="en-US" w:eastAsia="zh-CN" w:bidi="ar-SA"/>
                    </w:rPr>
                    <w:t>，钢构，乙级车间</w:t>
                  </w:r>
                </w:p>
              </w:tc>
              <w:tc>
                <w:tcPr>
                  <w:tcW w:w="823" w:type="pct"/>
                  <w:tcBorders>
                    <w:top w:val="single" w:color="auto" w:sz="12" w:space="0"/>
                    <w:tl2br w:val="nil"/>
                    <w:tr2bl w:val="nil"/>
                  </w:tcBorders>
                  <w:vAlign w:val="center"/>
                </w:tcPr>
                <w:p w14:paraId="3F344624">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r>
            <w:tr w14:paraId="0CC83E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655" w:type="pct"/>
                  <w:vMerge w:val="continue"/>
                  <w:tcBorders>
                    <w:tl2br w:val="nil"/>
                    <w:tr2bl w:val="nil"/>
                  </w:tcBorders>
                  <w:vAlign w:val="center"/>
                </w:tcPr>
                <w:p w14:paraId="75EF6E40">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highlight w:val="none"/>
                      <w:lang w:val="en-US" w:eastAsia="zh-CN" w:bidi="ar-SA"/>
                    </w:rPr>
                  </w:pPr>
                </w:p>
              </w:tc>
              <w:tc>
                <w:tcPr>
                  <w:tcW w:w="3521" w:type="pct"/>
                  <w:gridSpan w:val="2"/>
                  <w:tcBorders>
                    <w:tl2br w:val="nil"/>
                    <w:tr2bl w:val="nil"/>
                  </w:tcBorders>
                  <w:shd w:val="clear" w:color="auto" w:fill="auto"/>
                  <w:vAlign w:val="center"/>
                </w:tcPr>
                <w:p w14:paraId="4B77654D">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三元乙丙密封胶条车间，1F，建筑面积5</w:t>
                  </w:r>
                  <w:r>
                    <w:rPr>
                      <w:rFonts w:hint="eastAsia" w:cs="Times New Roman"/>
                      <w:color w:val="auto"/>
                      <w:kern w:val="2"/>
                      <w:sz w:val="21"/>
                      <w:szCs w:val="24"/>
                      <w:highlight w:val="none"/>
                      <w:lang w:val="en-US" w:eastAsia="zh-CN" w:bidi="ar-SA"/>
                    </w:rPr>
                    <w:t>105</w:t>
                  </w:r>
                  <w:r>
                    <w:rPr>
                      <w:rFonts w:hint="eastAsia" w:ascii="Times New Roman" w:hAnsi="Times New Roman" w:eastAsia="宋体" w:cs="Times New Roman"/>
                      <w:color w:val="auto"/>
                      <w:kern w:val="2"/>
                      <w:sz w:val="21"/>
                      <w:szCs w:val="24"/>
                      <w:highlight w:val="none"/>
                      <w:lang w:val="en-US" w:eastAsia="zh-CN" w:bidi="ar-SA"/>
                    </w:rPr>
                    <w:t>m</w:t>
                  </w:r>
                  <w:r>
                    <w:rPr>
                      <w:rFonts w:hint="eastAsia" w:ascii="Times New Roman" w:hAnsi="Times New Roman" w:eastAsia="宋体" w:cs="Times New Roman"/>
                      <w:color w:val="auto"/>
                      <w:kern w:val="2"/>
                      <w:sz w:val="21"/>
                      <w:szCs w:val="24"/>
                      <w:highlight w:val="none"/>
                      <w:vertAlign w:val="superscript"/>
                      <w:lang w:val="en-US" w:eastAsia="zh-CN" w:bidi="ar-SA"/>
                    </w:rPr>
                    <w:t>2</w:t>
                  </w:r>
                  <w:r>
                    <w:rPr>
                      <w:rFonts w:hint="eastAsia" w:ascii="Times New Roman" w:hAnsi="Times New Roman" w:eastAsia="宋体" w:cs="Times New Roman"/>
                      <w:color w:val="auto"/>
                      <w:kern w:val="2"/>
                      <w:sz w:val="21"/>
                      <w:szCs w:val="24"/>
                      <w:highlight w:val="none"/>
                      <w:lang w:val="en-US" w:eastAsia="zh-CN" w:bidi="ar-SA"/>
                    </w:rPr>
                    <w:t>，钢构，乙级车间</w:t>
                  </w:r>
                </w:p>
              </w:tc>
              <w:tc>
                <w:tcPr>
                  <w:tcW w:w="823" w:type="pct"/>
                  <w:tcBorders>
                    <w:tl2br w:val="nil"/>
                    <w:tr2bl w:val="nil"/>
                  </w:tcBorders>
                  <w:vAlign w:val="center"/>
                </w:tcPr>
                <w:p w14:paraId="219D51CB">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r>
            <w:tr w14:paraId="4818A6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655" w:type="pct"/>
                  <w:vMerge w:val="continue"/>
                  <w:tcBorders>
                    <w:tl2br w:val="nil"/>
                    <w:tr2bl w:val="nil"/>
                  </w:tcBorders>
                  <w:vAlign w:val="center"/>
                </w:tcPr>
                <w:p w14:paraId="3ABE0C4A">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p>
              </w:tc>
              <w:tc>
                <w:tcPr>
                  <w:tcW w:w="3521" w:type="pct"/>
                  <w:gridSpan w:val="2"/>
                  <w:tcBorders>
                    <w:tl2br w:val="nil"/>
                    <w:tr2bl w:val="nil"/>
                  </w:tcBorders>
                  <w:vAlign w:val="center"/>
                </w:tcPr>
                <w:p w14:paraId="039642A3">
                  <w:pPr>
                    <w:pStyle w:val="6"/>
                    <w:keepNext w:val="0"/>
                    <w:keepLines w:val="0"/>
                    <w:suppressLineNumbers w:val="0"/>
                    <w:bidi w:val="0"/>
                    <w:spacing w:before="0" w:beforeAutospacing="0" w:after="0" w:afterAutospacing="0"/>
                    <w:ind w:left="0" w:leftChars="0" w:right="0" w:rightChars="0" w:firstLine="0" w:firstLineChars="0"/>
                    <w:jc w:val="both"/>
                    <w:rPr>
                      <w:rFonts w:hint="default" w:ascii="Times New Roman" w:hAnsi="Times New Roman" w:cs="Times New Roman"/>
                      <w:color w:val="auto"/>
                      <w:highlight w:val="none"/>
                      <w:lang w:val="en-US" w:eastAsia="zh-CN"/>
                    </w:rPr>
                  </w:pPr>
                  <w:r>
                    <w:rPr>
                      <w:rFonts w:hint="eastAsia" w:ascii="Times New Roman" w:hAnsi="Times New Roman" w:eastAsia="宋体" w:cs="Times New Roman"/>
                      <w:color w:val="auto"/>
                      <w:kern w:val="2"/>
                      <w:sz w:val="21"/>
                      <w:szCs w:val="24"/>
                      <w:highlight w:val="none"/>
                      <w:lang w:val="en-US" w:eastAsia="zh-CN" w:bidi="ar-SA"/>
                    </w:rPr>
                    <w:t>备用生产车间，1F，建筑面积5</w:t>
                  </w:r>
                  <w:r>
                    <w:rPr>
                      <w:rFonts w:hint="eastAsia" w:cs="Times New Roman"/>
                      <w:color w:val="auto"/>
                      <w:kern w:val="2"/>
                      <w:sz w:val="21"/>
                      <w:szCs w:val="24"/>
                      <w:highlight w:val="none"/>
                      <w:lang w:val="en-US" w:eastAsia="zh-CN" w:bidi="ar-SA"/>
                    </w:rPr>
                    <w:t>105</w:t>
                  </w:r>
                  <w:r>
                    <w:rPr>
                      <w:rFonts w:hint="eastAsia" w:ascii="Times New Roman" w:hAnsi="Times New Roman" w:eastAsia="宋体" w:cs="Times New Roman"/>
                      <w:color w:val="auto"/>
                      <w:kern w:val="2"/>
                      <w:sz w:val="21"/>
                      <w:szCs w:val="24"/>
                      <w:highlight w:val="none"/>
                      <w:lang w:val="en-US" w:eastAsia="zh-CN" w:bidi="ar-SA"/>
                    </w:rPr>
                    <w:t>m</w:t>
                  </w:r>
                  <w:r>
                    <w:rPr>
                      <w:rFonts w:hint="eastAsia" w:ascii="Times New Roman" w:hAnsi="Times New Roman" w:eastAsia="宋体" w:cs="Times New Roman"/>
                      <w:color w:val="auto"/>
                      <w:kern w:val="2"/>
                      <w:sz w:val="21"/>
                      <w:szCs w:val="24"/>
                      <w:highlight w:val="none"/>
                      <w:vertAlign w:val="superscript"/>
                      <w:lang w:val="en-US" w:eastAsia="zh-CN" w:bidi="ar-SA"/>
                    </w:rPr>
                    <w:t>2</w:t>
                  </w:r>
                  <w:r>
                    <w:rPr>
                      <w:rFonts w:hint="eastAsia" w:ascii="Times New Roman" w:hAnsi="Times New Roman" w:eastAsia="宋体" w:cs="Times New Roman"/>
                      <w:color w:val="auto"/>
                      <w:kern w:val="2"/>
                      <w:sz w:val="21"/>
                      <w:szCs w:val="24"/>
                      <w:highlight w:val="none"/>
                      <w:lang w:val="en-US" w:eastAsia="zh-CN" w:bidi="ar-SA"/>
                    </w:rPr>
                    <w:t>，钢构，乙级车间</w:t>
                  </w:r>
                </w:p>
              </w:tc>
              <w:tc>
                <w:tcPr>
                  <w:tcW w:w="823" w:type="pct"/>
                  <w:tcBorders>
                    <w:tl2br w:val="nil"/>
                    <w:tr2bl w:val="nil"/>
                  </w:tcBorders>
                  <w:vAlign w:val="center"/>
                </w:tcPr>
                <w:p w14:paraId="70967459">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备用</w:t>
                  </w:r>
                </w:p>
              </w:tc>
            </w:tr>
            <w:tr w14:paraId="0650A5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655" w:type="pct"/>
                  <w:vMerge w:val="restart"/>
                  <w:tcBorders>
                    <w:tl2br w:val="nil"/>
                    <w:tr2bl w:val="nil"/>
                  </w:tcBorders>
                  <w:vAlign w:val="center"/>
                </w:tcPr>
                <w:p w14:paraId="7DB84CFA">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贮运工程</w:t>
                  </w:r>
                </w:p>
              </w:tc>
              <w:tc>
                <w:tcPr>
                  <w:tcW w:w="3521" w:type="pct"/>
                  <w:gridSpan w:val="2"/>
                  <w:tcBorders>
                    <w:tl2br w:val="nil"/>
                    <w:tr2bl w:val="nil"/>
                  </w:tcBorders>
                  <w:vAlign w:val="center"/>
                </w:tcPr>
                <w:p w14:paraId="7BB46569">
                  <w:pPr>
                    <w:pStyle w:val="6"/>
                    <w:keepNext w:val="0"/>
                    <w:keepLines w:val="0"/>
                    <w:suppressLineNumbers w:val="0"/>
                    <w:bidi w:val="0"/>
                    <w:spacing w:before="0" w:beforeAutospacing="0" w:after="0" w:afterAutospacing="0"/>
                    <w:ind w:left="0" w:leftChars="0" w:right="0" w:rightChars="0" w:firstLine="0" w:firstLineChars="0"/>
                    <w:jc w:val="both"/>
                    <w:rPr>
                      <w:rFonts w:hint="default" w:ascii="Times New Roman" w:hAnsi="Times New Roman" w:cs="Times New Roman"/>
                      <w:color w:val="auto"/>
                      <w:highlight w:val="none"/>
                      <w:lang w:val="en-US" w:eastAsia="zh-CN"/>
                    </w:rPr>
                  </w:pPr>
                  <w:r>
                    <w:rPr>
                      <w:rFonts w:hint="eastAsia" w:ascii="Times New Roman" w:hAnsi="Times New Roman" w:eastAsia="宋体" w:cs="Times New Roman"/>
                      <w:color w:val="auto"/>
                      <w:kern w:val="2"/>
                      <w:sz w:val="21"/>
                      <w:szCs w:val="24"/>
                      <w:highlight w:val="none"/>
                      <w:lang w:val="en-US" w:eastAsia="zh-CN" w:bidi="ar-SA"/>
                    </w:rPr>
                    <w:t>硅酮密封胶仓库，1F，建筑面积5</w:t>
                  </w:r>
                  <w:r>
                    <w:rPr>
                      <w:rFonts w:hint="eastAsia" w:cs="Times New Roman"/>
                      <w:color w:val="auto"/>
                      <w:kern w:val="2"/>
                      <w:sz w:val="21"/>
                      <w:szCs w:val="24"/>
                      <w:highlight w:val="none"/>
                      <w:lang w:val="en-US" w:eastAsia="zh-CN" w:bidi="ar-SA"/>
                    </w:rPr>
                    <w:t>105</w:t>
                  </w:r>
                  <w:r>
                    <w:rPr>
                      <w:rFonts w:hint="eastAsia" w:ascii="Times New Roman" w:hAnsi="Times New Roman" w:eastAsia="宋体" w:cs="Times New Roman"/>
                      <w:color w:val="auto"/>
                      <w:kern w:val="2"/>
                      <w:sz w:val="21"/>
                      <w:szCs w:val="24"/>
                      <w:highlight w:val="none"/>
                      <w:lang w:val="en-US" w:eastAsia="zh-CN" w:bidi="ar-SA"/>
                    </w:rPr>
                    <w:t>m</w:t>
                  </w:r>
                  <w:r>
                    <w:rPr>
                      <w:rFonts w:hint="eastAsia" w:ascii="Times New Roman" w:hAnsi="Times New Roman" w:eastAsia="宋体" w:cs="Times New Roman"/>
                      <w:color w:val="auto"/>
                      <w:kern w:val="2"/>
                      <w:sz w:val="21"/>
                      <w:szCs w:val="24"/>
                      <w:highlight w:val="none"/>
                      <w:vertAlign w:val="superscript"/>
                      <w:lang w:val="en-US" w:eastAsia="zh-CN" w:bidi="ar-SA"/>
                    </w:rPr>
                    <w:t>2</w:t>
                  </w:r>
                  <w:r>
                    <w:rPr>
                      <w:rFonts w:hint="eastAsia" w:ascii="Times New Roman" w:hAnsi="Times New Roman" w:eastAsia="宋体" w:cs="Times New Roman"/>
                      <w:color w:val="auto"/>
                      <w:kern w:val="2"/>
                      <w:sz w:val="21"/>
                      <w:szCs w:val="24"/>
                      <w:highlight w:val="none"/>
                      <w:lang w:val="en-US" w:eastAsia="zh-CN" w:bidi="ar-SA"/>
                    </w:rPr>
                    <w:t>，钢构，乙级车间</w:t>
                  </w:r>
                </w:p>
              </w:tc>
              <w:tc>
                <w:tcPr>
                  <w:tcW w:w="823" w:type="pct"/>
                  <w:tcBorders>
                    <w:tl2br w:val="nil"/>
                    <w:tr2bl w:val="nil"/>
                  </w:tcBorders>
                  <w:vAlign w:val="center"/>
                </w:tcPr>
                <w:p w14:paraId="7F741288">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r>
            <w:tr w14:paraId="3ED72B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655" w:type="pct"/>
                  <w:vMerge w:val="continue"/>
                  <w:tcBorders>
                    <w:tl2br w:val="nil"/>
                    <w:tr2bl w:val="nil"/>
                  </w:tcBorders>
                  <w:vAlign w:val="center"/>
                </w:tcPr>
                <w:p w14:paraId="3D88BA0A">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p>
              </w:tc>
              <w:tc>
                <w:tcPr>
                  <w:tcW w:w="3521" w:type="pct"/>
                  <w:gridSpan w:val="2"/>
                  <w:tcBorders>
                    <w:tl2br w:val="nil"/>
                    <w:tr2bl w:val="nil"/>
                  </w:tcBorders>
                  <w:vAlign w:val="center"/>
                </w:tcPr>
                <w:p w14:paraId="2531FF42">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rPr>
                  </w:pPr>
                  <w:r>
                    <w:rPr>
                      <w:rFonts w:hint="eastAsia" w:ascii="Times New Roman" w:hAnsi="Times New Roman" w:eastAsia="宋体" w:cs="Times New Roman"/>
                      <w:color w:val="auto"/>
                      <w:kern w:val="2"/>
                      <w:sz w:val="21"/>
                      <w:szCs w:val="24"/>
                      <w:highlight w:val="none"/>
                      <w:lang w:val="en-US" w:eastAsia="zh-CN" w:bidi="ar-SA"/>
                    </w:rPr>
                    <w:t>三元乙丙密封胶条仓库，1F，建筑面积5</w:t>
                  </w:r>
                  <w:r>
                    <w:rPr>
                      <w:rFonts w:hint="eastAsia" w:cs="Times New Roman"/>
                      <w:color w:val="auto"/>
                      <w:kern w:val="2"/>
                      <w:sz w:val="21"/>
                      <w:szCs w:val="24"/>
                      <w:highlight w:val="none"/>
                      <w:lang w:val="en-US" w:eastAsia="zh-CN" w:bidi="ar-SA"/>
                    </w:rPr>
                    <w:t>105</w:t>
                  </w:r>
                  <w:r>
                    <w:rPr>
                      <w:rFonts w:hint="eastAsia" w:ascii="Times New Roman" w:hAnsi="Times New Roman" w:eastAsia="宋体" w:cs="Times New Roman"/>
                      <w:color w:val="auto"/>
                      <w:kern w:val="2"/>
                      <w:sz w:val="21"/>
                      <w:szCs w:val="24"/>
                      <w:highlight w:val="none"/>
                      <w:lang w:val="en-US" w:eastAsia="zh-CN" w:bidi="ar-SA"/>
                    </w:rPr>
                    <w:t>m</w:t>
                  </w:r>
                  <w:r>
                    <w:rPr>
                      <w:rFonts w:hint="eastAsia" w:ascii="Times New Roman" w:hAnsi="Times New Roman" w:eastAsia="宋体" w:cs="Times New Roman"/>
                      <w:color w:val="auto"/>
                      <w:kern w:val="2"/>
                      <w:sz w:val="21"/>
                      <w:szCs w:val="24"/>
                      <w:highlight w:val="none"/>
                      <w:vertAlign w:val="superscript"/>
                      <w:lang w:val="en-US" w:eastAsia="zh-CN" w:bidi="ar-SA"/>
                    </w:rPr>
                    <w:t>2</w:t>
                  </w:r>
                  <w:r>
                    <w:rPr>
                      <w:rFonts w:hint="eastAsia" w:ascii="Times New Roman" w:hAnsi="Times New Roman" w:eastAsia="宋体" w:cs="Times New Roman"/>
                      <w:color w:val="auto"/>
                      <w:kern w:val="2"/>
                      <w:sz w:val="21"/>
                      <w:szCs w:val="24"/>
                      <w:highlight w:val="none"/>
                      <w:lang w:val="en-US" w:eastAsia="zh-CN" w:bidi="ar-SA"/>
                    </w:rPr>
                    <w:t>，钢构，乙级车间</w:t>
                  </w:r>
                </w:p>
              </w:tc>
              <w:tc>
                <w:tcPr>
                  <w:tcW w:w="823" w:type="pct"/>
                  <w:tcBorders>
                    <w:tl2br w:val="nil"/>
                    <w:tr2bl w:val="nil"/>
                  </w:tcBorders>
                  <w:vAlign w:val="center"/>
                </w:tcPr>
                <w:p w14:paraId="4D9F73A3">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4D25F4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55" w:type="pct"/>
                  <w:vMerge w:val="continue"/>
                  <w:tcBorders>
                    <w:tl2br w:val="nil"/>
                    <w:tr2bl w:val="nil"/>
                  </w:tcBorders>
                  <w:vAlign w:val="center"/>
                </w:tcPr>
                <w:p w14:paraId="5F8DE414">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p>
              </w:tc>
              <w:tc>
                <w:tcPr>
                  <w:tcW w:w="3521" w:type="pct"/>
                  <w:gridSpan w:val="2"/>
                  <w:tcBorders>
                    <w:tl2br w:val="nil"/>
                    <w:tr2bl w:val="nil"/>
                  </w:tcBorders>
                  <w:vAlign w:val="center"/>
                </w:tcPr>
                <w:p w14:paraId="00041986">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危化品仓库</w:t>
                  </w:r>
                  <w:r>
                    <w:rPr>
                      <w:rFonts w:hint="eastAsia" w:ascii="Times New Roman" w:hAnsi="Times New Roman" w:cs="Times New Roman"/>
                      <w:color w:val="auto"/>
                      <w:highlight w:val="none"/>
                      <w:lang w:val="en-US" w:eastAsia="zh-CN"/>
                    </w:rPr>
                    <w:t>，</w:t>
                  </w:r>
                  <w:r>
                    <w:rPr>
                      <w:rFonts w:hint="eastAsia" w:ascii="Times New Roman" w:hAnsi="Times New Roman" w:eastAsia="宋体" w:cs="Times New Roman"/>
                      <w:color w:val="auto"/>
                      <w:kern w:val="2"/>
                      <w:sz w:val="21"/>
                      <w:szCs w:val="24"/>
                      <w:highlight w:val="none"/>
                      <w:lang w:val="en-US" w:eastAsia="zh-CN" w:bidi="ar-SA"/>
                    </w:rPr>
                    <w:t>1F，建筑面积150m</w:t>
                  </w:r>
                  <w:r>
                    <w:rPr>
                      <w:rFonts w:hint="eastAsia" w:ascii="Times New Roman" w:hAnsi="Times New Roman" w:eastAsia="宋体" w:cs="Times New Roman"/>
                      <w:color w:val="auto"/>
                      <w:kern w:val="2"/>
                      <w:sz w:val="21"/>
                      <w:szCs w:val="24"/>
                      <w:highlight w:val="none"/>
                      <w:vertAlign w:val="superscript"/>
                      <w:lang w:val="en-US" w:eastAsia="zh-CN" w:bidi="ar-SA"/>
                    </w:rPr>
                    <w:t>2</w:t>
                  </w:r>
                  <w:r>
                    <w:rPr>
                      <w:rFonts w:hint="eastAsia" w:ascii="Times New Roman" w:hAnsi="Times New Roman" w:eastAsia="宋体" w:cs="Times New Roman"/>
                      <w:color w:val="auto"/>
                      <w:kern w:val="2"/>
                      <w:sz w:val="21"/>
                      <w:szCs w:val="24"/>
                      <w:highlight w:val="none"/>
                      <w:lang w:val="en-US" w:eastAsia="zh-CN" w:bidi="ar-SA"/>
                    </w:rPr>
                    <w:t>，钢构，乙级车间</w:t>
                  </w:r>
                </w:p>
              </w:tc>
              <w:tc>
                <w:tcPr>
                  <w:tcW w:w="823" w:type="pct"/>
                  <w:tcBorders>
                    <w:tl2br w:val="nil"/>
                    <w:tr2bl w:val="nil"/>
                  </w:tcBorders>
                  <w:vAlign w:val="center"/>
                </w:tcPr>
                <w:p w14:paraId="6AD78432">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r>
            <w:tr w14:paraId="6614CF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14" w:hRule="atLeast"/>
              </w:trPr>
              <w:tc>
                <w:tcPr>
                  <w:tcW w:w="655" w:type="pct"/>
                  <w:vMerge w:val="restart"/>
                  <w:tcBorders>
                    <w:tl2br w:val="nil"/>
                    <w:tr2bl w:val="nil"/>
                  </w:tcBorders>
                  <w:vAlign w:val="center"/>
                </w:tcPr>
                <w:p w14:paraId="5F2BEA82">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辅助工程</w:t>
                  </w:r>
                </w:p>
              </w:tc>
              <w:tc>
                <w:tcPr>
                  <w:tcW w:w="3521" w:type="pct"/>
                  <w:gridSpan w:val="2"/>
                  <w:tcBorders>
                    <w:tl2br w:val="nil"/>
                    <w:tr2bl w:val="nil"/>
                  </w:tcBorders>
                  <w:vAlign w:val="center"/>
                </w:tcPr>
                <w:p w14:paraId="6940BF33">
                  <w:pPr>
                    <w:pStyle w:val="7"/>
                    <w:keepNext w:val="0"/>
                    <w:keepLines w:val="0"/>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宿舍</w:t>
                  </w:r>
                  <w:r>
                    <w:rPr>
                      <w:rFonts w:hint="eastAsia" w:ascii="Times New Roman" w:hAnsi="Times New Roman" w:eastAsia="宋体" w:cs="Times New Roman"/>
                      <w:color w:val="auto"/>
                      <w:highlight w:val="none"/>
                      <w:lang w:val="en-US" w:eastAsia="zh-CN"/>
                    </w:rPr>
                    <w:t>楼，</w:t>
                  </w:r>
                  <w:r>
                    <w:rPr>
                      <w:rFonts w:hint="eastAsia" w:cs="Times New Roman"/>
                      <w:color w:val="auto"/>
                      <w:highlight w:val="none"/>
                      <w:lang w:val="en-US" w:eastAsia="zh-CN"/>
                    </w:rPr>
                    <w:t>6</w:t>
                  </w:r>
                  <w:r>
                    <w:rPr>
                      <w:rFonts w:hint="eastAsia" w:ascii="Times New Roman" w:hAnsi="Times New Roman" w:eastAsia="宋体" w:cs="Times New Roman"/>
                      <w:color w:val="auto"/>
                      <w:highlight w:val="none"/>
                      <w:lang w:val="en-US" w:eastAsia="zh-CN"/>
                    </w:rPr>
                    <w:t>F，建筑面积</w:t>
                  </w:r>
                  <w:r>
                    <w:rPr>
                      <w:rFonts w:hint="eastAsia" w:cs="Times New Roman"/>
                      <w:color w:val="auto"/>
                      <w:kern w:val="2"/>
                      <w:sz w:val="21"/>
                      <w:szCs w:val="24"/>
                      <w:highlight w:val="none"/>
                      <w:lang w:val="en-US" w:eastAsia="zh-CN" w:bidi="ar-SA"/>
                    </w:rPr>
                    <w:t>4551.2</w:t>
                  </w:r>
                  <w:r>
                    <w:rPr>
                      <w:rFonts w:hint="eastAsia" w:ascii="Times New Roman" w:hAnsi="Times New Roman" w:eastAsia="宋体" w:cs="Times New Roman"/>
                      <w:color w:val="auto"/>
                      <w:kern w:val="2"/>
                      <w:sz w:val="21"/>
                      <w:szCs w:val="24"/>
                      <w:highlight w:val="none"/>
                      <w:lang w:val="en-US" w:eastAsia="zh-CN" w:bidi="ar-SA"/>
                    </w:rPr>
                    <w:t>m</w:t>
                  </w:r>
                  <w:r>
                    <w:rPr>
                      <w:rFonts w:hint="eastAsia" w:ascii="Times New Roman" w:hAnsi="Times New Roman" w:eastAsia="宋体" w:cs="Times New Roman"/>
                      <w:color w:val="auto"/>
                      <w:kern w:val="2"/>
                      <w:sz w:val="21"/>
                      <w:szCs w:val="24"/>
                      <w:highlight w:val="none"/>
                      <w:vertAlign w:val="superscript"/>
                      <w:lang w:val="en-US" w:eastAsia="zh-CN" w:bidi="ar-SA"/>
                    </w:rPr>
                    <w:t>2</w:t>
                  </w:r>
                </w:p>
              </w:tc>
              <w:tc>
                <w:tcPr>
                  <w:tcW w:w="823" w:type="pct"/>
                  <w:tcBorders>
                    <w:tl2br w:val="nil"/>
                    <w:tr2bl w:val="nil"/>
                  </w:tcBorders>
                  <w:vAlign w:val="center"/>
                </w:tcPr>
                <w:p w14:paraId="72B019D8">
                  <w:pPr>
                    <w:pStyle w:val="7"/>
                    <w:keepNext w:val="0"/>
                    <w:keepLines w:val="0"/>
                    <w:suppressLineNumbers w:val="0"/>
                    <w:bidi w:val="0"/>
                    <w:spacing w:before="0" w:beforeAutospacing="0" w:after="0" w:afterAutospacing="0" w:line="240" w:lineRule="auto"/>
                    <w:ind w:left="0" w:right="0" w:firstLine="0" w:firstLine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r>
            <w:tr w14:paraId="24FA9B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0" w:hRule="atLeast"/>
              </w:trPr>
              <w:tc>
                <w:tcPr>
                  <w:tcW w:w="655" w:type="pct"/>
                  <w:vMerge w:val="continue"/>
                  <w:tcBorders>
                    <w:tl2br w:val="nil"/>
                    <w:tr2bl w:val="nil"/>
                  </w:tcBorders>
                  <w:vAlign w:val="center"/>
                </w:tcPr>
                <w:p w14:paraId="09A2BF2F">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p>
              </w:tc>
              <w:tc>
                <w:tcPr>
                  <w:tcW w:w="3521" w:type="pct"/>
                  <w:gridSpan w:val="2"/>
                  <w:tcBorders>
                    <w:tl2br w:val="nil"/>
                    <w:tr2bl w:val="nil"/>
                  </w:tcBorders>
                  <w:vAlign w:val="center"/>
                </w:tcPr>
                <w:p w14:paraId="080ADBA8">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门卫1，1F，</w:t>
                  </w:r>
                  <w:r>
                    <w:rPr>
                      <w:rFonts w:hint="eastAsia" w:ascii="Times New Roman" w:hAnsi="Times New Roman" w:eastAsia="宋体" w:cs="Times New Roman"/>
                      <w:color w:val="auto"/>
                      <w:kern w:val="2"/>
                      <w:sz w:val="21"/>
                      <w:szCs w:val="24"/>
                      <w:highlight w:val="none"/>
                      <w:lang w:val="en-US" w:eastAsia="zh-CN" w:bidi="ar-SA"/>
                    </w:rPr>
                    <w:t>建筑面积41m</w:t>
                  </w:r>
                  <w:r>
                    <w:rPr>
                      <w:rFonts w:hint="eastAsia" w:ascii="Times New Roman" w:hAnsi="Times New Roman" w:eastAsia="宋体" w:cs="Times New Roman"/>
                      <w:color w:val="auto"/>
                      <w:kern w:val="2"/>
                      <w:sz w:val="21"/>
                      <w:szCs w:val="24"/>
                      <w:highlight w:val="none"/>
                      <w:vertAlign w:val="superscript"/>
                      <w:lang w:val="en-US" w:eastAsia="zh-CN" w:bidi="ar-SA"/>
                    </w:rPr>
                    <w:t>2</w:t>
                  </w:r>
                </w:p>
              </w:tc>
              <w:tc>
                <w:tcPr>
                  <w:tcW w:w="823" w:type="pct"/>
                  <w:tcBorders>
                    <w:tl2br w:val="nil"/>
                    <w:tr2bl w:val="nil"/>
                  </w:tcBorders>
                  <w:vAlign w:val="center"/>
                </w:tcPr>
                <w:p w14:paraId="1062DA4E">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618ECE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0" w:hRule="atLeast"/>
              </w:trPr>
              <w:tc>
                <w:tcPr>
                  <w:tcW w:w="655" w:type="pct"/>
                  <w:vMerge w:val="continue"/>
                  <w:tcBorders>
                    <w:tl2br w:val="nil"/>
                    <w:tr2bl w:val="nil"/>
                  </w:tcBorders>
                  <w:vAlign w:val="center"/>
                </w:tcPr>
                <w:p w14:paraId="52F8849B">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p>
              </w:tc>
              <w:tc>
                <w:tcPr>
                  <w:tcW w:w="3521" w:type="pct"/>
                  <w:gridSpan w:val="2"/>
                  <w:tcBorders>
                    <w:tl2br w:val="nil"/>
                    <w:tr2bl w:val="nil"/>
                  </w:tcBorders>
                  <w:vAlign w:val="center"/>
                </w:tcPr>
                <w:p w14:paraId="5D8E7EA5">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门卫2</w:t>
                  </w:r>
                  <w:r>
                    <w:rPr>
                      <w:rFonts w:hint="eastAsia" w:ascii="Times New Roman" w:hAnsi="Times New Roman" w:eastAsia="宋体" w:cs="Times New Roman"/>
                      <w:color w:val="auto"/>
                      <w:highlight w:val="none"/>
                      <w:lang w:val="en-US" w:eastAsia="zh-CN"/>
                    </w:rPr>
                    <w:t>，1F，</w:t>
                  </w:r>
                  <w:r>
                    <w:rPr>
                      <w:rFonts w:hint="eastAsia" w:ascii="Times New Roman" w:hAnsi="Times New Roman" w:eastAsia="宋体" w:cs="Times New Roman"/>
                      <w:color w:val="auto"/>
                      <w:kern w:val="2"/>
                      <w:sz w:val="21"/>
                      <w:szCs w:val="24"/>
                      <w:highlight w:val="none"/>
                      <w:lang w:val="en-US" w:eastAsia="zh-CN" w:bidi="ar-SA"/>
                    </w:rPr>
                    <w:t>建筑面积41m</w:t>
                  </w:r>
                  <w:r>
                    <w:rPr>
                      <w:rFonts w:hint="eastAsia" w:ascii="Times New Roman" w:hAnsi="Times New Roman" w:eastAsia="宋体" w:cs="Times New Roman"/>
                      <w:color w:val="auto"/>
                      <w:kern w:val="2"/>
                      <w:sz w:val="21"/>
                      <w:szCs w:val="24"/>
                      <w:highlight w:val="none"/>
                      <w:vertAlign w:val="superscript"/>
                      <w:lang w:val="en-US" w:eastAsia="zh-CN" w:bidi="ar-SA"/>
                    </w:rPr>
                    <w:t>2</w:t>
                  </w:r>
                </w:p>
              </w:tc>
              <w:tc>
                <w:tcPr>
                  <w:tcW w:w="823" w:type="pct"/>
                  <w:tcBorders>
                    <w:tl2br w:val="nil"/>
                    <w:tr2bl w:val="nil"/>
                  </w:tcBorders>
                  <w:vAlign w:val="center"/>
                </w:tcPr>
                <w:p w14:paraId="696B4E47">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w:t>
                  </w:r>
                </w:p>
              </w:tc>
            </w:tr>
            <w:tr w14:paraId="10E38F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0" w:hRule="atLeast"/>
              </w:trPr>
              <w:tc>
                <w:tcPr>
                  <w:tcW w:w="655" w:type="pct"/>
                  <w:vMerge w:val="continue"/>
                  <w:tcBorders>
                    <w:tl2br w:val="nil"/>
                    <w:tr2bl w:val="nil"/>
                  </w:tcBorders>
                  <w:vAlign w:val="center"/>
                </w:tcPr>
                <w:p w14:paraId="6E8D8B0E">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p>
              </w:tc>
              <w:tc>
                <w:tcPr>
                  <w:tcW w:w="3521" w:type="pct"/>
                  <w:gridSpan w:val="2"/>
                  <w:tcBorders>
                    <w:tl2br w:val="nil"/>
                    <w:tr2bl w:val="nil"/>
                  </w:tcBorders>
                  <w:vAlign w:val="center"/>
                </w:tcPr>
                <w:p w14:paraId="658C4B92">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配电房</w:t>
                  </w:r>
                  <w:r>
                    <w:rPr>
                      <w:rFonts w:hint="eastAsia" w:ascii="Times New Roman" w:hAnsi="Times New Roman" w:eastAsia="宋体" w:cs="Times New Roman"/>
                      <w:color w:val="auto"/>
                      <w:highlight w:val="none"/>
                      <w:lang w:val="en-US" w:eastAsia="zh-CN"/>
                    </w:rPr>
                    <w:t>，1F，</w:t>
                  </w:r>
                  <w:r>
                    <w:rPr>
                      <w:rFonts w:hint="eastAsia" w:ascii="Times New Roman" w:hAnsi="Times New Roman" w:eastAsia="宋体" w:cs="Times New Roman"/>
                      <w:color w:val="auto"/>
                      <w:kern w:val="2"/>
                      <w:sz w:val="21"/>
                      <w:szCs w:val="24"/>
                      <w:highlight w:val="none"/>
                      <w:lang w:val="en-US" w:eastAsia="zh-CN" w:bidi="ar-SA"/>
                    </w:rPr>
                    <w:t>建筑面积120m</w:t>
                  </w:r>
                  <w:r>
                    <w:rPr>
                      <w:rFonts w:hint="eastAsia" w:ascii="Times New Roman" w:hAnsi="Times New Roman" w:eastAsia="宋体" w:cs="Times New Roman"/>
                      <w:color w:val="auto"/>
                      <w:kern w:val="2"/>
                      <w:sz w:val="21"/>
                      <w:szCs w:val="24"/>
                      <w:highlight w:val="none"/>
                      <w:vertAlign w:val="superscript"/>
                      <w:lang w:val="en-US" w:eastAsia="zh-CN" w:bidi="ar-SA"/>
                    </w:rPr>
                    <w:t>2</w:t>
                  </w:r>
                </w:p>
              </w:tc>
              <w:tc>
                <w:tcPr>
                  <w:tcW w:w="823" w:type="pct"/>
                  <w:tcBorders>
                    <w:tl2br w:val="nil"/>
                    <w:tr2bl w:val="nil"/>
                  </w:tcBorders>
                  <w:vAlign w:val="center"/>
                </w:tcPr>
                <w:p w14:paraId="5910FB96">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6292FC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0" w:hRule="atLeast"/>
              </w:trPr>
              <w:tc>
                <w:tcPr>
                  <w:tcW w:w="655" w:type="pct"/>
                  <w:vMerge w:val="restart"/>
                  <w:tcBorders>
                    <w:tl2br w:val="nil"/>
                    <w:tr2bl w:val="nil"/>
                  </w:tcBorders>
                  <w:vAlign w:val="center"/>
                </w:tcPr>
                <w:p w14:paraId="4728F516">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环保工程</w:t>
                  </w:r>
                </w:p>
              </w:tc>
              <w:tc>
                <w:tcPr>
                  <w:tcW w:w="673" w:type="pct"/>
                  <w:vMerge w:val="restart"/>
                  <w:tcBorders>
                    <w:tl2br w:val="nil"/>
                    <w:tr2bl w:val="nil"/>
                  </w:tcBorders>
                  <w:vAlign w:val="center"/>
                </w:tcPr>
                <w:p w14:paraId="7F2FF451">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废气</w:t>
                  </w:r>
                </w:p>
              </w:tc>
              <w:tc>
                <w:tcPr>
                  <w:tcW w:w="2847" w:type="pct"/>
                  <w:tcBorders>
                    <w:tl2br w:val="nil"/>
                    <w:tr2bl w:val="nil"/>
                  </w:tcBorders>
                  <w:vAlign w:val="center"/>
                </w:tcPr>
                <w:p w14:paraId="5C0F9174">
                  <w:pPr>
                    <w:pStyle w:val="6"/>
                    <w:keepNext w:val="0"/>
                    <w:keepLines w:val="0"/>
                    <w:suppressLineNumbers w:val="0"/>
                    <w:bidi w:val="0"/>
                    <w:spacing w:before="0" w:beforeAutospacing="0" w:after="0" w:afterAutospacing="0"/>
                    <w:ind w:left="0" w:leftChars="0" w:right="0" w:rightChars="0" w:firstLine="0" w:firstLineChars="0"/>
                    <w:jc w:val="both"/>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投料废气：集气装置+布袋除尘器+活性炭吸附+1#排气筒（15m）</w:t>
                  </w:r>
                </w:p>
              </w:tc>
              <w:tc>
                <w:tcPr>
                  <w:tcW w:w="823" w:type="pct"/>
                  <w:tcBorders>
                    <w:tl2br w:val="nil"/>
                    <w:tr2bl w:val="nil"/>
                  </w:tcBorders>
                  <w:vAlign w:val="center"/>
                </w:tcPr>
                <w:p w14:paraId="07302993">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05C553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0" w:hRule="atLeast"/>
              </w:trPr>
              <w:tc>
                <w:tcPr>
                  <w:tcW w:w="655" w:type="pct"/>
                  <w:vMerge w:val="continue"/>
                  <w:tcBorders>
                    <w:tl2br w:val="nil"/>
                    <w:tr2bl w:val="nil"/>
                  </w:tcBorders>
                  <w:vAlign w:val="center"/>
                </w:tcPr>
                <w:p w14:paraId="5F028999">
                  <w:pPr>
                    <w:pStyle w:val="6"/>
                    <w:keepNext w:val="0"/>
                    <w:keepLines w:val="0"/>
                    <w:suppressLineNumbers w:val="0"/>
                    <w:bidi w:val="0"/>
                    <w:spacing w:before="0" w:beforeAutospacing="0" w:after="0" w:afterAutospacing="0"/>
                    <w:ind w:right="0"/>
                    <w:rPr>
                      <w:rFonts w:hint="eastAsia" w:ascii="Times New Roman" w:hAnsi="Times New Roman" w:cs="Times New Roman"/>
                      <w:color w:val="auto"/>
                      <w:highlight w:val="none"/>
                      <w:lang w:val="en-US" w:eastAsia="zh-CN"/>
                    </w:rPr>
                  </w:pPr>
                </w:p>
              </w:tc>
              <w:tc>
                <w:tcPr>
                  <w:tcW w:w="673" w:type="pct"/>
                  <w:vMerge w:val="continue"/>
                  <w:tcBorders>
                    <w:tl2br w:val="nil"/>
                    <w:tr2bl w:val="nil"/>
                  </w:tcBorders>
                  <w:vAlign w:val="center"/>
                </w:tcPr>
                <w:p w14:paraId="14AE20BF">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highlight w:val="none"/>
                      <w:vertAlign w:val="baseline"/>
                      <w:lang w:val="en-US" w:eastAsia="zh-CN"/>
                    </w:rPr>
                  </w:pPr>
                </w:p>
              </w:tc>
              <w:tc>
                <w:tcPr>
                  <w:tcW w:w="2847" w:type="pct"/>
                  <w:tcBorders>
                    <w:tl2br w:val="nil"/>
                    <w:tr2bl w:val="nil"/>
                  </w:tcBorders>
                  <w:vAlign w:val="center"/>
                </w:tcPr>
                <w:p w14:paraId="5267D308">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炼胶废气：活性炭吸附+布袋除尘器+2#排气筒（15m）</w:t>
                  </w:r>
                </w:p>
              </w:tc>
              <w:tc>
                <w:tcPr>
                  <w:tcW w:w="823" w:type="pct"/>
                  <w:tcBorders>
                    <w:tl2br w:val="nil"/>
                    <w:tr2bl w:val="nil"/>
                  </w:tcBorders>
                  <w:vAlign w:val="center"/>
                </w:tcPr>
                <w:p w14:paraId="1500AB06">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2B964F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0" w:hRule="atLeast"/>
              </w:trPr>
              <w:tc>
                <w:tcPr>
                  <w:tcW w:w="655" w:type="pct"/>
                  <w:vMerge w:val="continue"/>
                  <w:tcBorders>
                    <w:tl2br w:val="nil"/>
                    <w:tr2bl w:val="nil"/>
                  </w:tcBorders>
                  <w:vAlign w:val="center"/>
                </w:tcPr>
                <w:p w14:paraId="405BC39E">
                  <w:pPr>
                    <w:pStyle w:val="6"/>
                    <w:keepNext w:val="0"/>
                    <w:keepLines w:val="0"/>
                    <w:suppressLineNumbers w:val="0"/>
                    <w:bidi w:val="0"/>
                    <w:spacing w:before="0" w:beforeAutospacing="0" w:after="0" w:afterAutospacing="0"/>
                    <w:ind w:right="0"/>
                    <w:rPr>
                      <w:rFonts w:hint="eastAsia" w:ascii="Times New Roman" w:hAnsi="Times New Roman" w:cs="Times New Roman"/>
                      <w:color w:val="auto"/>
                      <w:highlight w:val="none"/>
                      <w:lang w:val="en-US" w:eastAsia="zh-CN"/>
                    </w:rPr>
                  </w:pPr>
                </w:p>
              </w:tc>
              <w:tc>
                <w:tcPr>
                  <w:tcW w:w="673" w:type="pct"/>
                  <w:vMerge w:val="continue"/>
                  <w:tcBorders>
                    <w:tl2br w:val="nil"/>
                    <w:tr2bl w:val="nil"/>
                  </w:tcBorders>
                  <w:vAlign w:val="center"/>
                </w:tcPr>
                <w:p w14:paraId="33182DC3">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highlight w:val="none"/>
                      <w:vertAlign w:val="baseline"/>
                      <w:lang w:val="en-US" w:eastAsia="zh-CN"/>
                    </w:rPr>
                  </w:pPr>
                </w:p>
              </w:tc>
              <w:tc>
                <w:tcPr>
                  <w:tcW w:w="2847" w:type="pct"/>
                  <w:tcBorders>
                    <w:tl2br w:val="nil"/>
                    <w:tr2bl w:val="nil"/>
                  </w:tcBorders>
                  <w:vAlign w:val="center"/>
                </w:tcPr>
                <w:p w14:paraId="2F844DD7">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炼胶废气：活性炭吸附+布袋除尘器+3#排气筒（15m）</w:t>
                  </w:r>
                </w:p>
              </w:tc>
              <w:tc>
                <w:tcPr>
                  <w:tcW w:w="823" w:type="pct"/>
                  <w:tcBorders>
                    <w:tl2br w:val="nil"/>
                    <w:tr2bl w:val="nil"/>
                  </w:tcBorders>
                  <w:vAlign w:val="center"/>
                </w:tcPr>
                <w:p w14:paraId="3D7E6F46">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1D7FD5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0" w:hRule="atLeast"/>
              </w:trPr>
              <w:tc>
                <w:tcPr>
                  <w:tcW w:w="655" w:type="pct"/>
                  <w:vMerge w:val="continue"/>
                  <w:tcBorders>
                    <w:tl2br w:val="nil"/>
                    <w:tr2bl w:val="nil"/>
                  </w:tcBorders>
                  <w:vAlign w:val="center"/>
                </w:tcPr>
                <w:p w14:paraId="33934C10">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p>
              </w:tc>
              <w:tc>
                <w:tcPr>
                  <w:tcW w:w="673" w:type="pct"/>
                  <w:vMerge w:val="continue"/>
                  <w:tcBorders>
                    <w:tl2br w:val="nil"/>
                    <w:tr2bl w:val="nil"/>
                  </w:tcBorders>
                  <w:vAlign w:val="center"/>
                </w:tcPr>
                <w:p w14:paraId="4B6135A5">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highlight w:val="none"/>
                      <w:vertAlign w:val="baseline"/>
                      <w:lang w:val="en-US" w:eastAsia="zh-CN"/>
                    </w:rPr>
                  </w:pPr>
                </w:p>
              </w:tc>
              <w:tc>
                <w:tcPr>
                  <w:tcW w:w="2847" w:type="pct"/>
                  <w:tcBorders>
                    <w:tl2br w:val="nil"/>
                    <w:tr2bl w:val="nil"/>
                  </w:tcBorders>
                  <w:vAlign w:val="center"/>
                </w:tcPr>
                <w:p w14:paraId="1024ACF1">
                  <w:pPr>
                    <w:pStyle w:val="6"/>
                    <w:keepNext w:val="0"/>
                    <w:keepLines w:val="0"/>
                    <w:suppressLineNumbers w:val="0"/>
                    <w:bidi w:val="0"/>
                    <w:spacing w:before="0" w:beforeAutospacing="0" w:after="0" w:afterAutospacing="0"/>
                    <w:ind w:left="0" w:leftChars="0" w:right="0" w:rightChars="0" w:firstLine="0" w:firstLineChars="0"/>
                    <w:jc w:val="both"/>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硫化废气：喷淋+水汽分离+电捕焦油+活性炭吸附设施+4#排气筒（15m）</w:t>
                  </w:r>
                </w:p>
              </w:tc>
              <w:tc>
                <w:tcPr>
                  <w:tcW w:w="823" w:type="pct"/>
                  <w:tcBorders>
                    <w:tl2br w:val="nil"/>
                    <w:tr2bl w:val="nil"/>
                  </w:tcBorders>
                  <w:vAlign w:val="center"/>
                </w:tcPr>
                <w:p w14:paraId="42F7AA86">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210989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0" w:hRule="atLeast"/>
              </w:trPr>
              <w:tc>
                <w:tcPr>
                  <w:tcW w:w="655" w:type="pct"/>
                  <w:vMerge w:val="continue"/>
                  <w:tcBorders>
                    <w:tl2br w:val="nil"/>
                    <w:tr2bl w:val="nil"/>
                  </w:tcBorders>
                  <w:vAlign w:val="center"/>
                </w:tcPr>
                <w:p w14:paraId="2090D6C4">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p>
              </w:tc>
              <w:tc>
                <w:tcPr>
                  <w:tcW w:w="673" w:type="pct"/>
                  <w:tcBorders>
                    <w:tl2br w:val="nil"/>
                    <w:tr2bl w:val="nil"/>
                  </w:tcBorders>
                  <w:vAlign w:val="center"/>
                </w:tcPr>
                <w:p w14:paraId="43F8C968">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废水</w:t>
                  </w:r>
                </w:p>
              </w:tc>
              <w:tc>
                <w:tcPr>
                  <w:tcW w:w="2847" w:type="pct"/>
                  <w:tcBorders>
                    <w:tl2br w:val="nil"/>
                    <w:tr2bl w:val="nil"/>
                  </w:tcBorders>
                  <w:vAlign w:val="center"/>
                </w:tcPr>
                <w:p w14:paraId="44C882A0">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隔油池+化粪池</w:t>
                  </w:r>
                </w:p>
              </w:tc>
              <w:tc>
                <w:tcPr>
                  <w:tcW w:w="823" w:type="pct"/>
                  <w:tcBorders>
                    <w:tl2br w:val="nil"/>
                    <w:tr2bl w:val="nil"/>
                  </w:tcBorders>
                  <w:vAlign w:val="center"/>
                </w:tcPr>
                <w:p w14:paraId="0EDC0CA0">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195A26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0" w:hRule="atLeast"/>
              </w:trPr>
              <w:tc>
                <w:tcPr>
                  <w:tcW w:w="655" w:type="pct"/>
                  <w:vMerge w:val="continue"/>
                  <w:tcBorders>
                    <w:tl2br w:val="nil"/>
                    <w:tr2bl w:val="nil"/>
                  </w:tcBorders>
                  <w:vAlign w:val="center"/>
                </w:tcPr>
                <w:p w14:paraId="67985F31">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p>
              </w:tc>
              <w:tc>
                <w:tcPr>
                  <w:tcW w:w="673" w:type="pct"/>
                  <w:tcBorders>
                    <w:tl2br w:val="nil"/>
                    <w:tr2bl w:val="nil"/>
                  </w:tcBorders>
                  <w:vAlign w:val="center"/>
                </w:tcPr>
                <w:p w14:paraId="3AD1A436">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事故池</w:t>
                  </w:r>
                </w:p>
              </w:tc>
              <w:tc>
                <w:tcPr>
                  <w:tcW w:w="2847" w:type="pct"/>
                  <w:tcBorders>
                    <w:tl2br w:val="nil"/>
                    <w:tr2bl w:val="nil"/>
                  </w:tcBorders>
                  <w:vAlign w:val="center"/>
                </w:tcPr>
                <w:p w14:paraId="701E6E49">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600</w:t>
                  </w:r>
                  <w:r>
                    <w:rPr>
                      <w:rFonts w:hint="eastAsia" w:ascii="Times New Roman" w:hAnsi="Times New Roman" w:eastAsia="宋体" w:cs="Times New Roman"/>
                      <w:color w:val="auto"/>
                      <w:kern w:val="2"/>
                      <w:sz w:val="21"/>
                      <w:szCs w:val="24"/>
                      <w:highlight w:val="none"/>
                      <w:lang w:val="en-US" w:eastAsia="zh-CN" w:bidi="ar-SA"/>
                    </w:rPr>
                    <w:t>m</w:t>
                  </w:r>
                  <w:r>
                    <w:rPr>
                      <w:rFonts w:hint="eastAsia" w:ascii="Times New Roman" w:hAnsi="Times New Roman" w:eastAsia="宋体" w:cs="Times New Roman"/>
                      <w:color w:val="auto"/>
                      <w:kern w:val="2"/>
                      <w:sz w:val="21"/>
                      <w:szCs w:val="24"/>
                      <w:highlight w:val="none"/>
                      <w:vertAlign w:val="superscript"/>
                      <w:lang w:val="en-US" w:eastAsia="zh-CN" w:bidi="ar-SA"/>
                    </w:rPr>
                    <w:t>3</w:t>
                  </w:r>
                </w:p>
              </w:tc>
              <w:tc>
                <w:tcPr>
                  <w:tcW w:w="823" w:type="pct"/>
                  <w:tcBorders>
                    <w:tl2br w:val="nil"/>
                    <w:tr2bl w:val="nil"/>
                  </w:tcBorders>
                  <w:vAlign w:val="center"/>
                </w:tcPr>
                <w:p w14:paraId="4D2CC2CF">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18026F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0" w:hRule="atLeast"/>
              </w:trPr>
              <w:tc>
                <w:tcPr>
                  <w:tcW w:w="655" w:type="pct"/>
                  <w:vMerge w:val="continue"/>
                  <w:tcBorders>
                    <w:tl2br w:val="nil"/>
                    <w:tr2bl w:val="nil"/>
                  </w:tcBorders>
                  <w:vAlign w:val="center"/>
                </w:tcPr>
                <w:p w14:paraId="73ACC674">
                  <w:pPr>
                    <w:pStyle w:val="6"/>
                    <w:keepNext w:val="0"/>
                    <w:keepLines w:val="0"/>
                    <w:suppressLineNumbers w:val="0"/>
                    <w:bidi w:val="0"/>
                    <w:spacing w:before="0" w:beforeAutospacing="0" w:after="0" w:afterAutospacing="0"/>
                    <w:ind w:right="0"/>
                    <w:rPr>
                      <w:rFonts w:hint="default" w:ascii="Times New Roman" w:hAnsi="Times New Roman" w:cs="Times New Roman"/>
                      <w:color w:val="auto"/>
                      <w:highlight w:val="none"/>
                    </w:rPr>
                  </w:pPr>
                </w:p>
              </w:tc>
              <w:tc>
                <w:tcPr>
                  <w:tcW w:w="673" w:type="pct"/>
                  <w:tcBorders>
                    <w:tl2br w:val="nil"/>
                    <w:tr2bl w:val="nil"/>
                  </w:tcBorders>
                  <w:vAlign w:val="center"/>
                </w:tcPr>
                <w:p w14:paraId="0ABA877C">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lang w:val="en-US" w:eastAsia="zh-CN"/>
                    </w:rPr>
                    <w:t>危废暂存间</w:t>
                  </w:r>
                </w:p>
              </w:tc>
              <w:tc>
                <w:tcPr>
                  <w:tcW w:w="2847" w:type="pct"/>
                  <w:tcBorders>
                    <w:tl2br w:val="nil"/>
                    <w:tr2bl w:val="nil"/>
                  </w:tcBorders>
                  <w:vAlign w:val="center"/>
                </w:tcPr>
                <w:p w14:paraId="705D3CBB">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highlight w:val="none"/>
                      <w:vertAlign w:val="baseline"/>
                      <w:lang w:val="en-US" w:eastAsia="zh-CN"/>
                    </w:rPr>
                  </w:pPr>
                  <w:r>
                    <w:rPr>
                      <w:rFonts w:hint="eastAsia" w:ascii="Times New Roman" w:hAnsi="Times New Roman" w:eastAsia="宋体" w:cs="Times New Roman"/>
                      <w:color w:val="auto"/>
                      <w:kern w:val="2"/>
                      <w:sz w:val="21"/>
                      <w:szCs w:val="24"/>
                      <w:highlight w:val="none"/>
                      <w:lang w:val="en-US" w:eastAsia="zh-CN" w:bidi="ar-SA"/>
                    </w:rPr>
                    <w:t>1F，建筑面积50m</w:t>
                  </w:r>
                  <w:r>
                    <w:rPr>
                      <w:rFonts w:hint="eastAsia" w:ascii="Times New Roman" w:hAnsi="Times New Roman" w:eastAsia="宋体" w:cs="Times New Roman"/>
                      <w:color w:val="auto"/>
                      <w:kern w:val="2"/>
                      <w:sz w:val="21"/>
                      <w:szCs w:val="24"/>
                      <w:highlight w:val="none"/>
                      <w:vertAlign w:val="superscript"/>
                      <w:lang w:val="en-US" w:eastAsia="zh-CN" w:bidi="ar-SA"/>
                    </w:rPr>
                    <w:t>2</w:t>
                  </w:r>
                </w:p>
              </w:tc>
              <w:tc>
                <w:tcPr>
                  <w:tcW w:w="823" w:type="pct"/>
                  <w:tcBorders>
                    <w:tl2br w:val="nil"/>
                    <w:tr2bl w:val="nil"/>
                  </w:tcBorders>
                  <w:vAlign w:val="center"/>
                </w:tcPr>
                <w:p w14:paraId="75C4F29B">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bl>
          <w:p w14:paraId="7E2B7C8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（2）现有项目产品方案</w:t>
            </w:r>
          </w:p>
          <w:p w14:paraId="1B3E7C39">
            <w:pPr>
              <w:keepNext w:val="0"/>
              <w:keepLines w:val="0"/>
              <w:suppressLineNumbers w:val="0"/>
              <w:bidi w:val="0"/>
              <w:spacing w:before="0" w:beforeAutospacing="0" w:after="0" w:afterAutospacing="0"/>
              <w:ind w:left="0" w:right="0"/>
              <w:rPr>
                <w:rFonts w:hint="default" w:ascii="Times New Roman" w:hAnsi="Times New Roman" w:cs="Times New Roman"/>
                <w:color w:val="auto"/>
                <w:highlight w:val="none"/>
              </w:rPr>
            </w:pPr>
            <w:r>
              <w:rPr>
                <w:rFonts w:hint="eastAsia" w:ascii="Times New Roman" w:hAnsi="Times New Roman" w:cs="Times New Roman"/>
                <w:color w:val="auto"/>
                <w:highlight w:val="none"/>
                <w:lang w:val="en-US" w:eastAsia="zh-CN"/>
              </w:rPr>
              <w:t>现有</w:t>
            </w:r>
            <w:r>
              <w:rPr>
                <w:rFonts w:hint="default" w:ascii="Times New Roman" w:hAnsi="Times New Roman" w:cs="Times New Roman"/>
                <w:color w:val="auto"/>
                <w:highlight w:val="none"/>
              </w:rPr>
              <w:t>项目</w:t>
            </w:r>
            <w:r>
              <w:rPr>
                <w:rFonts w:hint="default" w:ascii="Times New Roman" w:hAnsi="Times New Roman" w:cs="Times New Roman"/>
                <w:color w:val="auto"/>
                <w:highlight w:val="none"/>
                <w:lang w:val="en-US" w:eastAsia="zh-CN"/>
              </w:rPr>
              <w:t>产品方案见</w:t>
            </w:r>
            <w:r>
              <w:rPr>
                <w:rFonts w:hint="default" w:ascii="Times New Roman" w:hAnsi="Times New Roman" w:cs="Times New Roman"/>
                <w:color w:val="auto"/>
                <w:highlight w:val="none"/>
              </w:rPr>
              <w:t>表2-</w:t>
            </w:r>
            <w:r>
              <w:rPr>
                <w:rFonts w:hint="eastAsia" w:cs="Times New Roman"/>
                <w:color w:val="auto"/>
                <w:highlight w:val="none"/>
                <w:lang w:val="en-US" w:eastAsia="zh-CN"/>
              </w:rPr>
              <w:t>13</w:t>
            </w:r>
            <w:r>
              <w:rPr>
                <w:rFonts w:hint="default" w:ascii="Times New Roman" w:hAnsi="Times New Roman" w:cs="Times New Roman"/>
                <w:color w:val="auto"/>
                <w:highlight w:val="none"/>
              </w:rPr>
              <w:t>。</w:t>
            </w:r>
          </w:p>
          <w:p w14:paraId="262BF1DB">
            <w:pPr>
              <w:pStyle w:val="6"/>
              <w:keepNext w:val="0"/>
              <w:keepLines w:val="0"/>
              <w:suppressLineNumbers w:val="0"/>
              <w:bidi w:val="0"/>
              <w:spacing w:before="0" w:beforeAutospacing="0" w:after="0" w:afterAutospacing="0"/>
              <w:ind w:right="0"/>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rPr>
              <w:t>表</w:t>
            </w:r>
            <w:r>
              <w:rPr>
                <w:rFonts w:hint="default" w:ascii="Times New Roman" w:hAnsi="Times New Roman" w:cs="Times New Roman"/>
                <w:b/>
                <w:bCs/>
                <w:color w:val="auto"/>
                <w:highlight w:val="none"/>
                <w:lang w:val="en-US" w:eastAsia="zh-CN"/>
              </w:rPr>
              <w:t>2-</w:t>
            </w:r>
            <w:r>
              <w:rPr>
                <w:rFonts w:hint="eastAsia" w:cs="Times New Roman"/>
                <w:b/>
                <w:bCs/>
                <w:color w:val="auto"/>
                <w:highlight w:val="none"/>
                <w:lang w:val="en-US" w:eastAsia="zh-CN"/>
              </w:rPr>
              <w:t>13</w:t>
            </w:r>
            <w:r>
              <w:rPr>
                <w:rFonts w:hint="default" w:ascii="Times New Roman" w:hAnsi="Times New Roman" w:cs="Times New Roman"/>
                <w:b/>
                <w:bCs/>
                <w:color w:val="auto"/>
                <w:highlight w:val="none"/>
                <w:lang w:val="en-US" w:eastAsia="zh-CN"/>
              </w:rPr>
              <w:t xml:space="preserve">   </w:t>
            </w:r>
            <w:r>
              <w:rPr>
                <w:rFonts w:hint="eastAsia" w:ascii="Times New Roman" w:hAnsi="Times New Roman" w:cs="Times New Roman"/>
                <w:b/>
                <w:bCs/>
                <w:color w:val="auto"/>
                <w:highlight w:val="none"/>
                <w:lang w:val="en-US" w:eastAsia="zh-CN"/>
              </w:rPr>
              <w:t>现有项目</w:t>
            </w:r>
            <w:r>
              <w:rPr>
                <w:rFonts w:hint="default" w:ascii="Times New Roman" w:hAnsi="Times New Roman" w:cs="Times New Roman"/>
                <w:b/>
                <w:bCs/>
                <w:color w:val="auto"/>
                <w:highlight w:val="none"/>
                <w:lang w:val="en-US" w:eastAsia="zh-CN"/>
              </w:rPr>
              <w:t>产品方案</w:t>
            </w:r>
            <w:r>
              <w:rPr>
                <w:rFonts w:hint="default" w:ascii="Times New Roman" w:hAnsi="Times New Roman" w:cs="Times New Roman"/>
                <w:b/>
                <w:bCs/>
                <w:color w:val="auto"/>
                <w:highlight w:val="none"/>
              </w:rPr>
              <w:t>一览表</w:t>
            </w:r>
          </w:p>
          <w:tbl>
            <w:tblPr>
              <w:tblStyle w:val="33"/>
              <w:tblW w:w="4998" w:type="pct"/>
              <w:jc w:val="center"/>
              <w:tblBorders>
                <w:top w:val="single" w:color="auto" w:sz="12" w:space="0"/>
                <w:left w:val="none" w:color="auto" w:sz="0" w:space="0"/>
                <w:bottom w:val="single" w:color="000000"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1411"/>
              <w:gridCol w:w="2214"/>
              <w:gridCol w:w="1587"/>
              <w:gridCol w:w="2397"/>
            </w:tblGrid>
            <w:tr w14:paraId="1E91FD05">
              <w:tblPrEx>
                <w:tblBorders>
                  <w:top w:val="single" w:color="auto"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63" w:type="pct"/>
                  <w:tcBorders>
                    <w:bottom w:val="single" w:color="auto" w:sz="12" w:space="0"/>
                  </w:tcBorders>
                  <w:vAlign w:val="center"/>
                </w:tcPr>
                <w:p w14:paraId="008C3AB1">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序号</w:t>
                  </w:r>
                </w:p>
              </w:tc>
              <w:tc>
                <w:tcPr>
                  <w:tcW w:w="2161" w:type="pct"/>
                  <w:gridSpan w:val="2"/>
                  <w:tcBorders>
                    <w:bottom w:val="single" w:color="auto" w:sz="12" w:space="0"/>
                  </w:tcBorders>
                  <w:vAlign w:val="center"/>
                </w:tcPr>
                <w:p w14:paraId="75283FD3">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eastAsia="zh-CN"/>
                    </w:rPr>
                    <w:t>产品</w:t>
                  </w:r>
                  <w:r>
                    <w:rPr>
                      <w:rFonts w:hint="default" w:ascii="Times New Roman" w:hAnsi="Times New Roman" w:cs="Times New Roman"/>
                      <w:b/>
                      <w:bCs/>
                      <w:color w:val="auto"/>
                      <w:highlight w:val="none"/>
                      <w:lang w:val="en-US" w:eastAsia="zh-CN"/>
                    </w:rPr>
                    <w:t>名称</w:t>
                  </w:r>
                </w:p>
              </w:tc>
              <w:tc>
                <w:tcPr>
                  <w:tcW w:w="946" w:type="pct"/>
                  <w:tcBorders>
                    <w:bottom w:val="single" w:color="auto" w:sz="12" w:space="0"/>
                  </w:tcBorders>
                  <w:vAlign w:val="center"/>
                </w:tcPr>
                <w:p w14:paraId="15596B21">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highlight w:val="none"/>
                      <w:lang w:val="en-US" w:eastAsia="zh-CN"/>
                    </w:rPr>
                  </w:pPr>
                  <w:r>
                    <w:rPr>
                      <w:rFonts w:hint="eastAsia" w:ascii="Times New Roman" w:hAnsi="Times New Roman" w:cs="Times New Roman"/>
                      <w:b/>
                      <w:bCs/>
                      <w:color w:val="auto"/>
                      <w:highlight w:val="none"/>
                      <w:lang w:val="en-US" w:eastAsia="zh-CN"/>
                    </w:rPr>
                    <w:t>产能</w:t>
                  </w:r>
                </w:p>
              </w:tc>
              <w:tc>
                <w:tcPr>
                  <w:tcW w:w="1429" w:type="pct"/>
                  <w:tcBorders>
                    <w:bottom w:val="single" w:color="auto" w:sz="12" w:space="0"/>
                  </w:tcBorders>
                  <w:vAlign w:val="center"/>
                </w:tcPr>
                <w:p w14:paraId="2731426A">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highlight w:val="none"/>
                      <w:lang w:val="en-US" w:eastAsia="zh-CN"/>
                    </w:rPr>
                  </w:pPr>
                  <w:r>
                    <w:rPr>
                      <w:rFonts w:hint="eastAsia" w:ascii="Times New Roman" w:hAnsi="Times New Roman" w:cs="Times New Roman"/>
                      <w:b/>
                      <w:bCs/>
                      <w:color w:val="auto"/>
                      <w:highlight w:val="none"/>
                      <w:lang w:val="en-US" w:eastAsia="zh-CN"/>
                    </w:rPr>
                    <w:t>备注</w:t>
                  </w:r>
                </w:p>
              </w:tc>
            </w:tr>
            <w:tr w14:paraId="7DB9B08D">
              <w:tblPrEx>
                <w:tblBorders>
                  <w:top w:val="single" w:color="auto"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63" w:type="pct"/>
                  <w:tcBorders>
                    <w:top w:val="single" w:color="auto" w:sz="12" w:space="0"/>
                    <w:bottom w:val="single" w:color="auto" w:sz="4" w:space="0"/>
                  </w:tcBorders>
                  <w:vAlign w:val="center"/>
                </w:tcPr>
                <w:p w14:paraId="176C2822">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w:t>
                  </w:r>
                </w:p>
              </w:tc>
              <w:tc>
                <w:tcPr>
                  <w:tcW w:w="841" w:type="pct"/>
                  <w:vMerge w:val="restart"/>
                  <w:tcBorders>
                    <w:top w:val="single" w:color="auto" w:sz="12" w:space="0"/>
                  </w:tcBorders>
                  <w:vAlign w:val="center"/>
                </w:tcPr>
                <w:p w14:paraId="26C8BBA1">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硅酮密封条</w:t>
                  </w:r>
                </w:p>
              </w:tc>
              <w:tc>
                <w:tcPr>
                  <w:tcW w:w="1319" w:type="pct"/>
                  <w:tcBorders>
                    <w:top w:val="single" w:color="auto" w:sz="12" w:space="0"/>
                    <w:bottom w:val="single" w:color="auto" w:sz="4" w:space="0"/>
                  </w:tcBorders>
                  <w:vAlign w:val="center"/>
                </w:tcPr>
                <w:p w14:paraId="0D19DF6D">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硅酮结构密封胶</w:t>
                  </w:r>
                </w:p>
              </w:tc>
              <w:tc>
                <w:tcPr>
                  <w:tcW w:w="946" w:type="pct"/>
                  <w:tcBorders>
                    <w:top w:val="single" w:color="auto" w:sz="12" w:space="0"/>
                    <w:bottom w:val="single" w:color="auto" w:sz="4" w:space="0"/>
                  </w:tcBorders>
                  <w:vAlign w:val="center"/>
                </w:tcPr>
                <w:p w14:paraId="5CFB52FF">
                  <w:pPr>
                    <w:pStyle w:val="6"/>
                    <w:keepNext w:val="0"/>
                    <w:keepLines w:val="0"/>
                    <w:suppressLineNumbers w:val="0"/>
                    <w:bidi w:val="0"/>
                    <w:spacing w:before="0" w:beforeAutospacing="0" w:after="0" w:afterAutospacing="0"/>
                    <w:ind w:right="0"/>
                    <w:rPr>
                      <w:rFonts w:hint="default" w:cs="Times New Roman"/>
                      <w:color w:val="auto"/>
                      <w:highlight w:val="none"/>
                      <w:lang w:val="en-US" w:eastAsia="zh-CN"/>
                    </w:rPr>
                  </w:pPr>
                  <w:r>
                    <w:rPr>
                      <w:rFonts w:hint="eastAsia" w:cs="Times New Roman"/>
                      <w:color w:val="auto"/>
                      <w:highlight w:val="none"/>
                      <w:lang w:val="en-US" w:eastAsia="zh-CN"/>
                    </w:rPr>
                    <w:t>4000t/a</w:t>
                  </w:r>
                </w:p>
              </w:tc>
              <w:tc>
                <w:tcPr>
                  <w:tcW w:w="1429" w:type="pct"/>
                  <w:vMerge w:val="restart"/>
                  <w:tcBorders>
                    <w:top w:val="single" w:color="auto" w:sz="12" w:space="0"/>
                  </w:tcBorders>
                  <w:vAlign w:val="center"/>
                </w:tcPr>
                <w:p w14:paraId="6CC6DEB1">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生产工艺基本一致，产品主要区别为配方不同</w:t>
                  </w:r>
                </w:p>
              </w:tc>
            </w:tr>
            <w:tr w14:paraId="04163D5F">
              <w:tblPrEx>
                <w:tblBorders>
                  <w:top w:val="single" w:color="auto"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63" w:type="pct"/>
                  <w:tcBorders>
                    <w:top w:val="single" w:color="auto" w:sz="4" w:space="0"/>
                    <w:bottom w:val="single" w:color="auto" w:sz="4" w:space="0"/>
                  </w:tcBorders>
                  <w:vAlign w:val="center"/>
                </w:tcPr>
                <w:p w14:paraId="45199FFC">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w:t>
                  </w:r>
                </w:p>
              </w:tc>
              <w:tc>
                <w:tcPr>
                  <w:tcW w:w="841" w:type="pct"/>
                  <w:vMerge w:val="continue"/>
                  <w:vAlign w:val="center"/>
                </w:tcPr>
                <w:p w14:paraId="349995F1">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p>
              </w:tc>
              <w:tc>
                <w:tcPr>
                  <w:tcW w:w="1319" w:type="pct"/>
                  <w:tcBorders>
                    <w:top w:val="single" w:color="auto" w:sz="4" w:space="0"/>
                    <w:bottom w:val="single" w:color="auto" w:sz="4" w:space="0"/>
                  </w:tcBorders>
                  <w:vAlign w:val="center"/>
                </w:tcPr>
                <w:p w14:paraId="15E9FEBD">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硅酮耐候密封胶</w:t>
                  </w:r>
                </w:p>
              </w:tc>
              <w:tc>
                <w:tcPr>
                  <w:tcW w:w="946" w:type="pct"/>
                  <w:tcBorders>
                    <w:top w:val="single" w:color="auto" w:sz="4" w:space="0"/>
                    <w:bottom w:val="single" w:color="auto" w:sz="4" w:space="0"/>
                  </w:tcBorders>
                  <w:vAlign w:val="center"/>
                </w:tcPr>
                <w:p w14:paraId="3255B853">
                  <w:pPr>
                    <w:pStyle w:val="6"/>
                    <w:keepNext w:val="0"/>
                    <w:keepLines w:val="0"/>
                    <w:suppressLineNumbers w:val="0"/>
                    <w:bidi w:val="0"/>
                    <w:spacing w:before="0" w:beforeAutospacing="0" w:after="0" w:afterAutospacing="0"/>
                    <w:ind w:right="0"/>
                    <w:rPr>
                      <w:rFonts w:hint="default" w:cs="Times New Roman"/>
                      <w:color w:val="auto"/>
                      <w:highlight w:val="none"/>
                      <w:lang w:val="en-US" w:eastAsia="zh-CN"/>
                    </w:rPr>
                  </w:pPr>
                  <w:r>
                    <w:rPr>
                      <w:rFonts w:hint="eastAsia" w:cs="Times New Roman"/>
                      <w:color w:val="auto"/>
                      <w:highlight w:val="none"/>
                      <w:lang w:val="en-US" w:eastAsia="zh-CN"/>
                    </w:rPr>
                    <w:t>5000t/a</w:t>
                  </w:r>
                </w:p>
              </w:tc>
              <w:tc>
                <w:tcPr>
                  <w:tcW w:w="1429" w:type="pct"/>
                  <w:vMerge w:val="continue"/>
                  <w:vAlign w:val="center"/>
                </w:tcPr>
                <w:p w14:paraId="6CC684C5">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p>
              </w:tc>
            </w:tr>
            <w:tr w14:paraId="74F7396A">
              <w:tblPrEx>
                <w:tblBorders>
                  <w:top w:val="single" w:color="auto"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63" w:type="pct"/>
                  <w:tcBorders>
                    <w:top w:val="single" w:color="auto" w:sz="4" w:space="0"/>
                    <w:bottom w:val="single" w:color="auto" w:sz="4" w:space="0"/>
                  </w:tcBorders>
                  <w:vAlign w:val="center"/>
                </w:tcPr>
                <w:p w14:paraId="6E40D726">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w:t>
                  </w:r>
                </w:p>
              </w:tc>
              <w:tc>
                <w:tcPr>
                  <w:tcW w:w="841" w:type="pct"/>
                  <w:vMerge w:val="continue"/>
                  <w:vAlign w:val="center"/>
                </w:tcPr>
                <w:p w14:paraId="65636E24">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p>
              </w:tc>
              <w:tc>
                <w:tcPr>
                  <w:tcW w:w="1319" w:type="pct"/>
                  <w:tcBorders>
                    <w:top w:val="single" w:color="auto" w:sz="4" w:space="0"/>
                    <w:bottom w:val="single" w:color="auto" w:sz="4" w:space="0"/>
                  </w:tcBorders>
                  <w:vAlign w:val="center"/>
                </w:tcPr>
                <w:p w14:paraId="6FB9E8C2">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硅酮密封</w:t>
                  </w:r>
                </w:p>
              </w:tc>
              <w:tc>
                <w:tcPr>
                  <w:tcW w:w="946" w:type="pct"/>
                  <w:tcBorders>
                    <w:top w:val="single" w:color="auto" w:sz="4" w:space="0"/>
                    <w:bottom w:val="single" w:color="auto" w:sz="4" w:space="0"/>
                  </w:tcBorders>
                  <w:vAlign w:val="center"/>
                </w:tcPr>
                <w:p w14:paraId="303D5CE8">
                  <w:pPr>
                    <w:pStyle w:val="6"/>
                    <w:keepNext w:val="0"/>
                    <w:keepLines w:val="0"/>
                    <w:suppressLineNumbers w:val="0"/>
                    <w:bidi w:val="0"/>
                    <w:spacing w:before="0" w:beforeAutospacing="0" w:after="0" w:afterAutospacing="0"/>
                    <w:ind w:right="0"/>
                    <w:rPr>
                      <w:rFonts w:hint="default" w:cs="Times New Roman"/>
                      <w:color w:val="auto"/>
                      <w:highlight w:val="none"/>
                      <w:lang w:val="en-US" w:eastAsia="zh-CN"/>
                    </w:rPr>
                  </w:pPr>
                  <w:r>
                    <w:rPr>
                      <w:rFonts w:hint="eastAsia" w:cs="Times New Roman"/>
                      <w:color w:val="auto"/>
                      <w:highlight w:val="none"/>
                      <w:lang w:val="en-US" w:eastAsia="zh-CN"/>
                    </w:rPr>
                    <w:t>8000t/a</w:t>
                  </w:r>
                </w:p>
              </w:tc>
              <w:tc>
                <w:tcPr>
                  <w:tcW w:w="1429" w:type="pct"/>
                  <w:vMerge w:val="continue"/>
                  <w:vAlign w:val="center"/>
                </w:tcPr>
                <w:p w14:paraId="5DFED94A">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p>
              </w:tc>
            </w:tr>
            <w:tr w14:paraId="1DEFEA57">
              <w:tblPrEx>
                <w:tblBorders>
                  <w:top w:val="single" w:color="auto"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63" w:type="pct"/>
                  <w:tcBorders>
                    <w:top w:val="single" w:color="auto" w:sz="4" w:space="0"/>
                    <w:bottom w:val="single" w:color="auto" w:sz="4" w:space="0"/>
                  </w:tcBorders>
                  <w:vAlign w:val="center"/>
                </w:tcPr>
                <w:p w14:paraId="4E0EBDFA">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w:t>
                  </w:r>
                </w:p>
              </w:tc>
              <w:tc>
                <w:tcPr>
                  <w:tcW w:w="841" w:type="pct"/>
                  <w:vMerge w:val="continue"/>
                  <w:tcBorders>
                    <w:bottom w:val="single" w:color="auto" w:sz="4" w:space="0"/>
                  </w:tcBorders>
                  <w:vAlign w:val="center"/>
                </w:tcPr>
                <w:p w14:paraId="3EDD14CB">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p>
              </w:tc>
              <w:tc>
                <w:tcPr>
                  <w:tcW w:w="1319" w:type="pct"/>
                  <w:tcBorders>
                    <w:top w:val="single" w:color="auto" w:sz="4" w:space="0"/>
                    <w:bottom w:val="single" w:color="auto" w:sz="4" w:space="0"/>
                  </w:tcBorders>
                  <w:vAlign w:val="center"/>
                </w:tcPr>
                <w:p w14:paraId="66A33826">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双组份中控胶</w:t>
                  </w:r>
                </w:p>
              </w:tc>
              <w:tc>
                <w:tcPr>
                  <w:tcW w:w="946" w:type="pct"/>
                  <w:tcBorders>
                    <w:top w:val="single" w:color="auto" w:sz="4" w:space="0"/>
                    <w:bottom w:val="single" w:color="auto" w:sz="4" w:space="0"/>
                  </w:tcBorders>
                  <w:vAlign w:val="center"/>
                </w:tcPr>
                <w:p w14:paraId="238AF5F0">
                  <w:pPr>
                    <w:pStyle w:val="6"/>
                    <w:keepNext w:val="0"/>
                    <w:keepLines w:val="0"/>
                    <w:suppressLineNumbers w:val="0"/>
                    <w:bidi w:val="0"/>
                    <w:spacing w:before="0" w:beforeAutospacing="0" w:after="0" w:afterAutospacing="0"/>
                    <w:ind w:right="0"/>
                    <w:rPr>
                      <w:rFonts w:hint="default" w:cs="Times New Roman"/>
                      <w:color w:val="auto"/>
                      <w:highlight w:val="none"/>
                      <w:lang w:val="en-US" w:eastAsia="zh-CN"/>
                    </w:rPr>
                  </w:pPr>
                  <w:r>
                    <w:rPr>
                      <w:rFonts w:hint="eastAsia" w:cs="Times New Roman"/>
                      <w:color w:val="auto"/>
                      <w:highlight w:val="none"/>
                      <w:lang w:val="en-US" w:eastAsia="zh-CN"/>
                    </w:rPr>
                    <w:t>1000t/a</w:t>
                  </w:r>
                </w:p>
              </w:tc>
              <w:tc>
                <w:tcPr>
                  <w:tcW w:w="1429" w:type="pct"/>
                  <w:vMerge w:val="continue"/>
                  <w:tcBorders>
                    <w:bottom w:val="single" w:color="auto" w:sz="4" w:space="0"/>
                  </w:tcBorders>
                  <w:vAlign w:val="center"/>
                </w:tcPr>
                <w:p w14:paraId="46296B02">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p>
              </w:tc>
            </w:tr>
            <w:tr w14:paraId="1EEE97FB">
              <w:tblPrEx>
                <w:tblBorders>
                  <w:top w:val="single" w:color="auto"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63" w:type="pct"/>
                  <w:tcBorders>
                    <w:top w:val="single" w:color="auto" w:sz="4" w:space="0"/>
                    <w:bottom w:val="single" w:color="auto" w:sz="12" w:space="0"/>
                  </w:tcBorders>
                  <w:vAlign w:val="center"/>
                </w:tcPr>
                <w:p w14:paraId="63AD3889">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w:t>
                  </w:r>
                </w:p>
              </w:tc>
              <w:tc>
                <w:tcPr>
                  <w:tcW w:w="2161" w:type="pct"/>
                  <w:gridSpan w:val="2"/>
                  <w:tcBorders>
                    <w:top w:val="single" w:color="auto" w:sz="4" w:space="0"/>
                    <w:bottom w:val="single" w:color="auto" w:sz="12" w:space="0"/>
                  </w:tcBorders>
                  <w:vAlign w:val="center"/>
                </w:tcPr>
                <w:p w14:paraId="6C73C031">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三元乙丙密封胶条</w:t>
                  </w:r>
                </w:p>
              </w:tc>
              <w:tc>
                <w:tcPr>
                  <w:tcW w:w="946" w:type="pct"/>
                  <w:tcBorders>
                    <w:top w:val="single" w:color="auto" w:sz="4" w:space="0"/>
                    <w:bottom w:val="single" w:color="auto" w:sz="12" w:space="0"/>
                  </w:tcBorders>
                  <w:vAlign w:val="center"/>
                </w:tcPr>
                <w:p w14:paraId="5D06FB19">
                  <w:pPr>
                    <w:pStyle w:val="6"/>
                    <w:keepNext w:val="0"/>
                    <w:keepLines w:val="0"/>
                    <w:suppressLineNumbers w:val="0"/>
                    <w:bidi w:val="0"/>
                    <w:spacing w:before="0" w:beforeAutospacing="0" w:after="0" w:afterAutospacing="0"/>
                    <w:ind w:right="0"/>
                    <w:rPr>
                      <w:rFonts w:hint="default" w:cs="Times New Roman"/>
                      <w:color w:val="auto"/>
                      <w:highlight w:val="none"/>
                      <w:lang w:val="en-US" w:eastAsia="zh-CN"/>
                    </w:rPr>
                  </w:pPr>
                  <w:r>
                    <w:rPr>
                      <w:rFonts w:hint="eastAsia" w:cs="Times New Roman"/>
                      <w:color w:val="auto"/>
                      <w:highlight w:val="none"/>
                      <w:lang w:val="en-US" w:eastAsia="zh-CN"/>
                    </w:rPr>
                    <w:t>8000t/a</w:t>
                  </w:r>
                </w:p>
              </w:tc>
              <w:tc>
                <w:tcPr>
                  <w:tcW w:w="1429" w:type="pct"/>
                  <w:tcBorders>
                    <w:top w:val="single" w:color="auto" w:sz="4" w:space="0"/>
                    <w:bottom w:val="single" w:color="auto" w:sz="12" w:space="0"/>
                  </w:tcBorders>
                  <w:vAlign w:val="center"/>
                </w:tcPr>
                <w:p w14:paraId="246B0109">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bl>
          <w:p w14:paraId="66D9A58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（3）现有项目主要生产设备</w:t>
            </w:r>
          </w:p>
          <w:p w14:paraId="2926B7DD">
            <w:pPr>
              <w:keepNext w:val="0"/>
              <w:keepLines w:val="0"/>
              <w:suppressLineNumbers w:val="0"/>
              <w:bidi w:val="0"/>
              <w:spacing w:before="0" w:beforeAutospacing="0" w:after="0" w:afterAutospacing="0"/>
              <w:ind w:left="0" w:right="0"/>
              <w:rPr>
                <w:rFonts w:hint="default" w:ascii="Times New Roman" w:hAnsi="Times New Roman" w:cs="Times New Roman"/>
                <w:b/>
                <w:bCs/>
                <w:color w:val="auto"/>
                <w:highlight w:val="none"/>
              </w:rPr>
            </w:pPr>
            <w:r>
              <w:rPr>
                <w:rFonts w:hint="eastAsia" w:ascii="Times New Roman" w:hAnsi="Times New Roman" w:cs="Times New Roman"/>
                <w:color w:val="auto"/>
                <w:highlight w:val="none"/>
                <w:lang w:val="en-US" w:eastAsia="zh-CN"/>
              </w:rPr>
              <w:t>现有</w:t>
            </w:r>
            <w:r>
              <w:rPr>
                <w:rFonts w:hint="default" w:ascii="Times New Roman" w:hAnsi="Times New Roman" w:cs="Times New Roman"/>
                <w:color w:val="auto"/>
                <w:highlight w:val="none"/>
              </w:rPr>
              <w:t>项目生产设备见表2-</w:t>
            </w:r>
            <w:r>
              <w:rPr>
                <w:rFonts w:hint="eastAsia" w:ascii="Times New Roman" w:hAnsi="Times New Roman" w:cs="Times New Roman"/>
                <w:color w:val="auto"/>
                <w:highlight w:val="none"/>
                <w:lang w:val="en-US" w:eastAsia="zh-CN"/>
              </w:rPr>
              <w:t>1</w:t>
            </w:r>
            <w:r>
              <w:rPr>
                <w:rFonts w:hint="eastAsia" w:cs="Times New Roman"/>
                <w:color w:val="auto"/>
                <w:highlight w:val="none"/>
                <w:lang w:val="en-US" w:eastAsia="zh-CN"/>
              </w:rPr>
              <w:t>4</w:t>
            </w:r>
            <w:r>
              <w:rPr>
                <w:rFonts w:hint="default" w:ascii="Times New Roman" w:hAnsi="Times New Roman" w:cs="Times New Roman"/>
                <w:color w:val="auto"/>
                <w:highlight w:val="none"/>
              </w:rPr>
              <w:t>。</w:t>
            </w:r>
          </w:p>
          <w:p w14:paraId="7951137A">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表2-</w:t>
            </w:r>
            <w:r>
              <w:rPr>
                <w:rFonts w:hint="eastAsia" w:ascii="Times New Roman" w:hAnsi="Times New Roman" w:cs="Times New Roman"/>
                <w:b/>
                <w:bCs/>
                <w:color w:val="auto"/>
                <w:highlight w:val="none"/>
                <w:lang w:val="en-US" w:eastAsia="zh-CN"/>
              </w:rPr>
              <w:t>1</w:t>
            </w:r>
            <w:r>
              <w:rPr>
                <w:rFonts w:hint="eastAsia" w:cs="Times New Roman"/>
                <w:b/>
                <w:bCs/>
                <w:color w:val="auto"/>
                <w:highlight w:val="none"/>
                <w:lang w:val="en-US" w:eastAsia="zh-CN"/>
              </w:rPr>
              <w:t>4</w:t>
            </w:r>
            <w:r>
              <w:rPr>
                <w:rFonts w:hint="default" w:ascii="Times New Roman" w:hAnsi="Times New Roman" w:cs="Times New Roman"/>
                <w:b/>
                <w:bCs/>
                <w:color w:val="auto"/>
                <w:highlight w:val="none"/>
              </w:rPr>
              <w:t xml:space="preserve"> </w:t>
            </w:r>
            <w:r>
              <w:rPr>
                <w:rFonts w:hint="default" w:ascii="Times New Roman" w:hAnsi="Times New Roman" w:cs="Times New Roman"/>
                <w:b/>
                <w:bCs/>
                <w:color w:val="auto"/>
                <w:highlight w:val="none"/>
                <w:lang w:val="en-US" w:eastAsia="zh-CN"/>
              </w:rPr>
              <w:t xml:space="preserve">  </w:t>
            </w:r>
            <w:r>
              <w:rPr>
                <w:rFonts w:hint="eastAsia" w:ascii="Times New Roman" w:hAnsi="Times New Roman" w:cs="Times New Roman"/>
                <w:b/>
                <w:bCs/>
                <w:color w:val="auto"/>
                <w:highlight w:val="none"/>
                <w:lang w:val="en-US" w:eastAsia="zh-CN"/>
              </w:rPr>
              <w:t>现有</w:t>
            </w:r>
            <w:r>
              <w:rPr>
                <w:rFonts w:hint="default" w:ascii="Times New Roman" w:hAnsi="Times New Roman" w:cs="Times New Roman"/>
                <w:b/>
                <w:bCs/>
                <w:color w:val="auto"/>
                <w:highlight w:val="none"/>
              </w:rPr>
              <w:t>项目主要设备一览表</w:t>
            </w:r>
          </w:p>
          <w:tbl>
            <w:tblPr>
              <w:tblStyle w:val="32"/>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Layout w:type="autofit"/>
              <w:tblCellMar>
                <w:top w:w="0" w:type="dxa"/>
                <w:left w:w="28" w:type="dxa"/>
                <w:bottom w:w="0" w:type="dxa"/>
                <w:right w:w="28" w:type="dxa"/>
              </w:tblCellMar>
            </w:tblPr>
            <w:tblGrid>
              <w:gridCol w:w="1673"/>
              <w:gridCol w:w="2391"/>
              <w:gridCol w:w="1312"/>
              <w:gridCol w:w="3010"/>
            </w:tblGrid>
            <w:tr w14:paraId="00AEA5D6">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PrEx>
              <w:trPr>
                <w:cantSplit/>
                <w:trHeight w:val="0" w:hRule="atLeast"/>
                <w:jc w:val="center"/>
              </w:trPr>
              <w:tc>
                <w:tcPr>
                  <w:tcW w:w="997" w:type="pct"/>
                  <w:tcBorders>
                    <w:bottom w:val="single" w:color="auto" w:sz="12" w:space="0"/>
                  </w:tcBorders>
                  <w:vAlign w:val="center"/>
                </w:tcPr>
                <w:p w14:paraId="3F3237A7">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21"/>
                      <w:szCs w:val="21"/>
                      <w:highlight w:val="none"/>
                    </w:rPr>
                  </w:pPr>
                  <w:r>
                    <w:rPr>
                      <w:rFonts w:hint="eastAsia" w:ascii="Times New Roman" w:hAnsi="Times New Roman" w:cs="Times New Roman"/>
                      <w:b/>
                      <w:bCs/>
                      <w:color w:val="auto"/>
                      <w:sz w:val="21"/>
                      <w:szCs w:val="21"/>
                      <w:highlight w:val="none"/>
                      <w:lang w:val="en-US" w:eastAsia="zh-CN"/>
                    </w:rPr>
                    <w:t>车间</w:t>
                  </w:r>
                </w:p>
              </w:tc>
              <w:tc>
                <w:tcPr>
                  <w:tcW w:w="1425" w:type="pct"/>
                  <w:tcBorders>
                    <w:bottom w:val="single" w:color="auto" w:sz="12" w:space="0"/>
                  </w:tcBorders>
                  <w:vAlign w:val="center"/>
                </w:tcPr>
                <w:p w14:paraId="31F02DD7">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设备名称</w:t>
                  </w:r>
                </w:p>
              </w:tc>
              <w:tc>
                <w:tcPr>
                  <w:tcW w:w="782" w:type="pct"/>
                  <w:tcBorders>
                    <w:bottom w:val="single" w:color="auto" w:sz="12" w:space="0"/>
                  </w:tcBorders>
                  <w:vAlign w:val="center"/>
                </w:tcPr>
                <w:p w14:paraId="3637A16E">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数量</w:t>
                  </w:r>
                </w:p>
              </w:tc>
              <w:tc>
                <w:tcPr>
                  <w:tcW w:w="1794" w:type="pct"/>
                  <w:tcBorders>
                    <w:bottom w:val="single" w:color="auto" w:sz="12" w:space="0"/>
                  </w:tcBorders>
                  <w:vAlign w:val="center"/>
                </w:tcPr>
                <w:p w14:paraId="670EE4AE">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型号</w:t>
                  </w:r>
                </w:p>
              </w:tc>
            </w:tr>
            <w:tr w14:paraId="08B5F8BE">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28" w:type="dxa"/>
                  <w:bottom w:w="0" w:type="dxa"/>
                  <w:right w:w="28" w:type="dxa"/>
                </w:tblCellMar>
              </w:tblPrEx>
              <w:trPr>
                <w:cantSplit/>
                <w:trHeight w:val="90" w:hRule="atLeast"/>
                <w:jc w:val="center"/>
              </w:trPr>
              <w:tc>
                <w:tcPr>
                  <w:tcW w:w="997" w:type="pct"/>
                  <w:vMerge w:val="restart"/>
                  <w:tcBorders>
                    <w:top w:val="single" w:color="auto" w:sz="12" w:space="0"/>
                  </w:tcBorders>
                  <w:vAlign w:val="center"/>
                </w:tcPr>
                <w:p w14:paraId="5F1B674A">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硅酮密封胶车间</w:t>
                  </w:r>
                </w:p>
              </w:tc>
              <w:tc>
                <w:tcPr>
                  <w:tcW w:w="1425" w:type="pct"/>
                  <w:tcBorders>
                    <w:top w:val="single" w:color="auto" w:sz="12" w:space="0"/>
                    <w:bottom w:val="single" w:color="auto" w:sz="4" w:space="0"/>
                  </w:tcBorders>
                  <w:vAlign w:val="center"/>
                </w:tcPr>
                <w:p w14:paraId="3745056F">
                  <w:pPr>
                    <w:pStyle w:val="157"/>
                    <w:keepNext w:val="0"/>
                    <w:keepLines w:val="0"/>
                    <w:widowControl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硅酮胶双螺杆自动生产线</w:t>
                  </w:r>
                </w:p>
              </w:tc>
              <w:tc>
                <w:tcPr>
                  <w:tcW w:w="782" w:type="pct"/>
                  <w:tcBorders>
                    <w:top w:val="single" w:color="auto" w:sz="12" w:space="0"/>
                    <w:bottom w:val="single" w:color="auto" w:sz="4" w:space="0"/>
                  </w:tcBorders>
                  <w:vAlign w:val="center"/>
                </w:tcPr>
                <w:p w14:paraId="23CB0B31">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4套</w:t>
                  </w:r>
                </w:p>
              </w:tc>
              <w:tc>
                <w:tcPr>
                  <w:tcW w:w="1794" w:type="pct"/>
                  <w:tcBorders>
                    <w:top w:val="single" w:color="auto" w:sz="12" w:space="0"/>
                    <w:bottom w:val="single" w:color="auto" w:sz="4" w:space="0"/>
                  </w:tcBorders>
                  <w:vAlign w:val="center"/>
                </w:tcPr>
                <w:p w14:paraId="31939B6E">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SLG-75</w:t>
                  </w:r>
                </w:p>
              </w:tc>
            </w:tr>
            <w:tr w14:paraId="35E69BDA">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28" w:type="dxa"/>
                  <w:bottom w:w="0" w:type="dxa"/>
                  <w:right w:w="28" w:type="dxa"/>
                </w:tblCellMar>
              </w:tblPrEx>
              <w:trPr>
                <w:cantSplit/>
                <w:trHeight w:val="0" w:hRule="atLeast"/>
                <w:jc w:val="center"/>
              </w:trPr>
              <w:tc>
                <w:tcPr>
                  <w:tcW w:w="997" w:type="pct"/>
                  <w:vMerge w:val="continue"/>
                  <w:vAlign w:val="center"/>
                </w:tcPr>
                <w:p w14:paraId="2FC140B2">
                  <w:pPr>
                    <w:pStyle w:val="6"/>
                    <w:keepNext w:val="0"/>
                    <w:keepLines w:val="0"/>
                    <w:suppressLineNumbers w:val="0"/>
                    <w:bidi w:val="0"/>
                    <w:spacing w:before="0" w:beforeAutospacing="0" w:after="0" w:afterAutospacing="0"/>
                    <w:ind w:right="0"/>
                    <w:rPr>
                      <w:rFonts w:hint="default" w:ascii="Times New Roman" w:hAnsi="Times New Roman" w:cs="Times New Roman"/>
                      <w:color w:val="auto"/>
                      <w:sz w:val="21"/>
                      <w:szCs w:val="21"/>
                      <w:highlight w:val="none"/>
                      <w:lang w:val="en-US" w:eastAsia="zh-CN"/>
                    </w:rPr>
                  </w:pPr>
                </w:p>
              </w:tc>
              <w:tc>
                <w:tcPr>
                  <w:tcW w:w="1425" w:type="pct"/>
                  <w:tcBorders>
                    <w:top w:val="single" w:color="auto" w:sz="4" w:space="0"/>
                    <w:bottom w:val="single" w:color="auto" w:sz="4" w:space="0"/>
                  </w:tcBorders>
                  <w:vAlign w:val="center"/>
                </w:tcPr>
                <w:p w14:paraId="243420D5">
                  <w:pPr>
                    <w:pStyle w:val="157"/>
                    <w:keepNext w:val="0"/>
                    <w:keepLines w:val="0"/>
                    <w:widowControl w:val="0"/>
                    <w:suppressLineNumbers w:val="0"/>
                    <w:spacing w:before="0" w:beforeAutospacing="0" w:after="0" w:afterAutospacing="0"/>
                    <w:ind w:left="0" w:right="0"/>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全自动硬管灌装机</w:t>
                  </w:r>
                </w:p>
              </w:tc>
              <w:tc>
                <w:tcPr>
                  <w:tcW w:w="782" w:type="pct"/>
                  <w:tcBorders>
                    <w:top w:val="single" w:color="auto" w:sz="4" w:space="0"/>
                    <w:bottom w:val="single" w:color="auto" w:sz="4" w:space="0"/>
                  </w:tcBorders>
                  <w:vAlign w:val="center"/>
                </w:tcPr>
                <w:p w14:paraId="45015BF2">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12台</w:t>
                  </w:r>
                </w:p>
              </w:tc>
              <w:tc>
                <w:tcPr>
                  <w:tcW w:w="1794" w:type="pct"/>
                  <w:tcBorders>
                    <w:top w:val="single" w:color="auto" w:sz="4" w:space="0"/>
                    <w:bottom w:val="single" w:color="auto" w:sz="4" w:space="0"/>
                  </w:tcBorders>
                  <w:vAlign w:val="center"/>
                </w:tcPr>
                <w:p w14:paraId="1203CA09">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ZDG-30</w:t>
                  </w:r>
                </w:p>
              </w:tc>
            </w:tr>
            <w:tr w14:paraId="728E6BB3">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28" w:type="dxa"/>
                  <w:bottom w:w="0" w:type="dxa"/>
                  <w:right w:w="28" w:type="dxa"/>
                </w:tblCellMar>
              </w:tblPrEx>
              <w:trPr>
                <w:cantSplit/>
                <w:trHeight w:val="0" w:hRule="atLeast"/>
                <w:jc w:val="center"/>
              </w:trPr>
              <w:tc>
                <w:tcPr>
                  <w:tcW w:w="997" w:type="pct"/>
                  <w:vMerge w:val="continue"/>
                  <w:vAlign w:val="center"/>
                </w:tcPr>
                <w:p w14:paraId="41425966">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p>
              </w:tc>
              <w:tc>
                <w:tcPr>
                  <w:tcW w:w="1425" w:type="pct"/>
                  <w:tcBorders>
                    <w:top w:val="single" w:color="auto" w:sz="4" w:space="0"/>
                    <w:bottom w:val="single" w:color="auto" w:sz="4" w:space="0"/>
                  </w:tcBorders>
                  <w:vAlign w:val="center"/>
                </w:tcPr>
                <w:p w14:paraId="18D4D6CA">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全自动软管灌装机</w:t>
                  </w:r>
                </w:p>
              </w:tc>
              <w:tc>
                <w:tcPr>
                  <w:tcW w:w="782" w:type="pct"/>
                  <w:tcBorders>
                    <w:top w:val="single" w:color="auto" w:sz="4" w:space="0"/>
                    <w:bottom w:val="single" w:color="auto" w:sz="4" w:space="0"/>
                  </w:tcBorders>
                  <w:vAlign w:val="center"/>
                </w:tcPr>
                <w:p w14:paraId="6449EC6C">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12台</w:t>
                  </w:r>
                </w:p>
              </w:tc>
              <w:tc>
                <w:tcPr>
                  <w:tcW w:w="1794" w:type="pct"/>
                  <w:tcBorders>
                    <w:top w:val="single" w:color="auto" w:sz="4" w:space="0"/>
                    <w:bottom w:val="single" w:color="auto" w:sz="4" w:space="0"/>
                  </w:tcBorders>
                  <w:vAlign w:val="center"/>
                </w:tcPr>
                <w:p w14:paraId="01B02E13">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RBZ-40</w:t>
                  </w:r>
                </w:p>
              </w:tc>
            </w:tr>
            <w:tr w14:paraId="3E8AA0FC">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28" w:type="dxa"/>
                  <w:bottom w:w="0" w:type="dxa"/>
                  <w:right w:w="28" w:type="dxa"/>
                </w:tblCellMar>
              </w:tblPrEx>
              <w:trPr>
                <w:cantSplit/>
                <w:trHeight w:val="0" w:hRule="atLeast"/>
                <w:jc w:val="center"/>
              </w:trPr>
              <w:tc>
                <w:tcPr>
                  <w:tcW w:w="997" w:type="pct"/>
                  <w:vMerge w:val="continue"/>
                  <w:vAlign w:val="center"/>
                </w:tcPr>
                <w:p w14:paraId="19777C21">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sz w:val="21"/>
                      <w:szCs w:val="21"/>
                      <w:highlight w:val="none"/>
                      <w:lang w:val="en-US" w:eastAsia="zh-CN"/>
                    </w:rPr>
                  </w:pPr>
                </w:p>
              </w:tc>
              <w:tc>
                <w:tcPr>
                  <w:tcW w:w="1425" w:type="pct"/>
                  <w:tcBorders>
                    <w:top w:val="single" w:color="auto" w:sz="4" w:space="0"/>
                    <w:bottom w:val="single" w:color="auto" w:sz="4" w:space="0"/>
                  </w:tcBorders>
                  <w:vAlign w:val="center"/>
                </w:tcPr>
                <w:p w14:paraId="59E6877E">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行星搅拌机</w:t>
                  </w:r>
                </w:p>
              </w:tc>
              <w:tc>
                <w:tcPr>
                  <w:tcW w:w="782" w:type="pct"/>
                  <w:tcBorders>
                    <w:top w:val="single" w:color="auto" w:sz="4" w:space="0"/>
                    <w:bottom w:val="single" w:color="auto" w:sz="4" w:space="0"/>
                  </w:tcBorders>
                  <w:vAlign w:val="center"/>
                </w:tcPr>
                <w:p w14:paraId="61264C0F">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9台</w:t>
                  </w:r>
                </w:p>
              </w:tc>
              <w:tc>
                <w:tcPr>
                  <w:tcW w:w="1794" w:type="pct"/>
                  <w:tcBorders>
                    <w:top w:val="single" w:color="auto" w:sz="4" w:space="0"/>
                    <w:bottom w:val="single" w:color="auto" w:sz="4" w:space="0"/>
                  </w:tcBorders>
                  <w:vAlign w:val="center"/>
                </w:tcPr>
                <w:p w14:paraId="5B325CBF">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19A02D38">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28" w:type="dxa"/>
                  <w:bottom w:w="0" w:type="dxa"/>
                  <w:right w:w="28" w:type="dxa"/>
                </w:tblCellMar>
              </w:tblPrEx>
              <w:trPr>
                <w:cantSplit/>
                <w:trHeight w:val="0" w:hRule="atLeast"/>
                <w:jc w:val="center"/>
              </w:trPr>
              <w:tc>
                <w:tcPr>
                  <w:tcW w:w="997" w:type="pct"/>
                  <w:vMerge w:val="continue"/>
                  <w:vAlign w:val="center"/>
                </w:tcPr>
                <w:p w14:paraId="428548A4">
                  <w:pPr>
                    <w:pStyle w:val="6"/>
                    <w:keepNext w:val="0"/>
                    <w:keepLines w:val="0"/>
                    <w:suppressLineNumbers w:val="0"/>
                    <w:bidi w:val="0"/>
                    <w:spacing w:before="0" w:beforeAutospacing="0" w:after="0" w:afterAutospacing="0"/>
                    <w:ind w:right="0"/>
                    <w:rPr>
                      <w:rFonts w:hint="default" w:ascii="Times New Roman" w:hAnsi="Times New Roman" w:cs="Times New Roman"/>
                      <w:color w:val="auto"/>
                      <w:sz w:val="21"/>
                      <w:szCs w:val="21"/>
                      <w:highlight w:val="none"/>
                      <w:lang w:val="en-US" w:eastAsia="zh-CN"/>
                    </w:rPr>
                  </w:pPr>
                </w:p>
              </w:tc>
              <w:tc>
                <w:tcPr>
                  <w:tcW w:w="1425" w:type="pct"/>
                  <w:tcBorders>
                    <w:top w:val="single" w:color="auto" w:sz="4" w:space="0"/>
                    <w:bottom w:val="single" w:color="auto" w:sz="4" w:space="0"/>
                  </w:tcBorders>
                  <w:vAlign w:val="center"/>
                </w:tcPr>
                <w:p w14:paraId="22734DA5">
                  <w:pPr>
                    <w:pStyle w:val="157"/>
                    <w:keepNext w:val="0"/>
                    <w:keepLines w:val="0"/>
                    <w:widowControl w:val="0"/>
                    <w:suppressLineNumbers w:val="0"/>
                    <w:spacing w:before="0" w:beforeAutospacing="0" w:after="0" w:afterAutospacing="0"/>
                    <w:ind w:left="0" w:right="0"/>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三辊研磨机</w:t>
                  </w:r>
                </w:p>
              </w:tc>
              <w:tc>
                <w:tcPr>
                  <w:tcW w:w="782" w:type="pct"/>
                  <w:tcBorders>
                    <w:top w:val="single" w:color="auto" w:sz="4" w:space="0"/>
                    <w:bottom w:val="single" w:color="auto" w:sz="4" w:space="0"/>
                  </w:tcBorders>
                  <w:vAlign w:val="center"/>
                </w:tcPr>
                <w:p w14:paraId="5C752D92">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2台</w:t>
                  </w:r>
                </w:p>
              </w:tc>
              <w:tc>
                <w:tcPr>
                  <w:tcW w:w="1794" w:type="pct"/>
                  <w:tcBorders>
                    <w:top w:val="single" w:color="auto" w:sz="4" w:space="0"/>
                    <w:bottom w:val="single" w:color="auto" w:sz="4" w:space="0"/>
                  </w:tcBorders>
                  <w:vAlign w:val="center"/>
                </w:tcPr>
                <w:p w14:paraId="4DAEAE4B">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009587D0">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28" w:type="dxa"/>
                  <w:bottom w:w="0" w:type="dxa"/>
                  <w:right w:w="28" w:type="dxa"/>
                </w:tblCellMar>
              </w:tblPrEx>
              <w:trPr>
                <w:cantSplit/>
                <w:trHeight w:val="0" w:hRule="atLeast"/>
                <w:jc w:val="center"/>
              </w:trPr>
              <w:tc>
                <w:tcPr>
                  <w:tcW w:w="997" w:type="pct"/>
                  <w:vMerge w:val="continue"/>
                  <w:vAlign w:val="center"/>
                </w:tcPr>
                <w:p w14:paraId="14E8CE2B">
                  <w:pPr>
                    <w:pStyle w:val="6"/>
                    <w:keepNext w:val="0"/>
                    <w:keepLines w:val="0"/>
                    <w:suppressLineNumbers w:val="0"/>
                    <w:bidi w:val="0"/>
                    <w:spacing w:before="0" w:beforeAutospacing="0" w:after="0" w:afterAutospacing="0"/>
                    <w:ind w:right="0"/>
                    <w:rPr>
                      <w:rFonts w:hint="default" w:ascii="Times New Roman" w:hAnsi="Times New Roman" w:cs="Times New Roman"/>
                      <w:color w:val="auto"/>
                      <w:sz w:val="21"/>
                      <w:szCs w:val="21"/>
                      <w:highlight w:val="none"/>
                      <w:lang w:val="en-US" w:eastAsia="zh-CN"/>
                    </w:rPr>
                  </w:pPr>
                </w:p>
              </w:tc>
              <w:tc>
                <w:tcPr>
                  <w:tcW w:w="1425" w:type="pct"/>
                  <w:tcBorders>
                    <w:top w:val="single" w:color="auto" w:sz="4" w:space="0"/>
                    <w:bottom w:val="single" w:color="auto" w:sz="4" w:space="0"/>
                  </w:tcBorders>
                  <w:vAlign w:val="center"/>
                </w:tcPr>
                <w:p w14:paraId="0B057313">
                  <w:pPr>
                    <w:pStyle w:val="157"/>
                    <w:keepNext w:val="0"/>
                    <w:keepLines w:val="0"/>
                    <w:widowControl w:val="0"/>
                    <w:suppressLineNumbers w:val="0"/>
                    <w:spacing w:before="0" w:beforeAutospacing="0" w:after="0" w:afterAutospacing="0"/>
                    <w:ind w:left="0" w:right="0"/>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动力混合机</w:t>
                  </w:r>
                </w:p>
              </w:tc>
              <w:tc>
                <w:tcPr>
                  <w:tcW w:w="782" w:type="pct"/>
                  <w:tcBorders>
                    <w:top w:val="single" w:color="auto" w:sz="4" w:space="0"/>
                    <w:bottom w:val="single" w:color="auto" w:sz="4" w:space="0"/>
                  </w:tcBorders>
                  <w:vAlign w:val="center"/>
                </w:tcPr>
                <w:p w14:paraId="021A1A27">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9台</w:t>
                  </w:r>
                </w:p>
              </w:tc>
              <w:tc>
                <w:tcPr>
                  <w:tcW w:w="1794" w:type="pct"/>
                  <w:tcBorders>
                    <w:top w:val="single" w:color="auto" w:sz="4" w:space="0"/>
                    <w:bottom w:val="single" w:color="auto" w:sz="4" w:space="0"/>
                  </w:tcBorders>
                  <w:vAlign w:val="center"/>
                </w:tcPr>
                <w:p w14:paraId="03C2C5E7">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7A9EFA9B">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28" w:type="dxa"/>
                  <w:bottom w:w="0" w:type="dxa"/>
                  <w:right w:w="28" w:type="dxa"/>
                </w:tblCellMar>
              </w:tblPrEx>
              <w:trPr>
                <w:cantSplit/>
                <w:trHeight w:val="0" w:hRule="atLeast"/>
                <w:jc w:val="center"/>
              </w:trPr>
              <w:tc>
                <w:tcPr>
                  <w:tcW w:w="997" w:type="pct"/>
                  <w:vMerge w:val="continue"/>
                  <w:vAlign w:val="center"/>
                </w:tcPr>
                <w:p w14:paraId="74C9ADB4">
                  <w:pPr>
                    <w:pStyle w:val="6"/>
                    <w:keepNext w:val="0"/>
                    <w:keepLines w:val="0"/>
                    <w:suppressLineNumbers w:val="0"/>
                    <w:bidi w:val="0"/>
                    <w:spacing w:before="0" w:beforeAutospacing="0" w:after="0" w:afterAutospacing="0"/>
                    <w:ind w:right="0"/>
                    <w:rPr>
                      <w:rFonts w:hint="default" w:ascii="Times New Roman" w:hAnsi="Times New Roman" w:cs="Times New Roman"/>
                      <w:color w:val="auto"/>
                      <w:sz w:val="21"/>
                      <w:szCs w:val="21"/>
                      <w:highlight w:val="none"/>
                      <w:lang w:val="en-US" w:eastAsia="zh-CN"/>
                    </w:rPr>
                  </w:pPr>
                </w:p>
              </w:tc>
              <w:tc>
                <w:tcPr>
                  <w:tcW w:w="1425" w:type="pct"/>
                  <w:tcBorders>
                    <w:top w:val="single" w:color="auto" w:sz="4" w:space="0"/>
                    <w:bottom w:val="single" w:color="auto" w:sz="4" w:space="0"/>
                  </w:tcBorders>
                  <w:vAlign w:val="center"/>
                </w:tcPr>
                <w:p w14:paraId="233F8ADB">
                  <w:pPr>
                    <w:pStyle w:val="157"/>
                    <w:keepNext w:val="0"/>
                    <w:keepLines w:val="0"/>
                    <w:widowControl w:val="0"/>
                    <w:suppressLineNumbers w:val="0"/>
                    <w:spacing w:before="0" w:beforeAutospacing="0" w:after="0" w:afterAutospacing="0"/>
                    <w:ind w:left="0" w:right="0"/>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桶装压料机</w:t>
                  </w:r>
                </w:p>
              </w:tc>
              <w:tc>
                <w:tcPr>
                  <w:tcW w:w="782" w:type="pct"/>
                  <w:tcBorders>
                    <w:top w:val="single" w:color="auto" w:sz="4" w:space="0"/>
                    <w:bottom w:val="single" w:color="auto" w:sz="4" w:space="0"/>
                  </w:tcBorders>
                  <w:vAlign w:val="center"/>
                </w:tcPr>
                <w:p w14:paraId="2C8517DA">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9台</w:t>
                  </w:r>
                </w:p>
              </w:tc>
              <w:tc>
                <w:tcPr>
                  <w:tcW w:w="1794" w:type="pct"/>
                  <w:tcBorders>
                    <w:top w:val="single" w:color="auto" w:sz="4" w:space="0"/>
                    <w:bottom w:val="single" w:color="auto" w:sz="4" w:space="0"/>
                  </w:tcBorders>
                  <w:vAlign w:val="center"/>
                </w:tcPr>
                <w:p w14:paraId="578085D8">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441BCEF8">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28" w:type="dxa"/>
                  <w:bottom w:w="0" w:type="dxa"/>
                  <w:right w:w="28" w:type="dxa"/>
                </w:tblCellMar>
              </w:tblPrEx>
              <w:trPr>
                <w:cantSplit/>
                <w:trHeight w:val="0" w:hRule="atLeast"/>
                <w:jc w:val="center"/>
              </w:trPr>
              <w:tc>
                <w:tcPr>
                  <w:tcW w:w="997" w:type="pct"/>
                  <w:vMerge w:val="continue"/>
                  <w:vAlign w:val="center"/>
                </w:tcPr>
                <w:p w14:paraId="028466D5">
                  <w:pPr>
                    <w:pStyle w:val="6"/>
                    <w:keepNext w:val="0"/>
                    <w:keepLines w:val="0"/>
                    <w:suppressLineNumbers w:val="0"/>
                    <w:bidi w:val="0"/>
                    <w:spacing w:before="0" w:beforeAutospacing="0" w:after="0" w:afterAutospacing="0"/>
                    <w:ind w:right="0"/>
                    <w:rPr>
                      <w:rFonts w:hint="default" w:ascii="Times New Roman" w:hAnsi="Times New Roman" w:cs="Times New Roman"/>
                      <w:color w:val="auto"/>
                      <w:sz w:val="21"/>
                      <w:szCs w:val="21"/>
                      <w:highlight w:val="none"/>
                      <w:lang w:val="en-US" w:eastAsia="zh-CN"/>
                    </w:rPr>
                  </w:pPr>
                </w:p>
              </w:tc>
              <w:tc>
                <w:tcPr>
                  <w:tcW w:w="1425" w:type="pct"/>
                  <w:tcBorders>
                    <w:top w:val="single" w:color="auto" w:sz="4" w:space="0"/>
                    <w:bottom w:val="single" w:color="auto" w:sz="4" w:space="0"/>
                  </w:tcBorders>
                  <w:vAlign w:val="center"/>
                </w:tcPr>
                <w:p w14:paraId="0BD2C70C">
                  <w:pPr>
                    <w:pStyle w:val="157"/>
                    <w:keepNext w:val="0"/>
                    <w:keepLines w:val="0"/>
                    <w:widowControl w:val="0"/>
                    <w:suppressLineNumbers w:val="0"/>
                    <w:spacing w:before="0" w:beforeAutospacing="0" w:after="0" w:afterAutospacing="0"/>
                    <w:ind w:left="0" w:right="0"/>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包装机</w:t>
                  </w:r>
                </w:p>
              </w:tc>
              <w:tc>
                <w:tcPr>
                  <w:tcW w:w="782" w:type="pct"/>
                  <w:tcBorders>
                    <w:top w:val="single" w:color="auto" w:sz="4" w:space="0"/>
                    <w:bottom w:val="single" w:color="auto" w:sz="4" w:space="0"/>
                  </w:tcBorders>
                  <w:vAlign w:val="center"/>
                </w:tcPr>
                <w:p w14:paraId="6373B018">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9台</w:t>
                  </w:r>
                </w:p>
              </w:tc>
              <w:tc>
                <w:tcPr>
                  <w:tcW w:w="1794" w:type="pct"/>
                  <w:tcBorders>
                    <w:top w:val="single" w:color="auto" w:sz="4" w:space="0"/>
                    <w:bottom w:val="single" w:color="auto" w:sz="4" w:space="0"/>
                  </w:tcBorders>
                  <w:vAlign w:val="center"/>
                </w:tcPr>
                <w:p w14:paraId="2248E3BC">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TYL-200L</w:t>
                  </w:r>
                </w:p>
              </w:tc>
            </w:tr>
            <w:tr w14:paraId="51B0F5CE">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28" w:type="dxa"/>
                  <w:bottom w:w="0" w:type="dxa"/>
                  <w:right w:w="28" w:type="dxa"/>
                </w:tblCellMar>
              </w:tblPrEx>
              <w:trPr>
                <w:cantSplit/>
                <w:trHeight w:val="0" w:hRule="atLeast"/>
                <w:jc w:val="center"/>
              </w:trPr>
              <w:tc>
                <w:tcPr>
                  <w:tcW w:w="997" w:type="pct"/>
                  <w:vMerge w:val="continue"/>
                  <w:vAlign w:val="center"/>
                </w:tcPr>
                <w:p w14:paraId="6E65C857">
                  <w:pPr>
                    <w:pStyle w:val="6"/>
                    <w:keepNext w:val="0"/>
                    <w:keepLines w:val="0"/>
                    <w:suppressLineNumbers w:val="0"/>
                    <w:bidi w:val="0"/>
                    <w:spacing w:before="0" w:beforeAutospacing="0" w:after="0" w:afterAutospacing="0"/>
                    <w:ind w:right="0"/>
                    <w:rPr>
                      <w:rFonts w:hint="default" w:ascii="Times New Roman" w:hAnsi="Times New Roman" w:cs="Times New Roman"/>
                      <w:color w:val="auto"/>
                      <w:sz w:val="21"/>
                      <w:szCs w:val="21"/>
                      <w:highlight w:val="none"/>
                      <w:lang w:val="en-US" w:eastAsia="zh-CN"/>
                    </w:rPr>
                  </w:pPr>
                </w:p>
              </w:tc>
              <w:tc>
                <w:tcPr>
                  <w:tcW w:w="1425" w:type="pct"/>
                  <w:tcBorders>
                    <w:top w:val="single" w:color="auto" w:sz="4" w:space="0"/>
                    <w:bottom w:val="single" w:color="auto" w:sz="4" w:space="0"/>
                  </w:tcBorders>
                  <w:vAlign w:val="center"/>
                </w:tcPr>
                <w:p w14:paraId="2E43A48D">
                  <w:pPr>
                    <w:pStyle w:val="157"/>
                    <w:keepNext w:val="0"/>
                    <w:keepLines w:val="0"/>
                    <w:widowControl w:val="0"/>
                    <w:suppressLineNumbers w:val="0"/>
                    <w:spacing w:before="0" w:beforeAutospacing="0" w:after="0" w:afterAutospacing="0"/>
                    <w:ind w:left="0" w:right="0"/>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冷凝器</w:t>
                  </w:r>
                </w:p>
              </w:tc>
              <w:tc>
                <w:tcPr>
                  <w:tcW w:w="782" w:type="pct"/>
                  <w:tcBorders>
                    <w:top w:val="single" w:color="auto" w:sz="4" w:space="0"/>
                    <w:bottom w:val="single" w:color="auto" w:sz="4" w:space="0"/>
                  </w:tcBorders>
                  <w:vAlign w:val="center"/>
                </w:tcPr>
                <w:p w14:paraId="72FF9FDC">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4台</w:t>
                  </w:r>
                </w:p>
              </w:tc>
              <w:tc>
                <w:tcPr>
                  <w:tcW w:w="1794" w:type="pct"/>
                  <w:tcBorders>
                    <w:top w:val="single" w:color="auto" w:sz="4" w:space="0"/>
                    <w:bottom w:val="single" w:color="auto" w:sz="4" w:space="0"/>
                  </w:tcBorders>
                  <w:vAlign w:val="center"/>
                </w:tcPr>
                <w:p w14:paraId="0EC5E94C">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5F57DD37">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28" w:type="dxa"/>
                  <w:bottom w:w="0" w:type="dxa"/>
                  <w:right w:w="28" w:type="dxa"/>
                </w:tblCellMar>
              </w:tblPrEx>
              <w:trPr>
                <w:cantSplit/>
                <w:trHeight w:val="0" w:hRule="atLeast"/>
                <w:jc w:val="center"/>
              </w:trPr>
              <w:tc>
                <w:tcPr>
                  <w:tcW w:w="997" w:type="pct"/>
                  <w:vMerge w:val="continue"/>
                  <w:vAlign w:val="center"/>
                </w:tcPr>
                <w:p w14:paraId="70FDC042">
                  <w:pPr>
                    <w:pStyle w:val="6"/>
                    <w:keepNext w:val="0"/>
                    <w:keepLines w:val="0"/>
                    <w:suppressLineNumbers w:val="0"/>
                    <w:bidi w:val="0"/>
                    <w:spacing w:before="0" w:beforeAutospacing="0" w:after="0" w:afterAutospacing="0"/>
                    <w:ind w:right="0"/>
                    <w:rPr>
                      <w:rFonts w:hint="default" w:ascii="Times New Roman" w:hAnsi="Times New Roman" w:cs="Times New Roman"/>
                      <w:color w:val="auto"/>
                      <w:sz w:val="21"/>
                      <w:szCs w:val="21"/>
                      <w:highlight w:val="none"/>
                      <w:lang w:val="en-US" w:eastAsia="zh-CN"/>
                    </w:rPr>
                  </w:pPr>
                </w:p>
              </w:tc>
              <w:tc>
                <w:tcPr>
                  <w:tcW w:w="1425" w:type="pct"/>
                  <w:tcBorders>
                    <w:top w:val="single" w:color="auto" w:sz="4" w:space="0"/>
                    <w:bottom w:val="single" w:color="auto" w:sz="4" w:space="0"/>
                  </w:tcBorders>
                  <w:vAlign w:val="center"/>
                </w:tcPr>
                <w:p w14:paraId="018B1A45">
                  <w:pPr>
                    <w:pStyle w:val="157"/>
                    <w:keepNext w:val="0"/>
                    <w:keepLines w:val="0"/>
                    <w:widowControl w:val="0"/>
                    <w:suppressLineNumbers w:val="0"/>
                    <w:spacing w:before="0" w:beforeAutospacing="0" w:after="0" w:afterAutospacing="0"/>
                    <w:ind w:left="0" w:right="0"/>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空压机</w:t>
                  </w:r>
                </w:p>
              </w:tc>
              <w:tc>
                <w:tcPr>
                  <w:tcW w:w="782" w:type="pct"/>
                  <w:tcBorders>
                    <w:top w:val="single" w:color="auto" w:sz="4" w:space="0"/>
                    <w:bottom w:val="single" w:color="auto" w:sz="4" w:space="0"/>
                  </w:tcBorders>
                  <w:vAlign w:val="center"/>
                </w:tcPr>
                <w:p w14:paraId="094281C6">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5台</w:t>
                  </w:r>
                </w:p>
              </w:tc>
              <w:tc>
                <w:tcPr>
                  <w:tcW w:w="1794" w:type="pct"/>
                  <w:tcBorders>
                    <w:top w:val="single" w:color="auto" w:sz="4" w:space="0"/>
                    <w:bottom w:val="single" w:color="auto" w:sz="4" w:space="0"/>
                  </w:tcBorders>
                  <w:vAlign w:val="center"/>
                </w:tcPr>
                <w:p w14:paraId="2A15AC9C">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1B69EA60">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28" w:type="dxa"/>
                  <w:bottom w:w="0" w:type="dxa"/>
                  <w:right w:w="28" w:type="dxa"/>
                </w:tblCellMar>
              </w:tblPrEx>
              <w:trPr>
                <w:cantSplit/>
                <w:trHeight w:val="0" w:hRule="atLeast"/>
                <w:jc w:val="center"/>
              </w:trPr>
              <w:tc>
                <w:tcPr>
                  <w:tcW w:w="997" w:type="pct"/>
                  <w:vMerge w:val="continue"/>
                  <w:vAlign w:val="center"/>
                </w:tcPr>
                <w:p w14:paraId="114EDEE0">
                  <w:pPr>
                    <w:pStyle w:val="6"/>
                    <w:keepNext w:val="0"/>
                    <w:keepLines w:val="0"/>
                    <w:suppressLineNumbers w:val="0"/>
                    <w:bidi w:val="0"/>
                    <w:spacing w:before="0" w:beforeAutospacing="0" w:after="0" w:afterAutospacing="0"/>
                    <w:ind w:right="0"/>
                    <w:rPr>
                      <w:rFonts w:hint="default" w:ascii="Times New Roman" w:hAnsi="Times New Roman" w:cs="Times New Roman"/>
                      <w:color w:val="auto"/>
                      <w:sz w:val="21"/>
                      <w:szCs w:val="21"/>
                      <w:highlight w:val="none"/>
                      <w:lang w:val="en-US" w:eastAsia="zh-CN"/>
                    </w:rPr>
                  </w:pPr>
                </w:p>
              </w:tc>
              <w:tc>
                <w:tcPr>
                  <w:tcW w:w="1425" w:type="pct"/>
                  <w:tcBorders>
                    <w:top w:val="single" w:color="auto" w:sz="4" w:space="0"/>
                    <w:bottom w:val="single" w:color="auto" w:sz="4" w:space="0"/>
                  </w:tcBorders>
                  <w:vAlign w:val="center"/>
                </w:tcPr>
                <w:p w14:paraId="4EF01524">
                  <w:pPr>
                    <w:pStyle w:val="157"/>
                    <w:keepNext w:val="0"/>
                    <w:keepLines w:val="0"/>
                    <w:widowControl w:val="0"/>
                    <w:suppressLineNumbers w:val="0"/>
                    <w:spacing w:before="0" w:beforeAutospacing="0" w:after="0" w:afterAutospacing="0"/>
                    <w:ind w:left="0" w:right="0"/>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泵</w:t>
                  </w:r>
                </w:p>
              </w:tc>
              <w:tc>
                <w:tcPr>
                  <w:tcW w:w="782" w:type="pct"/>
                  <w:tcBorders>
                    <w:top w:val="single" w:color="auto" w:sz="4" w:space="0"/>
                    <w:bottom w:val="single" w:color="auto" w:sz="4" w:space="0"/>
                  </w:tcBorders>
                  <w:vAlign w:val="center"/>
                </w:tcPr>
                <w:p w14:paraId="4D1D2811">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10台</w:t>
                  </w:r>
                </w:p>
              </w:tc>
              <w:tc>
                <w:tcPr>
                  <w:tcW w:w="1794" w:type="pct"/>
                  <w:tcBorders>
                    <w:top w:val="single" w:color="auto" w:sz="4" w:space="0"/>
                    <w:bottom w:val="single" w:color="auto" w:sz="4" w:space="0"/>
                  </w:tcBorders>
                  <w:vAlign w:val="center"/>
                </w:tcPr>
                <w:p w14:paraId="6629C42D">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2F715F8A">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28" w:type="dxa"/>
                  <w:bottom w:w="0" w:type="dxa"/>
                  <w:right w:w="28" w:type="dxa"/>
                </w:tblCellMar>
              </w:tblPrEx>
              <w:trPr>
                <w:cantSplit/>
                <w:trHeight w:val="0" w:hRule="atLeast"/>
                <w:jc w:val="center"/>
              </w:trPr>
              <w:tc>
                <w:tcPr>
                  <w:tcW w:w="997" w:type="pct"/>
                  <w:vMerge w:val="continue"/>
                  <w:tcBorders>
                    <w:bottom w:val="single" w:color="auto" w:sz="4" w:space="0"/>
                  </w:tcBorders>
                  <w:vAlign w:val="center"/>
                </w:tcPr>
                <w:p w14:paraId="3F8994C3">
                  <w:pPr>
                    <w:pStyle w:val="6"/>
                    <w:keepNext w:val="0"/>
                    <w:keepLines w:val="0"/>
                    <w:suppressLineNumbers w:val="0"/>
                    <w:bidi w:val="0"/>
                    <w:spacing w:before="0" w:beforeAutospacing="0" w:after="0" w:afterAutospacing="0"/>
                    <w:ind w:right="0"/>
                    <w:rPr>
                      <w:rFonts w:hint="default" w:ascii="Times New Roman" w:hAnsi="Times New Roman" w:cs="Times New Roman"/>
                      <w:color w:val="auto"/>
                      <w:sz w:val="21"/>
                      <w:szCs w:val="21"/>
                      <w:highlight w:val="none"/>
                      <w:lang w:val="en-US" w:eastAsia="zh-CN"/>
                    </w:rPr>
                  </w:pPr>
                </w:p>
              </w:tc>
              <w:tc>
                <w:tcPr>
                  <w:tcW w:w="1425" w:type="pct"/>
                  <w:tcBorders>
                    <w:top w:val="single" w:color="auto" w:sz="4" w:space="0"/>
                    <w:bottom w:val="single" w:color="auto" w:sz="4" w:space="0"/>
                  </w:tcBorders>
                  <w:vAlign w:val="center"/>
                </w:tcPr>
                <w:p w14:paraId="5D1C7217">
                  <w:pPr>
                    <w:pStyle w:val="157"/>
                    <w:keepNext w:val="0"/>
                    <w:keepLines w:val="0"/>
                    <w:widowControl w:val="0"/>
                    <w:suppressLineNumbers w:val="0"/>
                    <w:spacing w:before="0" w:beforeAutospacing="0" w:after="0" w:afterAutospacing="0"/>
                    <w:ind w:left="0" w:right="0"/>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冷凝器</w:t>
                  </w:r>
                </w:p>
              </w:tc>
              <w:tc>
                <w:tcPr>
                  <w:tcW w:w="782" w:type="pct"/>
                  <w:tcBorders>
                    <w:top w:val="single" w:color="auto" w:sz="4" w:space="0"/>
                    <w:bottom w:val="single" w:color="auto" w:sz="4" w:space="0"/>
                  </w:tcBorders>
                  <w:vAlign w:val="center"/>
                </w:tcPr>
                <w:p w14:paraId="0FE8A397">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2台</w:t>
                  </w:r>
                </w:p>
              </w:tc>
              <w:tc>
                <w:tcPr>
                  <w:tcW w:w="1794" w:type="pct"/>
                  <w:tcBorders>
                    <w:top w:val="single" w:color="auto" w:sz="4" w:space="0"/>
                    <w:bottom w:val="single" w:color="auto" w:sz="4" w:space="0"/>
                  </w:tcBorders>
                  <w:vAlign w:val="center"/>
                </w:tcPr>
                <w:p w14:paraId="1A08BE5E">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16717303">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28" w:type="dxa"/>
                  <w:bottom w:w="0" w:type="dxa"/>
                  <w:right w:w="28" w:type="dxa"/>
                </w:tblCellMar>
              </w:tblPrEx>
              <w:trPr>
                <w:cantSplit/>
                <w:trHeight w:val="0" w:hRule="atLeast"/>
                <w:jc w:val="center"/>
              </w:trPr>
              <w:tc>
                <w:tcPr>
                  <w:tcW w:w="997" w:type="pct"/>
                  <w:vMerge w:val="restart"/>
                  <w:tcBorders>
                    <w:top w:val="single" w:color="auto" w:sz="4" w:space="0"/>
                  </w:tcBorders>
                  <w:vAlign w:val="center"/>
                </w:tcPr>
                <w:p w14:paraId="3FC78CD7">
                  <w:pPr>
                    <w:pStyle w:val="6"/>
                    <w:keepNext w:val="0"/>
                    <w:keepLines w:val="0"/>
                    <w:suppressLineNumbers w:val="0"/>
                    <w:bidi w:val="0"/>
                    <w:spacing w:before="0" w:beforeAutospacing="0" w:after="0" w:afterAutospacing="0"/>
                    <w:ind w:right="0"/>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三元乙丙密封胶条车间</w:t>
                  </w:r>
                </w:p>
              </w:tc>
              <w:tc>
                <w:tcPr>
                  <w:tcW w:w="1425" w:type="pct"/>
                  <w:tcBorders>
                    <w:top w:val="single" w:color="auto" w:sz="4" w:space="0"/>
                    <w:bottom w:val="single" w:color="auto" w:sz="4" w:space="0"/>
                  </w:tcBorders>
                  <w:vAlign w:val="center"/>
                </w:tcPr>
                <w:p w14:paraId="47D1BCDB">
                  <w:pPr>
                    <w:pStyle w:val="157"/>
                    <w:keepNext w:val="0"/>
                    <w:keepLines w:val="0"/>
                    <w:widowControl w:val="0"/>
                    <w:suppressLineNumbers w:val="0"/>
                    <w:spacing w:before="0" w:beforeAutospacing="0" w:after="0" w:afterAutospacing="0"/>
                    <w:ind w:left="0" w:right="0"/>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挤出微波硫化生产线</w:t>
                  </w:r>
                </w:p>
              </w:tc>
              <w:tc>
                <w:tcPr>
                  <w:tcW w:w="782" w:type="pct"/>
                  <w:tcBorders>
                    <w:top w:val="single" w:color="auto" w:sz="4" w:space="0"/>
                    <w:bottom w:val="single" w:color="auto" w:sz="4" w:space="0"/>
                  </w:tcBorders>
                  <w:vAlign w:val="center"/>
                </w:tcPr>
                <w:p w14:paraId="1952AEF8">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4台</w:t>
                  </w:r>
                </w:p>
              </w:tc>
              <w:tc>
                <w:tcPr>
                  <w:tcW w:w="1794" w:type="pct"/>
                  <w:tcBorders>
                    <w:top w:val="single" w:color="auto" w:sz="4" w:space="0"/>
                    <w:bottom w:val="single" w:color="auto" w:sz="4" w:space="0"/>
                  </w:tcBorders>
                  <w:vAlign w:val="center"/>
                </w:tcPr>
                <w:p w14:paraId="0A5D7488">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90单</w:t>
                  </w:r>
                </w:p>
              </w:tc>
            </w:tr>
            <w:tr w14:paraId="10F42459">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28" w:type="dxa"/>
                  <w:bottom w:w="0" w:type="dxa"/>
                  <w:right w:w="28" w:type="dxa"/>
                </w:tblCellMar>
              </w:tblPrEx>
              <w:trPr>
                <w:cantSplit/>
                <w:trHeight w:val="0" w:hRule="atLeast"/>
                <w:jc w:val="center"/>
              </w:trPr>
              <w:tc>
                <w:tcPr>
                  <w:tcW w:w="997" w:type="pct"/>
                  <w:vMerge w:val="continue"/>
                  <w:vAlign w:val="center"/>
                </w:tcPr>
                <w:p w14:paraId="7BECB222">
                  <w:pPr>
                    <w:pStyle w:val="6"/>
                    <w:keepNext w:val="0"/>
                    <w:keepLines w:val="0"/>
                    <w:suppressLineNumbers w:val="0"/>
                    <w:bidi w:val="0"/>
                    <w:spacing w:before="0" w:beforeAutospacing="0" w:after="0" w:afterAutospacing="0"/>
                    <w:ind w:right="0"/>
                    <w:rPr>
                      <w:rFonts w:hint="default" w:ascii="Times New Roman" w:hAnsi="Times New Roman" w:cs="Times New Roman"/>
                      <w:color w:val="auto"/>
                      <w:sz w:val="21"/>
                      <w:szCs w:val="21"/>
                      <w:highlight w:val="none"/>
                      <w:lang w:val="en-US" w:eastAsia="zh-CN"/>
                    </w:rPr>
                  </w:pPr>
                </w:p>
              </w:tc>
              <w:tc>
                <w:tcPr>
                  <w:tcW w:w="1425" w:type="pct"/>
                  <w:tcBorders>
                    <w:top w:val="single" w:color="auto" w:sz="4" w:space="0"/>
                    <w:bottom w:val="single" w:color="auto" w:sz="4" w:space="0"/>
                  </w:tcBorders>
                  <w:vAlign w:val="center"/>
                </w:tcPr>
                <w:p w14:paraId="2A258795">
                  <w:pPr>
                    <w:pStyle w:val="157"/>
                    <w:keepNext w:val="0"/>
                    <w:keepLines w:val="0"/>
                    <w:widowControl w:val="0"/>
                    <w:suppressLineNumbers w:val="0"/>
                    <w:spacing w:before="0" w:beforeAutospacing="0" w:after="0" w:afterAutospacing="0"/>
                    <w:ind w:left="0" w:right="0"/>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挤出微波硫化生产线</w:t>
                  </w:r>
                </w:p>
              </w:tc>
              <w:tc>
                <w:tcPr>
                  <w:tcW w:w="782" w:type="pct"/>
                  <w:tcBorders>
                    <w:top w:val="single" w:color="auto" w:sz="4" w:space="0"/>
                    <w:bottom w:val="single" w:color="auto" w:sz="4" w:space="0"/>
                  </w:tcBorders>
                  <w:vAlign w:val="center"/>
                </w:tcPr>
                <w:p w14:paraId="315DC6A2">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8台</w:t>
                  </w:r>
                </w:p>
              </w:tc>
              <w:tc>
                <w:tcPr>
                  <w:tcW w:w="1794" w:type="pct"/>
                  <w:tcBorders>
                    <w:top w:val="single" w:color="auto" w:sz="4" w:space="0"/>
                    <w:bottom w:val="single" w:color="auto" w:sz="4" w:space="0"/>
                  </w:tcBorders>
                  <w:vAlign w:val="center"/>
                </w:tcPr>
                <w:p w14:paraId="029B666A">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75单</w:t>
                  </w:r>
                </w:p>
              </w:tc>
            </w:tr>
            <w:tr w14:paraId="45DE0B1A">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28" w:type="dxa"/>
                  <w:bottom w:w="0" w:type="dxa"/>
                  <w:right w:w="28" w:type="dxa"/>
                </w:tblCellMar>
              </w:tblPrEx>
              <w:trPr>
                <w:cantSplit/>
                <w:trHeight w:val="0" w:hRule="atLeast"/>
                <w:jc w:val="center"/>
              </w:trPr>
              <w:tc>
                <w:tcPr>
                  <w:tcW w:w="997" w:type="pct"/>
                  <w:vMerge w:val="continue"/>
                  <w:vAlign w:val="center"/>
                </w:tcPr>
                <w:p w14:paraId="7A13649D">
                  <w:pPr>
                    <w:pStyle w:val="6"/>
                    <w:keepNext w:val="0"/>
                    <w:keepLines w:val="0"/>
                    <w:suppressLineNumbers w:val="0"/>
                    <w:bidi w:val="0"/>
                    <w:spacing w:before="0" w:beforeAutospacing="0" w:after="0" w:afterAutospacing="0"/>
                    <w:ind w:right="0"/>
                    <w:rPr>
                      <w:rFonts w:hint="default" w:ascii="Times New Roman" w:hAnsi="Times New Roman" w:cs="Times New Roman"/>
                      <w:color w:val="auto"/>
                      <w:sz w:val="21"/>
                      <w:szCs w:val="21"/>
                      <w:highlight w:val="none"/>
                      <w:lang w:val="en-US" w:eastAsia="zh-CN"/>
                    </w:rPr>
                  </w:pPr>
                </w:p>
              </w:tc>
              <w:tc>
                <w:tcPr>
                  <w:tcW w:w="1425" w:type="pct"/>
                  <w:tcBorders>
                    <w:top w:val="single" w:color="auto" w:sz="4" w:space="0"/>
                    <w:bottom w:val="single" w:color="auto" w:sz="4" w:space="0"/>
                  </w:tcBorders>
                  <w:vAlign w:val="center"/>
                </w:tcPr>
                <w:p w14:paraId="3A104FB7">
                  <w:pPr>
                    <w:pStyle w:val="157"/>
                    <w:keepNext w:val="0"/>
                    <w:keepLines w:val="0"/>
                    <w:widowControl w:val="0"/>
                    <w:suppressLineNumbers w:val="0"/>
                    <w:spacing w:before="0" w:beforeAutospacing="0" w:after="0" w:afterAutospacing="0"/>
                    <w:ind w:left="0" w:right="0"/>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挤出微波硫化生产线</w:t>
                  </w:r>
                </w:p>
              </w:tc>
              <w:tc>
                <w:tcPr>
                  <w:tcW w:w="782" w:type="pct"/>
                  <w:tcBorders>
                    <w:top w:val="single" w:color="auto" w:sz="4" w:space="0"/>
                    <w:bottom w:val="single" w:color="auto" w:sz="4" w:space="0"/>
                  </w:tcBorders>
                  <w:vAlign w:val="center"/>
                </w:tcPr>
                <w:p w14:paraId="47021EBE">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2台</w:t>
                  </w:r>
                </w:p>
              </w:tc>
              <w:tc>
                <w:tcPr>
                  <w:tcW w:w="1794" w:type="pct"/>
                  <w:tcBorders>
                    <w:top w:val="single" w:color="auto" w:sz="4" w:space="0"/>
                    <w:bottom w:val="single" w:color="auto" w:sz="4" w:space="0"/>
                  </w:tcBorders>
                  <w:vAlign w:val="center"/>
                </w:tcPr>
                <w:p w14:paraId="6CBC751E">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75+50二复合</w:t>
                  </w:r>
                </w:p>
              </w:tc>
            </w:tr>
            <w:tr w14:paraId="018FD2C6">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28" w:type="dxa"/>
                  <w:bottom w:w="0" w:type="dxa"/>
                  <w:right w:w="28" w:type="dxa"/>
                </w:tblCellMar>
              </w:tblPrEx>
              <w:trPr>
                <w:cantSplit/>
                <w:trHeight w:val="0" w:hRule="atLeast"/>
                <w:jc w:val="center"/>
              </w:trPr>
              <w:tc>
                <w:tcPr>
                  <w:tcW w:w="997" w:type="pct"/>
                  <w:vMerge w:val="continue"/>
                  <w:vAlign w:val="center"/>
                </w:tcPr>
                <w:p w14:paraId="60C54985">
                  <w:pPr>
                    <w:pStyle w:val="6"/>
                    <w:keepNext w:val="0"/>
                    <w:keepLines w:val="0"/>
                    <w:suppressLineNumbers w:val="0"/>
                    <w:bidi w:val="0"/>
                    <w:spacing w:before="0" w:beforeAutospacing="0" w:after="0" w:afterAutospacing="0"/>
                    <w:ind w:right="0"/>
                    <w:rPr>
                      <w:rFonts w:hint="default" w:ascii="Times New Roman" w:hAnsi="Times New Roman" w:cs="Times New Roman"/>
                      <w:color w:val="auto"/>
                      <w:sz w:val="21"/>
                      <w:szCs w:val="21"/>
                      <w:highlight w:val="none"/>
                      <w:lang w:val="en-US" w:eastAsia="zh-CN"/>
                    </w:rPr>
                  </w:pPr>
                </w:p>
              </w:tc>
              <w:tc>
                <w:tcPr>
                  <w:tcW w:w="1425" w:type="pct"/>
                  <w:tcBorders>
                    <w:top w:val="single" w:color="auto" w:sz="4" w:space="0"/>
                    <w:bottom w:val="single" w:color="auto" w:sz="4" w:space="0"/>
                  </w:tcBorders>
                  <w:vAlign w:val="center"/>
                </w:tcPr>
                <w:p w14:paraId="024FA51D">
                  <w:pPr>
                    <w:pStyle w:val="157"/>
                    <w:keepNext w:val="0"/>
                    <w:keepLines w:val="0"/>
                    <w:widowControl w:val="0"/>
                    <w:suppressLineNumbers w:val="0"/>
                    <w:spacing w:before="0" w:beforeAutospacing="0" w:after="0" w:afterAutospacing="0"/>
                    <w:ind w:left="0" w:right="0"/>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开炼机</w:t>
                  </w:r>
                </w:p>
              </w:tc>
              <w:tc>
                <w:tcPr>
                  <w:tcW w:w="782" w:type="pct"/>
                  <w:tcBorders>
                    <w:top w:val="single" w:color="auto" w:sz="4" w:space="0"/>
                    <w:bottom w:val="single" w:color="auto" w:sz="4" w:space="0"/>
                  </w:tcBorders>
                  <w:vAlign w:val="center"/>
                </w:tcPr>
                <w:p w14:paraId="6077D09C">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1台</w:t>
                  </w:r>
                </w:p>
              </w:tc>
              <w:tc>
                <w:tcPr>
                  <w:tcW w:w="1794" w:type="pct"/>
                  <w:tcBorders>
                    <w:top w:val="single" w:color="auto" w:sz="4" w:space="0"/>
                    <w:bottom w:val="single" w:color="auto" w:sz="4" w:space="0"/>
                  </w:tcBorders>
                  <w:vAlign w:val="center"/>
                </w:tcPr>
                <w:p w14:paraId="2ECABB98">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22寸</w:t>
                  </w:r>
                </w:p>
              </w:tc>
            </w:tr>
            <w:tr w14:paraId="13CE3D0A">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28" w:type="dxa"/>
                  <w:bottom w:w="0" w:type="dxa"/>
                  <w:right w:w="28" w:type="dxa"/>
                </w:tblCellMar>
              </w:tblPrEx>
              <w:trPr>
                <w:cantSplit/>
                <w:trHeight w:val="0" w:hRule="atLeast"/>
                <w:jc w:val="center"/>
              </w:trPr>
              <w:tc>
                <w:tcPr>
                  <w:tcW w:w="997" w:type="pct"/>
                  <w:vMerge w:val="continue"/>
                  <w:vAlign w:val="center"/>
                </w:tcPr>
                <w:p w14:paraId="58B731C3">
                  <w:pPr>
                    <w:pStyle w:val="6"/>
                    <w:keepNext w:val="0"/>
                    <w:keepLines w:val="0"/>
                    <w:suppressLineNumbers w:val="0"/>
                    <w:bidi w:val="0"/>
                    <w:spacing w:before="0" w:beforeAutospacing="0" w:after="0" w:afterAutospacing="0"/>
                    <w:ind w:right="0"/>
                    <w:rPr>
                      <w:rFonts w:hint="default" w:ascii="Times New Roman" w:hAnsi="Times New Roman" w:cs="Times New Roman"/>
                      <w:color w:val="auto"/>
                      <w:sz w:val="21"/>
                      <w:szCs w:val="21"/>
                      <w:highlight w:val="none"/>
                      <w:lang w:val="en-US" w:eastAsia="zh-CN"/>
                    </w:rPr>
                  </w:pPr>
                </w:p>
              </w:tc>
              <w:tc>
                <w:tcPr>
                  <w:tcW w:w="1425" w:type="pct"/>
                  <w:tcBorders>
                    <w:top w:val="single" w:color="auto" w:sz="4" w:space="0"/>
                    <w:bottom w:val="single" w:color="auto" w:sz="4" w:space="0"/>
                  </w:tcBorders>
                  <w:vAlign w:val="center"/>
                </w:tcPr>
                <w:p w14:paraId="362C0C88">
                  <w:pPr>
                    <w:pStyle w:val="157"/>
                    <w:keepNext w:val="0"/>
                    <w:keepLines w:val="0"/>
                    <w:widowControl w:val="0"/>
                    <w:suppressLineNumbers w:val="0"/>
                    <w:spacing w:before="0" w:beforeAutospacing="0" w:after="0" w:afterAutospacing="0"/>
                    <w:ind w:left="0" w:right="0"/>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密炼机</w:t>
                  </w:r>
                </w:p>
              </w:tc>
              <w:tc>
                <w:tcPr>
                  <w:tcW w:w="782" w:type="pct"/>
                  <w:tcBorders>
                    <w:top w:val="single" w:color="auto" w:sz="4" w:space="0"/>
                    <w:bottom w:val="single" w:color="auto" w:sz="4" w:space="0"/>
                  </w:tcBorders>
                  <w:vAlign w:val="center"/>
                </w:tcPr>
                <w:p w14:paraId="3FDE2BCA">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1台</w:t>
                  </w:r>
                </w:p>
              </w:tc>
              <w:tc>
                <w:tcPr>
                  <w:tcW w:w="1794" w:type="pct"/>
                  <w:tcBorders>
                    <w:top w:val="single" w:color="auto" w:sz="4" w:space="0"/>
                    <w:bottom w:val="single" w:color="auto" w:sz="4" w:space="0"/>
                  </w:tcBorders>
                  <w:vAlign w:val="center"/>
                </w:tcPr>
                <w:p w14:paraId="6CE445D2">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110L</w:t>
                  </w:r>
                </w:p>
              </w:tc>
            </w:tr>
            <w:tr w14:paraId="350A9CA2">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28" w:type="dxa"/>
                  <w:bottom w:w="0" w:type="dxa"/>
                  <w:right w:w="28" w:type="dxa"/>
                </w:tblCellMar>
              </w:tblPrEx>
              <w:trPr>
                <w:cantSplit/>
                <w:trHeight w:val="0" w:hRule="atLeast"/>
                <w:jc w:val="center"/>
              </w:trPr>
              <w:tc>
                <w:tcPr>
                  <w:tcW w:w="997" w:type="pct"/>
                  <w:vMerge w:val="continue"/>
                  <w:vAlign w:val="center"/>
                </w:tcPr>
                <w:p w14:paraId="3F73A513">
                  <w:pPr>
                    <w:pStyle w:val="6"/>
                    <w:keepNext w:val="0"/>
                    <w:keepLines w:val="0"/>
                    <w:suppressLineNumbers w:val="0"/>
                    <w:bidi w:val="0"/>
                    <w:spacing w:before="0" w:beforeAutospacing="0" w:after="0" w:afterAutospacing="0"/>
                    <w:ind w:right="0"/>
                    <w:rPr>
                      <w:rFonts w:hint="default" w:ascii="Times New Roman" w:hAnsi="Times New Roman" w:cs="Times New Roman"/>
                      <w:color w:val="auto"/>
                      <w:sz w:val="21"/>
                      <w:szCs w:val="21"/>
                      <w:highlight w:val="none"/>
                      <w:lang w:val="en-US" w:eastAsia="zh-CN"/>
                    </w:rPr>
                  </w:pPr>
                </w:p>
              </w:tc>
              <w:tc>
                <w:tcPr>
                  <w:tcW w:w="1425" w:type="pct"/>
                  <w:tcBorders>
                    <w:top w:val="single" w:color="auto" w:sz="4" w:space="0"/>
                    <w:bottom w:val="single" w:color="auto" w:sz="4" w:space="0"/>
                  </w:tcBorders>
                  <w:vAlign w:val="center"/>
                </w:tcPr>
                <w:p w14:paraId="3169C895">
                  <w:pPr>
                    <w:pStyle w:val="157"/>
                    <w:keepNext w:val="0"/>
                    <w:keepLines w:val="0"/>
                    <w:widowControl w:val="0"/>
                    <w:suppressLineNumbers w:val="0"/>
                    <w:spacing w:before="0" w:beforeAutospacing="0" w:after="0" w:afterAutospacing="0"/>
                    <w:ind w:left="0" w:right="0"/>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风机</w:t>
                  </w:r>
                </w:p>
              </w:tc>
              <w:tc>
                <w:tcPr>
                  <w:tcW w:w="782" w:type="pct"/>
                  <w:tcBorders>
                    <w:top w:val="single" w:color="auto" w:sz="4" w:space="0"/>
                    <w:bottom w:val="single" w:color="auto" w:sz="4" w:space="0"/>
                  </w:tcBorders>
                  <w:vAlign w:val="center"/>
                </w:tcPr>
                <w:p w14:paraId="16683F4C">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10台</w:t>
                  </w:r>
                </w:p>
              </w:tc>
              <w:tc>
                <w:tcPr>
                  <w:tcW w:w="1794" w:type="pct"/>
                  <w:tcBorders>
                    <w:top w:val="single" w:color="auto" w:sz="4" w:space="0"/>
                    <w:bottom w:val="single" w:color="auto" w:sz="4" w:space="0"/>
                  </w:tcBorders>
                  <w:vAlign w:val="center"/>
                </w:tcPr>
                <w:p w14:paraId="3B652387">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6DC53D33">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28" w:type="dxa"/>
                  <w:bottom w:w="0" w:type="dxa"/>
                  <w:right w:w="28" w:type="dxa"/>
                </w:tblCellMar>
              </w:tblPrEx>
              <w:trPr>
                <w:cantSplit/>
                <w:trHeight w:val="0" w:hRule="atLeast"/>
                <w:jc w:val="center"/>
              </w:trPr>
              <w:tc>
                <w:tcPr>
                  <w:tcW w:w="997" w:type="pct"/>
                  <w:vMerge w:val="continue"/>
                  <w:tcBorders>
                    <w:bottom w:val="single" w:color="auto" w:sz="12" w:space="0"/>
                  </w:tcBorders>
                  <w:vAlign w:val="center"/>
                </w:tcPr>
                <w:p w14:paraId="65A33117">
                  <w:pPr>
                    <w:pStyle w:val="6"/>
                    <w:keepNext w:val="0"/>
                    <w:keepLines w:val="0"/>
                    <w:suppressLineNumbers w:val="0"/>
                    <w:bidi w:val="0"/>
                    <w:spacing w:before="0" w:beforeAutospacing="0" w:after="0" w:afterAutospacing="0"/>
                    <w:ind w:right="0"/>
                    <w:rPr>
                      <w:rFonts w:hint="default" w:ascii="Times New Roman" w:hAnsi="Times New Roman" w:cs="Times New Roman"/>
                      <w:color w:val="auto"/>
                      <w:sz w:val="21"/>
                      <w:szCs w:val="21"/>
                      <w:highlight w:val="none"/>
                      <w:lang w:val="en-US" w:eastAsia="zh-CN"/>
                    </w:rPr>
                  </w:pPr>
                </w:p>
              </w:tc>
              <w:tc>
                <w:tcPr>
                  <w:tcW w:w="1425" w:type="pct"/>
                  <w:tcBorders>
                    <w:top w:val="single" w:color="auto" w:sz="4" w:space="0"/>
                    <w:bottom w:val="single" w:color="auto" w:sz="12" w:space="0"/>
                  </w:tcBorders>
                  <w:vAlign w:val="center"/>
                </w:tcPr>
                <w:p w14:paraId="647193C1">
                  <w:pPr>
                    <w:pStyle w:val="157"/>
                    <w:keepNext w:val="0"/>
                    <w:keepLines w:val="0"/>
                    <w:widowControl w:val="0"/>
                    <w:suppressLineNumbers w:val="0"/>
                    <w:spacing w:before="0" w:beforeAutospacing="0" w:after="0" w:afterAutospacing="0"/>
                    <w:ind w:left="0" w:right="0"/>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泵</w:t>
                  </w:r>
                </w:p>
              </w:tc>
              <w:tc>
                <w:tcPr>
                  <w:tcW w:w="782" w:type="pct"/>
                  <w:tcBorders>
                    <w:top w:val="single" w:color="auto" w:sz="4" w:space="0"/>
                    <w:bottom w:val="single" w:color="auto" w:sz="12" w:space="0"/>
                  </w:tcBorders>
                  <w:vAlign w:val="center"/>
                </w:tcPr>
                <w:p w14:paraId="4E31B1C0">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5台</w:t>
                  </w:r>
                </w:p>
              </w:tc>
              <w:tc>
                <w:tcPr>
                  <w:tcW w:w="1794" w:type="pct"/>
                  <w:tcBorders>
                    <w:top w:val="single" w:color="auto" w:sz="4" w:space="0"/>
                    <w:bottom w:val="single" w:color="auto" w:sz="12" w:space="0"/>
                  </w:tcBorders>
                  <w:vAlign w:val="center"/>
                </w:tcPr>
                <w:p w14:paraId="63E9EE80">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bl>
          <w:p w14:paraId="12CD346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（4）现有项目原辅材料</w:t>
            </w:r>
          </w:p>
          <w:p w14:paraId="343ACFEE">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表2-</w:t>
            </w:r>
            <w:r>
              <w:rPr>
                <w:rFonts w:hint="eastAsia" w:ascii="Times New Roman" w:hAnsi="Times New Roman" w:cs="Times New Roman"/>
                <w:b/>
                <w:bCs/>
                <w:color w:val="auto"/>
                <w:highlight w:val="none"/>
                <w:lang w:val="en-US" w:eastAsia="zh-CN"/>
              </w:rPr>
              <w:t>1</w:t>
            </w:r>
            <w:r>
              <w:rPr>
                <w:rFonts w:hint="eastAsia" w:cs="Times New Roman"/>
                <w:b/>
                <w:bCs/>
                <w:color w:val="auto"/>
                <w:highlight w:val="none"/>
                <w:lang w:val="en-US" w:eastAsia="zh-CN"/>
              </w:rPr>
              <w:t>5</w:t>
            </w:r>
            <w:r>
              <w:rPr>
                <w:rFonts w:hint="default" w:ascii="Times New Roman" w:hAnsi="Times New Roman" w:cs="Times New Roman"/>
                <w:b/>
                <w:bCs/>
                <w:color w:val="auto"/>
                <w:highlight w:val="none"/>
                <w:lang w:val="en-US" w:eastAsia="zh-CN"/>
              </w:rPr>
              <w:t xml:space="preserve">   </w:t>
            </w:r>
            <w:r>
              <w:rPr>
                <w:rFonts w:hint="eastAsia" w:ascii="Times New Roman" w:hAnsi="Times New Roman" w:cs="Times New Roman"/>
                <w:b/>
                <w:bCs/>
                <w:color w:val="auto"/>
                <w:highlight w:val="none"/>
                <w:lang w:val="en-US" w:eastAsia="zh-CN"/>
              </w:rPr>
              <w:t>现有</w:t>
            </w:r>
            <w:r>
              <w:rPr>
                <w:rFonts w:hint="default" w:ascii="Times New Roman" w:hAnsi="Times New Roman" w:cs="Times New Roman"/>
                <w:b/>
                <w:bCs/>
                <w:color w:val="auto"/>
                <w:highlight w:val="none"/>
                <w:lang w:val="en-US" w:eastAsia="zh-CN"/>
              </w:rPr>
              <w:t>项目主要原辅料及能源消耗情况一览表</w:t>
            </w:r>
          </w:p>
          <w:tbl>
            <w:tblPr>
              <w:tblStyle w:val="3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3" w:type="dxa"/>
                <w:bottom w:w="0" w:type="dxa"/>
                <w:right w:w="23" w:type="dxa"/>
              </w:tblCellMar>
            </w:tblPr>
            <w:tblGrid>
              <w:gridCol w:w="1876"/>
              <w:gridCol w:w="1800"/>
              <w:gridCol w:w="862"/>
              <w:gridCol w:w="1609"/>
              <w:gridCol w:w="2239"/>
            </w:tblGrid>
            <w:tr w14:paraId="4ABEDA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0" w:hRule="atLeast"/>
                <w:jc w:val="center"/>
              </w:trPr>
              <w:tc>
                <w:tcPr>
                  <w:tcW w:w="1118" w:type="pct"/>
                  <w:tcBorders>
                    <w:bottom w:val="single" w:color="auto" w:sz="12" w:space="0"/>
                  </w:tcBorders>
                  <w:vAlign w:val="center"/>
                </w:tcPr>
                <w:p w14:paraId="61F838E7">
                  <w:pPr>
                    <w:pStyle w:val="6"/>
                    <w:keepNext w:val="0"/>
                    <w:keepLines w:val="0"/>
                    <w:suppressLineNumbers w:val="0"/>
                    <w:bidi w:val="0"/>
                    <w:spacing w:before="0" w:beforeAutospacing="0" w:after="0" w:afterAutospacing="0"/>
                    <w:ind w:right="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产品及产量</w:t>
                  </w:r>
                </w:p>
              </w:tc>
              <w:tc>
                <w:tcPr>
                  <w:tcW w:w="1073" w:type="pct"/>
                  <w:tcBorders>
                    <w:bottom w:val="single" w:color="auto" w:sz="12" w:space="0"/>
                  </w:tcBorders>
                  <w:vAlign w:val="center"/>
                </w:tcPr>
                <w:p w14:paraId="095CFA50">
                  <w:pPr>
                    <w:pStyle w:val="6"/>
                    <w:keepNext w:val="0"/>
                    <w:keepLines w:val="0"/>
                    <w:suppressLineNumbers w:val="0"/>
                    <w:bidi w:val="0"/>
                    <w:spacing w:before="0" w:beforeAutospacing="0" w:after="0" w:afterAutospacing="0"/>
                    <w:ind w:right="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原辅料</w:t>
                  </w:r>
                </w:p>
              </w:tc>
              <w:tc>
                <w:tcPr>
                  <w:tcW w:w="514" w:type="pct"/>
                  <w:tcBorders>
                    <w:bottom w:val="single" w:color="auto" w:sz="12" w:space="0"/>
                  </w:tcBorders>
                  <w:vAlign w:val="center"/>
                </w:tcPr>
                <w:p w14:paraId="1FA35521">
                  <w:pPr>
                    <w:pStyle w:val="6"/>
                    <w:keepNext w:val="0"/>
                    <w:keepLines w:val="0"/>
                    <w:suppressLineNumbers w:val="0"/>
                    <w:bidi w:val="0"/>
                    <w:spacing w:before="0" w:beforeAutospacing="0" w:after="0" w:afterAutospacing="0"/>
                    <w:ind w:right="0"/>
                    <w:jc w:val="center"/>
                    <w:rPr>
                      <w:rFonts w:hint="default" w:ascii="Times New Roman" w:hAnsi="Times New Roman"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单位</w:t>
                  </w:r>
                </w:p>
              </w:tc>
              <w:tc>
                <w:tcPr>
                  <w:tcW w:w="959" w:type="pct"/>
                  <w:tcBorders>
                    <w:bottom w:val="single" w:color="auto" w:sz="12" w:space="0"/>
                  </w:tcBorders>
                  <w:vAlign w:val="center"/>
                </w:tcPr>
                <w:p w14:paraId="35080A3C">
                  <w:pPr>
                    <w:pStyle w:val="6"/>
                    <w:keepNext w:val="0"/>
                    <w:keepLines w:val="0"/>
                    <w:suppressLineNumbers w:val="0"/>
                    <w:bidi w:val="0"/>
                    <w:spacing w:before="0" w:beforeAutospacing="0" w:after="0" w:afterAutospacing="0"/>
                    <w:ind w:right="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年用量</w:t>
                  </w:r>
                </w:p>
              </w:tc>
              <w:tc>
                <w:tcPr>
                  <w:tcW w:w="1334" w:type="pct"/>
                  <w:tcBorders>
                    <w:bottom w:val="single" w:color="auto" w:sz="12" w:space="0"/>
                  </w:tcBorders>
                  <w:vAlign w:val="center"/>
                </w:tcPr>
                <w:p w14:paraId="383C1D76">
                  <w:pPr>
                    <w:pStyle w:val="6"/>
                    <w:keepNext w:val="0"/>
                    <w:keepLines w:val="0"/>
                    <w:suppressLineNumbers w:val="0"/>
                    <w:bidi w:val="0"/>
                    <w:spacing w:before="0" w:beforeAutospacing="0" w:after="0" w:afterAutospacing="0"/>
                    <w:ind w:right="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备注</w:t>
                  </w:r>
                </w:p>
              </w:tc>
            </w:tr>
            <w:tr w14:paraId="4590C4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90" w:hRule="atLeast"/>
                <w:jc w:val="center"/>
              </w:trPr>
              <w:tc>
                <w:tcPr>
                  <w:tcW w:w="1118" w:type="pct"/>
                  <w:vMerge w:val="restart"/>
                  <w:tcBorders>
                    <w:top w:val="single" w:color="auto" w:sz="4" w:space="0"/>
                  </w:tcBorders>
                  <w:vAlign w:val="center"/>
                </w:tcPr>
                <w:p w14:paraId="7711CF67">
                  <w:pPr>
                    <w:pStyle w:val="157"/>
                    <w:keepNext w:val="0"/>
                    <w:keepLines w:val="0"/>
                    <w:widowControl/>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硅酮密封胶</w:t>
                  </w:r>
                </w:p>
              </w:tc>
              <w:tc>
                <w:tcPr>
                  <w:tcW w:w="1073" w:type="pct"/>
                  <w:tcBorders>
                    <w:top w:val="single" w:color="auto" w:sz="4" w:space="0"/>
                    <w:bottom w:val="single" w:color="auto" w:sz="4" w:space="0"/>
                  </w:tcBorders>
                  <w:vAlign w:val="center"/>
                </w:tcPr>
                <w:p w14:paraId="4ACA0555">
                  <w:pPr>
                    <w:pStyle w:val="6"/>
                    <w:keepNext w:val="0"/>
                    <w:keepLines w:val="0"/>
                    <w:suppressLineNumbers w:val="0"/>
                    <w:bidi w:val="0"/>
                    <w:spacing w:before="0" w:beforeAutospacing="0" w:after="0" w:afterAutospacing="0"/>
                    <w:ind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107基胶</w:t>
                  </w:r>
                </w:p>
              </w:tc>
              <w:tc>
                <w:tcPr>
                  <w:tcW w:w="514" w:type="pct"/>
                  <w:tcBorders>
                    <w:top w:val="single" w:color="auto" w:sz="4" w:space="0"/>
                    <w:bottom w:val="single" w:color="auto" w:sz="4" w:space="0"/>
                  </w:tcBorders>
                  <w:vAlign w:val="center"/>
                </w:tcPr>
                <w:p w14:paraId="18621FAD">
                  <w:pPr>
                    <w:pStyle w:val="6"/>
                    <w:keepNext w:val="0"/>
                    <w:keepLines w:val="0"/>
                    <w:suppressLineNumbers w:val="0"/>
                    <w:bidi w:val="0"/>
                    <w:spacing w:before="0" w:beforeAutospacing="0" w:after="0" w:afterAutospacing="0"/>
                    <w:ind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t/a</w:t>
                  </w:r>
                </w:p>
              </w:tc>
              <w:tc>
                <w:tcPr>
                  <w:tcW w:w="959" w:type="pct"/>
                  <w:tcBorders>
                    <w:top w:val="single" w:color="auto" w:sz="4" w:space="0"/>
                    <w:bottom w:val="single" w:color="auto" w:sz="4" w:space="0"/>
                  </w:tcBorders>
                  <w:vAlign w:val="center"/>
                </w:tcPr>
                <w:p w14:paraId="20E5256B">
                  <w:pPr>
                    <w:pStyle w:val="6"/>
                    <w:keepNext w:val="0"/>
                    <w:keepLines w:val="0"/>
                    <w:suppressLineNumbers w:val="0"/>
                    <w:bidi w:val="0"/>
                    <w:spacing w:before="0" w:beforeAutospacing="0" w:after="0" w:afterAutospacing="0"/>
                    <w:ind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6224</w:t>
                  </w:r>
                </w:p>
              </w:tc>
              <w:tc>
                <w:tcPr>
                  <w:tcW w:w="1334" w:type="pct"/>
                  <w:tcBorders>
                    <w:top w:val="single" w:color="auto" w:sz="4" w:space="0"/>
                    <w:bottom w:val="single" w:color="auto" w:sz="4" w:space="0"/>
                  </w:tcBorders>
                  <w:vAlign w:val="center"/>
                </w:tcPr>
                <w:p w14:paraId="4DC9BF78">
                  <w:pPr>
                    <w:pStyle w:val="6"/>
                    <w:keepNext w:val="0"/>
                    <w:keepLines w:val="0"/>
                    <w:suppressLineNumbers w:val="0"/>
                    <w:bidi w:val="0"/>
                    <w:spacing w:before="0" w:beforeAutospacing="0" w:after="0" w:afterAutospacing="0"/>
                    <w:ind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基础聚合物</w:t>
                  </w:r>
                </w:p>
              </w:tc>
            </w:tr>
            <w:tr w14:paraId="6C2F4C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0" w:hRule="atLeast"/>
                <w:jc w:val="center"/>
              </w:trPr>
              <w:tc>
                <w:tcPr>
                  <w:tcW w:w="1118" w:type="pct"/>
                  <w:vMerge w:val="continue"/>
                  <w:vAlign w:val="center"/>
                </w:tcPr>
                <w:p w14:paraId="50C24B4D">
                  <w:pPr>
                    <w:pStyle w:val="157"/>
                    <w:keepNext w:val="0"/>
                    <w:keepLines w:val="0"/>
                    <w:widowControl/>
                    <w:suppressLineNumbers w:val="0"/>
                    <w:spacing w:before="0" w:beforeAutospacing="0" w:after="0" w:afterAutospacing="0"/>
                    <w:ind w:left="0" w:right="0"/>
                    <w:rPr>
                      <w:rFonts w:hint="default" w:ascii="Times New Roman" w:hAnsi="Times New Roman" w:eastAsia="宋体" w:cs="Times New Roman"/>
                      <w:color w:val="auto"/>
                      <w:kern w:val="2"/>
                      <w:sz w:val="21"/>
                      <w:szCs w:val="21"/>
                      <w:highlight w:val="none"/>
                      <w:lang w:val="en-US" w:eastAsia="zh-CN" w:bidi="ar-SA"/>
                    </w:rPr>
                  </w:pPr>
                </w:p>
              </w:tc>
              <w:tc>
                <w:tcPr>
                  <w:tcW w:w="1073" w:type="pct"/>
                  <w:tcBorders>
                    <w:top w:val="single" w:color="auto" w:sz="4" w:space="0"/>
                    <w:bottom w:val="single" w:color="auto" w:sz="4" w:space="0"/>
                  </w:tcBorders>
                  <w:vAlign w:val="center"/>
                </w:tcPr>
                <w:p w14:paraId="14FFC238">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硅油</w:t>
                  </w:r>
                </w:p>
              </w:tc>
              <w:tc>
                <w:tcPr>
                  <w:tcW w:w="514" w:type="pct"/>
                  <w:tcBorders>
                    <w:top w:val="single" w:color="auto" w:sz="4" w:space="0"/>
                    <w:bottom w:val="single" w:color="auto" w:sz="4" w:space="0"/>
                  </w:tcBorders>
                  <w:vAlign w:val="center"/>
                </w:tcPr>
                <w:p w14:paraId="13848A55">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t/a</w:t>
                  </w:r>
                </w:p>
              </w:tc>
              <w:tc>
                <w:tcPr>
                  <w:tcW w:w="959" w:type="pct"/>
                  <w:tcBorders>
                    <w:top w:val="single" w:color="auto" w:sz="4" w:space="0"/>
                    <w:bottom w:val="single" w:color="auto" w:sz="4" w:space="0"/>
                  </w:tcBorders>
                  <w:vAlign w:val="center"/>
                </w:tcPr>
                <w:p w14:paraId="0F4E3250">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1050</w:t>
                  </w:r>
                </w:p>
              </w:tc>
              <w:tc>
                <w:tcPr>
                  <w:tcW w:w="1334" w:type="pct"/>
                  <w:tcBorders>
                    <w:top w:val="single" w:color="auto" w:sz="4" w:space="0"/>
                    <w:bottom w:val="single" w:color="auto" w:sz="4" w:space="0"/>
                  </w:tcBorders>
                  <w:vAlign w:val="center"/>
                </w:tcPr>
                <w:p w14:paraId="4DF9548A">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填充油、增塑剂</w:t>
                  </w:r>
                </w:p>
              </w:tc>
            </w:tr>
            <w:tr w14:paraId="68CA38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0" w:hRule="atLeast"/>
                <w:jc w:val="center"/>
              </w:trPr>
              <w:tc>
                <w:tcPr>
                  <w:tcW w:w="1118" w:type="pct"/>
                  <w:vMerge w:val="continue"/>
                  <w:vAlign w:val="center"/>
                </w:tcPr>
                <w:p w14:paraId="1B8D3AB0">
                  <w:pPr>
                    <w:pStyle w:val="157"/>
                    <w:keepNext w:val="0"/>
                    <w:keepLines w:val="0"/>
                    <w:widowControl/>
                    <w:suppressLineNumbers w:val="0"/>
                    <w:spacing w:before="0" w:beforeAutospacing="0" w:after="0" w:afterAutospacing="0"/>
                    <w:ind w:left="0" w:right="0"/>
                    <w:rPr>
                      <w:rFonts w:hint="default" w:ascii="Times New Roman" w:hAnsi="Times New Roman" w:eastAsia="宋体" w:cs="Times New Roman"/>
                      <w:color w:val="auto"/>
                      <w:kern w:val="2"/>
                      <w:sz w:val="21"/>
                      <w:szCs w:val="21"/>
                      <w:highlight w:val="none"/>
                      <w:lang w:val="en-US" w:eastAsia="zh-CN" w:bidi="ar-SA"/>
                    </w:rPr>
                  </w:pPr>
                </w:p>
              </w:tc>
              <w:tc>
                <w:tcPr>
                  <w:tcW w:w="1073" w:type="pct"/>
                  <w:tcBorders>
                    <w:top w:val="single" w:color="auto" w:sz="4" w:space="0"/>
                    <w:bottom w:val="single" w:color="auto" w:sz="4" w:space="0"/>
                  </w:tcBorders>
                  <w:vAlign w:val="center"/>
                </w:tcPr>
                <w:p w14:paraId="463DBCBE">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碳酸钙</w:t>
                  </w:r>
                </w:p>
              </w:tc>
              <w:tc>
                <w:tcPr>
                  <w:tcW w:w="514" w:type="pct"/>
                  <w:tcBorders>
                    <w:top w:val="single" w:color="auto" w:sz="4" w:space="0"/>
                    <w:bottom w:val="single" w:color="auto" w:sz="4" w:space="0"/>
                  </w:tcBorders>
                  <w:vAlign w:val="center"/>
                </w:tcPr>
                <w:p w14:paraId="739B816F">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t/a</w:t>
                  </w:r>
                </w:p>
              </w:tc>
              <w:tc>
                <w:tcPr>
                  <w:tcW w:w="959" w:type="pct"/>
                  <w:tcBorders>
                    <w:top w:val="single" w:color="auto" w:sz="4" w:space="0"/>
                    <w:bottom w:val="single" w:color="auto" w:sz="4" w:space="0"/>
                  </w:tcBorders>
                  <w:vAlign w:val="center"/>
                </w:tcPr>
                <w:p w14:paraId="6DD58862">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8400</w:t>
                  </w:r>
                </w:p>
              </w:tc>
              <w:tc>
                <w:tcPr>
                  <w:tcW w:w="1334" w:type="pct"/>
                  <w:tcBorders>
                    <w:top w:val="single" w:color="auto" w:sz="4" w:space="0"/>
                    <w:bottom w:val="single" w:color="auto" w:sz="4" w:space="0"/>
                  </w:tcBorders>
                  <w:vAlign w:val="center"/>
                </w:tcPr>
                <w:p w14:paraId="390E9440">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填充剂</w:t>
                  </w:r>
                </w:p>
              </w:tc>
            </w:tr>
            <w:tr w14:paraId="786117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0" w:hRule="atLeast"/>
                <w:jc w:val="center"/>
              </w:trPr>
              <w:tc>
                <w:tcPr>
                  <w:tcW w:w="1118" w:type="pct"/>
                  <w:vMerge w:val="continue"/>
                  <w:tcBorders>
                    <w:tl2br w:val="nil"/>
                    <w:tr2bl w:val="nil"/>
                  </w:tcBorders>
                  <w:vAlign w:val="center"/>
                </w:tcPr>
                <w:p w14:paraId="34D65A9C">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p>
              </w:tc>
              <w:tc>
                <w:tcPr>
                  <w:tcW w:w="1073" w:type="pct"/>
                  <w:tcBorders>
                    <w:tl2br w:val="nil"/>
                    <w:tr2bl w:val="nil"/>
                  </w:tcBorders>
                  <w:vAlign w:val="center"/>
                </w:tcPr>
                <w:p w14:paraId="1EE7CEF2">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气相二氧化硅</w:t>
                  </w:r>
                </w:p>
              </w:tc>
              <w:tc>
                <w:tcPr>
                  <w:tcW w:w="514" w:type="pct"/>
                  <w:tcBorders>
                    <w:tl2br w:val="nil"/>
                    <w:tr2bl w:val="nil"/>
                  </w:tcBorders>
                  <w:vAlign w:val="center"/>
                </w:tcPr>
                <w:p w14:paraId="0A078874">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t/a</w:t>
                  </w:r>
                </w:p>
              </w:tc>
              <w:tc>
                <w:tcPr>
                  <w:tcW w:w="959" w:type="pct"/>
                  <w:tcBorders>
                    <w:tl2br w:val="nil"/>
                    <w:tr2bl w:val="nil"/>
                  </w:tcBorders>
                  <w:vAlign w:val="center"/>
                </w:tcPr>
                <w:p w14:paraId="06A6651B">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300</w:t>
                  </w:r>
                </w:p>
              </w:tc>
              <w:tc>
                <w:tcPr>
                  <w:tcW w:w="1334" w:type="pct"/>
                  <w:tcBorders>
                    <w:tl2br w:val="nil"/>
                    <w:tr2bl w:val="nil"/>
                  </w:tcBorders>
                  <w:vAlign w:val="center"/>
                </w:tcPr>
                <w:p w14:paraId="604F325D">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填充剂</w:t>
                  </w:r>
                </w:p>
              </w:tc>
            </w:tr>
            <w:tr w14:paraId="539E64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0" w:hRule="atLeast"/>
                <w:jc w:val="center"/>
              </w:trPr>
              <w:tc>
                <w:tcPr>
                  <w:tcW w:w="1118" w:type="pct"/>
                  <w:vMerge w:val="continue"/>
                  <w:tcBorders>
                    <w:tl2br w:val="nil"/>
                    <w:tr2bl w:val="nil"/>
                  </w:tcBorders>
                  <w:vAlign w:val="center"/>
                </w:tcPr>
                <w:p w14:paraId="64CCCF6A">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1073" w:type="pct"/>
                  <w:tcBorders>
                    <w:tl2br w:val="nil"/>
                    <w:tr2bl w:val="nil"/>
                  </w:tcBorders>
                  <w:vAlign w:val="center"/>
                </w:tcPr>
                <w:p w14:paraId="075821DB">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矿物油</w:t>
                  </w:r>
                </w:p>
              </w:tc>
              <w:tc>
                <w:tcPr>
                  <w:tcW w:w="514" w:type="pct"/>
                  <w:tcBorders>
                    <w:tl2br w:val="nil"/>
                    <w:tr2bl w:val="nil"/>
                  </w:tcBorders>
                  <w:vAlign w:val="center"/>
                </w:tcPr>
                <w:p w14:paraId="2DBD16A6">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t/a</w:t>
                  </w:r>
                </w:p>
              </w:tc>
              <w:tc>
                <w:tcPr>
                  <w:tcW w:w="959" w:type="pct"/>
                  <w:tcBorders>
                    <w:tl2br w:val="nil"/>
                    <w:tr2bl w:val="nil"/>
                  </w:tcBorders>
                  <w:vAlign w:val="center"/>
                </w:tcPr>
                <w:p w14:paraId="474B9270">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1150</w:t>
                  </w:r>
                </w:p>
              </w:tc>
              <w:tc>
                <w:tcPr>
                  <w:tcW w:w="1334" w:type="pct"/>
                  <w:tcBorders>
                    <w:tl2br w:val="nil"/>
                    <w:tr2bl w:val="nil"/>
                  </w:tcBorders>
                  <w:vAlign w:val="center"/>
                </w:tcPr>
                <w:p w14:paraId="6467228B">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软化剂</w:t>
                  </w:r>
                </w:p>
              </w:tc>
            </w:tr>
            <w:tr w14:paraId="36DFDE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0" w:hRule="atLeast"/>
                <w:jc w:val="center"/>
              </w:trPr>
              <w:tc>
                <w:tcPr>
                  <w:tcW w:w="1118" w:type="pct"/>
                  <w:vMerge w:val="continue"/>
                  <w:tcBorders>
                    <w:tl2br w:val="nil"/>
                    <w:tr2bl w:val="nil"/>
                  </w:tcBorders>
                  <w:vAlign w:val="center"/>
                </w:tcPr>
                <w:p w14:paraId="575C95B5">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1073" w:type="pct"/>
                  <w:tcBorders>
                    <w:tl2br w:val="nil"/>
                    <w:tr2bl w:val="nil"/>
                  </w:tcBorders>
                  <w:vAlign w:val="center"/>
                </w:tcPr>
                <w:p w14:paraId="2BD03F62">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硅烷助剂（KH550）</w:t>
                  </w:r>
                </w:p>
              </w:tc>
              <w:tc>
                <w:tcPr>
                  <w:tcW w:w="514" w:type="pct"/>
                  <w:tcBorders>
                    <w:tl2br w:val="nil"/>
                    <w:tr2bl w:val="nil"/>
                  </w:tcBorders>
                  <w:vAlign w:val="center"/>
                </w:tcPr>
                <w:p w14:paraId="53155AAC">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t/a</w:t>
                  </w:r>
                </w:p>
              </w:tc>
              <w:tc>
                <w:tcPr>
                  <w:tcW w:w="959" w:type="pct"/>
                  <w:tcBorders>
                    <w:tl2br w:val="nil"/>
                    <w:tr2bl w:val="nil"/>
                  </w:tcBorders>
                  <w:vAlign w:val="center"/>
                </w:tcPr>
                <w:p w14:paraId="62F22F42">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300</w:t>
                  </w:r>
                </w:p>
              </w:tc>
              <w:tc>
                <w:tcPr>
                  <w:tcW w:w="1334" w:type="pct"/>
                  <w:tcBorders>
                    <w:tl2br w:val="nil"/>
                    <w:tr2bl w:val="nil"/>
                  </w:tcBorders>
                  <w:vAlign w:val="center"/>
                </w:tcPr>
                <w:p w14:paraId="166476D0">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偶联剂</w:t>
                  </w:r>
                </w:p>
              </w:tc>
            </w:tr>
            <w:tr w14:paraId="4696E4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0" w:hRule="atLeast"/>
                <w:jc w:val="center"/>
              </w:trPr>
              <w:tc>
                <w:tcPr>
                  <w:tcW w:w="1118" w:type="pct"/>
                  <w:vMerge w:val="continue"/>
                  <w:tcBorders>
                    <w:tl2br w:val="nil"/>
                    <w:tr2bl w:val="nil"/>
                  </w:tcBorders>
                  <w:vAlign w:val="center"/>
                </w:tcPr>
                <w:p w14:paraId="6CBCDDF6">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1073" w:type="pct"/>
                  <w:tcBorders>
                    <w:tl2br w:val="nil"/>
                    <w:tr2bl w:val="nil"/>
                  </w:tcBorders>
                  <w:vAlign w:val="center"/>
                </w:tcPr>
                <w:p w14:paraId="434929D6">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色浆</w:t>
                  </w:r>
                </w:p>
              </w:tc>
              <w:tc>
                <w:tcPr>
                  <w:tcW w:w="514" w:type="pct"/>
                  <w:tcBorders>
                    <w:tl2br w:val="nil"/>
                    <w:tr2bl w:val="nil"/>
                  </w:tcBorders>
                  <w:vAlign w:val="center"/>
                </w:tcPr>
                <w:p w14:paraId="4645F3A7">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t/a</w:t>
                  </w:r>
                </w:p>
              </w:tc>
              <w:tc>
                <w:tcPr>
                  <w:tcW w:w="959" w:type="pct"/>
                  <w:tcBorders>
                    <w:tl2br w:val="nil"/>
                    <w:tr2bl w:val="nil"/>
                  </w:tcBorders>
                  <w:vAlign w:val="center"/>
                </w:tcPr>
                <w:p w14:paraId="1B09B818">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270</w:t>
                  </w:r>
                </w:p>
              </w:tc>
              <w:tc>
                <w:tcPr>
                  <w:tcW w:w="1334" w:type="pct"/>
                  <w:tcBorders>
                    <w:tl2br w:val="nil"/>
                    <w:tr2bl w:val="nil"/>
                  </w:tcBorders>
                  <w:vAlign w:val="center"/>
                </w:tcPr>
                <w:p w14:paraId="1FF9A5D5">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调色</w:t>
                  </w:r>
                </w:p>
              </w:tc>
            </w:tr>
            <w:tr w14:paraId="6C51E7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0" w:hRule="atLeast"/>
                <w:jc w:val="center"/>
              </w:trPr>
              <w:tc>
                <w:tcPr>
                  <w:tcW w:w="1118" w:type="pct"/>
                  <w:vMerge w:val="continue"/>
                  <w:tcBorders>
                    <w:tl2br w:val="nil"/>
                    <w:tr2bl w:val="nil"/>
                  </w:tcBorders>
                  <w:vAlign w:val="center"/>
                </w:tcPr>
                <w:p w14:paraId="40E67F08">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1073" w:type="pct"/>
                  <w:tcBorders>
                    <w:tl2br w:val="nil"/>
                    <w:tr2bl w:val="nil"/>
                  </w:tcBorders>
                  <w:vAlign w:val="center"/>
                </w:tcPr>
                <w:p w14:paraId="520CF63B">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甲基二甲氧基硅烷</w:t>
                  </w:r>
                </w:p>
              </w:tc>
              <w:tc>
                <w:tcPr>
                  <w:tcW w:w="514" w:type="pct"/>
                  <w:tcBorders>
                    <w:tl2br w:val="nil"/>
                    <w:tr2bl w:val="nil"/>
                  </w:tcBorders>
                  <w:vAlign w:val="center"/>
                </w:tcPr>
                <w:p w14:paraId="152128A5">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t/a</w:t>
                  </w:r>
                </w:p>
              </w:tc>
              <w:tc>
                <w:tcPr>
                  <w:tcW w:w="959" w:type="pct"/>
                  <w:tcBorders>
                    <w:tl2br w:val="nil"/>
                    <w:tr2bl w:val="nil"/>
                  </w:tcBorders>
                  <w:vAlign w:val="center"/>
                </w:tcPr>
                <w:p w14:paraId="71B4905B">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270</w:t>
                  </w:r>
                </w:p>
              </w:tc>
              <w:tc>
                <w:tcPr>
                  <w:tcW w:w="1334" w:type="pct"/>
                  <w:tcBorders>
                    <w:tl2br w:val="nil"/>
                    <w:tr2bl w:val="nil"/>
                  </w:tcBorders>
                  <w:vAlign w:val="center"/>
                </w:tcPr>
                <w:p w14:paraId="1B9D0AFB">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交联剂</w:t>
                  </w:r>
                </w:p>
              </w:tc>
            </w:tr>
            <w:tr w14:paraId="477240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0" w:hRule="atLeast"/>
                <w:jc w:val="center"/>
              </w:trPr>
              <w:tc>
                <w:tcPr>
                  <w:tcW w:w="1118" w:type="pct"/>
                  <w:vMerge w:val="continue"/>
                  <w:tcBorders>
                    <w:tl2br w:val="nil"/>
                    <w:tr2bl w:val="nil"/>
                  </w:tcBorders>
                  <w:vAlign w:val="center"/>
                </w:tcPr>
                <w:p w14:paraId="0A532381">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1073" w:type="pct"/>
                  <w:tcBorders>
                    <w:tl2br w:val="nil"/>
                    <w:tr2bl w:val="nil"/>
                  </w:tcBorders>
                  <w:vAlign w:val="center"/>
                </w:tcPr>
                <w:p w14:paraId="3D36F040">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钛酸四异丙酯</w:t>
                  </w:r>
                </w:p>
              </w:tc>
              <w:tc>
                <w:tcPr>
                  <w:tcW w:w="514" w:type="pct"/>
                  <w:tcBorders>
                    <w:tl2br w:val="nil"/>
                    <w:tr2bl w:val="nil"/>
                  </w:tcBorders>
                  <w:vAlign w:val="center"/>
                </w:tcPr>
                <w:p w14:paraId="06D3CEF3">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t/a</w:t>
                  </w:r>
                </w:p>
              </w:tc>
              <w:tc>
                <w:tcPr>
                  <w:tcW w:w="959" w:type="pct"/>
                  <w:tcBorders>
                    <w:tl2br w:val="nil"/>
                    <w:tr2bl w:val="nil"/>
                  </w:tcBorders>
                  <w:vAlign w:val="center"/>
                </w:tcPr>
                <w:p w14:paraId="2D405D8F">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50</w:t>
                  </w:r>
                </w:p>
              </w:tc>
              <w:tc>
                <w:tcPr>
                  <w:tcW w:w="1334" w:type="pct"/>
                  <w:tcBorders>
                    <w:tl2br w:val="nil"/>
                    <w:tr2bl w:val="nil"/>
                  </w:tcBorders>
                  <w:vAlign w:val="center"/>
                </w:tcPr>
                <w:p w14:paraId="414C47F0">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催化剂</w:t>
                  </w:r>
                </w:p>
              </w:tc>
            </w:tr>
            <w:tr w14:paraId="5A22E7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0" w:hRule="atLeast"/>
                <w:jc w:val="center"/>
              </w:trPr>
              <w:tc>
                <w:tcPr>
                  <w:tcW w:w="1118" w:type="pct"/>
                  <w:vMerge w:val="continue"/>
                  <w:tcBorders>
                    <w:tl2br w:val="nil"/>
                    <w:tr2bl w:val="nil"/>
                  </w:tcBorders>
                  <w:vAlign w:val="center"/>
                </w:tcPr>
                <w:p w14:paraId="26B7B609">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1073" w:type="pct"/>
                  <w:tcBorders>
                    <w:tl2br w:val="nil"/>
                    <w:tr2bl w:val="nil"/>
                  </w:tcBorders>
                  <w:vAlign w:val="center"/>
                </w:tcPr>
                <w:p w14:paraId="39D22F5E">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木糠</w:t>
                  </w:r>
                </w:p>
              </w:tc>
              <w:tc>
                <w:tcPr>
                  <w:tcW w:w="514" w:type="pct"/>
                  <w:tcBorders>
                    <w:tl2br w:val="nil"/>
                    <w:tr2bl w:val="nil"/>
                  </w:tcBorders>
                  <w:vAlign w:val="center"/>
                </w:tcPr>
                <w:p w14:paraId="78AA0781">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t/a</w:t>
                  </w:r>
                </w:p>
              </w:tc>
              <w:tc>
                <w:tcPr>
                  <w:tcW w:w="959" w:type="pct"/>
                  <w:tcBorders>
                    <w:tl2br w:val="nil"/>
                    <w:tr2bl w:val="nil"/>
                  </w:tcBorders>
                  <w:vAlign w:val="center"/>
                </w:tcPr>
                <w:p w14:paraId="31585AF2">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15</w:t>
                  </w:r>
                </w:p>
              </w:tc>
              <w:tc>
                <w:tcPr>
                  <w:tcW w:w="1334" w:type="pct"/>
                  <w:tcBorders>
                    <w:tl2br w:val="nil"/>
                    <w:tr2bl w:val="nil"/>
                  </w:tcBorders>
                  <w:vAlign w:val="center"/>
                </w:tcPr>
                <w:p w14:paraId="7EF6CD56">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设备清洗剂</w:t>
                  </w:r>
                </w:p>
              </w:tc>
            </w:tr>
            <w:tr w14:paraId="069402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0" w:hRule="atLeast"/>
                <w:jc w:val="center"/>
              </w:trPr>
              <w:tc>
                <w:tcPr>
                  <w:tcW w:w="1118" w:type="pct"/>
                  <w:vMerge w:val="restart"/>
                  <w:tcBorders>
                    <w:tl2br w:val="nil"/>
                    <w:tr2bl w:val="nil"/>
                  </w:tcBorders>
                  <w:vAlign w:val="center"/>
                </w:tcPr>
                <w:p w14:paraId="5C706AC3">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三元乙丙密封胶条</w:t>
                  </w:r>
                </w:p>
              </w:tc>
              <w:tc>
                <w:tcPr>
                  <w:tcW w:w="1073" w:type="pct"/>
                  <w:tcBorders>
                    <w:tl2br w:val="nil"/>
                    <w:tr2bl w:val="nil"/>
                  </w:tcBorders>
                  <w:vAlign w:val="center"/>
                </w:tcPr>
                <w:p w14:paraId="4D55A0F2">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三元乙丙橡胶</w:t>
                  </w:r>
                </w:p>
              </w:tc>
              <w:tc>
                <w:tcPr>
                  <w:tcW w:w="514" w:type="pct"/>
                  <w:tcBorders>
                    <w:tl2br w:val="nil"/>
                    <w:tr2bl w:val="nil"/>
                  </w:tcBorders>
                  <w:vAlign w:val="center"/>
                </w:tcPr>
                <w:p w14:paraId="76C87B44">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t/a</w:t>
                  </w:r>
                </w:p>
              </w:tc>
              <w:tc>
                <w:tcPr>
                  <w:tcW w:w="959" w:type="pct"/>
                  <w:tcBorders>
                    <w:tl2br w:val="nil"/>
                    <w:tr2bl w:val="nil"/>
                  </w:tcBorders>
                  <w:vAlign w:val="center"/>
                </w:tcPr>
                <w:p w14:paraId="352286C8">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3000</w:t>
                  </w:r>
                </w:p>
              </w:tc>
              <w:tc>
                <w:tcPr>
                  <w:tcW w:w="1334" w:type="pct"/>
                  <w:tcBorders>
                    <w:tl2br w:val="nil"/>
                    <w:tr2bl w:val="nil"/>
                  </w:tcBorders>
                  <w:vAlign w:val="center"/>
                </w:tcPr>
                <w:p w14:paraId="7A1C33DE">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基础较</w:t>
                  </w:r>
                </w:p>
              </w:tc>
            </w:tr>
            <w:tr w14:paraId="51F240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0" w:hRule="atLeast"/>
                <w:jc w:val="center"/>
              </w:trPr>
              <w:tc>
                <w:tcPr>
                  <w:tcW w:w="1118" w:type="pct"/>
                  <w:vMerge w:val="continue"/>
                  <w:tcBorders>
                    <w:tl2br w:val="nil"/>
                    <w:tr2bl w:val="nil"/>
                  </w:tcBorders>
                  <w:vAlign w:val="center"/>
                </w:tcPr>
                <w:p w14:paraId="5A96C099">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1073" w:type="pct"/>
                  <w:tcBorders>
                    <w:tl2br w:val="nil"/>
                    <w:tr2bl w:val="nil"/>
                  </w:tcBorders>
                  <w:vAlign w:val="center"/>
                </w:tcPr>
                <w:p w14:paraId="0292E60E">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炭黑</w:t>
                  </w:r>
                </w:p>
              </w:tc>
              <w:tc>
                <w:tcPr>
                  <w:tcW w:w="514" w:type="pct"/>
                  <w:tcBorders>
                    <w:tl2br w:val="nil"/>
                    <w:tr2bl w:val="nil"/>
                  </w:tcBorders>
                  <w:vAlign w:val="center"/>
                </w:tcPr>
                <w:p w14:paraId="6DF6AAA8">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t/a</w:t>
                  </w:r>
                </w:p>
              </w:tc>
              <w:tc>
                <w:tcPr>
                  <w:tcW w:w="959" w:type="pct"/>
                  <w:tcBorders>
                    <w:tl2br w:val="nil"/>
                    <w:tr2bl w:val="nil"/>
                  </w:tcBorders>
                  <w:vAlign w:val="center"/>
                </w:tcPr>
                <w:p w14:paraId="61C3A2BE">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1900</w:t>
                  </w:r>
                </w:p>
              </w:tc>
              <w:tc>
                <w:tcPr>
                  <w:tcW w:w="1334" w:type="pct"/>
                  <w:tcBorders>
                    <w:tl2br w:val="nil"/>
                    <w:tr2bl w:val="nil"/>
                  </w:tcBorders>
                  <w:vAlign w:val="center"/>
                </w:tcPr>
                <w:p w14:paraId="5AD61D87">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补强剂</w:t>
                  </w:r>
                </w:p>
              </w:tc>
            </w:tr>
            <w:tr w14:paraId="31FDD0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0" w:hRule="atLeast"/>
                <w:jc w:val="center"/>
              </w:trPr>
              <w:tc>
                <w:tcPr>
                  <w:tcW w:w="1118" w:type="pct"/>
                  <w:vMerge w:val="continue"/>
                  <w:tcBorders>
                    <w:tl2br w:val="nil"/>
                    <w:tr2bl w:val="nil"/>
                  </w:tcBorders>
                  <w:vAlign w:val="center"/>
                </w:tcPr>
                <w:p w14:paraId="293EA6C7">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1073" w:type="pct"/>
                  <w:tcBorders>
                    <w:tl2br w:val="nil"/>
                    <w:tr2bl w:val="nil"/>
                  </w:tcBorders>
                  <w:vAlign w:val="center"/>
                </w:tcPr>
                <w:p w14:paraId="6022CE3B">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轻质碳酸钙</w:t>
                  </w:r>
                </w:p>
              </w:tc>
              <w:tc>
                <w:tcPr>
                  <w:tcW w:w="514" w:type="pct"/>
                  <w:tcBorders>
                    <w:tl2br w:val="nil"/>
                    <w:tr2bl w:val="nil"/>
                  </w:tcBorders>
                  <w:vAlign w:val="center"/>
                </w:tcPr>
                <w:p w14:paraId="33A94136">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t/a</w:t>
                  </w:r>
                </w:p>
              </w:tc>
              <w:tc>
                <w:tcPr>
                  <w:tcW w:w="959" w:type="pct"/>
                  <w:tcBorders>
                    <w:tl2br w:val="nil"/>
                    <w:tr2bl w:val="nil"/>
                  </w:tcBorders>
                  <w:vAlign w:val="center"/>
                </w:tcPr>
                <w:p w14:paraId="747B3138">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860</w:t>
                  </w:r>
                </w:p>
              </w:tc>
              <w:tc>
                <w:tcPr>
                  <w:tcW w:w="1334" w:type="pct"/>
                  <w:tcBorders>
                    <w:tl2br w:val="nil"/>
                    <w:tr2bl w:val="nil"/>
                  </w:tcBorders>
                  <w:vAlign w:val="center"/>
                </w:tcPr>
                <w:p w14:paraId="38C43E95">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填充料</w:t>
                  </w:r>
                </w:p>
              </w:tc>
            </w:tr>
            <w:tr w14:paraId="4085DF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0" w:hRule="atLeast"/>
                <w:jc w:val="center"/>
              </w:trPr>
              <w:tc>
                <w:tcPr>
                  <w:tcW w:w="1118" w:type="pct"/>
                  <w:vMerge w:val="continue"/>
                  <w:tcBorders>
                    <w:tl2br w:val="nil"/>
                    <w:tr2bl w:val="nil"/>
                  </w:tcBorders>
                  <w:vAlign w:val="center"/>
                </w:tcPr>
                <w:p w14:paraId="4A22CCB8">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1073" w:type="pct"/>
                  <w:tcBorders>
                    <w:tl2br w:val="nil"/>
                    <w:tr2bl w:val="nil"/>
                  </w:tcBorders>
                  <w:vAlign w:val="center"/>
                </w:tcPr>
                <w:p w14:paraId="0FC52900">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石蜡油</w:t>
                  </w:r>
                </w:p>
              </w:tc>
              <w:tc>
                <w:tcPr>
                  <w:tcW w:w="514" w:type="pct"/>
                  <w:tcBorders>
                    <w:tl2br w:val="nil"/>
                    <w:tr2bl w:val="nil"/>
                  </w:tcBorders>
                  <w:vAlign w:val="center"/>
                </w:tcPr>
                <w:p w14:paraId="549763CE">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t/a</w:t>
                  </w:r>
                </w:p>
              </w:tc>
              <w:tc>
                <w:tcPr>
                  <w:tcW w:w="959" w:type="pct"/>
                  <w:tcBorders>
                    <w:tl2br w:val="nil"/>
                    <w:tr2bl w:val="nil"/>
                  </w:tcBorders>
                  <w:vAlign w:val="center"/>
                </w:tcPr>
                <w:p w14:paraId="0B1AAEA9">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2000</w:t>
                  </w:r>
                </w:p>
              </w:tc>
              <w:tc>
                <w:tcPr>
                  <w:tcW w:w="1334" w:type="pct"/>
                  <w:tcBorders>
                    <w:tl2br w:val="nil"/>
                    <w:tr2bl w:val="nil"/>
                  </w:tcBorders>
                  <w:vAlign w:val="center"/>
                </w:tcPr>
                <w:p w14:paraId="4F1442F6">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填充油</w:t>
                  </w:r>
                </w:p>
              </w:tc>
            </w:tr>
            <w:tr w14:paraId="405228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0" w:hRule="atLeast"/>
                <w:jc w:val="center"/>
              </w:trPr>
              <w:tc>
                <w:tcPr>
                  <w:tcW w:w="1118" w:type="pct"/>
                  <w:vMerge w:val="continue"/>
                  <w:tcBorders>
                    <w:tl2br w:val="nil"/>
                    <w:tr2bl w:val="nil"/>
                  </w:tcBorders>
                  <w:vAlign w:val="center"/>
                </w:tcPr>
                <w:p w14:paraId="6B0AA0B9">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1073" w:type="pct"/>
                  <w:tcBorders>
                    <w:tl2br w:val="nil"/>
                    <w:tr2bl w:val="nil"/>
                  </w:tcBorders>
                  <w:vAlign w:val="center"/>
                </w:tcPr>
                <w:p w14:paraId="4706F269">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氧化锌</w:t>
                  </w:r>
                </w:p>
              </w:tc>
              <w:tc>
                <w:tcPr>
                  <w:tcW w:w="514" w:type="pct"/>
                  <w:tcBorders>
                    <w:tl2br w:val="nil"/>
                    <w:tr2bl w:val="nil"/>
                  </w:tcBorders>
                  <w:vAlign w:val="center"/>
                </w:tcPr>
                <w:p w14:paraId="6EE0CA21">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t/a</w:t>
                  </w:r>
                </w:p>
              </w:tc>
              <w:tc>
                <w:tcPr>
                  <w:tcW w:w="959" w:type="pct"/>
                  <w:tcBorders>
                    <w:tl2br w:val="nil"/>
                    <w:tr2bl w:val="nil"/>
                  </w:tcBorders>
                  <w:vAlign w:val="center"/>
                </w:tcPr>
                <w:p w14:paraId="646CAF57">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82</w:t>
                  </w:r>
                </w:p>
              </w:tc>
              <w:tc>
                <w:tcPr>
                  <w:tcW w:w="1334" w:type="pct"/>
                  <w:tcBorders>
                    <w:tl2br w:val="nil"/>
                    <w:tr2bl w:val="nil"/>
                  </w:tcBorders>
                  <w:vAlign w:val="center"/>
                </w:tcPr>
                <w:p w14:paraId="6B90D2C5">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活化剂</w:t>
                  </w:r>
                </w:p>
              </w:tc>
            </w:tr>
            <w:tr w14:paraId="3DDAA7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0" w:hRule="atLeast"/>
                <w:jc w:val="center"/>
              </w:trPr>
              <w:tc>
                <w:tcPr>
                  <w:tcW w:w="1118" w:type="pct"/>
                  <w:vMerge w:val="continue"/>
                  <w:tcBorders>
                    <w:tl2br w:val="nil"/>
                    <w:tr2bl w:val="nil"/>
                  </w:tcBorders>
                  <w:vAlign w:val="center"/>
                </w:tcPr>
                <w:p w14:paraId="57144A2E">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1073" w:type="pct"/>
                  <w:tcBorders>
                    <w:tl2br w:val="nil"/>
                    <w:tr2bl w:val="nil"/>
                  </w:tcBorders>
                  <w:vAlign w:val="center"/>
                </w:tcPr>
                <w:p w14:paraId="537F5166">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硬脂酸</w:t>
                  </w:r>
                </w:p>
              </w:tc>
              <w:tc>
                <w:tcPr>
                  <w:tcW w:w="514" w:type="pct"/>
                  <w:tcBorders>
                    <w:tl2br w:val="nil"/>
                    <w:tr2bl w:val="nil"/>
                  </w:tcBorders>
                  <w:vAlign w:val="center"/>
                </w:tcPr>
                <w:p w14:paraId="4569923D">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t/a</w:t>
                  </w:r>
                </w:p>
              </w:tc>
              <w:tc>
                <w:tcPr>
                  <w:tcW w:w="959" w:type="pct"/>
                  <w:tcBorders>
                    <w:tl2br w:val="nil"/>
                    <w:tr2bl w:val="nil"/>
                  </w:tcBorders>
                  <w:vAlign w:val="center"/>
                </w:tcPr>
                <w:p w14:paraId="46F5F669">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16</w:t>
                  </w:r>
                </w:p>
              </w:tc>
              <w:tc>
                <w:tcPr>
                  <w:tcW w:w="1334" w:type="pct"/>
                  <w:tcBorders>
                    <w:tl2br w:val="nil"/>
                    <w:tr2bl w:val="nil"/>
                  </w:tcBorders>
                  <w:vAlign w:val="center"/>
                </w:tcPr>
                <w:p w14:paraId="4F8031D2">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润滑剂</w:t>
                  </w:r>
                </w:p>
              </w:tc>
            </w:tr>
            <w:tr w14:paraId="04D58F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0" w:hRule="atLeast"/>
                <w:jc w:val="center"/>
              </w:trPr>
              <w:tc>
                <w:tcPr>
                  <w:tcW w:w="1118" w:type="pct"/>
                  <w:vMerge w:val="continue"/>
                  <w:tcBorders>
                    <w:tl2br w:val="nil"/>
                    <w:tr2bl w:val="nil"/>
                  </w:tcBorders>
                  <w:vAlign w:val="center"/>
                </w:tcPr>
                <w:p w14:paraId="65D0B4A6">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1073" w:type="pct"/>
                  <w:tcBorders>
                    <w:tl2br w:val="nil"/>
                    <w:tr2bl w:val="nil"/>
                  </w:tcBorders>
                  <w:vAlign w:val="center"/>
                </w:tcPr>
                <w:p w14:paraId="31945E86">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氧化钙</w:t>
                  </w:r>
                </w:p>
              </w:tc>
              <w:tc>
                <w:tcPr>
                  <w:tcW w:w="514" w:type="pct"/>
                  <w:tcBorders>
                    <w:tl2br w:val="nil"/>
                    <w:tr2bl w:val="nil"/>
                  </w:tcBorders>
                  <w:vAlign w:val="center"/>
                </w:tcPr>
                <w:p w14:paraId="511427F5">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t/a</w:t>
                  </w:r>
                </w:p>
              </w:tc>
              <w:tc>
                <w:tcPr>
                  <w:tcW w:w="959" w:type="pct"/>
                  <w:tcBorders>
                    <w:tl2br w:val="nil"/>
                    <w:tr2bl w:val="nil"/>
                  </w:tcBorders>
                  <w:vAlign w:val="center"/>
                </w:tcPr>
                <w:p w14:paraId="6A8006F7">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40</w:t>
                  </w:r>
                </w:p>
              </w:tc>
              <w:tc>
                <w:tcPr>
                  <w:tcW w:w="1334" w:type="pct"/>
                  <w:tcBorders>
                    <w:tl2br w:val="nil"/>
                    <w:tr2bl w:val="nil"/>
                  </w:tcBorders>
                  <w:vAlign w:val="center"/>
                </w:tcPr>
                <w:p w14:paraId="2D50BF94">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吸湿剂</w:t>
                  </w:r>
                </w:p>
              </w:tc>
            </w:tr>
            <w:tr w14:paraId="7F882B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0" w:hRule="atLeast"/>
                <w:jc w:val="center"/>
              </w:trPr>
              <w:tc>
                <w:tcPr>
                  <w:tcW w:w="1118" w:type="pct"/>
                  <w:vMerge w:val="continue"/>
                  <w:tcBorders>
                    <w:tl2br w:val="nil"/>
                    <w:tr2bl w:val="nil"/>
                  </w:tcBorders>
                  <w:vAlign w:val="center"/>
                </w:tcPr>
                <w:p w14:paraId="040DC409">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1073" w:type="pct"/>
                  <w:tcBorders>
                    <w:tl2br w:val="nil"/>
                    <w:tr2bl w:val="nil"/>
                  </w:tcBorders>
                  <w:vAlign w:val="center"/>
                </w:tcPr>
                <w:p w14:paraId="366467DB">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促进剂</w:t>
                  </w:r>
                </w:p>
              </w:tc>
              <w:tc>
                <w:tcPr>
                  <w:tcW w:w="514" w:type="pct"/>
                  <w:tcBorders>
                    <w:tl2br w:val="nil"/>
                    <w:tr2bl w:val="nil"/>
                  </w:tcBorders>
                  <w:vAlign w:val="center"/>
                </w:tcPr>
                <w:p w14:paraId="02149F2E">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t/a</w:t>
                  </w:r>
                </w:p>
              </w:tc>
              <w:tc>
                <w:tcPr>
                  <w:tcW w:w="959" w:type="pct"/>
                  <w:tcBorders>
                    <w:tl2br w:val="nil"/>
                    <w:tr2bl w:val="nil"/>
                  </w:tcBorders>
                  <w:vAlign w:val="center"/>
                </w:tcPr>
                <w:p w14:paraId="50D1FE32">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86</w:t>
                  </w:r>
                </w:p>
              </w:tc>
              <w:tc>
                <w:tcPr>
                  <w:tcW w:w="1334" w:type="pct"/>
                  <w:tcBorders>
                    <w:tl2br w:val="nil"/>
                    <w:tr2bl w:val="nil"/>
                  </w:tcBorders>
                  <w:vAlign w:val="center"/>
                </w:tcPr>
                <w:p w14:paraId="779482F7">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橡胶促进剂TMTM</w:t>
                  </w:r>
                </w:p>
              </w:tc>
            </w:tr>
            <w:tr w14:paraId="285649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0" w:hRule="atLeast"/>
                <w:jc w:val="center"/>
              </w:trPr>
              <w:tc>
                <w:tcPr>
                  <w:tcW w:w="1118" w:type="pct"/>
                  <w:vMerge w:val="continue"/>
                  <w:tcBorders>
                    <w:tl2br w:val="nil"/>
                    <w:tr2bl w:val="nil"/>
                  </w:tcBorders>
                  <w:vAlign w:val="center"/>
                </w:tcPr>
                <w:p w14:paraId="654EBE65">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1073" w:type="pct"/>
                  <w:tcBorders>
                    <w:tl2br w:val="nil"/>
                    <w:tr2bl w:val="nil"/>
                  </w:tcBorders>
                  <w:vAlign w:val="center"/>
                </w:tcPr>
                <w:p w14:paraId="2E9A5EE9">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硫磺母粒</w:t>
                  </w:r>
                </w:p>
              </w:tc>
              <w:tc>
                <w:tcPr>
                  <w:tcW w:w="514" w:type="pct"/>
                  <w:tcBorders>
                    <w:tl2br w:val="nil"/>
                    <w:tr2bl w:val="nil"/>
                  </w:tcBorders>
                  <w:vAlign w:val="center"/>
                </w:tcPr>
                <w:p w14:paraId="357F862B">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t/a</w:t>
                  </w:r>
                </w:p>
              </w:tc>
              <w:tc>
                <w:tcPr>
                  <w:tcW w:w="959" w:type="pct"/>
                  <w:tcBorders>
                    <w:tl2br w:val="nil"/>
                    <w:tr2bl w:val="nil"/>
                  </w:tcBorders>
                  <w:vAlign w:val="center"/>
                </w:tcPr>
                <w:p w14:paraId="61AAE1F0">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26</w:t>
                  </w:r>
                </w:p>
              </w:tc>
              <w:tc>
                <w:tcPr>
                  <w:tcW w:w="1334" w:type="pct"/>
                  <w:tcBorders>
                    <w:tl2br w:val="nil"/>
                    <w:tr2bl w:val="nil"/>
                  </w:tcBorders>
                  <w:vAlign w:val="center"/>
                </w:tcPr>
                <w:p w14:paraId="088FEFA8">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硫化剂</w:t>
                  </w:r>
                </w:p>
              </w:tc>
            </w:tr>
            <w:tr w14:paraId="7BD948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0" w:hRule="atLeast"/>
                <w:jc w:val="center"/>
              </w:trPr>
              <w:tc>
                <w:tcPr>
                  <w:tcW w:w="1118" w:type="pct"/>
                  <w:vMerge w:val="continue"/>
                  <w:tcBorders>
                    <w:tl2br w:val="nil"/>
                    <w:tr2bl w:val="nil"/>
                  </w:tcBorders>
                  <w:vAlign w:val="center"/>
                </w:tcPr>
                <w:p w14:paraId="39D8D4E3">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1073" w:type="pct"/>
                  <w:tcBorders>
                    <w:tl2br w:val="nil"/>
                    <w:tr2bl w:val="nil"/>
                  </w:tcBorders>
                  <w:vAlign w:val="center"/>
                </w:tcPr>
                <w:p w14:paraId="3B699CB3">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水</w:t>
                  </w:r>
                </w:p>
              </w:tc>
              <w:tc>
                <w:tcPr>
                  <w:tcW w:w="514" w:type="pct"/>
                  <w:tcBorders>
                    <w:tl2br w:val="nil"/>
                    <w:tr2bl w:val="nil"/>
                  </w:tcBorders>
                  <w:vAlign w:val="center"/>
                </w:tcPr>
                <w:p w14:paraId="24DB2797">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m</w:t>
                  </w:r>
                  <w:r>
                    <w:rPr>
                      <w:rFonts w:hint="eastAsia" w:ascii="Times New Roman" w:hAnsi="Times New Roman" w:eastAsia="宋体" w:cs="Times New Roman"/>
                      <w:color w:val="auto"/>
                      <w:sz w:val="21"/>
                      <w:szCs w:val="21"/>
                      <w:highlight w:val="none"/>
                      <w:vertAlign w:val="superscript"/>
                      <w:lang w:val="en-US" w:eastAsia="zh-CN"/>
                    </w:rPr>
                    <w:t>3</w:t>
                  </w:r>
                  <w:r>
                    <w:rPr>
                      <w:rFonts w:hint="eastAsia" w:ascii="Times New Roman" w:hAnsi="Times New Roman" w:eastAsia="宋体" w:cs="Times New Roman"/>
                      <w:color w:val="auto"/>
                      <w:sz w:val="21"/>
                      <w:szCs w:val="21"/>
                      <w:highlight w:val="none"/>
                      <w:lang w:val="en-US" w:eastAsia="zh-CN"/>
                    </w:rPr>
                    <w:t>/a</w:t>
                  </w:r>
                </w:p>
              </w:tc>
              <w:tc>
                <w:tcPr>
                  <w:tcW w:w="959" w:type="pct"/>
                  <w:tcBorders>
                    <w:tl2br w:val="nil"/>
                    <w:tr2bl w:val="nil"/>
                  </w:tcBorders>
                  <w:vAlign w:val="center"/>
                </w:tcPr>
                <w:p w14:paraId="5F846404">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1248</w:t>
                  </w:r>
                  <w:r>
                    <w:rPr>
                      <w:rFonts w:hint="eastAsia" w:cs="Times New Roman"/>
                      <w:color w:val="auto"/>
                      <w:kern w:val="2"/>
                      <w:sz w:val="21"/>
                      <w:szCs w:val="21"/>
                      <w:highlight w:val="none"/>
                      <w:lang w:val="en-US" w:eastAsia="zh-CN" w:bidi="ar-SA"/>
                    </w:rPr>
                    <w:t>0</w:t>
                  </w:r>
                </w:p>
              </w:tc>
              <w:tc>
                <w:tcPr>
                  <w:tcW w:w="1334" w:type="pct"/>
                  <w:tcBorders>
                    <w:tl2br w:val="nil"/>
                    <w:tr2bl w:val="nil"/>
                  </w:tcBorders>
                  <w:vAlign w:val="center"/>
                </w:tcPr>
                <w:p w14:paraId="095BF61B">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p>
              </w:tc>
            </w:tr>
            <w:tr w14:paraId="163281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0" w:hRule="atLeast"/>
                <w:jc w:val="center"/>
              </w:trPr>
              <w:tc>
                <w:tcPr>
                  <w:tcW w:w="1118" w:type="pct"/>
                  <w:vMerge w:val="continue"/>
                  <w:tcBorders>
                    <w:tl2br w:val="nil"/>
                    <w:tr2bl w:val="nil"/>
                  </w:tcBorders>
                  <w:vAlign w:val="center"/>
                </w:tcPr>
                <w:p w14:paraId="5F9E6C36">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1073" w:type="pct"/>
                  <w:tcBorders>
                    <w:tl2br w:val="nil"/>
                    <w:tr2bl w:val="nil"/>
                  </w:tcBorders>
                  <w:vAlign w:val="center"/>
                </w:tcPr>
                <w:p w14:paraId="6F6A8739">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电</w:t>
                  </w:r>
                </w:p>
              </w:tc>
              <w:tc>
                <w:tcPr>
                  <w:tcW w:w="514" w:type="pct"/>
                  <w:tcBorders>
                    <w:tl2br w:val="nil"/>
                    <w:tr2bl w:val="nil"/>
                  </w:tcBorders>
                  <w:vAlign w:val="center"/>
                </w:tcPr>
                <w:p w14:paraId="550842A5">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万kWh</w:t>
                  </w:r>
                </w:p>
              </w:tc>
              <w:tc>
                <w:tcPr>
                  <w:tcW w:w="959" w:type="pct"/>
                  <w:tcBorders>
                    <w:tl2br w:val="nil"/>
                    <w:tr2bl w:val="nil"/>
                  </w:tcBorders>
                  <w:vAlign w:val="center"/>
                </w:tcPr>
                <w:p w14:paraId="02AFBBC5">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250</w:t>
                  </w:r>
                </w:p>
              </w:tc>
              <w:tc>
                <w:tcPr>
                  <w:tcW w:w="1334" w:type="pct"/>
                  <w:tcBorders>
                    <w:tl2br w:val="nil"/>
                    <w:tr2bl w:val="nil"/>
                  </w:tcBorders>
                  <w:vAlign w:val="center"/>
                </w:tcPr>
                <w:p w14:paraId="3BB5C068">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p>
              </w:tc>
            </w:tr>
          </w:tbl>
          <w:p w14:paraId="39923308">
            <w:pPr>
              <w:keepNext w:val="0"/>
              <w:keepLines w:val="0"/>
              <w:suppressLineNumbers w:val="0"/>
              <w:bidi w:val="0"/>
              <w:spacing w:before="0" w:beforeAutospacing="0" w:after="0" w:afterAutospacing="0"/>
              <w:ind w:left="0" w:right="0"/>
              <w:rPr>
                <w:rFonts w:hint="default"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2、现有项目</w:t>
            </w:r>
            <w:r>
              <w:rPr>
                <w:rFonts w:hint="eastAsia" w:ascii="Times New Roman" w:hAnsi="Times New Roman" w:cs="Times New Roman"/>
                <w:b/>
                <w:bCs/>
                <w:color w:val="auto"/>
                <w:lang w:val="en-US" w:eastAsia="zh-CN"/>
              </w:rPr>
              <w:t>工艺流程及达标性分析</w:t>
            </w:r>
          </w:p>
          <w:p w14:paraId="122B3AB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（1）现有项目硅酮密封胶工艺流程及产污环节</w:t>
            </w:r>
          </w:p>
          <w:p w14:paraId="5D8D72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现有项目主要生产硅酮密封胶和三元乙丙密封胶条。现有项目硅酮密封胶具体流程及产排污环节如图2-</w:t>
            </w:r>
            <w:r>
              <w:rPr>
                <w:rFonts w:hint="eastAsia" w:cs="Times New Roman"/>
                <w:color w:val="auto"/>
                <w:sz w:val="24"/>
                <w:highlight w:val="none"/>
                <w:shd w:val="clear" w:color="auto" w:fill="auto"/>
                <w:lang w:val="en-US" w:eastAsia="zh-CN"/>
              </w:rPr>
              <w:t>5</w:t>
            </w:r>
            <w:r>
              <w:rPr>
                <w:rFonts w:hint="eastAsia" w:ascii="Times New Roman" w:hAnsi="Times New Roman" w:cs="Times New Roman"/>
                <w:color w:val="auto"/>
                <w:sz w:val="24"/>
                <w:highlight w:val="none"/>
                <w:shd w:val="clear" w:color="auto" w:fill="auto"/>
                <w:lang w:val="en-US" w:eastAsia="zh-CN"/>
              </w:rPr>
              <w:t>。</w:t>
            </w:r>
          </w:p>
          <w:p w14:paraId="7360131F">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cs="Times New Roman"/>
                <w:color w:val="auto"/>
                <w:sz w:val="24"/>
                <w:highlight w:val="none"/>
                <w:shd w:val="clear" w:color="auto" w:fill="auto"/>
                <w:lang w:val="en-US" w:eastAsia="zh-CN"/>
              </w:rPr>
            </w:pPr>
            <w:r>
              <w:rPr>
                <w:rFonts w:hint="eastAsia"/>
                <w:color w:val="auto"/>
              </w:rPr>
              <w:object>
                <v:shape id="_x0000_i1028" o:spt="75" type="#_x0000_t75" style="height:392.3pt;width:349.45pt;" o:ole="t" filled="f" o:preferrelative="t" stroked="f" coordsize="21600,21600">
                  <v:path/>
                  <v:fill on="f" focussize="0,0"/>
                  <v:stroke on="f"/>
                  <v:imagedata r:id="rId20" o:title=""/>
                  <o:lock v:ext="edit" aspectratio="t"/>
                  <w10:wrap type="none"/>
                  <w10:anchorlock/>
                </v:shape>
                <o:OLEObject Type="Embed" ProgID="Visio.Drawing.15" ShapeID="_x0000_i1028" DrawAspect="Content" ObjectID="_1468075728" r:id="rId19">
                  <o:LockedField>false</o:LockedField>
                </o:OLEObject>
              </w:object>
            </w:r>
          </w:p>
          <w:p w14:paraId="6587AF6A">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b/>
                <w:bCs/>
                <w:color w:val="auto"/>
                <w:sz w:val="21"/>
                <w:szCs w:val="21"/>
                <w:highlight w:val="none"/>
                <w:shd w:val="clear" w:color="auto" w:fill="auto"/>
                <w:lang w:val="en-US" w:eastAsia="zh-CN"/>
              </w:rPr>
            </w:pPr>
            <w:r>
              <w:rPr>
                <w:rFonts w:hint="eastAsia" w:ascii="Times New Roman" w:hAnsi="Times New Roman" w:cs="Times New Roman"/>
                <w:b/>
                <w:bCs/>
                <w:color w:val="auto"/>
                <w:sz w:val="21"/>
                <w:szCs w:val="21"/>
                <w:highlight w:val="none"/>
                <w:shd w:val="clear" w:color="auto" w:fill="auto"/>
                <w:lang w:val="en-US" w:eastAsia="zh-CN"/>
              </w:rPr>
              <w:t>图2-</w:t>
            </w:r>
            <w:r>
              <w:rPr>
                <w:rFonts w:hint="eastAsia" w:cs="Times New Roman"/>
                <w:b/>
                <w:bCs/>
                <w:color w:val="auto"/>
                <w:sz w:val="21"/>
                <w:szCs w:val="21"/>
                <w:highlight w:val="none"/>
                <w:shd w:val="clear" w:color="auto" w:fill="auto"/>
                <w:lang w:val="en-US" w:eastAsia="zh-CN"/>
              </w:rPr>
              <w:t>5</w:t>
            </w:r>
            <w:r>
              <w:rPr>
                <w:rFonts w:hint="eastAsia" w:ascii="Times New Roman" w:hAnsi="Times New Roman" w:cs="Times New Roman"/>
                <w:b/>
                <w:bCs/>
                <w:color w:val="auto"/>
                <w:sz w:val="21"/>
                <w:szCs w:val="21"/>
                <w:highlight w:val="none"/>
                <w:shd w:val="clear" w:color="auto" w:fill="auto"/>
                <w:lang w:val="en-US" w:eastAsia="zh-CN"/>
              </w:rPr>
              <w:t xml:space="preserve">  硅酮密封胶生产工艺流程及产污节点图</w:t>
            </w:r>
          </w:p>
          <w:p w14:paraId="71CE7ED9">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工艺流程简述</w:t>
            </w:r>
            <w:r>
              <w:rPr>
                <w:rFonts w:hint="eastAsia" w:cs="Times New Roman"/>
                <w:color w:val="auto"/>
                <w:sz w:val="24"/>
                <w:highlight w:val="none"/>
                <w:shd w:val="clear" w:color="auto" w:fill="auto"/>
                <w:lang w:val="en-US" w:eastAsia="zh-CN"/>
              </w:rPr>
              <w:t>：</w:t>
            </w:r>
          </w:p>
          <w:p w14:paraId="0AD78185">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cs="Times New Roman"/>
                <w:color w:val="auto"/>
                <w:sz w:val="24"/>
                <w:highlight w:val="none"/>
                <w:shd w:val="clear" w:color="auto" w:fill="auto"/>
                <w:lang w:val="en-US" w:eastAsia="zh-CN"/>
              </w:rPr>
              <w:t>1）</w:t>
            </w:r>
            <w:r>
              <w:rPr>
                <w:rFonts w:hint="eastAsia" w:ascii="Times New Roman" w:hAnsi="Times New Roman" w:cs="Times New Roman"/>
                <w:color w:val="auto"/>
                <w:sz w:val="24"/>
                <w:highlight w:val="none"/>
                <w:shd w:val="clear" w:color="auto" w:fill="auto"/>
                <w:lang w:val="en-US" w:eastAsia="zh-CN"/>
              </w:rPr>
              <w:t>半成品制备</w:t>
            </w:r>
          </w:p>
          <w:p w14:paraId="52F34D4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按照一定的工艺配比将107基胶和硅油泵至硅酮胶双螺杆自动生产线中的第一段双螺杆挤出机中，碳</w:t>
            </w:r>
            <w:r>
              <w:rPr>
                <w:rFonts w:hint="default" w:ascii="Times New Roman" w:hAnsi="Times New Roman" w:cs="Times New Roman"/>
                <w:color w:val="auto"/>
                <w:sz w:val="24"/>
                <w:highlight w:val="none"/>
                <w:shd w:val="clear" w:color="auto" w:fill="auto"/>
                <w:lang w:val="en-US" w:eastAsia="zh-CN"/>
              </w:rPr>
              <w:t>酸钙通过人工投料投入螺杆机喂料口。由于碳酸钙为粉状物料，人工投料时易产生粉尘（G1-1)，经布袋除尘器收集后，通过1#排气筒排入大气。</w:t>
            </w:r>
          </w:p>
          <w:p w14:paraId="0D6DB91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经双螺杆挤出机自动生产线分散、研磨、升温脱水（电加热至120℃左右)、抽真空等工序生产的膏状物即为半成品。半成品一部分送至第二段双螺杆挤出机自动生产线生产白色或灰色的硅酮密封胶，另一部分送至非自动生产线生产有颜色的硅酮密封胶。</w:t>
            </w:r>
          </w:p>
          <w:p w14:paraId="1175B4B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半成品为膏状，物料分散、研磨时不易产生粉</w:t>
            </w:r>
            <w:r>
              <w:rPr>
                <w:rFonts w:hint="eastAsia" w:ascii="Times New Roman" w:hAnsi="Times New Roman" w:cs="Times New Roman"/>
                <w:color w:val="auto"/>
                <w:sz w:val="24"/>
                <w:highlight w:val="none"/>
                <w:shd w:val="clear" w:color="auto" w:fill="auto"/>
                <w:lang w:val="en-US" w:eastAsia="zh-CN"/>
              </w:rPr>
              <w:t>尘。由于硅油为无味、无毒、不易挥发的液体，不溶于水、甲醇等</w:t>
            </w:r>
            <w:r>
              <w:rPr>
                <w:rFonts w:hint="eastAsia" w:cs="Times New Roman"/>
                <w:color w:val="auto"/>
                <w:sz w:val="24"/>
                <w:highlight w:val="none"/>
                <w:shd w:val="clear" w:color="auto" w:fill="auto"/>
                <w:lang w:val="en-US" w:eastAsia="zh-CN"/>
              </w:rPr>
              <w:t>，熔</w:t>
            </w:r>
            <w:r>
              <w:rPr>
                <w:rFonts w:hint="default" w:ascii="Times New Roman" w:hAnsi="Times New Roman" w:cs="Times New Roman"/>
                <w:color w:val="auto"/>
                <w:sz w:val="24"/>
                <w:highlight w:val="none"/>
                <w:shd w:val="clear" w:color="auto" w:fill="auto"/>
                <w:lang w:val="en-US" w:eastAsia="zh-CN"/>
              </w:rPr>
              <w:t>点17.5℃，沸点175℃，闪点56℃，矿物油（白油）为无色透明油状液体，没有气味，熔点20℃，沸点大于200℃。项目电加热是120℃，升温脱</w:t>
            </w:r>
            <w:r>
              <w:rPr>
                <w:rFonts w:hint="eastAsia" w:ascii="Times New Roman" w:hAnsi="Times New Roman" w:cs="Times New Roman"/>
                <w:color w:val="auto"/>
                <w:sz w:val="24"/>
                <w:highlight w:val="none"/>
                <w:shd w:val="clear" w:color="auto" w:fill="auto"/>
                <w:lang w:val="en-US" w:eastAsia="zh-CN"/>
              </w:rPr>
              <w:t>水（负压抽真空）时只有少量的水蒸</w:t>
            </w:r>
            <w:r>
              <w:rPr>
                <w:rFonts w:hint="eastAsia" w:cs="Times New Roman"/>
                <w:color w:val="auto"/>
                <w:sz w:val="24"/>
                <w:highlight w:val="none"/>
                <w:shd w:val="clear" w:color="auto" w:fill="auto"/>
                <w:lang w:val="en-US" w:eastAsia="zh-CN"/>
              </w:rPr>
              <w:t>气</w:t>
            </w:r>
            <w:r>
              <w:rPr>
                <w:rFonts w:hint="eastAsia" w:ascii="Times New Roman" w:hAnsi="Times New Roman" w:cs="Times New Roman"/>
                <w:color w:val="auto"/>
                <w:sz w:val="24"/>
                <w:highlight w:val="none"/>
                <w:shd w:val="clear" w:color="auto" w:fill="auto"/>
                <w:lang w:val="en-US" w:eastAsia="zh-CN"/>
              </w:rPr>
              <w:t>和非甲烷总烃（硅油挥发物）产生，经负压抽真空收集后，通过冷凝器冷凝（循环水作为冷媒），冷凝废液储存于储罐内定期用于设备清洗。未冷凝气体（G</w:t>
            </w:r>
            <w:r>
              <w:rPr>
                <w:rFonts w:hint="eastAsia" w:cs="Times New Roman"/>
                <w:color w:val="auto"/>
                <w:sz w:val="24"/>
                <w:highlight w:val="none"/>
                <w:shd w:val="clear" w:color="auto" w:fill="auto"/>
                <w:lang w:val="en-US" w:eastAsia="zh-CN"/>
              </w:rPr>
              <w:t>1</w:t>
            </w:r>
            <w:r>
              <w:rPr>
                <w:rFonts w:hint="eastAsia" w:ascii="Times New Roman" w:hAnsi="Times New Roman" w:cs="Times New Roman"/>
                <w:color w:val="auto"/>
                <w:sz w:val="24"/>
                <w:highlight w:val="none"/>
                <w:shd w:val="clear" w:color="auto" w:fill="auto"/>
                <w:lang w:val="en-US" w:eastAsia="zh-CN"/>
              </w:rPr>
              <w:t>-2）接入循环水池，以无组织形式外排，循环废水全部循环使用，不外排。</w:t>
            </w:r>
          </w:p>
          <w:p w14:paraId="04D7BED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此工序过程为常温物理</w:t>
            </w:r>
            <w:r>
              <w:rPr>
                <w:rFonts w:hint="eastAsia" w:cs="Times New Roman"/>
                <w:color w:val="auto"/>
                <w:sz w:val="24"/>
                <w:highlight w:val="none"/>
                <w:shd w:val="clear" w:color="auto" w:fill="auto"/>
                <w:lang w:val="en-US" w:eastAsia="zh-CN"/>
              </w:rPr>
              <w:t>混</w:t>
            </w:r>
            <w:r>
              <w:rPr>
                <w:rFonts w:hint="eastAsia" w:ascii="Times New Roman" w:hAnsi="Times New Roman" w:cs="Times New Roman"/>
                <w:color w:val="auto"/>
                <w:sz w:val="24"/>
                <w:highlight w:val="none"/>
                <w:shd w:val="clear" w:color="auto" w:fill="auto"/>
                <w:lang w:val="en-US" w:eastAsia="zh-CN"/>
              </w:rPr>
              <w:t>合、搅拌过程，该工序主要污染物为投料粉尘（G</w:t>
            </w:r>
            <w:r>
              <w:rPr>
                <w:rFonts w:hint="eastAsia" w:cs="Times New Roman"/>
                <w:color w:val="auto"/>
                <w:sz w:val="24"/>
                <w:highlight w:val="none"/>
                <w:shd w:val="clear" w:color="auto" w:fill="auto"/>
                <w:lang w:val="en-US" w:eastAsia="zh-CN"/>
              </w:rPr>
              <w:t>1</w:t>
            </w:r>
            <w:r>
              <w:rPr>
                <w:rFonts w:hint="eastAsia" w:ascii="Times New Roman" w:hAnsi="Times New Roman" w:cs="Times New Roman"/>
                <w:color w:val="auto"/>
                <w:sz w:val="24"/>
                <w:highlight w:val="none"/>
                <w:shd w:val="clear" w:color="auto" w:fill="auto"/>
                <w:lang w:val="en-US" w:eastAsia="zh-CN"/>
              </w:rPr>
              <w:t>-</w:t>
            </w:r>
            <w:r>
              <w:rPr>
                <w:rFonts w:hint="eastAsia" w:cs="Times New Roman"/>
                <w:color w:val="auto"/>
                <w:sz w:val="24"/>
                <w:highlight w:val="none"/>
                <w:shd w:val="clear" w:color="auto" w:fill="auto"/>
                <w:lang w:val="en-US" w:eastAsia="zh-CN"/>
              </w:rPr>
              <w:t>1</w:t>
            </w:r>
            <w:r>
              <w:rPr>
                <w:rFonts w:hint="eastAsia" w:ascii="Times New Roman" w:hAnsi="Times New Roman" w:cs="Times New Roman"/>
                <w:color w:val="auto"/>
                <w:sz w:val="24"/>
                <w:highlight w:val="none"/>
                <w:shd w:val="clear" w:color="auto" w:fill="auto"/>
                <w:lang w:val="en-US" w:eastAsia="zh-CN"/>
              </w:rPr>
              <w:t>）、未冷凝气体（G</w:t>
            </w:r>
            <w:r>
              <w:rPr>
                <w:rFonts w:hint="eastAsia" w:cs="Times New Roman"/>
                <w:color w:val="auto"/>
                <w:sz w:val="24"/>
                <w:highlight w:val="none"/>
                <w:shd w:val="clear" w:color="auto" w:fill="auto"/>
                <w:lang w:val="en-US" w:eastAsia="zh-CN"/>
              </w:rPr>
              <w:t>1</w:t>
            </w:r>
            <w:r>
              <w:rPr>
                <w:rFonts w:hint="eastAsia" w:ascii="Times New Roman" w:hAnsi="Times New Roman" w:cs="Times New Roman"/>
                <w:color w:val="auto"/>
                <w:sz w:val="24"/>
                <w:highlight w:val="none"/>
                <w:shd w:val="clear" w:color="auto" w:fill="auto"/>
                <w:lang w:val="en-US" w:eastAsia="zh-CN"/>
              </w:rPr>
              <w:t>-2）和设备噪声。</w:t>
            </w:r>
          </w:p>
          <w:p w14:paraId="39D70543">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2）非自动生产线生产工艺</w:t>
            </w:r>
          </w:p>
          <w:p w14:paraId="0734956D">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非自动生产线主要包括：研磨、配色、配胶、出胶、分装、入库等工序。</w:t>
            </w:r>
          </w:p>
          <w:p w14:paraId="4DD34D95">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①研磨</w:t>
            </w:r>
          </w:p>
          <w:p w14:paraId="1B7EA6C8">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为保证产品质量，把半成品泵至三辊研磨机内进行研磨，把半成品研磨成均匀的膏状物，此过程为常温物理研磨过程，半成品呈膏状且不含易挥发性成分，该工序主要污染物为设备噪声。</w:t>
            </w:r>
          </w:p>
          <w:p w14:paraId="0120755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②配胶</w:t>
            </w:r>
          </w:p>
          <w:p w14:paraId="6D88CB98">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配胶工序主要包括物料混合过程和抽真空脱气过程。</w:t>
            </w:r>
          </w:p>
          <w:p w14:paraId="6AB4CD3F">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研磨完毕的膏状物通过泵转入动力混合机内，同时按照工艺配比加入交联剂（甲基三甲氧基硅</w:t>
            </w:r>
            <w:r>
              <w:rPr>
                <w:rFonts w:hint="eastAsia" w:cs="Times New Roman"/>
                <w:color w:val="auto"/>
                <w:sz w:val="24"/>
                <w:highlight w:val="none"/>
                <w:shd w:val="clear" w:color="auto" w:fill="auto"/>
                <w:lang w:val="en-US" w:eastAsia="zh-CN"/>
              </w:rPr>
              <w:t>烷）</w:t>
            </w:r>
            <w:r>
              <w:rPr>
                <w:rFonts w:hint="eastAsia" w:ascii="Times New Roman" w:hAnsi="Times New Roman" w:cs="Times New Roman"/>
                <w:color w:val="auto"/>
                <w:sz w:val="24"/>
                <w:highlight w:val="none"/>
                <w:shd w:val="clear" w:color="auto" w:fill="auto"/>
                <w:lang w:val="en-US" w:eastAsia="zh-CN"/>
              </w:rPr>
              <w:t>、偶联剂</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硅烷助剂</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、催化剂</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钛酸四异丙酯</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和补强剂</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气相二氧化硅</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和软化剂</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矿物油</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等进行混合，同时混合机温度通过电加热至55℃左右。</w:t>
            </w:r>
          </w:p>
          <w:p w14:paraId="047782C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由于混合机内物料和空气中含有少量水分，交联剂和偶联剂遇水易分解产生甲醇。为保证产品质量、去除混合机内空气中水分和交联剂水解产生的甲醇，项目对混合机进行负压抽真空</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此过程称之为“脱气”</w:t>
            </w:r>
            <w:r>
              <w:rPr>
                <w:rFonts w:hint="eastAsia" w:cs="Times New Roman"/>
                <w:color w:val="auto"/>
                <w:sz w:val="24"/>
                <w:highlight w:val="none"/>
                <w:shd w:val="clear" w:color="auto" w:fill="auto"/>
                <w:lang w:val="en-US" w:eastAsia="zh-CN"/>
              </w:rPr>
              <w:t>。</w:t>
            </w:r>
          </w:p>
          <w:p w14:paraId="034030AF">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该工艺为搅拌、</w:t>
            </w:r>
            <w:r>
              <w:rPr>
                <w:rFonts w:hint="eastAsia" w:cs="Times New Roman"/>
                <w:color w:val="auto"/>
                <w:sz w:val="24"/>
                <w:highlight w:val="none"/>
                <w:shd w:val="clear" w:color="auto" w:fill="auto"/>
                <w:lang w:val="en-US" w:eastAsia="zh-CN"/>
              </w:rPr>
              <w:t>混合</w:t>
            </w:r>
            <w:r>
              <w:rPr>
                <w:rFonts w:hint="eastAsia" w:ascii="Times New Roman" w:hAnsi="Times New Roman" w:cs="Times New Roman"/>
                <w:color w:val="auto"/>
                <w:sz w:val="24"/>
                <w:highlight w:val="none"/>
                <w:shd w:val="clear" w:color="auto" w:fill="auto"/>
                <w:lang w:val="en-US" w:eastAsia="zh-CN"/>
              </w:rPr>
              <w:t>过程，107基（胶</w:t>
            </w:r>
            <w:r>
              <w:rPr>
                <w:rFonts w:hint="eastAsia" w:cs="Times New Roman"/>
                <w:color w:val="auto"/>
                <w:sz w:val="24"/>
                <w:highlight w:val="none"/>
                <w:shd w:val="clear" w:color="auto" w:fill="auto"/>
                <w:lang w:val="en-US" w:eastAsia="zh-CN"/>
              </w:rPr>
              <w:t>端羟</w:t>
            </w:r>
            <w:r>
              <w:rPr>
                <w:rFonts w:hint="eastAsia" w:ascii="Times New Roman" w:hAnsi="Times New Roman" w:cs="Times New Roman"/>
                <w:color w:val="auto"/>
                <w:sz w:val="24"/>
                <w:highlight w:val="none"/>
                <w:shd w:val="clear" w:color="auto" w:fill="auto"/>
                <w:lang w:val="en-US" w:eastAsia="zh-CN"/>
              </w:rPr>
              <w:t>基聚二甲基硅氧烷</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、碳酸钙、交联剂、催化剂、偶联剂和补强剂等其他添加剂的混合物即为产品（硅酮密封胶</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w:t>
            </w:r>
          </w:p>
          <w:p w14:paraId="068711A2">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硅酮密封胶配制时主要为物理混合过程，但使用时硅酮密封胶的交联剂和偶联</w:t>
            </w:r>
            <w:r>
              <w:rPr>
                <w:rFonts w:hint="eastAsia" w:cs="Times New Roman"/>
                <w:color w:val="auto"/>
                <w:sz w:val="24"/>
                <w:highlight w:val="none"/>
                <w:shd w:val="clear" w:color="auto" w:fill="auto"/>
                <w:lang w:val="en-US" w:eastAsia="zh-CN"/>
              </w:rPr>
              <w:t>剂</w:t>
            </w:r>
            <w:r>
              <w:rPr>
                <w:rFonts w:hint="eastAsia" w:ascii="Times New Roman" w:hAnsi="Times New Roman" w:cs="Times New Roman"/>
                <w:color w:val="auto"/>
                <w:sz w:val="24"/>
                <w:highlight w:val="none"/>
                <w:shd w:val="clear" w:color="auto" w:fill="auto"/>
                <w:lang w:val="en-US" w:eastAsia="zh-CN"/>
              </w:rPr>
              <w:t>遇到空气中水分发生水解，水解成多官能团产生</w:t>
            </w:r>
            <w:r>
              <w:rPr>
                <w:rFonts w:hint="eastAsia" w:cs="Times New Roman"/>
                <w:color w:val="auto"/>
                <w:sz w:val="24"/>
                <w:highlight w:val="none"/>
                <w:shd w:val="clear" w:color="auto" w:fill="auto"/>
                <w:lang w:val="en-US" w:eastAsia="zh-CN"/>
              </w:rPr>
              <w:t>甲醇</w:t>
            </w:r>
            <w:r>
              <w:rPr>
                <w:rFonts w:hint="eastAsia" w:ascii="Times New Roman" w:hAnsi="Times New Roman" w:cs="Times New Roman"/>
                <w:color w:val="auto"/>
                <w:sz w:val="24"/>
                <w:highlight w:val="none"/>
                <w:shd w:val="clear" w:color="auto" w:fill="auto"/>
                <w:lang w:val="en-US" w:eastAsia="zh-CN"/>
              </w:rPr>
              <w:t>，在催化剂催化作用下与基础聚合物（107胶</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进行交联、偶联反应，固化形成弹性体硅酮聚合物，由于在反应过程中脱去了小分子甲醇，故又称为脱醇型硅酮密封胶。</w:t>
            </w:r>
          </w:p>
          <w:p w14:paraId="199737D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甲醇产生机理：</w:t>
            </w:r>
          </w:p>
          <w:p w14:paraId="11F9AB38">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配胶工序中，“混合”之后，“脱气”之前，由于物料和空气含少量水份，交联剂和偶联剂不可避免的发生水解，交联剂水解生成甲醇，偶联剂水解生产聚硅氧烷</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进入产品</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w:t>
            </w:r>
          </w:p>
          <w:p w14:paraId="6D1C38B2">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反应方程式为</w:t>
            </w:r>
            <w:r>
              <w:rPr>
                <w:rFonts w:hint="eastAsia" w:cs="Times New Roman"/>
                <w:color w:val="auto"/>
                <w:sz w:val="24"/>
                <w:highlight w:val="none"/>
                <w:shd w:val="clear" w:color="auto" w:fill="auto"/>
                <w:lang w:val="en-US" w:eastAsia="zh-CN"/>
              </w:rPr>
              <w:t>：</w:t>
            </w:r>
          </w:p>
          <w:p w14:paraId="747A987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交联剂水解方程式：</w:t>
            </w:r>
            <w:r>
              <w:rPr>
                <w:rFonts w:hint="eastAsia" w:cs="Times New Roman"/>
                <w:color w:val="auto"/>
                <w:sz w:val="24"/>
                <w:highlight w:val="none"/>
                <w:shd w:val="clear" w:color="auto" w:fill="auto"/>
                <w:lang w:val="en-US" w:eastAsia="zh-CN"/>
              </w:rPr>
              <w:t xml:space="preserve">  </w:t>
            </w:r>
            <w:r>
              <w:rPr>
                <w:rFonts w:hint="eastAsia" w:ascii="Times New Roman" w:hAnsi="Times New Roman" w:cs="Times New Roman"/>
                <w:color w:val="auto"/>
                <w:sz w:val="24"/>
                <w:highlight w:val="none"/>
                <w:shd w:val="clear" w:color="auto" w:fill="auto"/>
                <w:lang w:val="en-US" w:eastAsia="zh-CN"/>
              </w:rPr>
              <w:t>H</w:t>
            </w:r>
            <w:r>
              <w:rPr>
                <w:rFonts w:hint="eastAsia" w:cs="Times New Roman"/>
                <w:color w:val="auto"/>
                <w:sz w:val="24"/>
                <w:highlight w:val="none"/>
                <w:shd w:val="clear" w:color="auto" w:fill="auto"/>
                <w:vertAlign w:val="subscript"/>
                <w:lang w:val="en-US" w:eastAsia="zh-CN"/>
              </w:rPr>
              <w:t>2</w:t>
            </w:r>
            <w:r>
              <w:rPr>
                <w:rFonts w:hint="eastAsia" w:ascii="Times New Roman" w:hAnsi="Times New Roman" w:cs="Times New Roman"/>
                <w:color w:val="auto"/>
                <w:sz w:val="24"/>
                <w:highlight w:val="none"/>
                <w:shd w:val="clear" w:color="auto" w:fill="auto"/>
                <w:lang w:val="en-US" w:eastAsia="zh-CN"/>
              </w:rPr>
              <w:t>O+CH</w:t>
            </w:r>
            <w:r>
              <w:rPr>
                <w:rFonts w:hint="eastAsia" w:cs="Times New Roman"/>
                <w:color w:val="auto"/>
                <w:sz w:val="24"/>
                <w:highlight w:val="none"/>
                <w:shd w:val="clear" w:color="auto" w:fill="auto"/>
                <w:vertAlign w:val="subscript"/>
                <w:lang w:val="en-US" w:eastAsia="zh-CN"/>
              </w:rPr>
              <w:t>3</w:t>
            </w:r>
            <w:r>
              <w:rPr>
                <w:rFonts w:hint="eastAsia" w:ascii="Times New Roman" w:hAnsi="Times New Roman" w:cs="Times New Roman"/>
                <w:color w:val="auto"/>
                <w:sz w:val="24"/>
                <w:highlight w:val="none"/>
                <w:shd w:val="clear" w:color="auto" w:fill="auto"/>
                <w:lang w:val="en-US" w:eastAsia="zh-CN"/>
              </w:rPr>
              <w:t>S</w:t>
            </w:r>
            <w:r>
              <w:rPr>
                <w:rFonts w:hint="eastAsia" w:cs="Times New Roman"/>
                <w:color w:val="auto"/>
                <w:sz w:val="24"/>
                <w:highlight w:val="none"/>
                <w:shd w:val="clear" w:color="auto" w:fill="auto"/>
                <w:lang w:val="en-US" w:eastAsia="zh-CN"/>
              </w:rPr>
              <w:t>i（</w:t>
            </w:r>
            <w:r>
              <w:rPr>
                <w:rFonts w:hint="eastAsia" w:ascii="Times New Roman" w:hAnsi="Times New Roman" w:cs="Times New Roman"/>
                <w:color w:val="auto"/>
                <w:sz w:val="24"/>
                <w:highlight w:val="none"/>
                <w:shd w:val="clear" w:color="auto" w:fill="auto"/>
                <w:lang w:val="en-US" w:eastAsia="zh-CN"/>
              </w:rPr>
              <w:t>OCH</w:t>
            </w:r>
            <w:r>
              <w:rPr>
                <w:rFonts w:hint="eastAsia" w:cs="Times New Roman"/>
                <w:color w:val="auto"/>
                <w:sz w:val="24"/>
                <w:highlight w:val="none"/>
                <w:shd w:val="clear" w:color="auto" w:fill="auto"/>
                <w:vertAlign w:val="subscript"/>
                <w:lang w:val="en-US" w:eastAsia="zh-CN"/>
              </w:rPr>
              <w:t>3</w:t>
            </w:r>
            <w:r>
              <w:rPr>
                <w:rFonts w:hint="eastAsia" w:cs="Times New Roman"/>
                <w:color w:val="auto"/>
                <w:sz w:val="24"/>
                <w:highlight w:val="none"/>
                <w:shd w:val="clear" w:color="auto" w:fill="auto"/>
                <w:lang w:val="en-US" w:eastAsia="zh-CN"/>
              </w:rPr>
              <w:t>）</w:t>
            </w:r>
            <w:r>
              <w:rPr>
                <w:rFonts w:hint="eastAsia" w:cs="Times New Roman"/>
                <w:color w:val="auto"/>
                <w:sz w:val="24"/>
                <w:highlight w:val="none"/>
                <w:shd w:val="clear" w:color="auto" w:fill="auto"/>
                <w:vertAlign w:val="subscript"/>
                <w:lang w:val="en-US" w:eastAsia="zh-CN"/>
              </w:rPr>
              <w:t>3</w:t>
            </w:r>
            <w:r>
              <w:rPr>
                <w:rFonts w:hint="eastAsia" w:ascii="Times New Roman" w:hAnsi="Times New Roman" w:cs="Times New Roman"/>
                <w:color w:val="auto"/>
                <w:sz w:val="24"/>
                <w:highlight w:val="none"/>
                <w:shd w:val="clear" w:color="auto" w:fill="auto"/>
                <w:lang w:val="en-US" w:eastAsia="zh-CN"/>
              </w:rPr>
              <w:t>→CH</w:t>
            </w:r>
            <w:r>
              <w:rPr>
                <w:rFonts w:hint="eastAsia" w:cs="Times New Roman"/>
                <w:color w:val="auto"/>
                <w:sz w:val="24"/>
                <w:highlight w:val="none"/>
                <w:shd w:val="clear" w:color="auto" w:fill="auto"/>
                <w:vertAlign w:val="subscript"/>
                <w:lang w:val="en-US" w:eastAsia="zh-CN"/>
              </w:rPr>
              <w:t>3</w:t>
            </w:r>
            <w:r>
              <w:rPr>
                <w:rFonts w:hint="eastAsia" w:ascii="Times New Roman" w:hAnsi="Times New Roman" w:cs="Times New Roman"/>
                <w:color w:val="auto"/>
                <w:sz w:val="24"/>
                <w:highlight w:val="none"/>
                <w:shd w:val="clear" w:color="auto" w:fill="auto"/>
                <w:lang w:val="en-US" w:eastAsia="zh-CN"/>
              </w:rPr>
              <w:t>OH</w:t>
            </w:r>
            <w:r>
              <w:rPr>
                <w:rFonts w:hint="default" w:ascii="Arial" w:hAnsi="Arial" w:cs="Arial"/>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+HS</w:t>
            </w:r>
            <w:r>
              <w:rPr>
                <w:rFonts w:hint="eastAsia" w:cs="Times New Roman"/>
                <w:color w:val="auto"/>
                <w:sz w:val="24"/>
                <w:highlight w:val="none"/>
                <w:shd w:val="clear" w:color="auto" w:fill="auto"/>
                <w:lang w:val="en-US" w:eastAsia="zh-CN"/>
              </w:rPr>
              <w:t>i（</w:t>
            </w:r>
            <w:r>
              <w:rPr>
                <w:rFonts w:hint="eastAsia" w:ascii="Times New Roman" w:hAnsi="Times New Roman" w:cs="Times New Roman"/>
                <w:color w:val="auto"/>
                <w:sz w:val="24"/>
                <w:highlight w:val="none"/>
                <w:shd w:val="clear" w:color="auto" w:fill="auto"/>
                <w:lang w:val="en-US" w:eastAsia="zh-CN"/>
              </w:rPr>
              <w:t>OCH</w:t>
            </w:r>
            <w:r>
              <w:rPr>
                <w:rFonts w:hint="eastAsia" w:cs="Times New Roman"/>
                <w:color w:val="auto"/>
                <w:sz w:val="24"/>
                <w:highlight w:val="none"/>
                <w:shd w:val="clear" w:color="auto" w:fill="auto"/>
                <w:vertAlign w:val="subscript"/>
                <w:lang w:val="en-US" w:eastAsia="zh-CN"/>
              </w:rPr>
              <w:t>3</w:t>
            </w:r>
            <w:r>
              <w:rPr>
                <w:rFonts w:hint="eastAsia" w:cs="Times New Roman"/>
                <w:color w:val="auto"/>
                <w:sz w:val="24"/>
                <w:highlight w:val="none"/>
                <w:shd w:val="clear" w:color="auto" w:fill="auto"/>
                <w:lang w:val="en-US" w:eastAsia="zh-CN"/>
              </w:rPr>
              <w:t>）</w:t>
            </w:r>
            <w:r>
              <w:rPr>
                <w:rFonts w:hint="eastAsia" w:cs="Times New Roman"/>
                <w:color w:val="auto"/>
                <w:sz w:val="24"/>
                <w:highlight w:val="none"/>
                <w:shd w:val="clear" w:color="auto" w:fill="auto"/>
                <w:vertAlign w:val="subscript"/>
                <w:lang w:val="en-US" w:eastAsia="zh-CN"/>
              </w:rPr>
              <w:t>3</w:t>
            </w:r>
          </w:p>
          <w:p w14:paraId="29C849D0">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偶联剂水解方程式：</w:t>
            </w:r>
            <w:r>
              <w:rPr>
                <w:rFonts w:hint="eastAsia" w:cs="Times New Roman"/>
                <w:color w:val="auto"/>
                <w:sz w:val="24"/>
                <w:highlight w:val="none"/>
                <w:shd w:val="clear" w:color="auto" w:fill="auto"/>
                <w:lang w:val="en-US" w:eastAsia="zh-CN"/>
              </w:rPr>
              <w:t xml:space="preserve">  </w:t>
            </w:r>
            <w:r>
              <w:rPr>
                <w:rFonts w:hint="eastAsia" w:ascii="Times New Roman" w:hAnsi="Times New Roman" w:cs="Times New Roman"/>
                <w:color w:val="auto"/>
                <w:sz w:val="24"/>
                <w:highlight w:val="none"/>
                <w:shd w:val="clear" w:color="auto" w:fill="auto"/>
                <w:lang w:val="en-US" w:eastAsia="zh-CN"/>
              </w:rPr>
              <w:t>H</w:t>
            </w:r>
            <w:r>
              <w:rPr>
                <w:rFonts w:hint="eastAsia" w:cs="Times New Roman"/>
                <w:color w:val="auto"/>
                <w:sz w:val="24"/>
                <w:highlight w:val="none"/>
                <w:shd w:val="clear" w:color="auto" w:fill="auto"/>
                <w:vertAlign w:val="subscript"/>
                <w:lang w:val="en-US" w:eastAsia="zh-CN"/>
              </w:rPr>
              <w:t>2</w:t>
            </w:r>
            <w:r>
              <w:rPr>
                <w:rFonts w:hint="eastAsia" w:ascii="Times New Roman" w:hAnsi="Times New Roman" w:cs="Times New Roman"/>
                <w:color w:val="auto"/>
                <w:sz w:val="24"/>
                <w:highlight w:val="none"/>
                <w:shd w:val="clear" w:color="auto" w:fill="auto"/>
                <w:lang w:val="en-US" w:eastAsia="zh-CN"/>
              </w:rPr>
              <w:t>O+2C</w:t>
            </w:r>
            <w:r>
              <w:rPr>
                <w:rFonts w:hint="eastAsia" w:cs="Times New Roman"/>
                <w:color w:val="auto"/>
                <w:sz w:val="24"/>
                <w:highlight w:val="none"/>
                <w:shd w:val="clear" w:color="auto" w:fill="auto"/>
                <w:vertAlign w:val="subscript"/>
                <w:lang w:val="en-US" w:eastAsia="zh-CN"/>
              </w:rPr>
              <w:t>10</w:t>
            </w:r>
            <w:r>
              <w:rPr>
                <w:rFonts w:hint="eastAsia" w:ascii="Times New Roman" w:hAnsi="Times New Roman" w:cs="Times New Roman"/>
                <w:color w:val="auto"/>
                <w:sz w:val="24"/>
                <w:highlight w:val="none"/>
                <w:shd w:val="clear" w:color="auto" w:fill="auto"/>
                <w:lang w:val="en-US" w:eastAsia="zh-CN"/>
              </w:rPr>
              <w:t>H</w:t>
            </w:r>
            <w:r>
              <w:rPr>
                <w:rFonts w:hint="eastAsia" w:cs="Times New Roman"/>
                <w:color w:val="auto"/>
                <w:sz w:val="24"/>
                <w:highlight w:val="none"/>
                <w:shd w:val="clear" w:color="auto" w:fill="auto"/>
                <w:vertAlign w:val="subscript"/>
                <w:lang w:val="en-US" w:eastAsia="zh-CN"/>
              </w:rPr>
              <w:t>20</w:t>
            </w:r>
            <w:r>
              <w:rPr>
                <w:rFonts w:hint="eastAsia" w:ascii="Times New Roman" w:hAnsi="Times New Roman" w:cs="Times New Roman"/>
                <w:color w:val="auto"/>
                <w:sz w:val="24"/>
                <w:highlight w:val="none"/>
                <w:shd w:val="clear" w:color="auto" w:fill="auto"/>
                <w:lang w:val="en-US" w:eastAsia="zh-CN"/>
              </w:rPr>
              <w:t>O</w:t>
            </w:r>
            <w:r>
              <w:rPr>
                <w:rFonts w:hint="eastAsia" w:cs="Times New Roman"/>
                <w:color w:val="auto"/>
                <w:sz w:val="24"/>
                <w:highlight w:val="none"/>
                <w:shd w:val="clear" w:color="auto" w:fill="auto"/>
                <w:vertAlign w:val="subscript"/>
                <w:lang w:val="en-US" w:eastAsia="zh-CN"/>
              </w:rPr>
              <w:t>5</w:t>
            </w:r>
            <w:r>
              <w:rPr>
                <w:rFonts w:hint="eastAsia" w:ascii="Times New Roman" w:hAnsi="Times New Roman" w:cs="Times New Roman"/>
                <w:color w:val="auto"/>
                <w:sz w:val="24"/>
                <w:highlight w:val="none"/>
                <w:shd w:val="clear" w:color="auto" w:fill="auto"/>
                <w:lang w:val="en-US" w:eastAsia="zh-CN"/>
              </w:rPr>
              <w:t>Si→2C</w:t>
            </w:r>
            <w:r>
              <w:rPr>
                <w:rFonts w:hint="eastAsia" w:cs="Times New Roman"/>
                <w:color w:val="auto"/>
                <w:sz w:val="24"/>
                <w:highlight w:val="none"/>
                <w:shd w:val="clear" w:color="auto" w:fill="auto"/>
                <w:vertAlign w:val="subscript"/>
                <w:lang w:val="en-US" w:eastAsia="zh-CN"/>
              </w:rPr>
              <w:t>7</w:t>
            </w:r>
            <w:r>
              <w:rPr>
                <w:rFonts w:hint="eastAsia" w:ascii="Times New Roman" w:hAnsi="Times New Roman" w:cs="Times New Roman"/>
                <w:color w:val="auto"/>
                <w:sz w:val="24"/>
                <w:highlight w:val="none"/>
                <w:shd w:val="clear" w:color="auto" w:fill="auto"/>
                <w:lang w:val="en-US" w:eastAsia="zh-CN"/>
              </w:rPr>
              <w:t>H</w:t>
            </w:r>
            <w:r>
              <w:rPr>
                <w:rFonts w:hint="eastAsia" w:cs="Times New Roman"/>
                <w:color w:val="auto"/>
                <w:sz w:val="24"/>
                <w:highlight w:val="none"/>
                <w:shd w:val="clear" w:color="auto" w:fill="auto"/>
                <w:vertAlign w:val="subscript"/>
                <w:lang w:val="en-US" w:eastAsia="zh-CN"/>
              </w:rPr>
              <w:t>12</w:t>
            </w:r>
            <w:r>
              <w:rPr>
                <w:rFonts w:hint="eastAsia" w:ascii="Times New Roman" w:hAnsi="Times New Roman" w:cs="Times New Roman"/>
                <w:color w:val="auto"/>
                <w:sz w:val="24"/>
                <w:highlight w:val="none"/>
                <w:shd w:val="clear" w:color="auto" w:fill="auto"/>
                <w:lang w:val="en-US" w:eastAsia="zh-CN"/>
              </w:rPr>
              <w:t>O</w:t>
            </w:r>
            <w:r>
              <w:rPr>
                <w:rFonts w:hint="eastAsia" w:cs="Times New Roman"/>
                <w:color w:val="auto"/>
                <w:sz w:val="24"/>
                <w:highlight w:val="none"/>
                <w:shd w:val="clear" w:color="auto" w:fill="auto"/>
                <w:vertAlign w:val="subscript"/>
                <w:lang w:val="en-US" w:eastAsia="zh-CN"/>
              </w:rPr>
              <w:t>5</w:t>
            </w:r>
            <w:r>
              <w:rPr>
                <w:rFonts w:hint="eastAsia" w:ascii="Times New Roman" w:hAnsi="Times New Roman" w:cs="Times New Roman"/>
                <w:color w:val="auto"/>
                <w:sz w:val="24"/>
                <w:highlight w:val="none"/>
                <w:shd w:val="clear" w:color="auto" w:fill="auto"/>
                <w:lang w:val="en-US" w:eastAsia="zh-CN"/>
              </w:rPr>
              <w:t>+C</w:t>
            </w:r>
            <w:r>
              <w:rPr>
                <w:rFonts w:hint="eastAsia" w:cs="Times New Roman"/>
                <w:color w:val="auto"/>
                <w:sz w:val="24"/>
                <w:highlight w:val="none"/>
                <w:shd w:val="clear" w:color="auto" w:fill="auto"/>
                <w:vertAlign w:val="subscript"/>
                <w:lang w:val="en-US" w:eastAsia="zh-CN"/>
              </w:rPr>
              <w:t>6</w:t>
            </w:r>
            <w:r>
              <w:rPr>
                <w:rFonts w:hint="eastAsia" w:ascii="Times New Roman" w:hAnsi="Times New Roman" w:cs="Times New Roman"/>
                <w:color w:val="auto"/>
                <w:sz w:val="24"/>
                <w:highlight w:val="none"/>
                <w:shd w:val="clear" w:color="auto" w:fill="auto"/>
                <w:lang w:val="en-US" w:eastAsia="zh-CN"/>
              </w:rPr>
              <w:t>H</w:t>
            </w:r>
            <w:r>
              <w:rPr>
                <w:rFonts w:hint="eastAsia" w:cs="Times New Roman"/>
                <w:color w:val="auto"/>
                <w:sz w:val="24"/>
                <w:highlight w:val="none"/>
                <w:shd w:val="clear" w:color="auto" w:fill="auto"/>
                <w:vertAlign w:val="subscript"/>
                <w:lang w:val="en-US" w:eastAsia="zh-CN"/>
              </w:rPr>
              <w:t>18</w:t>
            </w:r>
            <w:r>
              <w:rPr>
                <w:rFonts w:hint="eastAsia" w:ascii="Times New Roman" w:hAnsi="Times New Roman" w:cs="Times New Roman"/>
                <w:color w:val="auto"/>
                <w:sz w:val="24"/>
                <w:highlight w:val="none"/>
                <w:shd w:val="clear" w:color="auto" w:fill="auto"/>
                <w:lang w:val="en-US" w:eastAsia="zh-CN"/>
              </w:rPr>
              <w:t>OS</w:t>
            </w:r>
            <w:r>
              <w:rPr>
                <w:rFonts w:hint="eastAsia" w:cs="Times New Roman"/>
                <w:color w:val="auto"/>
                <w:sz w:val="24"/>
                <w:highlight w:val="none"/>
                <w:shd w:val="clear" w:color="auto" w:fill="auto"/>
                <w:lang w:val="en-US" w:eastAsia="zh-CN"/>
              </w:rPr>
              <w:t>i</w:t>
            </w:r>
          </w:p>
          <w:p w14:paraId="158EACE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交联剂水解产生的甲醇和</w:t>
            </w:r>
            <w:r>
              <w:rPr>
                <w:rFonts w:hint="eastAsia" w:cs="Times New Roman"/>
                <w:color w:val="auto"/>
                <w:sz w:val="24"/>
                <w:highlight w:val="none"/>
                <w:shd w:val="clear" w:color="auto" w:fill="auto"/>
                <w:lang w:val="en-US" w:eastAsia="zh-CN"/>
              </w:rPr>
              <w:t>混</w:t>
            </w:r>
            <w:r>
              <w:rPr>
                <w:rFonts w:hint="eastAsia" w:ascii="Times New Roman" w:hAnsi="Times New Roman" w:cs="Times New Roman"/>
                <w:color w:val="auto"/>
                <w:sz w:val="24"/>
                <w:highlight w:val="none"/>
                <w:shd w:val="clear" w:color="auto" w:fill="auto"/>
                <w:lang w:val="en-US" w:eastAsia="zh-CN"/>
              </w:rPr>
              <w:t>合机的水分经负压抽真空后，通过冷凝器冷凝（采取循环水作为冷媒</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，冷凝废液储存于储罐内定期用于设备</w:t>
            </w:r>
            <w:r>
              <w:rPr>
                <w:rFonts w:hint="eastAsia" w:cs="Times New Roman"/>
                <w:color w:val="auto"/>
                <w:sz w:val="24"/>
                <w:highlight w:val="none"/>
                <w:shd w:val="clear" w:color="auto" w:fill="auto"/>
                <w:lang w:val="en-US" w:eastAsia="zh-CN"/>
              </w:rPr>
              <w:t>清</w:t>
            </w:r>
            <w:r>
              <w:rPr>
                <w:rFonts w:hint="eastAsia" w:ascii="Times New Roman" w:hAnsi="Times New Roman" w:cs="Times New Roman"/>
                <w:color w:val="auto"/>
                <w:sz w:val="24"/>
                <w:highlight w:val="none"/>
                <w:shd w:val="clear" w:color="auto" w:fill="auto"/>
                <w:lang w:val="en-US" w:eastAsia="zh-CN"/>
              </w:rPr>
              <w:t>洗，未冷凝气体（G</w:t>
            </w:r>
            <w:r>
              <w:rPr>
                <w:rFonts w:hint="eastAsia" w:cs="Times New Roman"/>
                <w:color w:val="auto"/>
                <w:sz w:val="24"/>
                <w:highlight w:val="none"/>
                <w:shd w:val="clear" w:color="auto" w:fill="auto"/>
                <w:lang w:val="en-US" w:eastAsia="zh-CN"/>
              </w:rPr>
              <w:t>1</w:t>
            </w:r>
            <w:r>
              <w:rPr>
                <w:rFonts w:hint="eastAsia" w:ascii="Times New Roman" w:hAnsi="Times New Roman" w:cs="Times New Roman"/>
                <w:color w:val="auto"/>
                <w:sz w:val="24"/>
                <w:highlight w:val="none"/>
                <w:shd w:val="clear" w:color="auto" w:fill="auto"/>
                <w:lang w:val="en-US" w:eastAsia="zh-CN"/>
              </w:rPr>
              <w:t>-3）接入循环水池，以无组织形式外排，循环废水全部循环使用，不外排</w:t>
            </w:r>
            <w:r>
              <w:rPr>
                <w:rFonts w:hint="eastAsia" w:cs="Times New Roman"/>
                <w:color w:val="auto"/>
                <w:sz w:val="24"/>
                <w:highlight w:val="none"/>
                <w:shd w:val="clear" w:color="auto" w:fill="auto"/>
                <w:lang w:val="en-US" w:eastAsia="zh-CN"/>
              </w:rPr>
              <w:t>。</w:t>
            </w:r>
          </w:p>
          <w:p w14:paraId="629B3169">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该工序主要污染为</w:t>
            </w:r>
            <w:r>
              <w:rPr>
                <w:rFonts w:hint="eastAsia" w:cs="Times New Roman"/>
                <w:color w:val="auto"/>
                <w:sz w:val="24"/>
                <w:highlight w:val="none"/>
                <w:shd w:val="clear" w:color="auto" w:fill="auto"/>
                <w:lang w:val="en-US" w:eastAsia="zh-CN"/>
              </w:rPr>
              <w:t>未</w:t>
            </w:r>
            <w:r>
              <w:rPr>
                <w:rFonts w:hint="eastAsia" w:ascii="Times New Roman" w:hAnsi="Times New Roman" w:cs="Times New Roman"/>
                <w:color w:val="auto"/>
                <w:sz w:val="24"/>
                <w:highlight w:val="none"/>
                <w:shd w:val="clear" w:color="auto" w:fill="auto"/>
                <w:lang w:val="en-US" w:eastAsia="zh-CN"/>
              </w:rPr>
              <w:t>冷凝气体（G</w:t>
            </w:r>
            <w:r>
              <w:rPr>
                <w:rFonts w:hint="eastAsia" w:cs="Times New Roman"/>
                <w:color w:val="auto"/>
                <w:sz w:val="24"/>
                <w:highlight w:val="none"/>
                <w:shd w:val="clear" w:color="auto" w:fill="auto"/>
                <w:lang w:val="en-US" w:eastAsia="zh-CN"/>
              </w:rPr>
              <w:t>1</w:t>
            </w:r>
            <w:r>
              <w:rPr>
                <w:rFonts w:hint="eastAsia" w:ascii="Times New Roman" w:hAnsi="Times New Roman" w:cs="Times New Roman"/>
                <w:color w:val="auto"/>
                <w:sz w:val="24"/>
                <w:highlight w:val="none"/>
                <w:shd w:val="clear" w:color="auto" w:fill="auto"/>
                <w:lang w:val="en-US" w:eastAsia="zh-CN"/>
              </w:rPr>
              <w:t>-3）和设备噪声。</w:t>
            </w:r>
          </w:p>
          <w:p w14:paraId="515BB968">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cs="Times New Roman"/>
                <w:color w:val="auto"/>
                <w:sz w:val="24"/>
                <w:highlight w:val="none"/>
                <w:shd w:val="clear" w:color="auto" w:fill="auto"/>
                <w:lang w:val="en-US" w:eastAsia="zh-CN"/>
              </w:rPr>
              <w:t>③</w:t>
            </w:r>
            <w:r>
              <w:rPr>
                <w:rFonts w:hint="eastAsia" w:ascii="Times New Roman" w:hAnsi="Times New Roman" w:cs="Times New Roman"/>
                <w:color w:val="auto"/>
                <w:sz w:val="24"/>
                <w:highlight w:val="none"/>
                <w:shd w:val="clear" w:color="auto" w:fill="auto"/>
                <w:lang w:val="en-US" w:eastAsia="zh-CN"/>
              </w:rPr>
              <w:t>配色</w:t>
            </w:r>
          </w:p>
          <w:p w14:paraId="59E5A5FC">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把配胶完毕的膏状物泵入行星搅拌机内，加入从市场所购色浆（由甲基硅油和颜填料组成</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，按照客户需求进行配色。</w:t>
            </w:r>
          </w:p>
          <w:p w14:paraId="3B2CBC70">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此过程为常温物理</w:t>
            </w:r>
            <w:r>
              <w:rPr>
                <w:rFonts w:hint="eastAsia" w:cs="Times New Roman"/>
                <w:color w:val="auto"/>
                <w:sz w:val="24"/>
                <w:highlight w:val="none"/>
                <w:shd w:val="clear" w:color="auto" w:fill="auto"/>
                <w:lang w:val="en-US" w:eastAsia="zh-CN"/>
              </w:rPr>
              <w:t>搅</w:t>
            </w:r>
            <w:r>
              <w:rPr>
                <w:rFonts w:hint="eastAsia" w:ascii="Times New Roman" w:hAnsi="Times New Roman" w:cs="Times New Roman"/>
                <w:color w:val="auto"/>
                <w:sz w:val="24"/>
                <w:highlight w:val="none"/>
                <w:shd w:val="clear" w:color="auto" w:fill="auto"/>
                <w:lang w:val="en-US" w:eastAsia="zh-CN"/>
              </w:rPr>
              <w:t>拌混合过程，由于半成品和色浆不含易挥发性成分，该工序主要污染物为设备噪声</w:t>
            </w:r>
            <w:r>
              <w:rPr>
                <w:rFonts w:hint="eastAsia" w:cs="Times New Roman"/>
                <w:color w:val="auto"/>
                <w:sz w:val="24"/>
                <w:highlight w:val="none"/>
                <w:shd w:val="clear" w:color="auto" w:fill="auto"/>
                <w:lang w:val="en-US" w:eastAsia="zh-CN"/>
              </w:rPr>
              <w:t>。</w:t>
            </w:r>
          </w:p>
          <w:p w14:paraId="6F3A3B5F">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④出胶</w:t>
            </w:r>
          </w:p>
          <w:p w14:paraId="1F77C2C0">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把动力混合机产生的成品泵至桶装压料机内，通过压料机进行出胶。</w:t>
            </w:r>
          </w:p>
          <w:p w14:paraId="7CB7FC69">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压料机为密闭设备，成品不会接触空气水分发生反应，工序主要污染物为设备噪声。</w:t>
            </w:r>
          </w:p>
          <w:p w14:paraId="4A2DEA12">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cs="Times New Roman"/>
                <w:color w:val="auto"/>
                <w:sz w:val="24"/>
                <w:highlight w:val="none"/>
                <w:shd w:val="clear" w:color="auto" w:fill="auto"/>
                <w:lang w:val="en-US" w:eastAsia="zh-CN"/>
              </w:rPr>
              <w:t>⑤</w:t>
            </w:r>
            <w:r>
              <w:rPr>
                <w:rFonts w:hint="eastAsia" w:ascii="Times New Roman" w:hAnsi="Times New Roman" w:cs="Times New Roman"/>
                <w:color w:val="auto"/>
                <w:sz w:val="24"/>
                <w:highlight w:val="none"/>
                <w:shd w:val="clear" w:color="auto" w:fill="auto"/>
                <w:lang w:val="en-US" w:eastAsia="zh-CN"/>
              </w:rPr>
              <w:t>分装入库</w:t>
            </w:r>
          </w:p>
          <w:p w14:paraId="5EAAE32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出胶后的产品通过包装机包装入库。</w:t>
            </w:r>
          </w:p>
          <w:p w14:paraId="564A1A8D">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该工序主要污染物为废包装物(S</w:t>
            </w:r>
            <w:r>
              <w:rPr>
                <w:rFonts w:hint="eastAsia" w:cs="Times New Roman"/>
                <w:color w:val="auto"/>
                <w:sz w:val="24"/>
                <w:highlight w:val="none"/>
                <w:shd w:val="clear" w:color="auto" w:fill="auto"/>
                <w:lang w:val="en-US" w:eastAsia="zh-CN"/>
              </w:rPr>
              <w:t>1</w:t>
            </w:r>
            <w:r>
              <w:rPr>
                <w:rFonts w:hint="eastAsia" w:ascii="Times New Roman" w:hAnsi="Times New Roman" w:cs="Times New Roman"/>
                <w:color w:val="auto"/>
                <w:sz w:val="24"/>
                <w:highlight w:val="none"/>
                <w:shd w:val="clear" w:color="auto" w:fill="auto"/>
                <w:lang w:val="en-US" w:eastAsia="zh-CN"/>
              </w:rPr>
              <w:t>-</w:t>
            </w:r>
            <w:r>
              <w:rPr>
                <w:rFonts w:hint="eastAsia" w:cs="Times New Roman"/>
                <w:color w:val="auto"/>
                <w:sz w:val="24"/>
                <w:highlight w:val="none"/>
                <w:shd w:val="clear" w:color="auto" w:fill="auto"/>
                <w:lang w:val="en-US" w:eastAsia="zh-CN"/>
              </w:rPr>
              <w:t>1</w:t>
            </w:r>
            <w:r>
              <w:rPr>
                <w:rFonts w:hint="eastAsia" w:ascii="Times New Roman" w:hAnsi="Times New Roman" w:cs="Times New Roman"/>
                <w:color w:val="auto"/>
                <w:sz w:val="24"/>
                <w:highlight w:val="none"/>
                <w:shd w:val="clear" w:color="auto" w:fill="auto"/>
                <w:lang w:val="en-US" w:eastAsia="zh-CN"/>
              </w:rPr>
              <w:t>)和</w:t>
            </w:r>
            <w:r>
              <w:rPr>
                <w:rFonts w:hint="eastAsia" w:cs="Times New Roman"/>
                <w:color w:val="auto"/>
                <w:sz w:val="24"/>
                <w:highlight w:val="none"/>
                <w:shd w:val="clear" w:color="auto" w:fill="auto"/>
                <w:lang w:val="en-US" w:eastAsia="zh-CN"/>
              </w:rPr>
              <w:t>设备</w:t>
            </w:r>
            <w:r>
              <w:rPr>
                <w:rFonts w:hint="eastAsia" w:ascii="Times New Roman" w:hAnsi="Times New Roman" w:cs="Times New Roman"/>
                <w:color w:val="auto"/>
                <w:sz w:val="24"/>
                <w:highlight w:val="none"/>
                <w:shd w:val="clear" w:color="auto" w:fill="auto"/>
                <w:lang w:val="en-US" w:eastAsia="zh-CN"/>
              </w:rPr>
              <w:t>噪声。</w:t>
            </w:r>
          </w:p>
          <w:p w14:paraId="136D9AB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eastAsia" w:cs="Times New Roman"/>
                <w:color w:val="auto"/>
                <w:sz w:val="24"/>
                <w:highlight w:val="none"/>
                <w:shd w:val="clear" w:color="auto" w:fill="auto"/>
                <w:lang w:val="en-US" w:eastAsia="zh-CN"/>
              </w:rPr>
              <w:t>⑥设备清洗</w:t>
            </w:r>
          </w:p>
          <w:p w14:paraId="59A8E6B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非自动生产线为间歇式生产，设备采用木糠打磨和冷凝回收废液清洗，最后采取抹布清理，设备清洗产生的废渣（S</w:t>
            </w:r>
            <w:r>
              <w:rPr>
                <w:rFonts w:hint="eastAsia" w:cs="Times New Roman"/>
                <w:color w:val="auto"/>
                <w:sz w:val="24"/>
                <w:highlight w:val="none"/>
                <w:shd w:val="clear" w:color="auto" w:fill="auto"/>
                <w:lang w:val="en-US" w:eastAsia="zh-CN"/>
              </w:rPr>
              <w:t>1</w:t>
            </w:r>
            <w:r>
              <w:rPr>
                <w:rFonts w:hint="eastAsia" w:ascii="Times New Roman" w:hAnsi="Times New Roman" w:cs="Times New Roman"/>
                <w:color w:val="auto"/>
                <w:sz w:val="24"/>
                <w:highlight w:val="none"/>
                <w:shd w:val="clear" w:color="auto" w:fill="auto"/>
                <w:lang w:val="en-US" w:eastAsia="zh-CN"/>
              </w:rPr>
              <w:t>-2)经收集后委托具有资质单位处理，根据试生产日常统</w:t>
            </w:r>
            <w:r>
              <w:rPr>
                <w:rFonts w:hint="eastAsia" w:cs="Times New Roman"/>
                <w:color w:val="auto"/>
                <w:sz w:val="24"/>
                <w:highlight w:val="none"/>
                <w:shd w:val="clear" w:color="auto" w:fill="auto"/>
                <w:lang w:val="en-US" w:eastAsia="zh-CN"/>
              </w:rPr>
              <w:t>计自动生产线和非自动生产线产生的废液量刚好够设备清洗所用，不用外购有机溶剂。</w:t>
            </w:r>
          </w:p>
          <w:p w14:paraId="4A40B50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eastAsia" w:cs="Times New Roman"/>
                <w:color w:val="auto"/>
                <w:sz w:val="24"/>
                <w:highlight w:val="none"/>
                <w:shd w:val="clear" w:color="auto" w:fill="auto"/>
                <w:lang w:val="en-US" w:eastAsia="zh-CN"/>
              </w:rPr>
              <w:t>冷凝废液主要含有水、硅油、矿物油、甲醇等，由于硅油和矿物油沸点均在175</w:t>
            </w:r>
            <w:r>
              <w:rPr>
                <w:rFonts w:hint="default" w:ascii="Times New Roman" w:hAnsi="Times New Roman" w:cs="Times New Roman"/>
                <w:color w:val="auto"/>
                <w:sz w:val="24"/>
                <w:highlight w:val="none"/>
                <w:shd w:val="clear" w:color="auto" w:fill="auto"/>
                <w:lang w:val="en-US" w:eastAsia="zh-CN"/>
              </w:rPr>
              <w:t>℃以</w:t>
            </w:r>
            <w:r>
              <w:rPr>
                <w:rFonts w:hint="eastAsia" w:ascii="Times New Roman" w:hAnsi="Times New Roman" w:cs="Times New Roman"/>
                <w:color w:val="auto"/>
                <w:sz w:val="24"/>
                <w:highlight w:val="none"/>
                <w:shd w:val="clear" w:color="auto" w:fill="auto"/>
                <w:lang w:val="en-US" w:eastAsia="zh-CN"/>
              </w:rPr>
              <w:t>上，不易挥发，因此设备清洗时主要有甲醇（G1-4</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以无组织方式扩散进入大气。</w:t>
            </w:r>
          </w:p>
          <w:p w14:paraId="6ED6B61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该工序产生污染物主要为甲醇（G</w:t>
            </w:r>
            <w:r>
              <w:rPr>
                <w:rFonts w:hint="eastAsia" w:ascii="Times New Roman" w:hAnsi="Times New Roman" w:cs="Times New Roman"/>
                <w:color w:val="auto"/>
                <w:sz w:val="24"/>
                <w:highlight w:val="none"/>
                <w:shd w:val="clear" w:color="auto" w:fill="auto"/>
                <w:lang w:val="en-US" w:eastAsia="zh-CN"/>
              </w:rPr>
              <w:t>1</w:t>
            </w:r>
            <w:r>
              <w:rPr>
                <w:rFonts w:hint="default" w:ascii="Times New Roman" w:hAnsi="Times New Roman" w:cs="Times New Roman"/>
                <w:color w:val="auto"/>
                <w:sz w:val="24"/>
                <w:highlight w:val="none"/>
                <w:shd w:val="clear" w:color="auto" w:fill="auto"/>
                <w:lang w:val="en-US" w:eastAsia="zh-CN"/>
              </w:rPr>
              <w:t>-4）和设备清洗产生的清洗废渣和废抹布（S</w:t>
            </w:r>
            <w:r>
              <w:rPr>
                <w:rFonts w:hint="eastAsia" w:ascii="Times New Roman" w:hAnsi="Times New Roman" w:cs="Times New Roman"/>
                <w:color w:val="auto"/>
                <w:sz w:val="24"/>
                <w:highlight w:val="none"/>
                <w:shd w:val="clear" w:color="auto" w:fill="auto"/>
                <w:lang w:val="en-US" w:eastAsia="zh-CN"/>
              </w:rPr>
              <w:t>1</w:t>
            </w:r>
            <w:r>
              <w:rPr>
                <w:rFonts w:hint="default" w:ascii="Times New Roman" w:hAnsi="Times New Roman" w:cs="Times New Roman"/>
                <w:color w:val="auto"/>
                <w:sz w:val="24"/>
                <w:highlight w:val="none"/>
                <w:shd w:val="clear" w:color="auto" w:fill="auto"/>
                <w:lang w:val="en-US" w:eastAsia="zh-CN"/>
              </w:rPr>
              <w:t>-2)。</w:t>
            </w:r>
          </w:p>
          <w:p w14:paraId="692318B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3）</w:t>
            </w:r>
            <w:r>
              <w:rPr>
                <w:rFonts w:hint="default" w:ascii="Times New Roman" w:hAnsi="Times New Roman" w:cs="Times New Roman"/>
                <w:color w:val="auto"/>
                <w:sz w:val="24"/>
                <w:highlight w:val="none"/>
                <w:shd w:val="clear" w:color="auto" w:fill="auto"/>
                <w:lang w:val="en-US" w:eastAsia="zh-CN"/>
              </w:rPr>
              <w:t>第二段双螺杆挤出机自动生产线工艺</w:t>
            </w:r>
          </w:p>
          <w:p w14:paraId="7DC0B46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第二段双螺杆挤出机自动生产线生产工艺主要为成品制备、包装和入库。</w:t>
            </w:r>
          </w:p>
          <w:p w14:paraId="0E4E755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①成品制备</w:t>
            </w:r>
          </w:p>
          <w:p w14:paraId="3CD778A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把半成品泵入第二段螺杆挤出机内，同时按照工艺配比加入交联剂（甲基三甲氧基硅烷</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、偶联剂</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硅烷助剂</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、催化剂（钛酸四异丙酯</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、补强剂（气相二氧化硅）和软化剂</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矿物油</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等经双螺杆挤出机自动生产线研磨、混合、抽真空脱气等工序生产成品。</w:t>
            </w:r>
          </w:p>
          <w:p w14:paraId="72A348E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具体过程见非自动生产线研磨、配胶工序，冷凝废液全部用于非自动生产线设备清洗。</w:t>
            </w:r>
          </w:p>
          <w:p w14:paraId="05B7EC5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该工序主要污染物为未冷凝废气（G</w:t>
            </w:r>
            <w:r>
              <w:rPr>
                <w:rFonts w:hint="eastAsia" w:ascii="Times New Roman" w:hAnsi="Times New Roman" w:cs="Times New Roman"/>
                <w:color w:val="auto"/>
                <w:sz w:val="24"/>
                <w:highlight w:val="none"/>
                <w:shd w:val="clear" w:color="auto" w:fill="auto"/>
                <w:lang w:val="en-US" w:eastAsia="zh-CN"/>
              </w:rPr>
              <w:t>1</w:t>
            </w:r>
            <w:r>
              <w:rPr>
                <w:rFonts w:hint="default" w:ascii="Times New Roman" w:hAnsi="Times New Roman" w:cs="Times New Roman"/>
                <w:color w:val="auto"/>
                <w:sz w:val="24"/>
                <w:highlight w:val="none"/>
                <w:shd w:val="clear" w:color="auto" w:fill="auto"/>
                <w:lang w:val="en-US" w:eastAsia="zh-CN"/>
              </w:rPr>
              <w:t>-5）和设备噪声。</w:t>
            </w:r>
          </w:p>
          <w:p w14:paraId="4530C50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②包装入库</w:t>
            </w:r>
          </w:p>
          <w:p w14:paraId="5FF05D8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成品经自动灌装机灌装后，包装入库。</w:t>
            </w:r>
          </w:p>
          <w:p w14:paraId="412813E5">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该工序主要污染物为废包装物（S</w:t>
            </w:r>
            <w:r>
              <w:rPr>
                <w:rFonts w:hint="eastAsia" w:ascii="Times New Roman" w:hAnsi="Times New Roman" w:cs="Times New Roman"/>
                <w:color w:val="auto"/>
                <w:sz w:val="24"/>
                <w:highlight w:val="none"/>
                <w:shd w:val="clear" w:color="auto" w:fill="auto"/>
                <w:lang w:val="en-US" w:eastAsia="zh-CN"/>
              </w:rPr>
              <w:t>1</w:t>
            </w:r>
            <w:r>
              <w:rPr>
                <w:rFonts w:hint="default" w:ascii="Times New Roman" w:hAnsi="Times New Roman" w:cs="Times New Roman"/>
                <w:color w:val="auto"/>
                <w:sz w:val="24"/>
                <w:highlight w:val="none"/>
                <w:shd w:val="clear" w:color="auto" w:fill="auto"/>
                <w:lang w:val="en-US" w:eastAsia="zh-CN"/>
              </w:rPr>
              <w:t>-3）和设备</w:t>
            </w:r>
            <w:r>
              <w:rPr>
                <w:rFonts w:hint="eastAsia" w:ascii="Times New Roman" w:hAnsi="Times New Roman" w:cs="Times New Roman"/>
                <w:color w:val="auto"/>
                <w:sz w:val="24"/>
                <w:highlight w:val="none"/>
                <w:shd w:val="clear" w:color="auto" w:fill="auto"/>
                <w:lang w:val="en-US" w:eastAsia="zh-CN"/>
              </w:rPr>
              <w:t>噪声。</w:t>
            </w:r>
          </w:p>
          <w:p w14:paraId="5F46694C">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③自动生产线为连续生产，无需设备清洗。硅酮密封胶车间及仓库粉状物料</w:t>
            </w:r>
            <w:r>
              <w:rPr>
                <w:rFonts w:hint="eastAsia" w:cs="Times New Roman"/>
                <w:color w:val="auto"/>
                <w:sz w:val="24"/>
                <w:highlight w:val="none"/>
                <w:shd w:val="clear" w:color="auto" w:fill="auto"/>
                <w:lang w:val="en-US" w:eastAsia="zh-CN"/>
              </w:rPr>
              <w:t>洒</w:t>
            </w:r>
            <w:r>
              <w:rPr>
                <w:rFonts w:hint="eastAsia" w:ascii="Times New Roman" w:hAnsi="Times New Roman" w:cs="Times New Roman"/>
                <w:color w:val="auto"/>
                <w:sz w:val="24"/>
                <w:highlight w:val="none"/>
                <w:shd w:val="clear" w:color="auto" w:fill="auto"/>
                <w:lang w:val="en-US" w:eastAsia="zh-CN"/>
              </w:rPr>
              <w:t>落时</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采取人工打扫，物料回用于生产：液状跑冒滴漏时，采取抹布清理，车间地面无需水清洗</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无地面冲洗废水产生，地面清理的废抹布</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S</w:t>
            </w:r>
            <w:r>
              <w:rPr>
                <w:rFonts w:hint="eastAsia" w:cs="Times New Roman"/>
                <w:color w:val="auto"/>
                <w:sz w:val="24"/>
                <w:highlight w:val="none"/>
                <w:shd w:val="clear" w:color="auto" w:fill="auto"/>
                <w:lang w:val="en-US" w:eastAsia="zh-CN"/>
              </w:rPr>
              <w:t>1</w:t>
            </w:r>
            <w:r>
              <w:rPr>
                <w:rFonts w:hint="eastAsia" w:ascii="Times New Roman" w:hAnsi="Times New Roman" w:cs="Times New Roman"/>
                <w:color w:val="auto"/>
                <w:sz w:val="24"/>
                <w:highlight w:val="none"/>
                <w:shd w:val="clear" w:color="auto" w:fill="auto"/>
                <w:lang w:val="en-US" w:eastAsia="zh-CN"/>
              </w:rPr>
              <w:t>-4</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委托具有资质单位处理</w:t>
            </w:r>
            <w:r>
              <w:rPr>
                <w:rFonts w:hint="eastAsia" w:cs="Times New Roman"/>
                <w:color w:val="auto"/>
                <w:sz w:val="24"/>
                <w:highlight w:val="none"/>
                <w:shd w:val="clear" w:color="auto" w:fill="auto"/>
                <w:lang w:val="en-US" w:eastAsia="zh-CN"/>
              </w:rPr>
              <w:t>。</w:t>
            </w:r>
          </w:p>
          <w:p w14:paraId="61BBABEA">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cs="Times New Roman"/>
                <w:color w:val="auto"/>
                <w:sz w:val="24"/>
                <w:highlight w:val="none"/>
                <w:shd w:val="clear" w:color="auto" w:fill="auto"/>
                <w:lang w:val="en-US" w:eastAsia="zh-CN"/>
              </w:rPr>
              <w:t>4）</w:t>
            </w:r>
            <w:r>
              <w:rPr>
                <w:rFonts w:hint="eastAsia" w:ascii="Times New Roman" w:hAnsi="Times New Roman" w:cs="Times New Roman"/>
                <w:color w:val="auto"/>
                <w:sz w:val="24"/>
                <w:highlight w:val="none"/>
                <w:shd w:val="clear" w:color="auto" w:fill="auto"/>
                <w:lang w:val="en-US" w:eastAsia="zh-CN"/>
              </w:rPr>
              <w:t>主要污染物产生环节</w:t>
            </w:r>
          </w:p>
          <w:p w14:paraId="36056D62">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cs="Times New Roman"/>
                <w:color w:val="auto"/>
                <w:sz w:val="24"/>
                <w:highlight w:val="none"/>
                <w:shd w:val="clear" w:color="auto" w:fill="auto"/>
                <w:lang w:val="en-US" w:eastAsia="zh-CN"/>
              </w:rPr>
              <w:t>①</w:t>
            </w:r>
            <w:r>
              <w:rPr>
                <w:rFonts w:hint="eastAsia" w:ascii="Times New Roman" w:hAnsi="Times New Roman" w:cs="Times New Roman"/>
                <w:color w:val="auto"/>
                <w:sz w:val="24"/>
                <w:highlight w:val="none"/>
                <w:shd w:val="clear" w:color="auto" w:fill="auto"/>
                <w:lang w:val="en-US" w:eastAsia="zh-CN"/>
              </w:rPr>
              <w:t>废气</w:t>
            </w:r>
          </w:p>
          <w:p w14:paraId="5F308638">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主要为粉状物料投料时产生投料粉尘(G</w:t>
            </w:r>
            <w:r>
              <w:rPr>
                <w:rFonts w:hint="eastAsia" w:cs="Times New Roman"/>
                <w:color w:val="auto"/>
                <w:sz w:val="24"/>
                <w:highlight w:val="none"/>
                <w:shd w:val="clear" w:color="auto" w:fill="auto"/>
                <w:lang w:val="en-US" w:eastAsia="zh-CN"/>
              </w:rPr>
              <w:t>1</w:t>
            </w:r>
            <w:r>
              <w:rPr>
                <w:rFonts w:hint="eastAsia" w:ascii="Times New Roman" w:hAnsi="Times New Roman" w:cs="Times New Roman"/>
                <w:color w:val="auto"/>
                <w:sz w:val="24"/>
                <w:highlight w:val="none"/>
                <w:shd w:val="clear" w:color="auto" w:fill="auto"/>
                <w:lang w:val="en-US" w:eastAsia="zh-CN"/>
              </w:rPr>
              <w:t>-</w:t>
            </w:r>
            <w:r>
              <w:rPr>
                <w:rFonts w:hint="eastAsia" w:cs="Times New Roman"/>
                <w:color w:val="auto"/>
                <w:sz w:val="24"/>
                <w:highlight w:val="none"/>
                <w:shd w:val="clear" w:color="auto" w:fill="auto"/>
                <w:lang w:val="en-US" w:eastAsia="zh-CN"/>
              </w:rPr>
              <w:t>1</w:t>
            </w:r>
            <w:r>
              <w:rPr>
                <w:rFonts w:hint="eastAsia" w:ascii="Times New Roman" w:hAnsi="Times New Roman" w:cs="Times New Roman"/>
                <w:color w:val="auto"/>
                <w:sz w:val="24"/>
                <w:highlight w:val="none"/>
                <w:shd w:val="clear" w:color="auto" w:fill="auto"/>
                <w:lang w:val="en-US" w:eastAsia="zh-CN"/>
              </w:rPr>
              <w:t>)、升温脱水工序的未冷凝废气（G</w:t>
            </w:r>
            <w:r>
              <w:rPr>
                <w:rFonts w:hint="eastAsia" w:cs="Times New Roman"/>
                <w:color w:val="auto"/>
                <w:sz w:val="24"/>
                <w:highlight w:val="none"/>
                <w:shd w:val="clear" w:color="auto" w:fill="auto"/>
                <w:lang w:val="en-US" w:eastAsia="zh-CN"/>
              </w:rPr>
              <w:t>1</w:t>
            </w:r>
            <w:r>
              <w:rPr>
                <w:rFonts w:hint="eastAsia" w:ascii="Times New Roman" w:hAnsi="Times New Roman" w:cs="Times New Roman"/>
                <w:color w:val="auto"/>
                <w:sz w:val="24"/>
                <w:highlight w:val="none"/>
                <w:shd w:val="clear" w:color="auto" w:fill="auto"/>
                <w:lang w:val="en-US" w:eastAsia="zh-CN"/>
              </w:rPr>
              <w:t>-2</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、非自动生产线配胶脱气工序的未冷凝废气</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G</w:t>
            </w:r>
            <w:r>
              <w:rPr>
                <w:rFonts w:hint="eastAsia" w:cs="Times New Roman"/>
                <w:color w:val="auto"/>
                <w:sz w:val="24"/>
                <w:highlight w:val="none"/>
                <w:shd w:val="clear" w:color="auto" w:fill="auto"/>
                <w:lang w:val="en-US" w:eastAsia="zh-CN"/>
              </w:rPr>
              <w:t>1</w:t>
            </w:r>
            <w:r>
              <w:rPr>
                <w:rFonts w:hint="eastAsia" w:ascii="Times New Roman" w:hAnsi="Times New Roman" w:cs="Times New Roman"/>
                <w:color w:val="auto"/>
                <w:sz w:val="24"/>
                <w:highlight w:val="none"/>
                <w:shd w:val="clear" w:color="auto" w:fill="auto"/>
                <w:lang w:val="en-US" w:eastAsia="zh-CN"/>
              </w:rPr>
              <w:t>-3</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、设备清洗甲醇无组织挥发废气</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G</w:t>
            </w:r>
            <w:r>
              <w:rPr>
                <w:rFonts w:hint="eastAsia" w:cs="Times New Roman"/>
                <w:color w:val="auto"/>
                <w:sz w:val="24"/>
                <w:highlight w:val="none"/>
                <w:shd w:val="clear" w:color="auto" w:fill="auto"/>
                <w:lang w:val="en-US" w:eastAsia="zh-CN"/>
              </w:rPr>
              <w:t>1-</w:t>
            </w:r>
            <w:r>
              <w:rPr>
                <w:rFonts w:hint="eastAsia" w:ascii="Times New Roman" w:hAnsi="Times New Roman" w:cs="Times New Roman"/>
                <w:color w:val="auto"/>
                <w:sz w:val="24"/>
                <w:highlight w:val="none"/>
                <w:shd w:val="clear" w:color="auto" w:fill="auto"/>
                <w:lang w:val="en-US" w:eastAsia="zh-CN"/>
              </w:rPr>
              <w:t>4</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和自动生产线未冷凝废气</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G</w:t>
            </w:r>
            <w:r>
              <w:rPr>
                <w:rFonts w:hint="eastAsia" w:cs="Times New Roman"/>
                <w:color w:val="auto"/>
                <w:sz w:val="24"/>
                <w:highlight w:val="none"/>
                <w:shd w:val="clear" w:color="auto" w:fill="auto"/>
                <w:lang w:val="en-US" w:eastAsia="zh-CN"/>
              </w:rPr>
              <w:t>1</w:t>
            </w:r>
            <w:r>
              <w:rPr>
                <w:rFonts w:hint="eastAsia" w:ascii="Times New Roman" w:hAnsi="Times New Roman" w:cs="Times New Roman"/>
                <w:color w:val="auto"/>
                <w:sz w:val="24"/>
                <w:highlight w:val="none"/>
                <w:shd w:val="clear" w:color="auto" w:fill="auto"/>
                <w:lang w:val="en-US" w:eastAsia="zh-CN"/>
              </w:rPr>
              <w:t>-5</w:t>
            </w:r>
            <w:r>
              <w:rPr>
                <w:rFonts w:hint="eastAsia" w:cs="Times New Roman"/>
                <w:color w:val="auto"/>
                <w:sz w:val="24"/>
                <w:highlight w:val="none"/>
                <w:shd w:val="clear" w:color="auto" w:fill="auto"/>
                <w:lang w:val="en-US" w:eastAsia="zh-CN"/>
              </w:rPr>
              <w:t>）。</w:t>
            </w:r>
          </w:p>
          <w:p w14:paraId="768A7703">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cs="Times New Roman"/>
                <w:color w:val="auto"/>
                <w:sz w:val="24"/>
                <w:highlight w:val="none"/>
                <w:shd w:val="clear" w:color="auto" w:fill="auto"/>
                <w:lang w:val="en-US" w:eastAsia="zh-CN"/>
              </w:rPr>
              <w:t>②</w:t>
            </w:r>
            <w:r>
              <w:rPr>
                <w:rFonts w:hint="eastAsia" w:ascii="Times New Roman" w:hAnsi="Times New Roman" w:cs="Times New Roman"/>
                <w:color w:val="auto"/>
                <w:sz w:val="24"/>
                <w:highlight w:val="none"/>
                <w:shd w:val="clear" w:color="auto" w:fill="auto"/>
                <w:lang w:val="en-US" w:eastAsia="zh-CN"/>
              </w:rPr>
              <w:t>废水</w:t>
            </w:r>
          </w:p>
          <w:p w14:paraId="171EFDFC">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项目无工艺废水，循环水全部循环使用，不外排。</w:t>
            </w:r>
          </w:p>
          <w:p w14:paraId="041C2AE9">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cs="Times New Roman"/>
                <w:color w:val="auto"/>
                <w:sz w:val="24"/>
                <w:highlight w:val="none"/>
                <w:shd w:val="clear" w:color="auto" w:fill="auto"/>
                <w:lang w:val="en-US" w:eastAsia="zh-CN"/>
              </w:rPr>
              <w:t>③</w:t>
            </w:r>
            <w:r>
              <w:rPr>
                <w:rFonts w:hint="eastAsia" w:ascii="Times New Roman" w:hAnsi="Times New Roman" w:cs="Times New Roman"/>
                <w:color w:val="auto"/>
                <w:sz w:val="24"/>
                <w:highlight w:val="none"/>
                <w:shd w:val="clear" w:color="auto" w:fill="auto"/>
                <w:lang w:val="en-US" w:eastAsia="zh-CN"/>
              </w:rPr>
              <w:t>固体废弃物</w:t>
            </w:r>
          </w:p>
          <w:p w14:paraId="05979807">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主要为清洗废渣</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S</w:t>
            </w:r>
            <w:r>
              <w:rPr>
                <w:rFonts w:hint="eastAsia" w:cs="Times New Roman"/>
                <w:color w:val="auto"/>
                <w:sz w:val="24"/>
                <w:highlight w:val="none"/>
                <w:shd w:val="clear" w:color="auto" w:fill="auto"/>
                <w:lang w:val="en-US" w:eastAsia="zh-CN"/>
              </w:rPr>
              <w:t>1</w:t>
            </w:r>
            <w:r>
              <w:rPr>
                <w:rFonts w:hint="eastAsia" w:ascii="Times New Roman" w:hAnsi="Times New Roman" w:cs="Times New Roman"/>
                <w:color w:val="auto"/>
                <w:sz w:val="24"/>
                <w:highlight w:val="none"/>
                <w:shd w:val="clear" w:color="auto" w:fill="auto"/>
                <w:lang w:val="en-US" w:eastAsia="zh-CN"/>
              </w:rPr>
              <w:t>-2</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、自动包装和非自动包装时产生包装废物（S</w:t>
            </w:r>
            <w:r>
              <w:rPr>
                <w:rFonts w:hint="eastAsia" w:cs="Times New Roman"/>
                <w:color w:val="auto"/>
                <w:sz w:val="24"/>
                <w:highlight w:val="none"/>
                <w:shd w:val="clear" w:color="auto" w:fill="auto"/>
                <w:lang w:val="en-US" w:eastAsia="zh-CN"/>
              </w:rPr>
              <w:t>1</w:t>
            </w:r>
            <w:r>
              <w:rPr>
                <w:rFonts w:hint="eastAsia" w:ascii="Times New Roman" w:hAnsi="Times New Roman" w:cs="Times New Roman"/>
                <w:color w:val="auto"/>
                <w:sz w:val="24"/>
                <w:highlight w:val="none"/>
                <w:shd w:val="clear" w:color="auto" w:fill="auto"/>
                <w:lang w:val="en-US" w:eastAsia="zh-CN"/>
              </w:rPr>
              <w:t>-</w:t>
            </w:r>
            <w:r>
              <w:rPr>
                <w:rFonts w:hint="eastAsia" w:cs="Times New Roman"/>
                <w:color w:val="auto"/>
                <w:sz w:val="24"/>
                <w:highlight w:val="none"/>
                <w:shd w:val="clear" w:color="auto" w:fill="auto"/>
                <w:lang w:val="en-US" w:eastAsia="zh-CN"/>
              </w:rPr>
              <w:t>1</w:t>
            </w:r>
            <w:r>
              <w:rPr>
                <w:rFonts w:hint="eastAsia" w:ascii="Times New Roman" w:hAnsi="Times New Roman" w:cs="Times New Roman"/>
                <w:color w:val="auto"/>
                <w:sz w:val="24"/>
                <w:highlight w:val="none"/>
                <w:shd w:val="clear" w:color="auto" w:fill="auto"/>
                <w:lang w:val="en-US" w:eastAsia="zh-CN"/>
              </w:rPr>
              <w:t>和S</w:t>
            </w:r>
            <w:r>
              <w:rPr>
                <w:rFonts w:hint="eastAsia" w:cs="Times New Roman"/>
                <w:color w:val="auto"/>
                <w:sz w:val="24"/>
                <w:highlight w:val="none"/>
                <w:shd w:val="clear" w:color="auto" w:fill="auto"/>
                <w:lang w:val="en-US" w:eastAsia="zh-CN"/>
              </w:rPr>
              <w:t>1</w:t>
            </w:r>
            <w:r>
              <w:rPr>
                <w:rFonts w:hint="eastAsia" w:ascii="Times New Roman" w:hAnsi="Times New Roman" w:cs="Times New Roman"/>
                <w:color w:val="auto"/>
                <w:sz w:val="24"/>
                <w:highlight w:val="none"/>
                <w:shd w:val="clear" w:color="auto" w:fill="auto"/>
                <w:lang w:val="en-US" w:eastAsia="zh-CN"/>
              </w:rPr>
              <w:t>-3）以及地面清理的废抹布</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S</w:t>
            </w:r>
            <w:r>
              <w:rPr>
                <w:rFonts w:hint="eastAsia" w:cs="Times New Roman"/>
                <w:color w:val="auto"/>
                <w:sz w:val="24"/>
                <w:highlight w:val="none"/>
                <w:shd w:val="clear" w:color="auto" w:fill="auto"/>
                <w:lang w:val="en-US" w:eastAsia="zh-CN"/>
              </w:rPr>
              <w:t>1</w:t>
            </w:r>
            <w:r>
              <w:rPr>
                <w:rFonts w:hint="eastAsia" w:ascii="Times New Roman" w:hAnsi="Times New Roman" w:cs="Times New Roman"/>
                <w:color w:val="auto"/>
                <w:sz w:val="24"/>
                <w:highlight w:val="none"/>
                <w:shd w:val="clear" w:color="auto" w:fill="auto"/>
                <w:lang w:val="en-US" w:eastAsia="zh-CN"/>
              </w:rPr>
              <w:t>-4</w:t>
            </w:r>
            <w:r>
              <w:rPr>
                <w:rFonts w:hint="eastAsia" w:cs="Times New Roman"/>
                <w:color w:val="auto"/>
                <w:sz w:val="24"/>
                <w:highlight w:val="none"/>
                <w:shd w:val="clear" w:color="auto" w:fill="auto"/>
                <w:lang w:val="en-US" w:eastAsia="zh-CN"/>
              </w:rPr>
              <w:t>）。</w:t>
            </w:r>
          </w:p>
          <w:p w14:paraId="03C3A5D3">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cs="Times New Roman"/>
                <w:color w:val="auto"/>
                <w:sz w:val="24"/>
                <w:highlight w:val="none"/>
                <w:shd w:val="clear" w:color="auto" w:fill="auto"/>
                <w:lang w:val="en-US" w:eastAsia="zh-CN"/>
              </w:rPr>
              <w:t>④</w:t>
            </w:r>
            <w:r>
              <w:rPr>
                <w:rFonts w:hint="eastAsia" w:ascii="Times New Roman" w:hAnsi="Times New Roman" w:cs="Times New Roman"/>
                <w:color w:val="auto"/>
                <w:sz w:val="24"/>
                <w:highlight w:val="none"/>
                <w:shd w:val="clear" w:color="auto" w:fill="auto"/>
                <w:lang w:val="en-US" w:eastAsia="zh-CN"/>
              </w:rPr>
              <w:t>噪声</w:t>
            </w:r>
          </w:p>
          <w:p w14:paraId="3273ACB9">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主要为双螺杆挤出机、自动灌装机、搅拌机、研磨机、混合机、泵等设备噪声</w:t>
            </w:r>
            <w:r>
              <w:rPr>
                <w:rFonts w:hint="eastAsia" w:cs="Times New Roman"/>
                <w:color w:val="auto"/>
                <w:sz w:val="24"/>
                <w:highlight w:val="none"/>
                <w:shd w:val="clear" w:color="auto" w:fill="auto"/>
                <w:lang w:val="en-US" w:eastAsia="zh-CN"/>
              </w:rPr>
              <w:t>。</w:t>
            </w:r>
          </w:p>
          <w:p w14:paraId="6403FE8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w:t>
            </w:r>
            <w:r>
              <w:rPr>
                <w:rFonts w:hint="eastAsia" w:cs="Times New Roman"/>
                <w:color w:val="auto"/>
                <w:sz w:val="24"/>
                <w:highlight w:val="none"/>
                <w:shd w:val="clear" w:color="auto" w:fill="auto"/>
                <w:lang w:val="en-US" w:eastAsia="zh-CN"/>
              </w:rPr>
              <w:t>2</w:t>
            </w:r>
            <w:r>
              <w:rPr>
                <w:rFonts w:hint="eastAsia" w:ascii="Times New Roman" w:hAnsi="Times New Roman" w:cs="Times New Roman"/>
                <w:color w:val="auto"/>
                <w:sz w:val="24"/>
                <w:highlight w:val="none"/>
                <w:shd w:val="clear" w:color="auto" w:fill="auto"/>
                <w:lang w:val="en-US" w:eastAsia="zh-CN"/>
              </w:rPr>
              <w:t>）现有项目</w:t>
            </w:r>
            <w:r>
              <w:rPr>
                <w:rFonts w:hint="eastAsia" w:cs="Times New Roman"/>
                <w:color w:val="auto"/>
                <w:sz w:val="24"/>
                <w:highlight w:val="none"/>
                <w:shd w:val="clear" w:color="auto" w:fill="auto"/>
                <w:lang w:val="en-US" w:eastAsia="zh-CN"/>
              </w:rPr>
              <w:t>三元乙丙密封胶条生产</w:t>
            </w:r>
            <w:r>
              <w:rPr>
                <w:rFonts w:hint="eastAsia" w:ascii="Times New Roman" w:hAnsi="Times New Roman" w:cs="Times New Roman"/>
                <w:color w:val="auto"/>
                <w:sz w:val="24"/>
                <w:highlight w:val="none"/>
                <w:shd w:val="clear" w:color="auto" w:fill="auto"/>
                <w:lang w:val="en-US" w:eastAsia="zh-CN"/>
              </w:rPr>
              <w:t>工艺流程及产污环节</w:t>
            </w:r>
          </w:p>
          <w:p w14:paraId="335290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现有项目</w:t>
            </w:r>
            <w:r>
              <w:rPr>
                <w:rFonts w:hint="eastAsia" w:cs="Times New Roman"/>
                <w:color w:val="auto"/>
                <w:sz w:val="24"/>
                <w:highlight w:val="none"/>
                <w:shd w:val="clear" w:color="auto" w:fill="auto"/>
                <w:lang w:val="en-US" w:eastAsia="zh-CN"/>
              </w:rPr>
              <w:t>三元乙丙密封胶条</w:t>
            </w:r>
            <w:r>
              <w:rPr>
                <w:rFonts w:hint="eastAsia" w:ascii="Times New Roman" w:hAnsi="Times New Roman" w:cs="Times New Roman"/>
                <w:color w:val="auto"/>
                <w:sz w:val="24"/>
                <w:highlight w:val="none"/>
                <w:shd w:val="clear" w:color="auto" w:fill="auto"/>
                <w:lang w:val="en-US" w:eastAsia="zh-CN"/>
              </w:rPr>
              <w:t>具体流程及产排污环节如图2-</w:t>
            </w:r>
            <w:r>
              <w:rPr>
                <w:rFonts w:hint="eastAsia" w:cs="Times New Roman"/>
                <w:color w:val="auto"/>
                <w:sz w:val="24"/>
                <w:highlight w:val="none"/>
                <w:shd w:val="clear" w:color="auto" w:fill="auto"/>
                <w:lang w:val="en-US" w:eastAsia="zh-CN"/>
              </w:rPr>
              <w:t>6</w:t>
            </w:r>
            <w:r>
              <w:rPr>
                <w:rFonts w:hint="eastAsia" w:ascii="Times New Roman" w:hAnsi="Times New Roman" w:cs="Times New Roman"/>
                <w:color w:val="auto"/>
                <w:sz w:val="24"/>
                <w:highlight w:val="none"/>
                <w:shd w:val="clear" w:color="auto" w:fill="auto"/>
                <w:lang w:val="en-US" w:eastAsia="zh-CN"/>
              </w:rPr>
              <w:t>。</w:t>
            </w:r>
          </w:p>
          <w:p w14:paraId="5C1ADA4B">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cs="Times New Roman"/>
                <w:color w:val="auto"/>
                <w:sz w:val="24"/>
                <w:highlight w:val="none"/>
                <w:shd w:val="clear" w:color="auto" w:fill="auto"/>
                <w:lang w:val="en-US" w:eastAsia="zh-CN"/>
              </w:rPr>
            </w:pPr>
            <w:r>
              <w:rPr>
                <w:rFonts w:hint="eastAsia"/>
                <w:color w:val="auto"/>
              </w:rPr>
              <w:object>
                <v:shape id="_x0000_i1029" o:spt="75" type="#_x0000_t75" style="height:406.5pt;width:259.95pt;" o:ole="t" filled="f" o:preferrelative="t" stroked="f" coordsize="21600,21600">
                  <v:path/>
                  <v:fill on="f" focussize="0,0"/>
                  <v:stroke on="f"/>
                  <v:imagedata r:id="rId22" o:title=""/>
                  <o:lock v:ext="edit" aspectratio="t"/>
                  <w10:wrap type="none"/>
                  <w10:anchorlock/>
                </v:shape>
                <o:OLEObject Type="Embed" ProgID="Visio.Drawing.15" ShapeID="_x0000_i1029" DrawAspect="Content" ObjectID="_1468075729" r:id="rId21">
                  <o:LockedField>false</o:LockedField>
                </o:OLEObject>
              </w:object>
            </w:r>
          </w:p>
          <w:p w14:paraId="39F46291">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b/>
                <w:bCs/>
                <w:color w:val="auto"/>
                <w:sz w:val="21"/>
                <w:szCs w:val="21"/>
                <w:highlight w:val="none"/>
                <w:shd w:val="clear" w:color="auto" w:fill="auto"/>
                <w:lang w:val="en-US" w:eastAsia="zh-CN"/>
              </w:rPr>
            </w:pPr>
            <w:r>
              <w:rPr>
                <w:rFonts w:hint="eastAsia" w:ascii="Times New Roman" w:hAnsi="Times New Roman" w:cs="Times New Roman"/>
                <w:b/>
                <w:bCs/>
                <w:color w:val="auto"/>
                <w:sz w:val="21"/>
                <w:szCs w:val="21"/>
                <w:highlight w:val="none"/>
                <w:shd w:val="clear" w:color="auto" w:fill="auto"/>
                <w:lang w:val="en-US" w:eastAsia="zh-CN"/>
              </w:rPr>
              <w:t>图2-</w:t>
            </w:r>
            <w:r>
              <w:rPr>
                <w:rFonts w:hint="eastAsia" w:cs="Times New Roman"/>
                <w:b/>
                <w:bCs/>
                <w:color w:val="auto"/>
                <w:sz w:val="21"/>
                <w:szCs w:val="21"/>
                <w:highlight w:val="none"/>
                <w:shd w:val="clear" w:color="auto" w:fill="auto"/>
                <w:lang w:val="en-US" w:eastAsia="zh-CN"/>
              </w:rPr>
              <w:t>6</w:t>
            </w:r>
            <w:r>
              <w:rPr>
                <w:rFonts w:hint="eastAsia" w:ascii="Times New Roman" w:hAnsi="Times New Roman" w:cs="Times New Roman"/>
                <w:b/>
                <w:bCs/>
                <w:color w:val="auto"/>
                <w:sz w:val="21"/>
                <w:szCs w:val="21"/>
                <w:highlight w:val="none"/>
                <w:shd w:val="clear" w:color="auto" w:fill="auto"/>
                <w:lang w:val="en-US" w:eastAsia="zh-CN"/>
              </w:rPr>
              <w:t xml:space="preserve">  硅酮密封胶生产工艺流程及产污节点图</w:t>
            </w:r>
          </w:p>
          <w:p w14:paraId="261CF10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工艺流程简述</w:t>
            </w:r>
            <w:r>
              <w:rPr>
                <w:rFonts w:hint="eastAsia" w:cs="Times New Roman"/>
                <w:color w:val="auto"/>
                <w:sz w:val="24"/>
                <w:highlight w:val="none"/>
                <w:shd w:val="clear" w:color="auto" w:fill="auto"/>
                <w:lang w:val="en-US" w:eastAsia="zh-CN"/>
              </w:rPr>
              <w:t>：</w:t>
            </w:r>
          </w:p>
          <w:p w14:paraId="51293AC7">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cs="Times New Roman"/>
                <w:color w:val="auto"/>
                <w:sz w:val="24"/>
                <w:highlight w:val="none"/>
                <w:shd w:val="clear" w:color="auto" w:fill="auto"/>
                <w:lang w:val="en-US" w:eastAsia="zh-CN"/>
              </w:rPr>
              <w:t>1）</w:t>
            </w:r>
            <w:r>
              <w:rPr>
                <w:rFonts w:hint="eastAsia" w:ascii="Times New Roman" w:hAnsi="Times New Roman" w:cs="Times New Roman"/>
                <w:color w:val="auto"/>
                <w:sz w:val="24"/>
                <w:highlight w:val="none"/>
                <w:shd w:val="clear" w:color="auto" w:fill="auto"/>
                <w:lang w:val="en-US" w:eastAsia="zh-CN"/>
              </w:rPr>
              <w:t>配料</w:t>
            </w:r>
          </w:p>
          <w:p w14:paraId="169236A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配料工段主要将混炼过程中使用的原辅料如三元乙丙生胶、炭黑、轻质碳酸钙、氧化锌、硫磺母粒等其他粉状物料等根据配方要求进行准确计量。</w:t>
            </w:r>
          </w:p>
          <w:p w14:paraId="15D404D0">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①炭黑、轻质碳酸钙、氧化锌和硫磺母粒等粉状物料经人工称量后投料进密炼机。由于炭黑、轻质碳酸钙和氧化锌物料颗粒直径很小（通常小于I0微米</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在投料过程会产生投料粉尘。</w:t>
            </w:r>
          </w:p>
          <w:p w14:paraId="19622F43">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②石蜡油称量后由密闭管道直接注入密炼机中。</w:t>
            </w:r>
          </w:p>
          <w:p w14:paraId="322D7805">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cs="Times New Roman"/>
                <w:color w:val="auto"/>
                <w:sz w:val="24"/>
                <w:highlight w:val="none"/>
                <w:shd w:val="clear" w:color="auto" w:fill="auto"/>
                <w:lang w:val="en-US" w:eastAsia="zh-CN"/>
              </w:rPr>
              <w:t>③</w:t>
            </w:r>
            <w:r>
              <w:rPr>
                <w:rFonts w:hint="eastAsia" w:ascii="Times New Roman" w:hAnsi="Times New Roman" w:cs="Times New Roman"/>
                <w:color w:val="auto"/>
                <w:sz w:val="24"/>
                <w:highlight w:val="none"/>
                <w:shd w:val="clear" w:color="auto" w:fill="auto"/>
                <w:lang w:val="en-US" w:eastAsia="zh-CN"/>
              </w:rPr>
              <w:t>三元乙丙生胶胶体较大，需在计量前切成10~20kg的小胶块，经计量后人工投入密炼机内。</w:t>
            </w:r>
          </w:p>
          <w:p w14:paraId="171D322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该工序主要污染物为投料粉尘</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G2-</w:t>
            </w:r>
            <w:r>
              <w:rPr>
                <w:rFonts w:hint="eastAsia" w:cs="Times New Roman"/>
                <w:color w:val="auto"/>
                <w:sz w:val="24"/>
                <w:highlight w:val="none"/>
                <w:shd w:val="clear" w:color="auto" w:fill="auto"/>
                <w:lang w:val="en-US" w:eastAsia="zh-CN"/>
              </w:rPr>
              <w:t>1）</w:t>
            </w:r>
            <w:r>
              <w:rPr>
                <w:rFonts w:hint="eastAsia" w:ascii="Times New Roman" w:hAnsi="Times New Roman" w:cs="Times New Roman"/>
                <w:color w:val="auto"/>
                <w:sz w:val="24"/>
                <w:highlight w:val="none"/>
                <w:shd w:val="clear" w:color="auto" w:fill="auto"/>
                <w:lang w:val="en-US" w:eastAsia="zh-CN"/>
              </w:rPr>
              <w:t>，密炼机投料口处自带吸气装置收集投料粉尘</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含尘</w:t>
            </w:r>
            <w:r>
              <w:rPr>
                <w:rFonts w:hint="default" w:ascii="Times New Roman" w:hAnsi="Times New Roman" w:cs="Times New Roman"/>
                <w:color w:val="auto"/>
                <w:sz w:val="24"/>
                <w:highlight w:val="none"/>
                <w:shd w:val="clear" w:color="auto" w:fill="auto"/>
                <w:lang w:val="en-US" w:eastAsia="zh-CN"/>
              </w:rPr>
              <w:t>气体经布袋除尘器净化后由2#排气筒排放。</w:t>
            </w:r>
          </w:p>
          <w:p w14:paraId="7D9BAAB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2）混炼</w:t>
            </w:r>
          </w:p>
          <w:p w14:paraId="46CBBA0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混炼由密炼和开炼组成，项目采取两段混炼，炼胶以自摩擦生热为热源。密炼就是在密闭式炼胶机（简称密炼机）中将种配合剂均匀地混合到生胶中的过程：开炼就是在开放式炼胶机（简称开炼机）中将种配合剂均匀地混合到生胶中的过程。</w:t>
            </w:r>
          </w:p>
          <w:p w14:paraId="0189CDE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①第一段密炼</w:t>
            </w:r>
          </w:p>
          <w:p w14:paraId="31802BB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三元乙丙橡胶和炭黑、轻质碳酸钙、石蜡油、氧化锌、润滑剂（硬脂酸）和吸湿剂（氧化钙）等配合剂一起送入密炼机（炼胶温度约150℃）进行密炼，在密炼过程中会产生一定的炼胶废气</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G2-2</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w:t>
            </w:r>
          </w:p>
          <w:p w14:paraId="5E3A979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由于密炼机为密闭设备，在密炼机废气排放口收集炼胶废气，经引风机引入布袋除尘器净化后由2</w:t>
            </w:r>
            <w:r>
              <w:rPr>
                <w:rFonts w:hint="eastAsia" w:ascii="Times New Roman" w:hAnsi="Times New Roman" w:cs="Times New Roman"/>
                <w:color w:val="auto"/>
                <w:sz w:val="24"/>
                <w:highlight w:val="none"/>
                <w:shd w:val="clear" w:color="auto" w:fill="auto"/>
                <w:lang w:val="en-US" w:eastAsia="zh-CN"/>
              </w:rPr>
              <w:t>#排</w:t>
            </w:r>
            <w:r>
              <w:rPr>
                <w:rFonts w:hint="default" w:ascii="Times New Roman" w:hAnsi="Times New Roman" w:cs="Times New Roman"/>
                <w:color w:val="auto"/>
                <w:sz w:val="24"/>
                <w:highlight w:val="none"/>
                <w:shd w:val="clear" w:color="auto" w:fill="auto"/>
                <w:lang w:val="en-US" w:eastAsia="zh-CN"/>
              </w:rPr>
              <w:t>气筒排放。</w:t>
            </w:r>
          </w:p>
          <w:p w14:paraId="4072A17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②第一段开炼</w:t>
            </w:r>
          </w:p>
          <w:p w14:paraId="4901AD1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将密炼混合物转入开炼机（炼胶温度约150℃）进行开炼，开炼完毕后经压制成胶片。</w:t>
            </w:r>
          </w:p>
          <w:p w14:paraId="523B843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在开炼过程中会产生一定量的炼胶废气（G2-3</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，呈无组织排放。</w:t>
            </w:r>
          </w:p>
          <w:p w14:paraId="11879CF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③第一段冷却</w:t>
            </w:r>
          </w:p>
          <w:p w14:paraId="3B0990F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将第一段混炼</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密炼、开炼</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所得胶片通过输送机输送至下部工序，输送过程中通过直接冷却水冷却，直接冷却水全部循环使用不外排，循环冷却水定期除渣（S2-1</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w:t>
            </w:r>
          </w:p>
          <w:p w14:paraId="12C1DD4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该工序主要污染物为少量炼胶无组织排放废气</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G2-4</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、循环水渣</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S2-1</w:t>
            </w:r>
            <w:r>
              <w:rPr>
                <w:rFonts w:hint="eastAsia" w:cs="Times New Roman"/>
                <w:color w:val="auto"/>
                <w:sz w:val="24"/>
                <w:highlight w:val="none"/>
                <w:shd w:val="clear" w:color="auto" w:fill="auto"/>
                <w:lang w:val="en-US" w:eastAsia="zh-CN"/>
              </w:rPr>
              <w:t>）</w:t>
            </w:r>
            <w:r>
              <w:rPr>
                <w:rFonts w:hint="eastAsia" w:ascii="Times New Roman" w:hAnsi="Times New Roman" w:cs="Times New Roman"/>
                <w:color w:val="auto"/>
                <w:sz w:val="24"/>
                <w:highlight w:val="none"/>
                <w:shd w:val="clear" w:color="auto" w:fill="auto"/>
                <w:lang w:val="en-US" w:eastAsia="zh-CN"/>
              </w:rPr>
              <w:t>和设备噪声</w:t>
            </w:r>
            <w:r>
              <w:rPr>
                <w:rFonts w:hint="eastAsia" w:cs="Times New Roman"/>
                <w:color w:val="auto"/>
                <w:sz w:val="24"/>
                <w:highlight w:val="none"/>
                <w:shd w:val="clear" w:color="auto" w:fill="auto"/>
                <w:lang w:val="en-US" w:eastAsia="zh-CN"/>
              </w:rPr>
              <w:t>。</w:t>
            </w:r>
          </w:p>
          <w:p w14:paraId="63EE1A50">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④第二段密炼</w:t>
            </w:r>
          </w:p>
          <w:p w14:paraId="3037C7F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将已冷却好的胶片输送至第一段密炼所用的密炼机内，同时加入促进剂（二甲基</w:t>
            </w:r>
            <w:r>
              <w:rPr>
                <w:rFonts w:hint="default" w:ascii="Times New Roman" w:hAnsi="Times New Roman" w:cs="Times New Roman"/>
                <w:color w:val="auto"/>
                <w:sz w:val="24"/>
                <w:highlight w:val="none"/>
                <w:shd w:val="clear" w:color="auto" w:fill="auto"/>
                <w:lang w:val="en-US" w:eastAsia="zh-CN"/>
              </w:rPr>
              <w:t>二硫代氨基甲酸锌）和硫化剂（硫磺母粒）进行第二段密炼（炼胶温度约80℃)。在密炼过程中会产生一定量的炼胶废气（G2-5</w:t>
            </w:r>
            <w:r>
              <w:rPr>
                <w:rFonts w:hint="eastAsia" w:ascii="Times New Roman" w:hAnsi="Times New Roman" w:cs="Times New Roman"/>
                <w:color w:val="auto"/>
                <w:sz w:val="24"/>
                <w:highlight w:val="none"/>
                <w:shd w:val="clear" w:color="auto" w:fill="auto"/>
                <w:lang w:val="en-US" w:eastAsia="zh-CN"/>
              </w:rPr>
              <w:t>）。</w:t>
            </w:r>
          </w:p>
          <w:p w14:paraId="6CAF9EA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由于第一段密炼、第二段密炼均为同一台密炼机，密炼机投料口自带吸气装置收集投料粉尘，经收集的投料粉尘和密炼废气一并通过引风机进入布袋除尘器处理</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最终通过15m排气筒排放，因此，投料粉尘（G2-I</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和密炼炼胶废气（G2-2和G2-5</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一并进入布袋除尘器净化处理，最终一并通过2</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排气筒排入大气。</w:t>
            </w:r>
          </w:p>
          <w:p w14:paraId="149E7B9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⑤</w:t>
            </w:r>
            <w:r>
              <w:rPr>
                <w:rFonts w:hint="default" w:ascii="Times New Roman" w:hAnsi="Times New Roman" w:cs="Times New Roman"/>
                <w:color w:val="auto"/>
                <w:sz w:val="24"/>
                <w:highlight w:val="none"/>
                <w:shd w:val="clear" w:color="auto" w:fill="auto"/>
                <w:lang w:val="en-US" w:eastAsia="zh-CN"/>
              </w:rPr>
              <w:t>第二段开炼</w:t>
            </w:r>
          </w:p>
          <w:p w14:paraId="5FF4F78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将第二段密炼混合物转入第一段开炼时所用的开炼机（炼胶温度约80℃）进行开炼。</w:t>
            </w:r>
          </w:p>
          <w:p w14:paraId="747D740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开炼完毕后经压制成胶片。在开炼过程中会产生一定量的炼胶废气（G2-6</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，呈无组织排放</w:t>
            </w:r>
            <w:r>
              <w:rPr>
                <w:rFonts w:hint="eastAsia" w:ascii="Times New Roman" w:hAnsi="Times New Roman" w:cs="Times New Roman"/>
                <w:color w:val="auto"/>
                <w:sz w:val="24"/>
                <w:highlight w:val="none"/>
                <w:shd w:val="clear" w:color="auto" w:fill="auto"/>
                <w:lang w:val="en-US" w:eastAsia="zh-CN"/>
              </w:rPr>
              <w:t>。</w:t>
            </w:r>
          </w:p>
          <w:p w14:paraId="12C52C0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⑥</w:t>
            </w:r>
            <w:r>
              <w:rPr>
                <w:rFonts w:hint="default" w:ascii="Times New Roman" w:hAnsi="Times New Roman" w:cs="Times New Roman"/>
                <w:color w:val="auto"/>
                <w:sz w:val="24"/>
                <w:highlight w:val="none"/>
                <w:shd w:val="clear" w:color="auto" w:fill="auto"/>
                <w:lang w:val="en-US" w:eastAsia="zh-CN"/>
              </w:rPr>
              <w:t>第二段冷却</w:t>
            </w:r>
          </w:p>
          <w:p w14:paraId="37E25E1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将第二段混炼</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密炼、开炼</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胶片通过第一段冷却的运输机送至下</w:t>
            </w:r>
            <w:r>
              <w:rPr>
                <w:rFonts w:hint="eastAsia" w:ascii="Times New Roman" w:hAnsi="Times New Roman" w:cs="Times New Roman"/>
                <w:color w:val="auto"/>
                <w:sz w:val="24"/>
                <w:highlight w:val="none"/>
                <w:shd w:val="clear" w:color="auto" w:fill="auto"/>
                <w:lang w:val="en-US" w:eastAsia="zh-CN"/>
              </w:rPr>
              <w:t>部</w:t>
            </w:r>
            <w:r>
              <w:rPr>
                <w:rFonts w:hint="default" w:ascii="Times New Roman" w:hAnsi="Times New Roman" w:cs="Times New Roman"/>
                <w:color w:val="auto"/>
                <w:sz w:val="24"/>
                <w:highlight w:val="none"/>
                <w:shd w:val="clear" w:color="auto" w:fill="auto"/>
                <w:lang w:val="en-US" w:eastAsia="zh-CN"/>
              </w:rPr>
              <w:t>工序，输送过程中通过直接冷却水冷却，直接冷却水循环使用不外排，循环冷却水定期除渣（S2-1）。</w:t>
            </w:r>
          </w:p>
          <w:p w14:paraId="3C4F9F6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该工序主要污染物为少量炼胶废气</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G2-7</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、循环水渣</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S2-</w:t>
            </w:r>
            <w:r>
              <w:rPr>
                <w:rFonts w:hint="eastAsia" w:ascii="Times New Roman" w:hAnsi="Times New Roman" w:cs="Times New Roman"/>
                <w:color w:val="auto"/>
                <w:sz w:val="24"/>
                <w:highlight w:val="none"/>
                <w:shd w:val="clear" w:color="auto" w:fill="auto"/>
                <w:lang w:val="en-US" w:eastAsia="zh-CN"/>
              </w:rPr>
              <w:t>1）</w:t>
            </w:r>
            <w:r>
              <w:rPr>
                <w:rFonts w:hint="default" w:ascii="Times New Roman" w:hAnsi="Times New Roman" w:cs="Times New Roman"/>
                <w:color w:val="auto"/>
                <w:sz w:val="24"/>
                <w:highlight w:val="none"/>
                <w:shd w:val="clear" w:color="auto" w:fill="auto"/>
                <w:lang w:val="en-US" w:eastAsia="zh-CN"/>
              </w:rPr>
              <w:t>和设备噪声</w:t>
            </w:r>
            <w:r>
              <w:rPr>
                <w:rFonts w:hint="eastAsia" w:ascii="Times New Roman" w:hAnsi="Times New Roman" w:cs="Times New Roman"/>
                <w:color w:val="auto"/>
                <w:sz w:val="24"/>
                <w:highlight w:val="none"/>
                <w:shd w:val="clear" w:color="auto" w:fill="auto"/>
                <w:lang w:val="en-US" w:eastAsia="zh-CN"/>
              </w:rPr>
              <w:t>。</w:t>
            </w:r>
          </w:p>
          <w:p w14:paraId="274A482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3）</w:t>
            </w:r>
            <w:r>
              <w:rPr>
                <w:rFonts w:hint="default" w:ascii="Times New Roman" w:hAnsi="Times New Roman" w:cs="Times New Roman"/>
                <w:color w:val="auto"/>
                <w:sz w:val="24"/>
                <w:highlight w:val="none"/>
                <w:shd w:val="clear" w:color="auto" w:fill="auto"/>
                <w:lang w:val="en-US" w:eastAsia="zh-CN"/>
              </w:rPr>
              <w:t>挤出成型</w:t>
            </w:r>
          </w:p>
          <w:p w14:paraId="34A1F5C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在橡胶制品的挤出过程中，利用口模制成不同形状、不同尺寸产品的工艺过程，称之为成型。</w:t>
            </w:r>
          </w:p>
          <w:p w14:paraId="1118A2E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本项</w:t>
            </w:r>
            <w:r>
              <w:rPr>
                <w:rFonts w:hint="eastAsia" w:ascii="Times New Roman" w:hAnsi="Times New Roman" w:cs="Times New Roman"/>
                <w:color w:val="auto"/>
                <w:sz w:val="24"/>
                <w:highlight w:val="none"/>
                <w:shd w:val="clear" w:color="auto" w:fill="auto"/>
                <w:lang w:val="en-US" w:eastAsia="zh-CN"/>
              </w:rPr>
              <w:t>目</w:t>
            </w:r>
            <w:r>
              <w:rPr>
                <w:rFonts w:hint="default" w:ascii="Times New Roman" w:hAnsi="Times New Roman" w:cs="Times New Roman"/>
                <w:color w:val="auto"/>
                <w:sz w:val="24"/>
                <w:highlight w:val="none"/>
                <w:shd w:val="clear" w:color="auto" w:fill="auto"/>
                <w:lang w:val="en-US" w:eastAsia="zh-CN"/>
              </w:rPr>
              <w:t>采取真空挤出机对混炼胶片挤出成型，该工序污染物主要为设备噪声</w:t>
            </w:r>
            <w:r>
              <w:rPr>
                <w:rFonts w:hint="eastAsia" w:ascii="Times New Roman" w:hAnsi="Times New Roman" w:cs="Times New Roman"/>
                <w:color w:val="auto"/>
                <w:sz w:val="24"/>
                <w:highlight w:val="none"/>
                <w:shd w:val="clear" w:color="auto" w:fill="auto"/>
                <w:lang w:val="en-US" w:eastAsia="zh-CN"/>
              </w:rPr>
              <w:t>。</w:t>
            </w:r>
          </w:p>
          <w:p w14:paraId="04EA305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4）</w:t>
            </w:r>
            <w:r>
              <w:rPr>
                <w:rFonts w:hint="default" w:ascii="Times New Roman" w:hAnsi="Times New Roman" w:cs="Times New Roman"/>
                <w:color w:val="auto"/>
                <w:sz w:val="24"/>
                <w:highlight w:val="none"/>
                <w:shd w:val="clear" w:color="auto" w:fill="auto"/>
                <w:lang w:val="en-US" w:eastAsia="zh-CN"/>
              </w:rPr>
              <w:t>硫化</w:t>
            </w:r>
          </w:p>
          <w:p w14:paraId="69527B6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把成型后的胶片输送至微波硫化生产线内进行硫化，温度控制在250℃左右。</w:t>
            </w:r>
          </w:p>
          <w:p w14:paraId="3406813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微波加热与传统加热方式完全不同，是将微波能量穿透到被加热介质内部直接进行整体加热，因此加热迅速，高效节能，大大缩短了橡胶硫化时间，使其加热均匀性更好，硫化质量较高。可以在较短的时间内越过橡胶极易发生粘连的诱导阶段进入预硫阶段，革除了旧工艺过程中使用滑石粉的操作，达到环保要求，该生产工艺可使大多数生产工序集中在一条生产线上完成，自动化程度高，能耗低，节省人力，生产稳定，产品质量均匀等，大大改善了生产劳动条件。</w:t>
            </w:r>
          </w:p>
          <w:p w14:paraId="0A8965C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具体工艺过程主要为：从挤出机挤出的成型品通过输送带</w:t>
            </w:r>
            <w:r>
              <w:rPr>
                <w:rFonts w:hint="eastAsia" w:ascii="Times New Roman" w:hAnsi="Times New Roman" w:cs="Times New Roman"/>
                <w:color w:val="auto"/>
                <w:sz w:val="24"/>
                <w:highlight w:val="none"/>
                <w:shd w:val="clear" w:color="auto" w:fill="auto"/>
                <w:lang w:val="en-US" w:eastAsia="zh-CN"/>
              </w:rPr>
              <w:t>辊</w:t>
            </w:r>
            <w:r>
              <w:rPr>
                <w:rFonts w:hint="default" w:ascii="Times New Roman" w:hAnsi="Times New Roman" w:cs="Times New Roman"/>
                <w:color w:val="auto"/>
                <w:sz w:val="24"/>
                <w:highlight w:val="none"/>
                <w:shd w:val="clear" w:color="auto" w:fill="auto"/>
                <w:lang w:val="en-US" w:eastAsia="zh-CN"/>
              </w:rPr>
              <w:t>道传送，进入微波硫化装置，在此处半成品迅速升温到硫化温度，然后进入二次硫化的热风槽，橡胶在热风槽内一定温度下，保持一定时间，即完成该产品的硫化过程，硫化后的产品冷却后送成品检测。</w:t>
            </w:r>
          </w:p>
          <w:p w14:paraId="5622A85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微波橡胶硫化生产线的组成包括真空挤出机、高温定型设备、微波硫化设备、热风硫化设备、冷却段、牵引机等组成。</w:t>
            </w:r>
          </w:p>
          <w:p w14:paraId="01EE530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真空挤出机：用来把胶片挤压成需要的形状和结构，对应不同的橡胶种类和规格所使用挤出机的结构和性能也有所不同。</w:t>
            </w:r>
          </w:p>
          <w:p w14:paraId="3E8B041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高温定型设备：主要用来把刚挤压成型的密封胶条采用高温迅速将其表面硫化定型，防止其变形或与输送带粘连而破坏其表面。</w:t>
            </w:r>
          </w:p>
          <w:p w14:paraId="72E914E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微波硫化设备：利用微波加热速度整体加热到硫化所需要的温度，这一过程只需要几十秒到一两分钟的时间。</w:t>
            </w:r>
          </w:p>
          <w:p w14:paraId="56EED42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热风硫化设备：使密封条保持在硫化所需要的温度范围内继续硫化。</w:t>
            </w:r>
          </w:p>
          <w:p w14:paraId="5AAAB9C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冷却段：用来把密封条冷却到可进行裁断收集等操作的温度。</w:t>
            </w:r>
          </w:p>
          <w:p w14:paraId="66EE241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牵引机：提供橡胶条前进的动力。</w:t>
            </w:r>
          </w:p>
          <w:p w14:paraId="7BE59B2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由于微波硫化生产线较长，为有效收集处理硫化废气，项目对微波硫化机前半部分</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G2-8</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和后半部分硫化废气</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G2-9</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分别通过设备自带集气装置收集</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并各经一套水幕水洗+经活性炭吸附装置处理后分别由15m高的排气筒（3#和4#）外排。</w:t>
            </w:r>
          </w:p>
          <w:p w14:paraId="14E0550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该工序主要污染物为硫化过程中产生硫化废气（G2-8、G2-9</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和设备噪声。</w:t>
            </w:r>
          </w:p>
          <w:p w14:paraId="4E890A8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5</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成品检测</w:t>
            </w:r>
          </w:p>
          <w:p w14:paraId="3B8D695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对产品的外观及各项技术进行检查测试</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项目包括外观检查，均匀性检测、平衡性检验等，通过后成品入库。</w:t>
            </w:r>
          </w:p>
          <w:p w14:paraId="01369BF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外观检查：通过手触和目测的方法检查产品外观，此过程中产生少量的三元乙丙密封胶条碎屑，由于其粒径较大，直接落到地面，无粉尘排放。</w:t>
            </w:r>
          </w:p>
          <w:p w14:paraId="6DAFD4C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该工序主要污染物为检验不合格的次品</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S2-2</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w:t>
            </w:r>
          </w:p>
          <w:p w14:paraId="2D37A73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6</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包装入库</w:t>
            </w:r>
          </w:p>
          <w:p w14:paraId="3B64FAF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成品经人工包装后入库保存。由于三元乙丙密封胶条为条状或块状物，不易产生粉尘</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该工序主要污染物为包装废物</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S2-3</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w:t>
            </w:r>
          </w:p>
          <w:p w14:paraId="7DDB939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7）</w:t>
            </w:r>
            <w:r>
              <w:rPr>
                <w:rFonts w:hint="default" w:ascii="Times New Roman" w:hAnsi="Times New Roman" w:cs="Times New Roman"/>
                <w:color w:val="auto"/>
                <w:sz w:val="24"/>
                <w:highlight w:val="none"/>
                <w:shd w:val="clear" w:color="auto" w:fill="auto"/>
                <w:lang w:val="en-US" w:eastAsia="zh-CN"/>
              </w:rPr>
              <w:t>设备清洗</w:t>
            </w:r>
          </w:p>
          <w:p w14:paraId="355546F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三元乙丙密封胶条生产线为连续生产，无需</w:t>
            </w:r>
            <w:r>
              <w:rPr>
                <w:rFonts w:hint="eastAsia" w:ascii="Times New Roman" w:hAnsi="Times New Roman" w:cs="Times New Roman"/>
                <w:color w:val="auto"/>
                <w:sz w:val="24"/>
                <w:highlight w:val="none"/>
                <w:shd w:val="clear" w:color="auto" w:fill="auto"/>
                <w:lang w:val="en-US" w:eastAsia="zh-CN"/>
              </w:rPr>
              <w:t>设备</w:t>
            </w:r>
            <w:r>
              <w:rPr>
                <w:rFonts w:hint="default" w:ascii="Times New Roman" w:hAnsi="Times New Roman" w:cs="Times New Roman"/>
                <w:color w:val="auto"/>
                <w:sz w:val="24"/>
                <w:highlight w:val="none"/>
                <w:shd w:val="clear" w:color="auto" w:fill="auto"/>
                <w:lang w:val="en-US" w:eastAsia="zh-CN"/>
              </w:rPr>
              <w:t>清洗。</w:t>
            </w:r>
          </w:p>
          <w:p w14:paraId="3D464CC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shd w:val="clear" w:color="auto" w:fill="auto"/>
                <w:lang w:val="en-US" w:eastAsia="zh-CN"/>
              </w:rPr>
            </w:pPr>
            <w:r>
              <w:rPr>
                <w:rFonts w:hint="default" w:ascii="Times New Roman" w:hAnsi="Times New Roman" w:cs="Times New Roman"/>
                <w:color w:val="auto"/>
                <w:sz w:val="24"/>
                <w:highlight w:val="none"/>
                <w:shd w:val="clear" w:color="auto" w:fill="auto"/>
                <w:lang w:val="en-US" w:eastAsia="zh-CN"/>
              </w:rPr>
              <w:t>三元乙丙密封胶条车间及仓库粉状物料</w:t>
            </w:r>
            <w:r>
              <w:rPr>
                <w:rFonts w:hint="eastAsia" w:cs="Times New Roman"/>
                <w:color w:val="auto"/>
                <w:sz w:val="24"/>
                <w:highlight w:val="none"/>
                <w:shd w:val="clear" w:color="auto" w:fill="auto"/>
                <w:lang w:val="en-US" w:eastAsia="zh-CN"/>
              </w:rPr>
              <w:t>洒</w:t>
            </w:r>
            <w:r>
              <w:rPr>
                <w:rFonts w:hint="default" w:ascii="Times New Roman" w:hAnsi="Times New Roman" w:cs="Times New Roman"/>
                <w:color w:val="auto"/>
                <w:sz w:val="24"/>
                <w:highlight w:val="none"/>
                <w:shd w:val="clear" w:color="auto" w:fill="auto"/>
                <w:lang w:val="en-US" w:eastAsia="zh-CN"/>
              </w:rPr>
              <w:t>落时，采取人工打扫，物料回用于生产。此外，环保工程会产生布袋除尘器收集尘</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S2-5）和废活性炭</w:t>
            </w:r>
            <w:r>
              <w:rPr>
                <w:rFonts w:hint="eastAsia" w:ascii="Times New Roman" w:hAnsi="Times New Roman" w:cs="Times New Roman"/>
                <w:color w:val="auto"/>
                <w:sz w:val="24"/>
                <w:highlight w:val="none"/>
                <w:shd w:val="clear" w:color="auto" w:fill="auto"/>
                <w:lang w:val="en-US" w:eastAsia="zh-CN"/>
              </w:rPr>
              <w:t>（</w:t>
            </w:r>
            <w:r>
              <w:rPr>
                <w:rFonts w:hint="default" w:ascii="Times New Roman" w:hAnsi="Times New Roman" w:cs="Times New Roman"/>
                <w:color w:val="auto"/>
                <w:sz w:val="24"/>
                <w:highlight w:val="none"/>
                <w:shd w:val="clear" w:color="auto" w:fill="auto"/>
                <w:lang w:val="en-US" w:eastAsia="zh-CN"/>
              </w:rPr>
              <w:t>S2-6）等固体废弃物。</w:t>
            </w:r>
          </w:p>
          <w:p w14:paraId="3BEDDA6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cs="Times New Roman"/>
                <w:color w:val="auto"/>
                <w:sz w:val="24"/>
                <w:highlight w:val="none"/>
                <w:shd w:val="clear" w:color="auto" w:fill="auto"/>
                <w:lang w:val="en-US" w:eastAsia="zh-CN"/>
              </w:rPr>
              <w:t>8）</w:t>
            </w:r>
            <w:r>
              <w:rPr>
                <w:rFonts w:hint="eastAsia" w:ascii="Times New Roman" w:hAnsi="Times New Roman" w:cs="Times New Roman"/>
                <w:color w:val="auto"/>
                <w:sz w:val="24"/>
                <w:highlight w:val="none"/>
                <w:shd w:val="clear" w:color="auto" w:fill="auto"/>
                <w:lang w:val="en-US" w:eastAsia="zh-CN"/>
              </w:rPr>
              <w:t>主要污染物产生环节</w:t>
            </w:r>
          </w:p>
          <w:p w14:paraId="6AA12076">
            <w:pPr>
              <w:keepNext w:val="0"/>
              <w:keepLines w:val="0"/>
              <w:suppressLineNumbers w:val="0"/>
              <w:spacing w:before="0" w:beforeAutospacing="0" w:after="0" w:afterAutospacing="0" w:line="360" w:lineRule="auto"/>
              <w:ind w:left="0" w:right="0" w:firstLine="480" w:firstLineChars="200"/>
              <w:rPr>
                <w:rFonts w:hint="eastAsia" w:cs="Times New Roman"/>
                <w:color w:val="auto"/>
                <w:sz w:val="24"/>
                <w:highlight w:val="none"/>
                <w:shd w:val="clear" w:color="auto" w:fill="auto"/>
                <w:lang w:val="en-US" w:eastAsia="zh-CN"/>
              </w:rPr>
            </w:pPr>
            <w:r>
              <w:rPr>
                <w:rFonts w:hint="eastAsia" w:cs="Times New Roman"/>
                <w:color w:val="auto"/>
                <w:sz w:val="24"/>
                <w:highlight w:val="none"/>
                <w:shd w:val="clear" w:color="auto" w:fill="auto"/>
                <w:lang w:val="en-US" w:eastAsia="zh-CN"/>
              </w:rPr>
              <w:t>①废气</w:t>
            </w:r>
          </w:p>
          <w:p w14:paraId="3AE4023B">
            <w:pPr>
              <w:keepNext w:val="0"/>
              <w:keepLines w:val="0"/>
              <w:suppressLineNumbers w:val="0"/>
              <w:spacing w:before="0" w:beforeAutospacing="0" w:after="0" w:afterAutospacing="0" w:line="360" w:lineRule="auto"/>
              <w:ind w:left="0" w:right="0" w:firstLine="480" w:firstLineChars="200"/>
              <w:rPr>
                <w:rFonts w:hint="eastAsia" w:cs="Times New Roman"/>
                <w:color w:val="auto"/>
                <w:sz w:val="24"/>
                <w:highlight w:val="none"/>
                <w:shd w:val="clear" w:color="auto" w:fill="auto"/>
                <w:lang w:val="en-US" w:eastAsia="zh-CN"/>
              </w:rPr>
            </w:pPr>
            <w:r>
              <w:rPr>
                <w:rFonts w:hint="eastAsia" w:cs="Times New Roman"/>
                <w:color w:val="auto"/>
                <w:sz w:val="24"/>
                <w:highlight w:val="none"/>
                <w:shd w:val="clear" w:color="auto" w:fill="auto"/>
                <w:lang w:val="en-US" w:eastAsia="zh-CN"/>
              </w:rPr>
              <w:t>产生的废气主要为投料粉尘（G2-1）、密炼机的炼胶废气（G2-2和G2-5)、开炼机的炼胶废气（G2-3和G2-6）、冷却时带出的炼胶废气（G2-4和G2-7）和硫化废气（G2-8和G2-9）。</w:t>
            </w:r>
          </w:p>
          <w:p w14:paraId="3C71A11F">
            <w:pPr>
              <w:keepNext w:val="0"/>
              <w:keepLines w:val="0"/>
              <w:suppressLineNumbers w:val="0"/>
              <w:spacing w:before="0" w:beforeAutospacing="0" w:after="0" w:afterAutospacing="0" w:line="360" w:lineRule="auto"/>
              <w:ind w:left="0" w:right="0" w:firstLine="480" w:firstLineChars="200"/>
              <w:rPr>
                <w:rFonts w:hint="eastAsia" w:cs="Times New Roman"/>
                <w:color w:val="auto"/>
                <w:sz w:val="24"/>
                <w:highlight w:val="none"/>
                <w:shd w:val="clear" w:color="auto" w:fill="auto"/>
                <w:lang w:val="en-US" w:eastAsia="zh-CN"/>
              </w:rPr>
            </w:pPr>
            <w:r>
              <w:rPr>
                <w:rFonts w:hint="eastAsia" w:cs="Times New Roman"/>
                <w:color w:val="auto"/>
                <w:sz w:val="24"/>
                <w:highlight w:val="none"/>
                <w:shd w:val="clear" w:color="auto" w:fill="auto"/>
                <w:lang w:val="en-US" w:eastAsia="zh-CN"/>
              </w:rPr>
              <w:t>②废水</w:t>
            </w:r>
          </w:p>
          <w:p w14:paraId="4C1BCBAF">
            <w:pPr>
              <w:keepNext w:val="0"/>
              <w:keepLines w:val="0"/>
              <w:suppressLineNumbers w:val="0"/>
              <w:spacing w:before="0" w:beforeAutospacing="0" w:after="0" w:afterAutospacing="0" w:line="360" w:lineRule="auto"/>
              <w:ind w:left="0" w:right="0" w:firstLine="480" w:firstLineChars="200"/>
              <w:rPr>
                <w:rFonts w:hint="eastAsia" w:cs="Times New Roman"/>
                <w:color w:val="auto"/>
                <w:sz w:val="24"/>
                <w:highlight w:val="none"/>
                <w:shd w:val="clear" w:color="auto" w:fill="auto"/>
                <w:lang w:val="en-US" w:eastAsia="zh-CN"/>
              </w:rPr>
            </w:pPr>
            <w:r>
              <w:rPr>
                <w:rFonts w:hint="eastAsia" w:cs="Times New Roman"/>
                <w:color w:val="auto"/>
                <w:sz w:val="24"/>
                <w:highlight w:val="none"/>
                <w:shd w:val="clear" w:color="auto" w:fill="auto"/>
                <w:lang w:val="en-US" w:eastAsia="zh-CN"/>
              </w:rPr>
              <w:t>项目无工艺废水。</w:t>
            </w:r>
          </w:p>
          <w:p w14:paraId="7F6586EA">
            <w:pPr>
              <w:keepNext w:val="0"/>
              <w:keepLines w:val="0"/>
              <w:suppressLineNumbers w:val="0"/>
              <w:spacing w:before="0" w:beforeAutospacing="0" w:after="0" w:afterAutospacing="0" w:line="360" w:lineRule="auto"/>
              <w:ind w:left="0" w:right="0" w:firstLine="480" w:firstLineChars="200"/>
              <w:rPr>
                <w:rFonts w:hint="eastAsia" w:cs="Times New Roman"/>
                <w:color w:val="auto"/>
                <w:sz w:val="24"/>
                <w:highlight w:val="none"/>
                <w:shd w:val="clear" w:color="auto" w:fill="auto"/>
                <w:lang w:val="en-US" w:eastAsia="zh-CN"/>
              </w:rPr>
            </w:pPr>
            <w:r>
              <w:rPr>
                <w:rFonts w:hint="eastAsia" w:cs="Times New Roman"/>
                <w:color w:val="auto"/>
                <w:sz w:val="24"/>
                <w:highlight w:val="none"/>
                <w:shd w:val="clear" w:color="auto" w:fill="auto"/>
                <w:lang w:val="en-US" w:eastAsia="zh-CN"/>
              </w:rPr>
              <w:t>③固体废弃物</w:t>
            </w:r>
          </w:p>
          <w:p w14:paraId="5F3FAF14">
            <w:pPr>
              <w:keepNext w:val="0"/>
              <w:keepLines w:val="0"/>
              <w:suppressLineNumbers w:val="0"/>
              <w:spacing w:before="0" w:beforeAutospacing="0" w:after="0" w:afterAutospacing="0" w:line="360" w:lineRule="auto"/>
              <w:ind w:left="0" w:right="0" w:firstLine="480" w:firstLineChars="200"/>
              <w:rPr>
                <w:rFonts w:hint="eastAsia" w:cs="Times New Roman"/>
                <w:color w:val="auto"/>
                <w:sz w:val="24"/>
                <w:highlight w:val="none"/>
                <w:shd w:val="clear" w:color="auto" w:fill="auto"/>
                <w:lang w:val="en-US" w:eastAsia="zh-CN"/>
              </w:rPr>
            </w:pPr>
            <w:r>
              <w:rPr>
                <w:rFonts w:hint="eastAsia" w:cs="Times New Roman"/>
                <w:color w:val="auto"/>
                <w:sz w:val="24"/>
                <w:highlight w:val="none"/>
                <w:shd w:val="clear" w:color="auto" w:fill="auto"/>
                <w:lang w:val="en-US" w:eastAsia="zh-CN"/>
              </w:rPr>
              <w:t>产生的固体废弃物主要为循环水除渣（S2-1）、检验不合格的产品（S2-2）、包装废物（S2-3）、地面清理的废抹布（S2-4）、布袋除尘器收集尘（S2-5）和废活性炭（S2-6）。</w:t>
            </w:r>
          </w:p>
          <w:p w14:paraId="0A263F59">
            <w:pPr>
              <w:keepNext w:val="0"/>
              <w:keepLines w:val="0"/>
              <w:suppressLineNumbers w:val="0"/>
              <w:spacing w:before="0" w:beforeAutospacing="0" w:after="0" w:afterAutospacing="0" w:line="360" w:lineRule="auto"/>
              <w:ind w:left="0" w:right="0" w:firstLine="480" w:firstLineChars="200"/>
              <w:rPr>
                <w:rFonts w:hint="eastAsia" w:cs="Times New Roman"/>
                <w:color w:val="auto"/>
                <w:sz w:val="24"/>
                <w:highlight w:val="none"/>
                <w:shd w:val="clear" w:color="auto" w:fill="auto"/>
                <w:lang w:val="en-US" w:eastAsia="zh-CN"/>
              </w:rPr>
            </w:pPr>
            <w:r>
              <w:rPr>
                <w:rFonts w:hint="eastAsia" w:cs="Times New Roman"/>
                <w:color w:val="auto"/>
                <w:sz w:val="24"/>
                <w:highlight w:val="none"/>
                <w:shd w:val="clear" w:color="auto" w:fill="auto"/>
                <w:lang w:val="en-US" w:eastAsia="zh-CN"/>
              </w:rPr>
              <w:t>④噪声</w:t>
            </w:r>
          </w:p>
          <w:p w14:paraId="26F2DCA4">
            <w:pPr>
              <w:keepNext w:val="0"/>
              <w:keepLines w:val="0"/>
              <w:suppressLineNumbers w:val="0"/>
              <w:spacing w:before="0" w:beforeAutospacing="0" w:after="0" w:afterAutospacing="0" w:line="360" w:lineRule="auto"/>
              <w:ind w:left="0" w:right="0" w:firstLine="480" w:firstLineChars="200"/>
              <w:rPr>
                <w:rFonts w:hint="eastAsia" w:cs="Times New Roman"/>
                <w:color w:val="auto"/>
                <w:sz w:val="24"/>
                <w:highlight w:val="none"/>
                <w:shd w:val="clear" w:color="auto" w:fill="auto"/>
                <w:lang w:val="en-US" w:eastAsia="zh-CN"/>
              </w:rPr>
            </w:pPr>
            <w:r>
              <w:rPr>
                <w:rFonts w:hint="eastAsia" w:cs="Times New Roman"/>
                <w:color w:val="auto"/>
                <w:sz w:val="24"/>
                <w:highlight w:val="none"/>
                <w:shd w:val="clear" w:color="auto" w:fill="auto"/>
                <w:lang w:val="en-US" w:eastAsia="zh-CN"/>
              </w:rPr>
              <w:t>主要密炼机、开炼机和硫化机等设备噪声。</w:t>
            </w:r>
          </w:p>
          <w:p w14:paraId="5FEFF6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both"/>
              <w:textAlignment w:val="auto"/>
              <w:rPr>
                <w:rFonts w:hint="eastAsia" w:ascii="Times New Roman" w:hAnsi="Times New Roman" w:eastAsia="宋体" w:cs="Times New Roman"/>
                <w:b/>
                <w:bCs/>
                <w:color w:val="auto"/>
                <w:kern w:val="2"/>
                <w:sz w:val="24"/>
                <w:szCs w:val="20"/>
                <w:highlight w:val="none"/>
                <w:lang w:val="en-US" w:eastAsia="zh-CN" w:bidi="ar-SA"/>
              </w:rPr>
            </w:pPr>
            <w:r>
              <w:rPr>
                <w:rFonts w:hint="eastAsia" w:ascii="Times New Roman" w:hAnsi="Times New Roman" w:cs="Times New Roman"/>
                <w:b/>
                <w:bCs/>
                <w:color w:val="auto"/>
                <w:kern w:val="2"/>
                <w:sz w:val="24"/>
                <w:szCs w:val="20"/>
                <w:highlight w:val="none"/>
                <w:lang w:val="en-US" w:eastAsia="zh-CN" w:bidi="ar-SA"/>
              </w:rPr>
              <w:t>（</w:t>
            </w:r>
            <w:r>
              <w:rPr>
                <w:rFonts w:hint="eastAsia" w:cs="Times New Roman"/>
                <w:b/>
                <w:bCs/>
                <w:color w:val="auto"/>
                <w:kern w:val="2"/>
                <w:sz w:val="24"/>
                <w:szCs w:val="20"/>
                <w:highlight w:val="none"/>
                <w:lang w:val="en-US" w:eastAsia="zh-CN" w:bidi="ar-SA"/>
              </w:rPr>
              <w:t>2</w:t>
            </w:r>
            <w:r>
              <w:rPr>
                <w:rFonts w:hint="eastAsia" w:ascii="Times New Roman" w:hAnsi="Times New Roman" w:cs="Times New Roman"/>
                <w:b/>
                <w:bCs/>
                <w:color w:val="auto"/>
                <w:kern w:val="2"/>
                <w:sz w:val="24"/>
                <w:szCs w:val="20"/>
                <w:highlight w:val="none"/>
                <w:lang w:val="en-US" w:eastAsia="zh-CN" w:bidi="ar-SA"/>
              </w:rPr>
              <w:t>）</w:t>
            </w:r>
            <w:r>
              <w:rPr>
                <w:rFonts w:hint="eastAsia" w:ascii="Times New Roman" w:hAnsi="Times New Roman" w:eastAsia="宋体" w:cs="Times New Roman"/>
                <w:b/>
                <w:bCs/>
                <w:color w:val="auto"/>
                <w:kern w:val="2"/>
                <w:sz w:val="24"/>
                <w:szCs w:val="20"/>
                <w:highlight w:val="none"/>
                <w:lang w:val="en-US" w:eastAsia="zh-CN" w:bidi="ar-SA"/>
              </w:rPr>
              <w:t>现有项目污染物排放情况及环保措施实施情况</w:t>
            </w:r>
          </w:p>
          <w:p w14:paraId="4A3BF683">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shd w:val="clear" w:color="auto" w:fill="auto"/>
                <w:lang w:val="en-US" w:eastAsia="zh-CN"/>
              </w:rPr>
            </w:pPr>
            <w:r>
              <w:rPr>
                <w:rFonts w:hint="eastAsia" w:ascii="Times New Roman" w:hAnsi="Times New Roman" w:eastAsia="宋体" w:cs="Times New Roman"/>
                <w:color w:val="auto"/>
                <w:sz w:val="24"/>
                <w:highlight w:val="none"/>
                <w:shd w:val="clear" w:color="auto" w:fill="auto"/>
                <w:lang w:val="en-US" w:eastAsia="zh-CN"/>
              </w:rPr>
              <w:t>根据《</w:t>
            </w:r>
            <w:r>
              <w:rPr>
                <w:rFonts w:hint="eastAsia" w:cs="Times New Roman"/>
                <w:color w:val="auto"/>
                <w:sz w:val="24"/>
                <w:highlight w:val="none"/>
                <w:shd w:val="clear" w:color="auto" w:fill="auto"/>
                <w:lang w:val="en-US" w:eastAsia="zh-CN"/>
              </w:rPr>
              <w:t>江西奋发科技</w:t>
            </w:r>
            <w:r>
              <w:rPr>
                <w:rFonts w:hint="eastAsia" w:ascii="Times New Roman" w:hAnsi="Times New Roman" w:eastAsia="宋体" w:cs="Times New Roman"/>
                <w:color w:val="auto"/>
                <w:sz w:val="24"/>
                <w:highlight w:val="none"/>
                <w:shd w:val="clear" w:color="auto" w:fill="auto"/>
                <w:lang w:val="en-US" w:eastAsia="zh-CN"/>
              </w:rPr>
              <w:t>有限公司202</w:t>
            </w:r>
            <w:r>
              <w:rPr>
                <w:rFonts w:hint="eastAsia" w:cs="Times New Roman"/>
                <w:color w:val="auto"/>
                <w:sz w:val="24"/>
                <w:highlight w:val="none"/>
                <w:shd w:val="clear" w:color="auto" w:fill="auto"/>
                <w:lang w:val="en-US" w:eastAsia="zh-CN"/>
              </w:rPr>
              <w:t>6</w:t>
            </w:r>
            <w:r>
              <w:rPr>
                <w:rFonts w:hint="eastAsia" w:ascii="Times New Roman" w:hAnsi="Times New Roman" w:eastAsia="宋体" w:cs="Times New Roman"/>
                <w:color w:val="auto"/>
                <w:sz w:val="24"/>
                <w:highlight w:val="none"/>
                <w:shd w:val="clear" w:color="auto" w:fill="auto"/>
                <w:lang w:val="en-US" w:eastAsia="zh-CN"/>
              </w:rPr>
              <w:t>年自行检测报告》</w:t>
            </w:r>
            <w:r>
              <w:rPr>
                <w:rFonts w:hint="eastAsia" w:ascii="Times New Roman" w:hAnsi="Times New Roman" w:cs="Times New Roman"/>
                <w:color w:val="auto"/>
                <w:sz w:val="24"/>
                <w:highlight w:val="none"/>
                <w:lang w:val="en-US" w:eastAsia="zh-CN"/>
              </w:rPr>
              <w:t>（</w:t>
            </w:r>
            <w:r>
              <w:rPr>
                <w:rFonts w:hint="eastAsia" w:cs="Times New Roman"/>
                <w:color w:val="auto"/>
                <w:sz w:val="24"/>
                <w:highlight w:val="none"/>
                <w:lang w:val="en-US" w:eastAsia="zh-CN"/>
              </w:rPr>
              <w:t>江西尚信检测技术</w:t>
            </w:r>
            <w:r>
              <w:rPr>
                <w:rFonts w:hint="eastAsia" w:ascii="Times New Roman" w:hAnsi="Times New Roman" w:cs="Times New Roman"/>
                <w:color w:val="auto"/>
                <w:sz w:val="24"/>
                <w:highlight w:val="none"/>
                <w:lang w:val="en-US" w:eastAsia="zh-CN"/>
              </w:rPr>
              <w:t>有限公司，报告编号：</w:t>
            </w:r>
            <w:r>
              <w:rPr>
                <w:rFonts w:hint="eastAsia" w:cs="Times New Roman"/>
                <w:color w:val="auto"/>
                <w:sz w:val="24"/>
                <w:highlight w:val="none"/>
                <w:lang w:val="en-US" w:eastAsia="zh-CN"/>
              </w:rPr>
              <w:t>SX（2026）030305、SX（2026）060201</w:t>
            </w:r>
            <w:r>
              <w:rPr>
                <w:rFonts w:hint="eastAsia" w:ascii="Times New Roman" w:hAnsi="Times New Roman" w:cs="Times New Roman"/>
                <w:color w:val="auto"/>
                <w:sz w:val="24"/>
                <w:highlight w:val="none"/>
                <w:lang w:val="en-US" w:eastAsia="zh-CN"/>
              </w:rPr>
              <w:t>）的监测数据，</w:t>
            </w:r>
            <w:r>
              <w:rPr>
                <w:rFonts w:hint="eastAsia" w:ascii="Times New Roman" w:hAnsi="Times New Roman" w:eastAsia="宋体" w:cs="Times New Roman"/>
                <w:color w:val="auto"/>
                <w:sz w:val="24"/>
                <w:highlight w:val="none"/>
                <w:shd w:val="clear" w:color="auto" w:fill="auto"/>
                <w:lang w:val="en-US" w:eastAsia="zh-CN"/>
              </w:rPr>
              <w:t>现有项目污染物排放情况如下：</w:t>
            </w:r>
          </w:p>
          <w:p w14:paraId="2B09B0B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shd w:val="clear" w:color="auto" w:fill="auto"/>
                <w:lang w:val="en-US" w:eastAsia="zh-CN"/>
              </w:rPr>
            </w:pPr>
            <w:r>
              <w:rPr>
                <w:rFonts w:hint="eastAsia" w:ascii="Times New Roman" w:hAnsi="Times New Roman" w:cs="Times New Roman"/>
                <w:color w:val="auto"/>
                <w:sz w:val="24"/>
                <w:highlight w:val="none"/>
                <w:shd w:val="clear" w:color="auto" w:fill="auto"/>
                <w:lang w:val="en-US" w:eastAsia="zh-CN"/>
              </w:rPr>
              <w:t>1）废气污染源防治措施及其达标性分析</w:t>
            </w:r>
          </w:p>
          <w:p w14:paraId="262E6A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cs="Times New Roman"/>
                <w:color w:val="auto"/>
                <w:highlight w:val="green"/>
                <w:lang w:val="en-US" w:eastAsia="zh-CN"/>
              </w:rPr>
            </w:pPr>
            <w:r>
              <w:rPr>
                <w:rFonts w:hint="eastAsia" w:ascii="Times New Roman" w:hAnsi="Times New Roman" w:eastAsia="宋体" w:cs="宋体"/>
                <w:color w:val="auto"/>
                <w:kern w:val="0"/>
                <w:sz w:val="24"/>
                <w:lang w:val="en-US" w:eastAsia="zh-CN"/>
              </w:rPr>
              <w:t>现有</w:t>
            </w:r>
            <w:r>
              <w:rPr>
                <w:rFonts w:hint="eastAsia" w:ascii="Times New Roman" w:hAnsi="Times New Roman" w:eastAsia="宋体" w:cs="宋体"/>
                <w:color w:val="auto"/>
                <w:kern w:val="0"/>
                <w:sz w:val="24"/>
              </w:rPr>
              <w:t>项目</w:t>
            </w:r>
            <w:r>
              <w:rPr>
                <w:rFonts w:hint="eastAsia" w:cs="宋体"/>
                <w:color w:val="auto"/>
                <w:kern w:val="0"/>
                <w:sz w:val="24"/>
                <w:lang w:val="en-US" w:eastAsia="zh-CN"/>
              </w:rPr>
              <w:t>有组织排放</w:t>
            </w:r>
            <w:r>
              <w:rPr>
                <w:rFonts w:hint="eastAsia" w:ascii="Times New Roman" w:hAnsi="Times New Roman" w:eastAsia="宋体" w:cs="宋体"/>
                <w:color w:val="auto"/>
                <w:kern w:val="0"/>
                <w:sz w:val="24"/>
              </w:rPr>
              <w:t>废气主要为</w:t>
            </w:r>
            <w:r>
              <w:rPr>
                <w:rFonts w:hint="eastAsia" w:cs="宋体"/>
                <w:color w:val="auto"/>
                <w:kern w:val="0"/>
                <w:sz w:val="24"/>
                <w:lang w:val="en-US" w:eastAsia="zh-CN"/>
              </w:rPr>
              <w:t>投料废气、炼胶废气、硫化废气</w:t>
            </w:r>
            <w:r>
              <w:rPr>
                <w:rFonts w:hint="eastAsia" w:ascii="Times New Roman" w:hAnsi="Times New Roman" w:eastAsia="宋体" w:cs="宋体"/>
                <w:color w:val="auto"/>
                <w:kern w:val="0"/>
                <w:sz w:val="24"/>
              </w:rPr>
              <w:t>，</w:t>
            </w:r>
            <w:r>
              <w:rPr>
                <w:rFonts w:hint="eastAsia" w:cs="宋体"/>
                <w:color w:val="auto"/>
                <w:kern w:val="0"/>
                <w:sz w:val="24"/>
                <w:lang w:val="en-US" w:eastAsia="zh-CN"/>
              </w:rPr>
              <w:t>投料废气经</w:t>
            </w:r>
            <w:r>
              <w:rPr>
                <w:rFonts w:hint="eastAsia" w:ascii="Times New Roman" w:hAnsi="Times New Roman" w:eastAsia="宋体" w:cs="宋体"/>
                <w:color w:val="auto"/>
                <w:kern w:val="0"/>
                <w:sz w:val="24"/>
              </w:rPr>
              <w:t>集气装置+布袋除尘器+活性炭吸附</w:t>
            </w:r>
            <w:r>
              <w:rPr>
                <w:rFonts w:hint="eastAsia" w:cs="宋体"/>
                <w:color w:val="auto"/>
                <w:kern w:val="0"/>
                <w:sz w:val="24"/>
                <w:lang w:val="en-US" w:eastAsia="zh-CN"/>
              </w:rPr>
              <w:t>处理后通过一根</w:t>
            </w:r>
            <w:r>
              <w:rPr>
                <w:rFonts w:hint="eastAsia" w:ascii="Times New Roman" w:hAnsi="Times New Roman" w:eastAsia="宋体" w:cs="宋体"/>
                <w:color w:val="auto"/>
                <w:kern w:val="0"/>
                <w:sz w:val="24"/>
              </w:rPr>
              <w:t>15m排气筒（1#）</w:t>
            </w:r>
            <w:r>
              <w:rPr>
                <w:rFonts w:hint="eastAsia" w:ascii="Times New Roman" w:hAnsi="Times New Roman" w:cs="宋体"/>
                <w:color w:val="auto"/>
                <w:kern w:val="0"/>
                <w:sz w:val="24"/>
                <w:lang w:val="en-US" w:eastAsia="zh-CN"/>
              </w:rPr>
              <w:t>外排，</w:t>
            </w:r>
            <w:r>
              <w:rPr>
                <w:rFonts w:hint="eastAsia" w:cs="宋体"/>
                <w:color w:val="auto"/>
                <w:kern w:val="0"/>
                <w:sz w:val="24"/>
                <w:lang w:val="en-US" w:eastAsia="zh-CN"/>
              </w:rPr>
              <w:t>炼胶废气分别经</w:t>
            </w:r>
            <w:r>
              <w:rPr>
                <w:rFonts w:hint="eastAsia" w:ascii="Times New Roman" w:hAnsi="Times New Roman" w:cs="宋体"/>
                <w:color w:val="auto"/>
                <w:kern w:val="0"/>
                <w:sz w:val="24"/>
                <w:lang w:val="en-US" w:eastAsia="zh-CN"/>
              </w:rPr>
              <w:t>两套活性炭吸附+布袋除尘器处理后</w:t>
            </w:r>
            <w:r>
              <w:rPr>
                <w:rFonts w:hint="eastAsia" w:cs="宋体"/>
                <w:color w:val="auto"/>
                <w:kern w:val="0"/>
                <w:sz w:val="24"/>
                <w:lang w:val="en-US" w:eastAsia="zh-CN"/>
              </w:rPr>
              <w:t>分别</w:t>
            </w:r>
            <w:r>
              <w:rPr>
                <w:rFonts w:hint="eastAsia" w:ascii="Times New Roman" w:hAnsi="Times New Roman" w:cs="宋体"/>
                <w:color w:val="auto"/>
                <w:kern w:val="0"/>
                <w:sz w:val="24"/>
                <w:lang w:val="en-US" w:eastAsia="zh-CN"/>
              </w:rPr>
              <w:t>通过</w:t>
            </w:r>
            <w:r>
              <w:rPr>
                <w:rFonts w:hint="eastAsia" w:cs="宋体"/>
                <w:color w:val="auto"/>
                <w:kern w:val="0"/>
                <w:sz w:val="24"/>
                <w:lang w:val="en-US" w:eastAsia="zh-CN"/>
              </w:rPr>
              <w:t>一根15</w:t>
            </w:r>
            <w:r>
              <w:rPr>
                <w:rFonts w:hint="eastAsia" w:ascii="Times New Roman" w:hAnsi="Times New Roman" w:cs="宋体"/>
                <w:color w:val="auto"/>
                <w:kern w:val="0"/>
                <w:sz w:val="24"/>
                <w:lang w:val="en-US" w:eastAsia="zh-CN"/>
              </w:rPr>
              <w:t>m</w:t>
            </w:r>
            <w:r>
              <w:rPr>
                <w:rFonts w:hint="eastAsia" w:cs="宋体"/>
                <w:color w:val="auto"/>
                <w:kern w:val="0"/>
                <w:sz w:val="24"/>
                <w:lang w:val="en-US" w:eastAsia="zh-CN"/>
              </w:rPr>
              <w:t>排气筒（2#、3#）外排</w:t>
            </w:r>
            <w:r>
              <w:rPr>
                <w:rFonts w:hint="eastAsia" w:ascii="Times New Roman" w:hAnsi="Times New Roman" w:cs="宋体"/>
                <w:color w:val="auto"/>
                <w:kern w:val="0"/>
                <w:sz w:val="24"/>
                <w:lang w:eastAsia="zh-CN"/>
              </w:rPr>
              <w:t>；</w:t>
            </w:r>
            <w:r>
              <w:rPr>
                <w:rFonts w:hint="eastAsia" w:cs="Times New Roman"/>
                <w:color w:val="auto"/>
                <w:lang w:val="en-US" w:eastAsia="zh-CN"/>
              </w:rPr>
              <w:t>硫化废气经喷淋+水汽分离+电捕焦油+活性炭吸附设施处理后通过一根15m排气筒（4#）外排，企业有效控制无组织排放，加强无组织废气收集</w:t>
            </w:r>
            <w:r>
              <w:rPr>
                <w:rFonts w:hint="eastAsia" w:ascii="Times New Roman" w:hAnsi="Times New Roman" w:cs="Times New Roman"/>
                <w:color w:val="auto"/>
                <w:highlight w:val="none"/>
                <w:lang w:val="en-US" w:eastAsia="zh-CN"/>
              </w:rPr>
              <w:t>。</w:t>
            </w:r>
          </w:p>
          <w:p w14:paraId="52CFD7D3">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shd w:val="clear" w:color="auto" w:fill="auto"/>
                <w:lang w:val="en-US" w:eastAsia="zh-CN"/>
              </w:rPr>
            </w:pPr>
            <w:r>
              <w:rPr>
                <w:rFonts w:hint="eastAsia" w:ascii="Times New Roman" w:hAnsi="Times New Roman" w:cs="Times New Roman"/>
                <w:b w:val="0"/>
                <w:bCs w:val="0"/>
                <w:color w:val="auto"/>
                <w:sz w:val="24"/>
                <w:highlight w:val="none"/>
                <w:lang w:val="en-US" w:eastAsia="zh-CN"/>
              </w:rPr>
              <w:t>现有项目污染物有组织排放达标情况见表2-1</w:t>
            </w:r>
            <w:r>
              <w:rPr>
                <w:rFonts w:hint="eastAsia" w:cs="Times New Roman"/>
                <w:b w:val="0"/>
                <w:bCs w:val="0"/>
                <w:color w:val="auto"/>
                <w:sz w:val="24"/>
                <w:highlight w:val="none"/>
                <w:lang w:val="en-US" w:eastAsia="zh-CN"/>
              </w:rPr>
              <w:t>6</w:t>
            </w:r>
            <w:r>
              <w:rPr>
                <w:rFonts w:hint="eastAsia" w:ascii="Times New Roman" w:hAnsi="Times New Roman" w:cs="Times New Roman"/>
                <w:b w:val="0"/>
                <w:bCs w:val="0"/>
                <w:color w:val="auto"/>
                <w:sz w:val="24"/>
                <w:highlight w:val="none"/>
                <w:lang w:val="en-US" w:eastAsia="zh-CN"/>
              </w:rPr>
              <w:t>。</w:t>
            </w:r>
          </w:p>
          <w:p w14:paraId="0F6F917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240" w:lineRule="auto"/>
              <w:ind w:left="0" w:right="0"/>
              <w:jc w:val="center"/>
              <w:textAlignment w:val="auto"/>
              <w:rPr>
                <w:rFonts w:hint="default" w:ascii="Times New Roman" w:hAnsi="Times New Roman" w:eastAsia="宋体" w:cs="Times New Roman"/>
                <w:b/>
                <w:color w:val="auto"/>
                <w:kern w:val="2"/>
                <w:sz w:val="21"/>
                <w:szCs w:val="20"/>
                <w:highlight w:val="none"/>
                <w:lang w:val="en-US" w:eastAsia="zh-CN" w:bidi="ar-SA"/>
              </w:rPr>
            </w:pPr>
            <w:r>
              <w:rPr>
                <w:rFonts w:hint="default" w:ascii="Times New Roman" w:hAnsi="Times New Roman" w:eastAsia="宋体" w:cs="Times New Roman"/>
                <w:b/>
                <w:color w:val="auto"/>
                <w:kern w:val="2"/>
                <w:sz w:val="21"/>
                <w:szCs w:val="20"/>
                <w:highlight w:val="none"/>
                <w:lang w:val="en-US" w:eastAsia="zh-CN" w:bidi="ar-SA"/>
              </w:rPr>
              <w:t>表</w:t>
            </w:r>
            <w:r>
              <w:rPr>
                <w:rFonts w:hint="eastAsia" w:ascii="Times New Roman" w:hAnsi="Times New Roman" w:eastAsia="宋体" w:cs="Times New Roman"/>
                <w:b/>
                <w:color w:val="auto"/>
                <w:kern w:val="2"/>
                <w:sz w:val="21"/>
                <w:szCs w:val="20"/>
                <w:highlight w:val="none"/>
                <w:lang w:val="en-US" w:eastAsia="zh-CN" w:bidi="ar-SA"/>
              </w:rPr>
              <w:t>2-</w:t>
            </w:r>
            <w:r>
              <w:rPr>
                <w:rFonts w:hint="eastAsia" w:ascii="Times New Roman" w:hAnsi="Times New Roman" w:cs="Times New Roman"/>
                <w:b/>
                <w:color w:val="auto"/>
                <w:kern w:val="2"/>
                <w:sz w:val="21"/>
                <w:szCs w:val="20"/>
                <w:highlight w:val="none"/>
                <w:lang w:val="en-US" w:eastAsia="zh-CN" w:bidi="ar-SA"/>
              </w:rPr>
              <w:t>1</w:t>
            </w:r>
            <w:r>
              <w:rPr>
                <w:rFonts w:hint="eastAsia" w:cs="Times New Roman"/>
                <w:b/>
                <w:color w:val="auto"/>
                <w:kern w:val="2"/>
                <w:sz w:val="21"/>
                <w:szCs w:val="20"/>
                <w:highlight w:val="none"/>
                <w:lang w:val="en-US" w:eastAsia="zh-CN" w:bidi="ar-SA"/>
              </w:rPr>
              <w:t>6</w:t>
            </w:r>
            <w:r>
              <w:rPr>
                <w:rFonts w:hint="eastAsia" w:ascii="Times New Roman" w:hAnsi="Times New Roman" w:eastAsia="宋体" w:cs="Times New Roman"/>
                <w:b/>
                <w:color w:val="auto"/>
                <w:kern w:val="2"/>
                <w:sz w:val="21"/>
                <w:szCs w:val="20"/>
                <w:highlight w:val="none"/>
                <w:lang w:val="en-US" w:eastAsia="zh-CN" w:bidi="ar-SA"/>
              </w:rPr>
              <w:t xml:space="preserve">  有</w:t>
            </w:r>
            <w:r>
              <w:rPr>
                <w:rFonts w:hint="default" w:ascii="Times New Roman" w:hAnsi="Times New Roman" w:eastAsia="宋体" w:cs="Times New Roman"/>
                <w:b/>
                <w:color w:val="auto"/>
                <w:kern w:val="2"/>
                <w:sz w:val="21"/>
                <w:szCs w:val="20"/>
                <w:highlight w:val="none"/>
                <w:lang w:val="en-US" w:eastAsia="zh-CN" w:bidi="ar-SA"/>
              </w:rPr>
              <w:t>组织废气结果一览表（单位：排放浓度mg/m</w:t>
            </w:r>
            <w:r>
              <w:rPr>
                <w:rFonts w:hint="eastAsia" w:ascii="Times New Roman" w:hAnsi="Times New Roman" w:eastAsia="宋体" w:cs="Times New Roman"/>
                <w:b/>
                <w:color w:val="auto"/>
                <w:kern w:val="2"/>
                <w:sz w:val="21"/>
                <w:szCs w:val="20"/>
                <w:highlight w:val="none"/>
                <w:vertAlign w:val="superscript"/>
                <w:lang w:val="en-US" w:eastAsia="zh-CN" w:bidi="ar-SA"/>
              </w:rPr>
              <w:t>3</w:t>
            </w:r>
            <w:r>
              <w:rPr>
                <w:rFonts w:hint="default" w:ascii="Times New Roman" w:hAnsi="Times New Roman" w:eastAsia="宋体" w:cs="Times New Roman"/>
                <w:b/>
                <w:color w:val="auto"/>
                <w:kern w:val="2"/>
                <w:sz w:val="21"/>
                <w:szCs w:val="20"/>
                <w:highlight w:val="none"/>
                <w:lang w:val="en-US" w:eastAsia="zh-CN" w:bidi="ar-SA"/>
              </w:rPr>
              <w:t>）</w:t>
            </w:r>
          </w:p>
          <w:tbl>
            <w:tblPr>
              <w:tblStyle w:val="33"/>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950"/>
              <w:gridCol w:w="685"/>
              <w:gridCol w:w="1175"/>
              <w:gridCol w:w="1052"/>
              <w:gridCol w:w="962"/>
              <w:gridCol w:w="861"/>
              <w:gridCol w:w="841"/>
              <w:gridCol w:w="537"/>
              <w:gridCol w:w="690"/>
            </w:tblGrid>
            <w:tr w14:paraId="7C8DD4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79" w:type="pct"/>
                  <w:vMerge w:val="restart"/>
                  <w:tcBorders>
                    <w:bottom w:val="single" w:color="auto" w:sz="12" w:space="0"/>
                  </w:tcBorders>
                  <w:noWrap w:val="0"/>
                  <w:vAlign w:val="center"/>
                </w:tcPr>
                <w:p w14:paraId="01EC1AB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eastAsia="zh-CN"/>
                    </w:rPr>
                    <w:t>检测日期</w:t>
                  </w:r>
                </w:p>
              </w:tc>
              <w:tc>
                <w:tcPr>
                  <w:tcW w:w="566" w:type="pct"/>
                  <w:vMerge w:val="restart"/>
                  <w:tcBorders>
                    <w:bottom w:val="single" w:color="auto" w:sz="12" w:space="0"/>
                  </w:tcBorders>
                  <w:noWrap w:val="0"/>
                  <w:vAlign w:val="center"/>
                </w:tcPr>
                <w:p w14:paraId="5C876381">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val="0"/>
                      <w:color w:val="auto"/>
                      <w:sz w:val="21"/>
                      <w:szCs w:val="21"/>
                      <w:lang w:eastAsia="zh-CN"/>
                    </w:rPr>
                  </w:pPr>
                  <w:r>
                    <w:rPr>
                      <w:rFonts w:hint="default" w:ascii="Times New Roman" w:hAnsi="Times New Roman" w:eastAsia="宋体" w:cs="Times New Roman"/>
                      <w:b/>
                      <w:bCs w:val="0"/>
                      <w:color w:val="auto"/>
                      <w:sz w:val="21"/>
                      <w:szCs w:val="21"/>
                      <w:lang w:eastAsia="zh-CN"/>
                    </w:rPr>
                    <w:t>检测</w:t>
                  </w:r>
                </w:p>
                <w:p w14:paraId="166F7B4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eastAsia="zh-CN"/>
                    </w:rPr>
                    <w:t>点位</w:t>
                  </w:r>
                </w:p>
              </w:tc>
              <w:tc>
                <w:tcPr>
                  <w:tcW w:w="1108" w:type="pct"/>
                  <w:gridSpan w:val="2"/>
                  <w:vMerge w:val="restart"/>
                  <w:tcBorders>
                    <w:bottom w:val="single" w:color="auto" w:sz="12" w:space="0"/>
                  </w:tcBorders>
                  <w:noWrap w:val="0"/>
                  <w:vAlign w:val="center"/>
                </w:tcPr>
                <w:p w14:paraId="457CB2D1">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eastAsia="zh-CN"/>
                    </w:rPr>
                    <w:t>检测项目</w:t>
                  </w:r>
                </w:p>
              </w:tc>
              <w:tc>
                <w:tcPr>
                  <w:tcW w:w="2214" w:type="pct"/>
                  <w:gridSpan w:val="4"/>
                  <w:tcBorders>
                    <w:bottom w:val="single" w:color="auto" w:sz="12" w:space="0"/>
                  </w:tcBorders>
                  <w:noWrap w:val="0"/>
                  <w:vAlign w:val="center"/>
                </w:tcPr>
                <w:p w14:paraId="137BE2F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检测结果</w:t>
                  </w:r>
                </w:p>
              </w:tc>
              <w:tc>
                <w:tcPr>
                  <w:tcW w:w="320" w:type="pct"/>
                  <w:vMerge w:val="restart"/>
                  <w:tcBorders>
                    <w:bottom w:val="single" w:color="auto" w:sz="12" w:space="0"/>
                  </w:tcBorders>
                  <w:noWrap w:val="0"/>
                  <w:vAlign w:val="center"/>
                </w:tcPr>
                <w:p w14:paraId="387271B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标准限值</w:t>
                  </w:r>
                </w:p>
              </w:tc>
              <w:tc>
                <w:tcPr>
                  <w:tcW w:w="411" w:type="pct"/>
                  <w:vMerge w:val="restart"/>
                  <w:tcBorders>
                    <w:bottom w:val="single" w:color="auto" w:sz="12" w:space="0"/>
                  </w:tcBorders>
                  <w:noWrap w:val="0"/>
                  <w:vAlign w:val="center"/>
                </w:tcPr>
                <w:p w14:paraId="32075F3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达标情况</w:t>
                  </w:r>
                </w:p>
              </w:tc>
            </w:tr>
            <w:tr w14:paraId="3BB8BF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79" w:type="pct"/>
                  <w:vMerge w:val="continue"/>
                  <w:tcBorders>
                    <w:top w:val="single" w:color="auto" w:sz="12" w:space="0"/>
                    <w:bottom w:val="single" w:color="auto" w:sz="12" w:space="0"/>
                  </w:tcBorders>
                  <w:noWrap w:val="0"/>
                  <w:vAlign w:val="center"/>
                </w:tcPr>
                <w:p w14:paraId="0E5531D9">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eastAsia="zh-CN"/>
                    </w:rPr>
                  </w:pPr>
                </w:p>
              </w:tc>
              <w:tc>
                <w:tcPr>
                  <w:tcW w:w="566" w:type="pct"/>
                  <w:vMerge w:val="continue"/>
                  <w:tcBorders>
                    <w:top w:val="single" w:color="auto" w:sz="12" w:space="0"/>
                    <w:bottom w:val="single" w:color="auto" w:sz="12" w:space="0"/>
                  </w:tcBorders>
                  <w:noWrap w:val="0"/>
                  <w:vAlign w:val="center"/>
                </w:tcPr>
                <w:p w14:paraId="5FE7FB9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eastAsia="zh-CN"/>
                    </w:rPr>
                  </w:pPr>
                </w:p>
              </w:tc>
              <w:tc>
                <w:tcPr>
                  <w:tcW w:w="1108" w:type="pct"/>
                  <w:gridSpan w:val="2"/>
                  <w:vMerge w:val="continue"/>
                  <w:tcBorders>
                    <w:top w:val="single" w:color="auto" w:sz="12" w:space="0"/>
                    <w:bottom w:val="single" w:color="auto" w:sz="12" w:space="0"/>
                  </w:tcBorders>
                  <w:noWrap w:val="0"/>
                  <w:vAlign w:val="center"/>
                </w:tcPr>
                <w:p w14:paraId="00D12C7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eastAsia="zh-CN"/>
                    </w:rPr>
                  </w:pPr>
                </w:p>
              </w:tc>
              <w:tc>
                <w:tcPr>
                  <w:tcW w:w="627" w:type="pct"/>
                  <w:tcBorders>
                    <w:top w:val="single" w:color="auto" w:sz="12" w:space="0"/>
                    <w:bottom w:val="single" w:color="auto" w:sz="12" w:space="0"/>
                  </w:tcBorders>
                  <w:noWrap w:val="0"/>
                  <w:vAlign w:val="center"/>
                </w:tcPr>
                <w:p w14:paraId="625130E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eastAsia="zh-CN"/>
                    </w:rPr>
                    <w:t>第</w:t>
                  </w:r>
                  <w:r>
                    <w:rPr>
                      <w:rFonts w:hint="default" w:ascii="Times New Roman" w:hAnsi="Times New Roman" w:eastAsia="宋体" w:cs="Times New Roman"/>
                      <w:b/>
                      <w:bCs w:val="0"/>
                      <w:color w:val="auto"/>
                      <w:sz w:val="21"/>
                      <w:szCs w:val="21"/>
                      <w:lang w:val="en-US" w:eastAsia="zh-CN"/>
                    </w:rPr>
                    <w:t>1次</w:t>
                  </w:r>
                </w:p>
              </w:tc>
              <w:tc>
                <w:tcPr>
                  <w:tcW w:w="573" w:type="pct"/>
                  <w:tcBorders>
                    <w:top w:val="single" w:color="auto" w:sz="12" w:space="0"/>
                    <w:bottom w:val="single" w:color="auto" w:sz="12" w:space="0"/>
                  </w:tcBorders>
                  <w:noWrap w:val="0"/>
                  <w:vAlign w:val="center"/>
                </w:tcPr>
                <w:p w14:paraId="3DF94643">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eastAsia="zh-CN"/>
                    </w:rPr>
                    <w:t>第</w:t>
                  </w:r>
                  <w:r>
                    <w:rPr>
                      <w:rFonts w:hint="default" w:ascii="Times New Roman" w:hAnsi="Times New Roman" w:eastAsia="宋体" w:cs="Times New Roman"/>
                      <w:b/>
                      <w:bCs w:val="0"/>
                      <w:color w:val="auto"/>
                      <w:sz w:val="21"/>
                      <w:szCs w:val="21"/>
                      <w:lang w:val="en-US" w:eastAsia="zh-CN"/>
                    </w:rPr>
                    <w:t>2次</w:t>
                  </w:r>
                </w:p>
              </w:tc>
              <w:tc>
                <w:tcPr>
                  <w:tcW w:w="513" w:type="pct"/>
                  <w:tcBorders>
                    <w:top w:val="single" w:color="auto" w:sz="12" w:space="0"/>
                    <w:bottom w:val="single" w:color="auto" w:sz="12" w:space="0"/>
                  </w:tcBorders>
                  <w:noWrap w:val="0"/>
                  <w:vAlign w:val="center"/>
                </w:tcPr>
                <w:p w14:paraId="7CA5755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eastAsia="zh-CN"/>
                    </w:rPr>
                    <w:t>第</w:t>
                  </w:r>
                  <w:r>
                    <w:rPr>
                      <w:rFonts w:hint="default" w:ascii="Times New Roman" w:hAnsi="Times New Roman" w:eastAsia="宋体" w:cs="Times New Roman"/>
                      <w:b/>
                      <w:bCs w:val="0"/>
                      <w:color w:val="auto"/>
                      <w:sz w:val="21"/>
                      <w:szCs w:val="21"/>
                      <w:lang w:val="en-US" w:eastAsia="zh-CN"/>
                    </w:rPr>
                    <w:t>3次</w:t>
                  </w:r>
                </w:p>
              </w:tc>
              <w:tc>
                <w:tcPr>
                  <w:tcW w:w="499" w:type="pct"/>
                  <w:tcBorders>
                    <w:top w:val="single" w:color="auto" w:sz="12" w:space="0"/>
                    <w:bottom w:val="single" w:color="auto" w:sz="12" w:space="0"/>
                  </w:tcBorders>
                  <w:noWrap w:val="0"/>
                  <w:vAlign w:val="center"/>
                </w:tcPr>
                <w:p w14:paraId="4DDCB9F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val="0"/>
                      <w:color w:val="auto"/>
                      <w:sz w:val="21"/>
                      <w:szCs w:val="21"/>
                      <w:lang w:val="en-US" w:eastAsia="zh-CN"/>
                    </w:rPr>
                  </w:pPr>
                  <w:r>
                    <w:rPr>
                      <w:rFonts w:hint="eastAsia" w:ascii="Times New Roman" w:hAnsi="Times New Roman" w:eastAsia="宋体" w:cs="Times New Roman"/>
                      <w:b/>
                      <w:bCs w:val="0"/>
                      <w:color w:val="auto"/>
                      <w:sz w:val="21"/>
                      <w:szCs w:val="21"/>
                      <w:lang w:val="en-US" w:eastAsia="zh-CN"/>
                    </w:rPr>
                    <w:t>平均值</w:t>
                  </w:r>
                </w:p>
              </w:tc>
              <w:tc>
                <w:tcPr>
                  <w:tcW w:w="320" w:type="pct"/>
                  <w:vMerge w:val="continue"/>
                  <w:tcBorders>
                    <w:top w:val="single" w:color="auto" w:sz="12" w:space="0"/>
                    <w:bottom w:val="single" w:color="auto" w:sz="12" w:space="0"/>
                  </w:tcBorders>
                  <w:noWrap w:val="0"/>
                  <w:vAlign w:val="center"/>
                </w:tcPr>
                <w:p w14:paraId="288406C9">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p>
              </w:tc>
              <w:tc>
                <w:tcPr>
                  <w:tcW w:w="411" w:type="pct"/>
                  <w:vMerge w:val="continue"/>
                  <w:tcBorders>
                    <w:top w:val="single" w:color="auto" w:sz="12" w:space="0"/>
                    <w:bottom w:val="single" w:color="auto" w:sz="12" w:space="0"/>
                  </w:tcBorders>
                  <w:noWrap w:val="0"/>
                  <w:vAlign w:val="center"/>
                </w:tcPr>
                <w:p w14:paraId="64A7882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p>
              </w:tc>
            </w:tr>
            <w:tr w14:paraId="058605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79" w:type="pct"/>
                  <w:vMerge w:val="restart"/>
                  <w:tcBorders>
                    <w:top w:val="single" w:color="auto" w:sz="12" w:space="0"/>
                    <w:tl2br w:val="nil"/>
                    <w:tr2bl w:val="nil"/>
                  </w:tcBorders>
                  <w:noWrap w:val="0"/>
                  <w:vAlign w:val="center"/>
                </w:tcPr>
                <w:p w14:paraId="6A13397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2026年6月2日</w:t>
                  </w:r>
                </w:p>
              </w:tc>
              <w:tc>
                <w:tcPr>
                  <w:tcW w:w="566" w:type="pct"/>
                  <w:vMerge w:val="restart"/>
                  <w:tcBorders>
                    <w:top w:val="single" w:color="auto" w:sz="12" w:space="0"/>
                    <w:tl2br w:val="nil"/>
                    <w:tr2bl w:val="nil"/>
                  </w:tcBorders>
                  <w:noWrap w:val="0"/>
                  <w:vAlign w:val="center"/>
                </w:tcPr>
                <w:p w14:paraId="19C1AA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firstLine="0" w:firstLineChars="0"/>
                    <w:jc w:val="center"/>
                    <w:textAlignment w:val="auto"/>
                    <w:outlineLvl w:val="9"/>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DA001投料废气排放口</w:t>
                  </w:r>
                </w:p>
              </w:tc>
              <w:tc>
                <w:tcPr>
                  <w:tcW w:w="1108" w:type="pct"/>
                  <w:gridSpan w:val="2"/>
                  <w:tcBorders>
                    <w:top w:val="single" w:color="auto" w:sz="12" w:space="0"/>
                    <w:bottom w:val="single" w:color="auto" w:sz="4" w:space="0"/>
                  </w:tcBorders>
                  <w:noWrap w:val="0"/>
                  <w:vAlign w:val="center"/>
                </w:tcPr>
                <w:p w14:paraId="0443DB8B">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标况流量</w:t>
                  </w:r>
                  <w:r>
                    <w:rPr>
                      <w:rFonts w:hint="default" w:ascii="Times New Roman" w:hAnsi="Times New Roman" w:eastAsia="宋体" w:cs="Times New Roman"/>
                      <w:bCs/>
                      <w:color w:val="auto"/>
                      <w:sz w:val="21"/>
                      <w:szCs w:val="21"/>
                    </w:rPr>
                    <w:t>m</w:t>
                  </w:r>
                  <w:r>
                    <w:rPr>
                      <w:rFonts w:hint="default" w:ascii="Times New Roman" w:hAnsi="Times New Roman" w:eastAsia="宋体" w:cs="Times New Roman"/>
                      <w:bCs/>
                      <w:color w:val="auto"/>
                      <w:sz w:val="21"/>
                      <w:szCs w:val="21"/>
                      <w:vertAlign w:val="superscript"/>
                    </w:rPr>
                    <w:t>3</w:t>
                  </w:r>
                  <w:r>
                    <w:rPr>
                      <w:rFonts w:hint="default" w:ascii="Times New Roman" w:hAnsi="Times New Roman" w:eastAsia="宋体" w:cs="Times New Roman"/>
                      <w:bCs/>
                      <w:color w:val="auto"/>
                      <w:sz w:val="21"/>
                      <w:szCs w:val="21"/>
                    </w:rPr>
                    <w:t>/h</w:t>
                  </w:r>
                </w:p>
              </w:tc>
              <w:tc>
                <w:tcPr>
                  <w:tcW w:w="627" w:type="pct"/>
                  <w:tcBorders>
                    <w:top w:val="single" w:color="auto" w:sz="12" w:space="0"/>
                    <w:bottom w:val="single" w:color="auto" w:sz="4" w:space="0"/>
                  </w:tcBorders>
                  <w:noWrap w:val="0"/>
                  <w:vAlign w:val="center"/>
                </w:tcPr>
                <w:p w14:paraId="6A26EC3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2105</w:t>
                  </w:r>
                </w:p>
              </w:tc>
              <w:tc>
                <w:tcPr>
                  <w:tcW w:w="573" w:type="pct"/>
                  <w:tcBorders>
                    <w:top w:val="single" w:color="auto" w:sz="12" w:space="0"/>
                    <w:bottom w:val="single" w:color="auto" w:sz="4" w:space="0"/>
                  </w:tcBorders>
                  <w:noWrap w:val="0"/>
                  <w:vAlign w:val="center"/>
                </w:tcPr>
                <w:p w14:paraId="69C398F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2039</w:t>
                  </w:r>
                </w:p>
              </w:tc>
              <w:tc>
                <w:tcPr>
                  <w:tcW w:w="513" w:type="pct"/>
                  <w:tcBorders>
                    <w:top w:val="single" w:color="auto" w:sz="12" w:space="0"/>
                    <w:bottom w:val="single" w:color="auto" w:sz="4" w:space="0"/>
                  </w:tcBorders>
                  <w:noWrap w:val="0"/>
                  <w:vAlign w:val="center"/>
                </w:tcPr>
                <w:p w14:paraId="15F1A98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2121</w:t>
                  </w:r>
                </w:p>
              </w:tc>
              <w:tc>
                <w:tcPr>
                  <w:tcW w:w="499" w:type="pct"/>
                  <w:tcBorders>
                    <w:top w:val="single" w:color="auto" w:sz="12" w:space="0"/>
                    <w:bottom w:val="single" w:color="auto" w:sz="4" w:space="0"/>
                  </w:tcBorders>
                  <w:noWrap w:val="0"/>
                  <w:vAlign w:val="center"/>
                </w:tcPr>
                <w:p w14:paraId="119BF33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2088</w:t>
                  </w:r>
                </w:p>
              </w:tc>
              <w:tc>
                <w:tcPr>
                  <w:tcW w:w="320" w:type="pct"/>
                  <w:tcBorders>
                    <w:top w:val="single" w:color="auto" w:sz="12" w:space="0"/>
                    <w:bottom w:val="single" w:color="auto" w:sz="4" w:space="0"/>
                  </w:tcBorders>
                  <w:noWrap w:val="0"/>
                  <w:vAlign w:val="center"/>
                </w:tcPr>
                <w:p w14:paraId="504069DB">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w:t>
                  </w:r>
                </w:p>
              </w:tc>
              <w:tc>
                <w:tcPr>
                  <w:tcW w:w="411" w:type="pct"/>
                  <w:tcBorders>
                    <w:top w:val="single" w:color="auto" w:sz="12" w:space="0"/>
                    <w:bottom w:val="single" w:color="auto" w:sz="4" w:space="0"/>
                  </w:tcBorders>
                  <w:noWrap w:val="0"/>
                  <w:vAlign w:val="center"/>
                </w:tcPr>
                <w:p w14:paraId="572702E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w:t>
                  </w:r>
                </w:p>
              </w:tc>
            </w:tr>
            <w:tr w14:paraId="413411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79" w:type="pct"/>
                  <w:vMerge w:val="continue"/>
                  <w:tcBorders>
                    <w:tl2br w:val="nil"/>
                    <w:tr2bl w:val="nil"/>
                  </w:tcBorders>
                  <w:noWrap w:val="0"/>
                  <w:vAlign w:val="center"/>
                </w:tcPr>
                <w:p w14:paraId="23354F2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p>
              </w:tc>
              <w:tc>
                <w:tcPr>
                  <w:tcW w:w="566" w:type="pct"/>
                  <w:vMerge w:val="continue"/>
                  <w:tcBorders>
                    <w:tl2br w:val="nil"/>
                    <w:tr2bl w:val="nil"/>
                  </w:tcBorders>
                  <w:noWrap w:val="0"/>
                  <w:vAlign w:val="center"/>
                </w:tcPr>
                <w:p w14:paraId="49C781C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p>
              </w:tc>
              <w:tc>
                <w:tcPr>
                  <w:tcW w:w="408" w:type="pct"/>
                  <w:vMerge w:val="restart"/>
                  <w:tcBorders>
                    <w:right w:val="single" w:color="000000" w:sz="4" w:space="0"/>
                    <w:tl2br w:val="nil"/>
                    <w:tr2bl w:val="nil"/>
                  </w:tcBorders>
                  <w:noWrap w:val="0"/>
                  <w:vAlign w:val="center"/>
                </w:tcPr>
                <w:p w14:paraId="01EF886B">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颗粒物</w:t>
                  </w:r>
                </w:p>
              </w:tc>
              <w:tc>
                <w:tcPr>
                  <w:tcW w:w="700" w:type="pct"/>
                  <w:tcBorders>
                    <w:left w:val="single" w:color="000000" w:sz="4" w:space="0"/>
                    <w:tl2br w:val="nil"/>
                    <w:tr2bl w:val="nil"/>
                  </w:tcBorders>
                  <w:noWrap w:val="0"/>
                  <w:vAlign w:val="center"/>
                </w:tcPr>
                <w:p w14:paraId="4FAAF71F">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排放</w:t>
                  </w:r>
                  <w:r>
                    <w:rPr>
                      <w:rFonts w:hint="default" w:ascii="Times New Roman" w:hAnsi="Times New Roman" w:eastAsia="宋体" w:cs="Times New Roman"/>
                      <w:bCs/>
                      <w:color w:val="auto"/>
                      <w:sz w:val="21"/>
                      <w:szCs w:val="21"/>
                    </w:rPr>
                    <w:t>浓度mg/m</w:t>
                  </w:r>
                  <w:r>
                    <w:rPr>
                      <w:rFonts w:hint="default" w:ascii="Times New Roman" w:hAnsi="Times New Roman" w:eastAsia="宋体" w:cs="Times New Roman"/>
                      <w:bCs/>
                      <w:color w:val="auto"/>
                      <w:sz w:val="21"/>
                      <w:szCs w:val="21"/>
                      <w:vertAlign w:val="superscript"/>
                    </w:rPr>
                    <w:t>3</w:t>
                  </w:r>
                </w:p>
              </w:tc>
              <w:tc>
                <w:tcPr>
                  <w:tcW w:w="627" w:type="pct"/>
                  <w:tcBorders>
                    <w:tl2br w:val="nil"/>
                    <w:tr2bl w:val="nil"/>
                  </w:tcBorders>
                  <w:noWrap w:val="0"/>
                  <w:vAlign w:val="center"/>
                </w:tcPr>
                <w:p w14:paraId="7FD337C2">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7.8</w:t>
                  </w:r>
                </w:p>
              </w:tc>
              <w:tc>
                <w:tcPr>
                  <w:tcW w:w="573" w:type="pct"/>
                  <w:tcBorders>
                    <w:tl2br w:val="nil"/>
                    <w:tr2bl w:val="nil"/>
                  </w:tcBorders>
                  <w:noWrap w:val="0"/>
                  <w:vAlign w:val="center"/>
                </w:tcPr>
                <w:p w14:paraId="69D34371">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9.4</w:t>
                  </w:r>
                </w:p>
              </w:tc>
              <w:tc>
                <w:tcPr>
                  <w:tcW w:w="513" w:type="pct"/>
                  <w:tcBorders>
                    <w:tl2br w:val="nil"/>
                    <w:tr2bl w:val="nil"/>
                  </w:tcBorders>
                  <w:noWrap w:val="0"/>
                  <w:vAlign w:val="center"/>
                </w:tcPr>
                <w:p w14:paraId="78000535">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8.0</w:t>
                  </w:r>
                </w:p>
              </w:tc>
              <w:tc>
                <w:tcPr>
                  <w:tcW w:w="499" w:type="pct"/>
                  <w:tcBorders>
                    <w:tl2br w:val="nil"/>
                    <w:tr2bl w:val="nil"/>
                  </w:tcBorders>
                  <w:noWrap w:val="0"/>
                  <w:vAlign w:val="center"/>
                </w:tcPr>
                <w:p w14:paraId="475E2D32">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8.4</w:t>
                  </w:r>
                </w:p>
              </w:tc>
              <w:tc>
                <w:tcPr>
                  <w:tcW w:w="320" w:type="pct"/>
                  <w:tcBorders>
                    <w:tl2br w:val="nil"/>
                    <w:tr2bl w:val="nil"/>
                  </w:tcBorders>
                  <w:noWrap w:val="0"/>
                  <w:vAlign w:val="center"/>
                </w:tcPr>
                <w:p w14:paraId="204010BB">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30</w:t>
                  </w:r>
                </w:p>
              </w:tc>
              <w:tc>
                <w:tcPr>
                  <w:tcW w:w="411" w:type="pct"/>
                  <w:tcBorders>
                    <w:tl2br w:val="nil"/>
                    <w:tr2bl w:val="nil"/>
                  </w:tcBorders>
                  <w:noWrap w:val="0"/>
                  <w:vAlign w:val="center"/>
                </w:tcPr>
                <w:p w14:paraId="5CB2C87C">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达标</w:t>
                  </w:r>
                </w:p>
              </w:tc>
            </w:tr>
            <w:tr w14:paraId="7A68DF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79" w:type="pct"/>
                  <w:vMerge w:val="continue"/>
                  <w:tcBorders>
                    <w:tl2br w:val="nil"/>
                    <w:tr2bl w:val="nil"/>
                  </w:tcBorders>
                  <w:noWrap w:val="0"/>
                  <w:vAlign w:val="center"/>
                </w:tcPr>
                <w:p w14:paraId="6014BAC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p>
              </w:tc>
              <w:tc>
                <w:tcPr>
                  <w:tcW w:w="566" w:type="pct"/>
                  <w:vMerge w:val="continue"/>
                  <w:tcBorders>
                    <w:tl2br w:val="nil"/>
                    <w:tr2bl w:val="nil"/>
                  </w:tcBorders>
                  <w:noWrap w:val="0"/>
                  <w:vAlign w:val="center"/>
                </w:tcPr>
                <w:p w14:paraId="6313AE99">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p>
              </w:tc>
              <w:tc>
                <w:tcPr>
                  <w:tcW w:w="408" w:type="pct"/>
                  <w:vMerge w:val="continue"/>
                  <w:tcBorders>
                    <w:right w:val="single" w:color="000000" w:sz="4" w:space="0"/>
                    <w:tl2br w:val="nil"/>
                    <w:tr2bl w:val="nil"/>
                  </w:tcBorders>
                  <w:noWrap w:val="0"/>
                  <w:vAlign w:val="center"/>
                </w:tcPr>
                <w:p w14:paraId="6136FBE5">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p>
              </w:tc>
              <w:tc>
                <w:tcPr>
                  <w:tcW w:w="700" w:type="pct"/>
                  <w:tcBorders>
                    <w:left w:val="single" w:color="000000" w:sz="4" w:space="0"/>
                    <w:tl2br w:val="nil"/>
                    <w:tr2bl w:val="nil"/>
                  </w:tcBorders>
                  <w:noWrap w:val="0"/>
                  <w:vAlign w:val="center"/>
                </w:tcPr>
                <w:p w14:paraId="28EC2FEB">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rPr>
                    <w:t>排放速率kg/h</w:t>
                  </w:r>
                </w:p>
              </w:tc>
              <w:tc>
                <w:tcPr>
                  <w:tcW w:w="627" w:type="pct"/>
                  <w:tcBorders>
                    <w:tl2br w:val="nil"/>
                    <w:tr2bl w:val="nil"/>
                  </w:tcBorders>
                  <w:noWrap w:val="0"/>
                  <w:vAlign w:val="center"/>
                </w:tcPr>
                <w:p w14:paraId="5F79B91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0.016</w:t>
                  </w:r>
                </w:p>
              </w:tc>
              <w:tc>
                <w:tcPr>
                  <w:tcW w:w="573" w:type="pct"/>
                  <w:tcBorders>
                    <w:tl2br w:val="nil"/>
                    <w:tr2bl w:val="nil"/>
                  </w:tcBorders>
                  <w:noWrap w:val="0"/>
                  <w:vAlign w:val="center"/>
                </w:tcPr>
                <w:p w14:paraId="5DC81D5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0.019</w:t>
                  </w:r>
                </w:p>
              </w:tc>
              <w:tc>
                <w:tcPr>
                  <w:tcW w:w="513" w:type="pct"/>
                  <w:tcBorders>
                    <w:tl2br w:val="nil"/>
                    <w:tr2bl w:val="nil"/>
                  </w:tcBorders>
                  <w:noWrap w:val="0"/>
                  <w:vAlign w:val="center"/>
                </w:tcPr>
                <w:p w14:paraId="033D649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0.017</w:t>
                  </w:r>
                </w:p>
              </w:tc>
              <w:tc>
                <w:tcPr>
                  <w:tcW w:w="499" w:type="pct"/>
                  <w:tcBorders>
                    <w:tl2br w:val="nil"/>
                    <w:tr2bl w:val="nil"/>
                  </w:tcBorders>
                  <w:noWrap w:val="0"/>
                  <w:vAlign w:val="center"/>
                </w:tcPr>
                <w:p w14:paraId="23EEE888">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0.017</w:t>
                  </w:r>
                </w:p>
              </w:tc>
              <w:tc>
                <w:tcPr>
                  <w:tcW w:w="320" w:type="pct"/>
                  <w:tcBorders>
                    <w:tl2br w:val="nil"/>
                    <w:tr2bl w:val="nil"/>
                  </w:tcBorders>
                  <w:noWrap w:val="0"/>
                  <w:vAlign w:val="center"/>
                </w:tcPr>
                <w:p w14:paraId="6CED6E79">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w:t>
                  </w:r>
                </w:p>
              </w:tc>
              <w:tc>
                <w:tcPr>
                  <w:tcW w:w="411" w:type="pct"/>
                  <w:tcBorders>
                    <w:tl2br w:val="nil"/>
                    <w:tr2bl w:val="nil"/>
                  </w:tcBorders>
                  <w:noWrap w:val="0"/>
                  <w:vAlign w:val="center"/>
                </w:tcPr>
                <w:p w14:paraId="76F59246">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w:t>
                  </w:r>
                </w:p>
              </w:tc>
            </w:tr>
            <w:tr w14:paraId="31EA63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79" w:type="pct"/>
                  <w:vMerge w:val="continue"/>
                  <w:tcBorders>
                    <w:tl2br w:val="nil"/>
                    <w:tr2bl w:val="nil"/>
                  </w:tcBorders>
                  <w:noWrap w:val="0"/>
                  <w:vAlign w:val="center"/>
                </w:tcPr>
                <w:p w14:paraId="662E543B">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p>
              </w:tc>
              <w:tc>
                <w:tcPr>
                  <w:tcW w:w="566" w:type="pct"/>
                  <w:vMerge w:val="continue"/>
                  <w:tcBorders>
                    <w:tl2br w:val="nil"/>
                    <w:tr2bl w:val="nil"/>
                  </w:tcBorders>
                  <w:noWrap w:val="0"/>
                  <w:vAlign w:val="center"/>
                </w:tcPr>
                <w:p w14:paraId="33447368">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p>
              </w:tc>
              <w:tc>
                <w:tcPr>
                  <w:tcW w:w="408" w:type="pct"/>
                  <w:vMerge w:val="restart"/>
                  <w:tcBorders>
                    <w:right w:val="single" w:color="000000" w:sz="4" w:space="0"/>
                    <w:tl2br w:val="nil"/>
                    <w:tr2bl w:val="nil"/>
                  </w:tcBorders>
                  <w:noWrap w:val="0"/>
                  <w:vAlign w:val="center"/>
                </w:tcPr>
                <w:p w14:paraId="57B2D177">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非甲烷总烃</w:t>
                  </w:r>
                </w:p>
              </w:tc>
              <w:tc>
                <w:tcPr>
                  <w:tcW w:w="700" w:type="pct"/>
                  <w:tcBorders>
                    <w:left w:val="single" w:color="000000" w:sz="4" w:space="0"/>
                    <w:tl2br w:val="nil"/>
                    <w:tr2bl w:val="nil"/>
                  </w:tcBorders>
                  <w:noWrap w:val="0"/>
                  <w:vAlign w:val="center"/>
                </w:tcPr>
                <w:p w14:paraId="360CF14A">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排放</w:t>
                  </w:r>
                  <w:r>
                    <w:rPr>
                      <w:rFonts w:hint="default" w:ascii="Times New Roman" w:hAnsi="Times New Roman" w:eastAsia="宋体" w:cs="Times New Roman"/>
                      <w:bCs/>
                      <w:color w:val="auto"/>
                      <w:sz w:val="21"/>
                      <w:szCs w:val="21"/>
                    </w:rPr>
                    <w:t>浓度mg/m</w:t>
                  </w:r>
                  <w:r>
                    <w:rPr>
                      <w:rFonts w:hint="default" w:ascii="Times New Roman" w:hAnsi="Times New Roman" w:eastAsia="宋体" w:cs="Times New Roman"/>
                      <w:bCs/>
                      <w:color w:val="auto"/>
                      <w:sz w:val="21"/>
                      <w:szCs w:val="21"/>
                      <w:vertAlign w:val="superscript"/>
                    </w:rPr>
                    <w:t>3</w:t>
                  </w:r>
                </w:p>
              </w:tc>
              <w:tc>
                <w:tcPr>
                  <w:tcW w:w="627" w:type="pct"/>
                  <w:tcBorders>
                    <w:tl2br w:val="nil"/>
                    <w:tr2bl w:val="nil"/>
                  </w:tcBorders>
                  <w:noWrap w:val="0"/>
                  <w:vAlign w:val="center"/>
                </w:tcPr>
                <w:p w14:paraId="67D50338">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8.60</w:t>
                  </w:r>
                </w:p>
              </w:tc>
              <w:tc>
                <w:tcPr>
                  <w:tcW w:w="573" w:type="pct"/>
                  <w:tcBorders>
                    <w:tl2br w:val="nil"/>
                    <w:tr2bl w:val="nil"/>
                  </w:tcBorders>
                  <w:noWrap w:val="0"/>
                  <w:vAlign w:val="center"/>
                </w:tcPr>
                <w:p w14:paraId="35A2ED84">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8.92</w:t>
                  </w:r>
                </w:p>
              </w:tc>
              <w:tc>
                <w:tcPr>
                  <w:tcW w:w="513" w:type="pct"/>
                  <w:tcBorders>
                    <w:tl2br w:val="nil"/>
                    <w:tr2bl w:val="nil"/>
                  </w:tcBorders>
                  <w:noWrap w:val="0"/>
                  <w:vAlign w:val="center"/>
                </w:tcPr>
                <w:p w14:paraId="212A8EA1">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7.29</w:t>
                  </w:r>
                </w:p>
              </w:tc>
              <w:tc>
                <w:tcPr>
                  <w:tcW w:w="499" w:type="pct"/>
                  <w:tcBorders>
                    <w:tl2br w:val="nil"/>
                    <w:tr2bl w:val="nil"/>
                  </w:tcBorders>
                  <w:noWrap w:val="0"/>
                  <w:vAlign w:val="center"/>
                </w:tcPr>
                <w:p w14:paraId="5666B783">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8.27</w:t>
                  </w:r>
                </w:p>
              </w:tc>
              <w:tc>
                <w:tcPr>
                  <w:tcW w:w="320" w:type="pct"/>
                  <w:tcBorders>
                    <w:tl2br w:val="nil"/>
                    <w:tr2bl w:val="nil"/>
                  </w:tcBorders>
                  <w:noWrap w:val="0"/>
                  <w:vAlign w:val="center"/>
                </w:tcPr>
                <w:p w14:paraId="40B3D72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80</w:t>
                  </w:r>
                </w:p>
              </w:tc>
              <w:tc>
                <w:tcPr>
                  <w:tcW w:w="411" w:type="pct"/>
                  <w:tcBorders>
                    <w:tl2br w:val="nil"/>
                    <w:tr2bl w:val="nil"/>
                  </w:tcBorders>
                  <w:noWrap w:val="0"/>
                  <w:vAlign w:val="center"/>
                </w:tcPr>
                <w:p w14:paraId="2DA4D6F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达标</w:t>
                  </w:r>
                </w:p>
              </w:tc>
            </w:tr>
            <w:tr w14:paraId="4F136C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79" w:type="pct"/>
                  <w:vMerge w:val="continue"/>
                  <w:tcBorders>
                    <w:tl2br w:val="nil"/>
                    <w:tr2bl w:val="nil"/>
                  </w:tcBorders>
                  <w:noWrap w:val="0"/>
                  <w:vAlign w:val="center"/>
                </w:tcPr>
                <w:p w14:paraId="624C9312">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p>
              </w:tc>
              <w:tc>
                <w:tcPr>
                  <w:tcW w:w="566" w:type="pct"/>
                  <w:vMerge w:val="continue"/>
                  <w:tcBorders>
                    <w:tl2br w:val="nil"/>
                    <w:tr2bl w:val="nil"/>
                  </w:tcBorders>
                  <w:noWrap w:val="0"/>
                  <w:vAlign w:val="center"/>
                </w:tcPr>
                <w:p w14:paraId="0595DB06">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p>
              </w:tc>
              <w:tc>
                <w:tcPr>
                  <w:tcW w:w="408" w:type="pct"/>
                  <w:vMerge w:val="continue"/>
                  <w:tcBorders>
                    <w:right w:val="single" w:color="000000" w:sz="4" w:space="0"/>
                    <w:tl2br w:val="nil"/>
                    <w:tr2bl w:val="nil"/>
                  </w:tcBorders>
                  <w:noWrap w:val="0"/>
                  <w:vAlign w:val="center"/>
                </w:tcPr>
                <w:p w14:paraId="1A5BECEF">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p>
              </w:tc>
              <w:tc>
                <w:tcPr>
                  <w:tcW w:w="700" w:type="pct"/>
                  <w:tcBorders>
                    <w:left w:val="single" w:color="000000" w:sz="4" w:space="0"/>
                    <w:right w:val="single" w:color="000000" w:sz="4" w:space="0"/>
                    <w:tl2br w:val="nil"/>
                    <w:tr2bl w:val="nil"/>
                  </w:tcBorders>
                  <w:noWrap w:val="0"/>
                  <w:vAlign w:val="center"/>
                </w:tcPr>
                <w:p w14:paraId="2E59E80A">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rPr>
                    <w:t>排放速率kg/h</w:t>
                  </w:r>
                </w:p>
              </w:tc>
              <w:tc>
                <w:tcPr>
                  <w:tcW w:w="627" w:type="pct"/>
                  <w:tcBorders>
                    <w:left w:val="single" w:color="000000" w:sz="4" w:space="0"/>
                    <w:tl2br w:val="nil"/>
                    <w:tr2bl w:val="nil"/>
                  </w:tcBorders>
                  <w:noWrap w:val="0"/>
                  <w:vAlign w:val="center"/>
                </w:tcPr>
                <w:p w14:paraId="15706E54">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0.018</w:t>
                  </w:r>
                </w:p>
              </w:tc>
              <w:tc>
                <w:tcPr>
                  <w:tcW w:w="573" w:type="pct"/>
                  <w:tcBorders>
                    <w:tl2br w:val="nil"/>
                    <w:tr2bl w:val="nil"/>
                  </w:tcBorders>
                  <w:noWrap w:val="0"/>
                  <w:vAlign w:val="center"/>
                </w:tcPr>
                <w:p w14:paraId="1556D0AB">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0.018</w:t>
                  </w:r>
                </w:p>
              </w:tc>
              <w:tc>
                <w:tcPr>
                  <w:tcW w:w="513" w:type="pct"/>
                  <w:tcBorders>
                    <w:tl2br w:val="nil"/>
                    <w:tr2bl w:val="nil"/>
                  </w:tcBorders>
                  <w:noWrap w:val="0"/>
                  <w:vAlign w:val="center"/>
                </w:tcPr>
                <w:p w14:paraId="05E6D812">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0.015</w:t>
                  </w:r>
                </w:p>
              </w:tc>
              <w:tc>
                <w:tcPr>
                  <w:tcW w:w="499" w:type="pct"/>
                  <w:tcBorders>
                    <w:tl2br w:val="nil"/>
                    <w:tr2bl w:val="nil"/>
                  </w:tcBorders>
                  <w:noWrap w:val="0"/>
                  <w:vAlign w:val="center"/>
                </w:tcPr>
                <w:p w14:paraId="19B1E9F6">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0.017</w:t>
                  </w:r>
                </w:p>
              </w:tc>
              <w:tc>
                <w:tcPr>
                  <w:tcW w:w="320" w:type="pct"/>
                  <w:tcBorders>
                    <w:tl2br w:val="nil"/>
                    <w:tr2bl w:val="nil"/>
                  </w:tcBorders>
                  <w:noWrap w:val="0"/>
                  <w:vAlign w:val="center"/>
                </w:tcPr>
                <w:p w14:paraId="742B6207">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w:t>
                  </w:r>
                </w:p>
              </w:tc>
              <w:tc>
                <w:tcPr>
                  <w:tcW w:w="411" w:type="pct"/>
                  <w:tcBorders>
                    <w:tl2br w:val="nil"/>
                    <w:tr2bl w:val="nil"/>
                  </w:tcBorders>
                  <w:noWrap w:val="0"/>
                  <w:vAlign w:val="center"/>
                </w:tcPr>
                <w:p w14:paraId="78AC0F1E">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w:t>
                  </w:r>
                </w:p>
              </w:tc>
            </w:tr>
            <w:tr w14:paraId="332560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79" w:type="pct"/>
                  <w:vMerge w:val="continue"/>
                  <w:tcBorders>
                    <w:tl2br w:val="nil"/>
                    <w:tr2bl w:val="nil"/>
                  </w:tcBorders>
                  <w:noWrap w:val="0"/>
                  <w:vAlign w:val="center"/>
                </w:tcPr>
                <w:p w14:paraId="776C7CEE">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p>
              </w:tc>
              <w:tc>
                <w:tcPr>
                  <w:tcW w:w="566" w:type="pct"/>
                  <w:vMerge w:val="restart"/>
                  <w:tcBorders>
                    <w:tl2br w:val="nil"/>
                    <w:tr2bl w:val="nil"/>
                  </w:tcBorders>
                  <w:noWrap w:val="0"/>
                  <w:vAlign w:val="center"/>
                </w:tcPr>
                <w:p w14:paraId="261A2E38">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DA002炼胶废气排放口1</w:t>
                  </w:r>
                </w:p>
              </w:tc>
              <w:tc>
                <w:tcPr>
                  <w:tcW w:w="1108" w:type="pct"/>
                  <w:gridSpan w:val="2"/>
                  <w:tcBorders>
                    <w:right w:val="single" w:color="000000" w:sz="4" w:space="0"/>
                    <w:tl2br w:val="nil"/>
                    <w:tr2bl w:val="nil"/>
                  </w:tcBorders>
                  <w:noWrap w:val="0"/>
                  <w:vAlign w:val="center"/>
                </w:tcPr>
                <w:p w14:paraId="50B8A456">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标况流量</w:t>
                  </w:r>
                  <w:r>
                    <w:rPr>
                      <w:rFonts w:hint="default" w:ascii="Times New Roman" w:hAnsi="Times New Roman" w:eastAsia="宋体" w:cs="Times New Roman"/>
                      <w:bCs/>
                      <w:color w:val="auto"/>
                      <w:sz w:val="21"/>
                      <w:szCs w:val="21"/>
                    </w:rPr>
                    <w:t>m</w:t>
                  </w:r>
                  <w:r>
                    <w:rPr>
                      <w:rFonts w:hint="default" w:ascii="Times New Roman" w:hAnsi="Times New Roman" w:eastAsia="宋体" w:cs="Times New Roman"/>
                      <w:bCs/>
                      <w:color w:val="auto"/>
                      <w:sz w:val="21"/>
                      <w:szCs w:val="21"/>
                      <w:vertAlign w:val="superscript"/>
                    </w:rPr>
                    <w:t>3</w:t>
                  </w:r>
                  <w:r>
                    <w:rPr>
                      <w:rFonts w:hint="default" w:ascii="Times New Roman" w:hAnsi="Times New Roman" w:eastAsia="宋体" w:cs="Times New Roman"/>
                      <w:bCs/>
                      <w:color w:val="auto"/>
                      <w:sz w:val="21"/>
                      <w:szCs w:val="21"/>
                    </w:rPr>
                    <w:t>/h</w:t>
                  </w:r>
                </w:p>
              </w:tc>
              <w:tc>
                <w:tcPr>
                  <w:tcW w:w="627" w:type="pct"/>
                  <w:tcBorders>
                    <w:left w:val="single" w:color="000000" w:sz="4" w:space="0"/>
                    <w:tl2br w:val="nil"/>
                    <w:tr2bl w:val="nil"/>
                  </w:tcBorders>
                  <w:noWrap w:val="0"/>
                  <w:vAlign w:val="center"/>
                </w:tcPr>
                <w:p w14:paraId="3BBC85BD">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3255</w:t>
                  </w:r>
                </w:p>
              </w:tc>
              <w:tc>
                <w:tcPr>
                  <w:tcW w:w="573" w:type="pct"/>
                  <w:tcBorders>
                    <w:tl2br w:val="nil"/>
                    <w:tr2bl w:val="nil"/>
                  </w:tcBorders>
                  <w:noWrap w:val="0"/>
                  <w:vAlign w:val="center"/>
                </w:tcPr>
                <w:p w14:paraId="28778B21">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3550</w:t>
                  </w:r>
                </w:p>
              </w:tc>
              <w:tc>
                <w:tcPr>
                  <w:tcW w:w="513" w:type="pct"/>
                  <w:tcBorders>
                    <w:tl2br w:val="nil"/>
                    <w:tr2bl w:val="nil"/>
                  </w:tcBorders>
                  <w:noWrap w:val="0"/>
                  <w:vAlign w:val="center"/>
                </w:tcPr>
                <w:p w14:paraId="66DEB64E">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3380</w:t>
                  </w:r>
                </w:p>
              </w:tc>
              <w:tc>
                <w:tcPr>
                  <w:tcW w:w="499" w:type="pct"/>
                  <w:tcBorders>
                    <w:tl2br w:val="nil"/>
                    <w:tr2bl w:val="nil"/>
                  </w:tcBorders>
                  <w:noWrap w:val="0"/>
                  <w:vAlign w:val="center"/>
                </w:tcPr>
                <w:p w14:paraId="41747FFA">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3395</w:t>
                  </w:r>
                </w:p>
              </w:tc>
              <w:tc>
                <w:tcPr>
                  <w:tcW w:w="320" w:type="pct"/>
                  <w:tcBorders>
                    <w:tl2br w:val="nil"/>
                    <w:tr2bl w:val="nil"/>
                  </w:tcBorders>
                  <w:noWrap w:val="0"/>
                  <w:vAlign w:val="center"/>
                </w:tcPr>
                <w:p w14:paraId="232AB8BC">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w:t>
                  </w:r>
                </w:p>
              </w:tc>
              <w:tc>
                <w:tcPr>
                  <w:tcW w:w="411" w:type="pct"/>
                  <w:tcBorders>
                    <w:tl2br w:val="nil"/>
                    <w:tr2bl w:val="nil"/>
                  </w:tcBorders>
                  <w:noWrap w:val="0"/>
                  <w:vAlign w:val="center"/>
                </w:tcPr>
                <w:p w14:paraId="248FC245">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w:t>
                  </w:r>
                </w:p>
              </w:tc>
            </w:tr>
            <w:tr w14:paraId="42003B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79" w:type="pct"/>
                  <w:vMerge w:val="continue"/>
                  <w:tcBorders>
                    <w:tl2br w:val="nil"/>
                    <w:tr2bl w:val="nil"/>
                  </w:tcBorders>
                  <w:noWrap w:val="0"/>
                  <w:vAlign w:val="center"/>
                </w:tcPr>
                <w:p w14:paraId="08EA3F92">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p>
              </w:tc>
              <w:tc>
                <w:tcPr>
                  <w:tcW w:w="566" w:type="pct"/>
                  <w:vMerge w:val="continue"/>
                  <w:tcBorders>
                    <w:tl2br w:val="nil"/>
                    <w:tr2bl w:val="nil"/>
                  </w:tcBorders>
                  <w:noWrap w:val="0"/>
                  <w:vAlign w:val="center"/>
                </w:tcPr>
                <w:p w14:paraId="3DECC22E">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p>
              </w:tc>
              <w:tc>
                <w:tcPr>
                  <w:tcW w:w="408" w:type="pct"/>
                  <w:vMerge w:val="restart"/>
                  <w:tcBorders>
                    <w:right w:val="single" w:color="000000" w:sz="4" w:space="0"/>
                    <w:tl2br w:val="nil"/>
                    <w:tr2bl w:val="nil"/>
                  </w:tcBorders>
                  <w:noWrap w:val="0"/>
                  <w:vAlign w:val="center"/>
                </w:tcPr>
                <w:p w14:paraId="636D62C1">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非甲烷总烃</w:t>
                  </w:r>
                </w:p>
              </w:tc>
              <w:tc>
                <w:tcPr>
                  <w:tcW w:w="700" w:type="pct"/>
                  <w:tcBorders>
                    <w:left w:val="single" w:color="000000" w:sz="4" w:space="0"/>
                    <w:right w:val="single" w:color="000000" w:sz="4" w:space="0"/>
                    <w:tl2br w:val="nil"/>
                    <w:tr2bl w:val="nil"/>
                  </w:tcBorders>
                  <w:noWrap w:val="0"/>
                  <w:vAlign w:val="center"/>
                </w:tcPr>
                <w:p w14:paraId="4704FCC2">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排放</w:t>
                  </w:r>
                  <w:r>
                    <w:rPr>
                      <w:rFonts w:hint="default" w:ascii="Times New Roman" w:hAnsi="Times New Roman" w:eastAsia="宋体" w:cs="Times New Roman"/>
                      <w:bCs/>
                      <w:color w:val="auto"/>
                      <w:sz w:val="21"/>
                      <w:szCs w:val="21"/>
                    </w:rPr>
                    <w:t>浓度mg/m</w:t>
                  </w:r>
                  <w:r>
                    <w:rPr>
                      <w:rFonts w:hint="default" w:ascii="Times New Roman" w:hAnsi="Times New Roman" w:eastAsia="宋体" w:cs="Times New Roman"/>
                      <w:bCs/>
                      <w:color w:val="auto"/>
                      <w:sz w:val="21"/>
                      <w:szCs w:val="21"/>
                      <w:vertAlign w:val="superscript"/>
                    </w:rPr>
                    <w:t>3</w:t>
                  </w:r>
                </w:p>
              </w:tc>
              <w:tc>
                <w:tcPr>
                  <w:tcW w:w="627" w:type="pct"/>
                  <w:tcBorders>
                    <w:left w:val="single" w:color="000000" w:sz="4" w:space="0"/>
                    <w:tl2br w:val="nil"/>
                    <w:tr2bl w:val="nil"/>
                  </w:tcBorders>
                  <w:noWrap w:val="0"/>
                  <w:vAlign w:val="center"/>
                </w:tcPr>
                <w:p w14:paraId="11CAB211">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5.50</w:t>
                  </w:r>
                </w:p>
              </w:tc>
              <w:tc>
                <w:tcPr>
                  <w:tcW w:w="573" w:type="pct"/>
                  <w:tcBorders>
                    <w:tl2br w:val="nil"/>
                    <w:tr2bl w:val="nil"/>
                  </w:tcBorders>
                  <w:noWrap w:val="0"/>
                  <w:vAlign w:val="center"/>
                </w:tcPr>
                <w:p w14:paraId="2B3D0512">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6.80</w:t>
                  </w:r>
                </w:p>
              </w:tc>
              <w:tc>
                <w:tcPr>
                  <w:tcW w:w="513" w:type="pct"/>
                  <w:tcBorders>
                    <w:tl2br w:val="nil"/>
                    <w:tr2bl w:val="nil"/>
                  </w:tcBorders>
                  <w:noWrap w:val="0"/>
                  <w:vAlign w:val="center"/>
                </w:tcPr>
                <w:p w14:paraId="6A4F8814">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5.83</w:t>
                  </w:r>
                </w:p>
              </w:tc>
              <w:tc>
                <w:tcPr>
                  <w:tcW w:w="499" w:type="pct"/>
                  <w:tcBorders>
                    <w:tl2br w:val="nil"/>
                    <w:tr2bl w:val="nil"/>
                  </w:tcBorders>
                  <w:noWrap w:val="0"/>
                  <w:vAlign w:val="center"/>
                </w:tcPr>
                <w:p w14:paraId="08691FFD">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6.04</w:t>
                  </w:r>
                </w:p>
              </w:tc>
              <w:tc>
                <w:tcPr>
                  <w:tcW w:w="320" w:type="pct"/>
                  <w:tcBorders>
                    <w:tl2br w:val="nil"/>
                    <w:tr2bl w:val="nil"/>
                  </w:tcBorders>
                  <w:noWrap w:val="0"/>
                  <w:vAlign w:val="center"/>
                </w:tcPr>
                <w:p w14:paraId="34644554">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10</w:t>
                  </w:r>
                </w:p>
              </w:tc>
              <w:tc>
                <w:tcPr>
                  <w:tcW w:w="411" w:type="pct"/>
                  <w:tcBorders>
                    <w:tl2br w:val="nil"/>
                    <w:tr2bl w:val="nil"/>
                  </w:tcBorders>
                  <w:noWrap w:val="0"/>
                  <w:vAlign w:val="center"/>
                </w:tcPr>
                <w:p w14:paraId="37C9136A">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达标</w:t>
                  </w:r>
                </w:p>
              </w:tc>
            </w:tr>
            <w:tr w14:paraId="4F27BF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79" w:type="pct"/>
                  <w:vMerge w:val="continue"/>
                  <w:tcBorders>
                    <w:tl2br w:val="nil"/>
                    <w:tr2bl w:val="nil"/>
                  </w:tcBorders>
                  <w:noWrap w:val="0"/>
                  <w:vAlign w:val="center"/>
                </w:tcPr>
                <w:p w14:paraId="15B91303">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p>
              </w:tc>
              <w:tc>
                <w:tcPr>
                  <w:tcW w:w="566" w:type="pct"/>
                  <w:vMerge w:val="continue"/>
                  <w:tcBorders>
                    <w:tl2br w:val="nil"/>
                    <w:tr2bl w:val="nil"/>
                  </w:tcBorders>
                  <w:noWrap w:val="0"/>
                  <w:vAlign w:val="center"/>
                </w:tcPr>
                <w:p w14:paraId="7030CD8D">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p>
              </w:tc>
              <w:tc>
                <w:tcPr>
                  <w:tcW w:w="408" w:type="pct"/>
                  <w:vMerge w:val="continue"/>
                  <w:tcBorders>
                    <w:right w:val="single" w:color="000000" w:sz="4" w:space="0"/>
                    <w:tl2br w:val="nil"/>
                    <w:tr2bl w:val="nil"/>
                  </w:tcBorders>
                  <w:noWrap w:val="0"/>
                  <w:vAlign w:val="center"/>
                </w:tcPr>
                <w:p w14:paraId="6096CCB0">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p>
              </w:tc>
              <w:tc>
                <w:tcPr>
                  <w:tcW w:w="700" w:type="pct"/>
                  <w:tcBorders>
                    <w:left w:val="single" w:color="000000" w:sz="4" w:space="0"/>
                    <w:right w:val="single" w:color="000000" w:sz="4" w:space="0"/>
                    <w:tl2br w:val="nil"/>
                    <w:tr2bl w:val="nil"/>
                  </w:tcBorders>
                  <w:noWrap w:val="0"/>
                  <w:vAlign w:val="center"/>
                </w:tcPr>
                <w:p w14:paraId="0D3CA78E">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rPr>
                    <w:t>排放速率kg/h</w:t>
                  </w:r>
                </w:p>
              </w:tc>
              <w:tc>
                <w:tcPr>
                  <w:tcW w:w="627" w:type="pct"/>
                  <w:tcBorders>
                    <w:left w:val="single" w:color="000000" w:sz="4" w:space="0"/>
                    <w:tl2br w:val="nil"/>
                    <w:tr2bl w:val="nil"/>
                  </w:tcBorders>
                  <w:noWrap w:val="0"/>
                  <w:vAlign w:val="center"/>
                </w:tcPr>
                <w:p w14:paraId="2FFE02B1">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0.018</w:t>
                  </w:r>
                </w:p>
              </w:tc>
              <w:tc>
                <w:tcPr>
                  <w:tcW w:w="573" w:type="pct"/>
                  <w:tcBorders>
                    <w:tl2br w:val="nil"/>
                    <w:tr2bl w:val="nil"/>
                  </w:tcBorders>
                  <w:noWrap w:val="0"/>
                  <w:vAlign w:val="center"/>
                </w:tcPr>
                <w:p w14:paraId="3E9B93F3">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0.024</w:t>
                  </w:r>
                </w:p>
              </w:tc>
              <w:tc>
                <w:tcPr>
                  <w:tcW w:w="513" w:type="pct"/>
                  <w:tcBorders>
                    <w:tl2br w:val="nil"/>
                    <w:tr2bl w:val="nil"/>
                  </w:tcBorders>
                  <w:noWrap w:val="0"/>
                  <w:vAlign w:val="center"/>
                </w:tcPr>
                <w:p w14:paraId="1DCCF098">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0.020</w:t>
                  </w:r>
                </w:p>
              </w:tc>
              <w:tc>
                <w:tcPr>
                  <w:tcW w:w="499" w:type="pct"/>
                  <w:tcBorders>
                    <w:tl2br w:val="nil"/>
                    <w:tr2bl w:val="nil"/>
                  </w:tcBorders>
                  <w:noWrap w:val="0"/>
                  <w:vAlign w:val="center"/>
                </w:tcPr>
                <w:p w14:paraId="39C0092F">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0.021</w:t>
                  </w:r>
                </w:p>
              </w:tc>
              <w:tc>
                <w:tcPr>
                  <w:tcW w:w="320" w:type="pct"/>
                  <w:tcBorders>
                    <w:tl2br w:val="nil"/>
                    <w:tr2bl w:val="nil"/>
                  </w:tcBorders>
                  <w:noWrap w:val="0"/>
                  <w:vAlign w:val="center"/>
                </w:tcPr>
                <w:p w14:paraId="5D731A2B">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w:t>
                  </w:r>
                </w:p>
              </w:tc>
              <w:tc>
                <w:tcPr>
                  <w:tcW w:w="411" w:type="pct"/>
                  <w:tcBorders>
                    <w:tl2br w:val="nil"/>
                    <w:tr2bl w:val="nil"/>
                  </w:tcBorders>
                  <w:noWrap w:val="0"/>
                  <w:vAlign w:val="center"/>
                </w:tcPr>
                <w:p w14:paraId="78E6B7BA">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w:t>
                  </w:r>
                </w:p>
              </w:tc>
            </w:tr>
            <w:tr w14:paraId="556DBC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79" w:type="pct"/>
                  <w:vMerge w:val="continue"/>
                  <w:tcBorders>
                    <w:tl2br w:val="nil"/>
                    <w:tr2bl w:val="nil"/>
                  </w:tcBorders>
                  <w:noWrap w:val="0"/>
                  <w:vAlign w:val="center"/>
                </w:tcPr>
                <w:p w14:paraId="1446B51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p>
              </w:tc>
              <w:tc>
                <w:tcPr>
                  <w:tcW w:w="566" w:type="pct"/>
                  <w:vMerge w:val="restart"/>
                  <w:tcBorders>
                    <w:tl2br w:val="nil"/>
                    <w:tr2bl w:val="nil"/>
                  </w:tcBorders>
                  <w:noWrap w:val="0"/>
                  <w:vAlign w:val="center"/>
                </w:tcPr>
                <w:p w14:paraId="7D8D35AF">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DA003炼胶废气排放口2</w:t>
                  </w:r>
                </w:p>
              </w:tc>
              <w:tc>
                <w:tcPr>
                  <w:tcW w:w="1108" w:type="pct"/>
                  <w:gridSpan w:val="2"/>
                  <w:tcBorders>
                    <w:right w:val="single" w:color="000000" w:sz="4" w:space="0"/>
                    <w:tl2br w:val="nil"/>
                    <w:tr2bl w:val="nil"/>
                  </w:tcBorders>
                  <w:noWrap w:val="0"/>
                  <w:vAlign w:val="center"/>
                </w:tcPr>
                <w:p w14:paraId="6A8D9649">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标况流量</w:t>
                  </w:r>
                  <w:r>
                    <w:rPr>
                      <w:rFonts w:hint="default" w:ascii="Times New Roman" w:hAnsi="Times New Roman" w:eastAsia="宋体" w:cs="Times New Roman"/>
                      <w:bCs/>
                      <w:color w:val="auto"/>
                      <w:sz w:val="21"/>
                      <w:szCs w:val="21"/>
                    </w:rPr>
                    <w:t>m</w:t>
                  </w:r>
                  <w:r>
                    <w:rPr>
                      <w:rFonts w:hint="default" w:ascii="Times New Roman" w:hAnsi="Times New Roman" w:eastAsia="宋体" w:cs="Times New Roman"/>
                      <w:bCs/>
                      <w:color w:val="auto"/>
                      <w:sz w:val="21"/>
                      <w:szCs w:val="21"/>
                      <w:vertAlign w:val="superscript"/>
                    </w:rPr>
                    <w:t>3</w:t>
                  </w:r>
                  <w:r>
                    <w:rPr>
                      <w:rFonts w:hint="default" w:ascii="Times New Roman" w:hAnsi="Times New Roman" w:eastAsia="宋体" w:cs="Times New Roman"/>
                      <w:bCs/>
                      <w:color w:val="auto"/>
                      <w:sz w:val="21"/>
                      <w:szCs w:val="21"/>
                    </w:rPr>
                    <w:t>/h</w:t>
                  </w:r>
                </w:p>
              </w:tc>
              <w:tc>
                <w:tcPr>
                  <w:tcW w:w="627" w:type="pct"/>
                  <w:tcBorders>
                    <w:left w:val="single" w:color="000000" w:sz="4" w:space="0"/>
                    <w:tl2br w:val="nil"/>
                    <w:tr2bl w:val="nil"/>
                  </w:tcBorders>
                  <w:noWrap w:val="0"/>
                  <w:vAlign w:val="center"/>
                </w:tcPr>
                <w:p w14:paraId="05B23AC4">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6731</w:t>
                  </w:r>
                </w:p>
              </w:tc>
              <w:tc>
                <w:tcPr>
                  <w:tcW w:w="573" w:type="pct"/>
                  <w:tcBorders>
                    <w:tl2br w:val="nil"/>
                    <w:tr2bl w:val="nil"/>
                  </w:tcBorders>
                  <w:noWrap w:val="0"/>
                  <w:vAlign w:val="center"/>
                </w:tcPr>
                <w:p w14:paraId="3C9BC3F2">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6603</w:t>
                  </w:r>
                </w:p>
              </w:tc>
              <w:tc>
                <w:tcPr>
                  <w:tcW w:w="513" w:type="pct"/>
                  <w:tcBorders>
                    <w:tl2br w:val="nil"/>
                    <w:tr2bl w:val="nil"/>
                  </w:tcBorders>
                  <w:noWrap w:val="0"/>
                  <w:vAlign w:val="center"/>
                </w:tcPr>
                <w:p w14:paraId="0611120E">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6396</w:t>
                  </w:r>
                </w:p>
              </w:tc>
              <w:tc>
                <w:tcPr>
                  <w:tcW w:w="499" w:type="pct"/>
                  <w:tcBorders>
                    <w:tl2br w:val="nil"/>
                    <w:tr2bl w:val="nil"/>
                  </w:tcBorders>
                  <w:noWrap w:val="0"/>
                  <w:vAlign w:val="center"/>
                </w:tcPr>
                <w:p w14:paraId="2B2B11CF">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6577</w:t>
                  </w:r>
                </w:p>
              </w:tc>
              <w:tc>
                <w:tcPr>
                  <w:tcW w:w="320" w:type="pct"/>
                  <w:tcBorders>
                    <w:tl2br w:val="nil"/>
                    <w:tr2bl w:val="nil"/>
                  </w:tcBorders>
                  <w:noWrap w:val="0"/>
                  <w:vAlign w:val="center"/>
                </w:tcPr>
                <w:p w14:paraId="51109EFD">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w:t>
                  </w:r>
                </w:p>
              </w:tc>
              <w:tc>
                <w:tcPr>
                  <w:tcW w:w="411" w:type="pct"/>
                  <w:tcBorders>
                    <w:tl2br w:val="nil"/>
                    <w:tr2bl w:val="nil"/>
                  </w:tcBorders>
                  <w:noWrap w:val="0"/>
                  <w:vAlign w:val="center"/>
                </w:tcPr>
                <w:p w14:paraId="32A317F1">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w:t>
                  </w:r>
                </w:p>
              </w:tc>
            </w:tr>
            <w:tr w14:paraId="7BA174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79" w:type="pct"/>
                  <w:vMerge w:val="continue"/>
                  <w:tcBorders>
                    <w:tl2br w:val="nil"/>
                    <w:tr2bl w:val="nil"/>
                  </w:tcBorders>
                  <w:noWrap w:val="0"/>
                  <w:vAlign w:val="center"/>
                </w:tcPr>
                <w:p w14:paraId="674BFA7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p>
              </w:tc>
              <w:tc>
                <w:tcPr>
                  <w:tcW w:w="566" w:type="pct"/>
                  <w:vMerge w:val="continue"/>
                  <w:tcBorders>
                    <w:tl2br w:val="nil"/>
                    <w:tr2bl w:val="nil"/>
                  </w:tcBorders>
                  <w:noWrap w:val="0"/>
                  <w:vAlign w:val="center"/>
                </w:tcPr>
                <w:p w14:paraId="4EC7846E">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p>
              </w:tc>
              <w:tc>
                <w:tcPr>
                  <w:tcW w:w="408" w:type="pct"/>
                  <w:vMerge w:val="restart"/>
                  <w:tcBorders>
                    <w:right w:val="single" w:color="000000" w:sz="4" w:space="0"/>
                    <w:tl2br w:val="nil"/>
                    <w:tr2bl w:val="nil"/>
                  </w:tcBorders>
                  <w:noWrap w:val="0"/>
                  <w:vAlign w:val="center"/>
                </w:tcPr>
                <w:p w14:paraId="018D5CCC">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非甲烷总烃</w:t>
                  </w:r>
                </w:p>
              </w:tc>
              <w:tc>
                <w:tcPr>
                  <w:tcW w:w="700" w:type="pct"/>
                  <w:tcBorders>
                    <w:left w:val="single" w:color="000000" w:sz="4" w:space="0"/>
                    <w:right w:val="single" w:color="000000" w:sz="4" w:space="0"/>
                    <w:tl2br w:val="nil"/>
                    <w:tr2bl w:val="nil"/>
                  </w:tcBorders>
                  <w:noWrap w:val="0"/>
                  <w:vAlign w:val="center"/>
                </w:tcPr>
                <w:p w14:paraId="50807C0B">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排放</w:t>
                  </w:r>
                  <w:r>
                    <w:rPr>
                      <w:rFonts w:hint="default" w:ascii="Times New Roman" w:hAnsi="Times New Roman" w:eastAsia="宋体" w:cs="Times New Roman"/>
                      <w:bCs/>
                      <w:color w:val="auto"/>
                      <w:sz w:val="21"/>
                      <w:szCs w:val="21"/>
                    </w:rPr>
                    <w:t>浓度mg/m</w:t>
                  </w:r>
                  <w:r>
                    <w:rPr>
                      <w:rFonts w:hint="default" w:ascii="Times New Roman" w:hAnsi="Times New Roman" w:eastAsia="宋体" w:cs="Times New Roman"/>
                      <w:bCs/>
                      <w:color w:val="auto"/>
                      <w:sz w:val="21"/>
                      <w:szCs w:val="21"/>
                      <w:vertAlign w:val="superscript"/>
                    </w:rPr>
                    <w:t>3</w:t>
                  </w:r>
                </w:p>
              </w:tc>
              <w:tc>
                <w:tcPr>
                  <w:tcW w:w="627" w:type="pct"/>
                  <w:tcBorders>
                    <w:left w:val="single" w:color="000000" w:sz="4" w:space="0"/>
                    <w:tl2br w:val="nil"/>
                    <w:tr2bl w:val="nil"/>
                  </w:tcBorders>
                  <w:noWrap w:val="0"/>
                  <w:vAlign w:val="center"/>
                </w:tcPr>
                <w:p w14:paraId="39F253FC">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6.33</w:t>
                  </w:r>
                </w:p>
              </w:tc>
              <w:tc>
                <w:tcPr>
                  <w:tcW w:w="573" w:type="pct"/>
                  <w:tcBorders>
                    <w:tl2br w:val="nil"/>
                    <w:tr2bl w:val="nil"/>
                  </w:tcBorders>
                  <w:noWrap w:val="0"/>
                  <w:vAlign w:val="center"/>
                </w:tcPr>
                <w:p w14:paraId="0055B223">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6.91</w:t>
                  </w:r>
                </w:p>
              </w:tc>
              <w:tc>
                <w:tcPr>
                  <w:tcW w:w="513" w:type="pct"/>
                  <w:tcBorders>
                    <w:tl2br w:val="nil"/>
                    <w:tr2bl w:val="nil"/>
                  </w:tcBorders>
                  <w:noWrap w:val="0"/>
                  <w:vAlign w:val="center"/>
                </w:tcPr>
                <w:p w14:paraId="03FA9527">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5.42</w:t>
                  </w:r>
                </w:p>
              </w:tc>
              <w:tc>
                <w:tcPr>
                  <w:tcW w:w="499" w:type="pct"/>
                  <w:tcBorders>
                    <w:tl2br w:val="nil"/>
                    <w:tr2bl w:val="nil"/>
                  </w:tcBorders>
                  <w:noWrap w:val="0"/>
                  <w:vAlign w:val="center"/>
                </w:tcPr>
                <w:p w14:paraId="27A20388">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6.22</w:t>
                  </w:r>
                </w:p>
              </w:tc>
              <w:tc>
                <w:tcPr>
                  <w:tcW w:w="320" w:type="pct"/>
                  <w:tcBorders>
                    <w:tl2br w:val="nil"/>
                    <w:tr2bl w:val="nil"/>
                  </w:tcBorders>
                  <w:noWrap w:val="0"/>
                  <w:vAlign w:val="center"/>
                </w:tcPr>
                <w:p w14:paraId="069A6CEF">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10</w:t>
                  </w:r>
                </w:p>
              </w:tc>
              <w:tc>
                <w:tcPr>
                  <w:tcW w:w="411" w:type="pct"/>
                  <w:tcBorders>
                    <w:tl2br w:val="nil"/>
                    <w:tr2bl w:val="nil"/>
                  </w:tcBorders>
                  <w:noWrap w:val="0"/>
                  <w:vAlign w:val="center"/>
                </w:tcPr>
                <w:p w14:paraId="7BE34BA5">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达标</w:t>
                  </w:r>
                </w:p>
              </w:tc>
            </w:tr>
            <w:tr w14:paraId="3E1FE1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79" w:type="pct"/>
                  <w:vMerge w:val="continue"/>
                  <w:tcBorders>
                    <w:tl2br w:val="nil"/>
                    <w:tr2bl w:val="nil"/>
                  </w:tcBorders>
                  <w:noWrap w:val="0"/>
                  <w:vAlign w:val="center"/>
                </w:tcPr>
                <w:p w14:paraId="502770B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p>
              </w:tc>
              <w:tc>
                <w:tcPr>
                  <w:tcW w:w="566" w:type="pct"/>
                  <w:vMerge w:val="continue"/>
                  <w:tcBorders>
                    <w:tl2br w:val="nil"/>
                    <w:tr2bl w:val="nil"/>
                  </w:tcBorders>
                  <w:noWrap w:val="0"/>
                  <w:vAlign w:val="center"/>
                </w:tcPr>
                <w:p w14:paraId="375FFD0E">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p>
              </w:tc>
              <w:tc>
                <w:tcPr>
                  <w:tcW w:w="408" w:type="pct"/>
                  <w:vMerge w:val="continue"/>
                  <w:tcBorders>
                    <w:right w:val="single" w:color="000000" w:sz="4" w:space="0"/>
                    <w:tl2br w:val="nil"/>
                    <w:tr2bl w:val="nil"/>
                  </w:tcBorders>
                  <w:noWrap w:val="0"/>
                  <w:vAlign w:val="center"/>
                </w:tcPr>
                <w:p w14:paraId="53EC5C14">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p>
              </w:tc>
              <w:tc>
                <w:tcPr>
                  <w:tcW w:w="700" w:type="pct"/>
                  <w:tcBorders>
                    <w:left w:val="single" w:color="000000" w:sz="4" w:space="0"/>
                    <w:right w:val="single" w:color="000000" w:sz="4" w:space="0"/>
                    <w:tl2br w:val="nil"/>
                    <w:tr2bl w:val="nil"/>
                  </w:tcBorders>
                  <w:noWrap w:val="0"/>
                  <w:vAlign w:val="center"/>
                </w:tcPr>
                <w:p w14:paraId="6EB12DBB">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rPr>
                    <w:t>排放速率kg/h</w:t>
                  </w:r>
                </w:p>
              </w:tc>
              <w:tc>
                <w:tcPr>
                  <w:tcW w:w="627" w:type="pct"/>
                  <w:tcBorders>
                    <w:left w:val="single" w:color="000000" w:sz="4" w:space="0"/>
                    <w:tl2br w:val="nil"/>
                    <w:tr2bl w:val="nil"/>
                  </w:tcBorders>
                  <w:noWrap w:val="0"/>
                  <w:vAlign w:val="center"/>
                </w:tcPr>
                <w:p w14:paraId="07925AC9">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0.043</w:t>
                  </w:r>
                </w:p>
              </w:tc>
              <w:tc>
                <w:tcPr>
                  <w:tcW w:w="573" w:type="pct"/>
                  <w:tcBorders>
                    <w:tl2br w:val="nil"/>
                    <w:tr2bl w:val="nil"/>
                  </w:tcBorders>
                  <w:noWrap w:val="0"/>
                  <w:vAlign w:val="center"/>
                </w:tcPr>
                <w:p w14:paraId="0E6E0152">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0.046</w:t>
                  </w:r>
                </w:p>
              </w:tc>
              <w:tc>
                <w:tcPr>
                  <w:tcW w:w="513" w:type="pct"/>
                  <w:tcBorders>
                    <w:tl2br w:val="nil"/>
                    <w:tr2bl w:val="nil"/>
                  </w:tcBorders>
                  <w:noWrap w:val="0"/>
                  <w:vAlign w:val="center"/>
                </w:tcPr>
                <w:p w14:paraId="7286A26F">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0.035</w:t>
                  </w:r>
                </w:p>
              </w:tc>
              <w:tc>
                <w:tcPr>
                  <w:tcW w:w="499" w:type="pct"/>
                  <w:tcBorders>
                    <w:tl2br w:val="nil"/>
                    <w:tr2bl w:val="nil"/>
                  </w:tcBorders>
                  <w:noWrap w:val="0"/>
                  <w:vAlign w:val="center"/>
                </w:tcPr>
                <w:p w14:paraId="3E907AEC">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0.041</w:t>
                  </w:r>
                </w:p>
              </w:tc>
              <w:tc>
                <w:tcPr>
                  <w:tcW w:w="320" w:type="pct"/>
                  <w:tcBorders>
                    <w:tl2br w:val="nil"/>
                    <w:tr2bl w:val="nil"/>
                  </w:tcBorders>
                  <w:noWrap w:val="0"/>
                  <w:vAlign w:val="center"/>
                </w:tcPr>
                <w:p w14:paraId="0EDEA4DD">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w:t>
                  </w:r>
                </w:p>
              </w:tc>
              <w:tc>
                <w:tcPr>
                  <w:tcW w:w="411" w:type="pct"/>
                  <w:tcBorders>
                    <w:tl2br w:val="nil"/>
                    <w:tr2bl w:val="nil"/>
                  </w:tcBorders>
                  <w:noWrap w:val="0"/>
                  <w:vAlign w:val="center"/>
                </w:tcPr>
                <w:p w14:paraId="00246D1E">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w:t>
                  </w:r>
                </w:p>
              </w:tc>
            </w:tr>
            <w:tr w14:paraId="21ACC2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79" w:type="pct"/>
                  <w:vMerge w:val="continue"/>
                  <w:tcBorders>
                    <w:tl2br w:val="nil"/>
                    <w:tr2bl w:val="nil"/>
                  </w:tcBorders>
                  <w:noWrap w:val="0"/>
                  <w:vAlign w:val="center"/>
                </w:tcPr>
                <w:p w14:paraId="5830400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p>
              </w:tc>
              <w:tc>
                <w:tcPr>
                  <w:tcW w:w="566" w:type="pct"/>
                  <w:vMerge w:val="restart"/>
                  <w:tcBorders>
                    <w:tl2br w:val="nil"/>
                    <w:tr2bl w:val="nil"/>
                  </w:tcBorders>
                  <w:noWrap w:val="0"/>
                  <w:vAlign w:val="center"/>
                </w:tcPr>
                <w:p w14:paraId="676E7B6E">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DA004硫化废气排放口</w:t>
                  </w:r>
                </w:p>
              </w:tc>
              <w:tc>
                <w:tcPr>
                  <w:tcW w:w="1108" w:type="pct"/>
                  <w:gridSpan w:val="2"/>
                  <w:tcBorders>
                    <w:right w:val="single" w:color="000000" w:sz="4" w:space="0"/>
                    <w:tl2br w:val="nil"/>
                    <w:tr2bl w:val="nil"/>
                  </w:tcBorders>
                  <w:noWrap w:val="0"/>
                  <w:vAlign w:val="center"/>
                </w:tcPr>
                <w:p w14:paraId="1AC89BDF">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标况流量</w:t>
                  </w:r>
                  <w:r>
                    <w:rPr>
                      <w:rFonts w:hint="default" w:ascii="Times New Roman" w:hAnsi="Times New Roman" w:eastAsia="宋体" w:cs="Times New Roman"/>
                      <w:bCs/>
                      <w:color w:val="auto"/>
                      <w:sz w:val="21"/>
                      <w:szCs w:val="21"/>
                    </w:rPr>
                    <w:t>m</w:t>
                  </w:r>
                  <w:r>
                    <w:rPr>
                      <w:rFonts w:hint="default" w:ascii="Times New Roman" w:hAnsi="Times New Roman" w:eastAsia="宋体" w:cs="Times New Roman"/>
                      <w:bCs/>
                      <w:color w:val="auto"/>
                      <w:sz w:val="21"/>
                      <w:szCs w:val="21"/>
                      <w:vertAlign w:val="superscript"/>
                    </w:rPr>
                    <w:t>3</w:t>
                  </w:r>
                  <w:r>
                    <w:rPr>
                      <w:rFonts w:hint="default" w:ascii="Times New Roman" w:hAnsi="Times New Roman" w:eastAsia="宋体" w:cs="Times New Roman"/>
                      <w:bCs/>
                      <w:color w:val="auto"/>
                      <w:sz w:val="21"/>
                      <w:szCs w:val="21"/>
                    </w:rPr>
                    <w:t>/h</w:t>
                  </w:r>
                </w:p>
              </w:tc>
              <w:tc>
                <w:tcPr>
                  <w:tcW w:w="627" w:type="pct"/>
                  <w:tcBorders>
                    <w:left w:val="single" w:color="000000" w:sz="4" w:space="0"/>
                    <w:tl2br w:val="nil"/>
                    <w:tr2bl w:val="nil"/>
                  </w:tcBorders>
                  <w:noWrap w:val="0"/>
                  <w:vAlign w:val="center"/>
                </w:tcPr>
                <w:p w14:paraId="1F6F9A1F">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30829</w:t>
                  </w:r>
                </w:p>
              </w:tc>
              <w:tc>
                <w:tcPr>
                  <w:tcW w:w="573" w:type="pct"/>
                  <w:tcBorders>
                    <w:tl2br w:val="nil"/>
                    <w:tr2bl w:val="nil"/>
                  </w:tcBorders>
                  <w:noWrap w:val="0"/>
                  <w:vAlign w:val="center"/>
                </w:tcPr>
                <w:p w14:paraId="55E5E189">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28873</w:t>
                  </w:r>
                </w:p>
              </w:tc>
              <w:tc>
                <w:tcPr>
                  <w:tcW w:w="513" w:type="pct"/>
                  <w:tcBorders>
                    <w:tl2br w:val="nil"/>
                    <w:tr2bl w:val="nil"/>
                  </w:tcBorders>
                  <w:noWrap w:val="0"/>
                  <w:vAlign w:val="center"/>
                </w:tcPr>
                <w:p w14:paraId="7D0C08AB">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31088</w:t>
                  </w:r>
                </w:p>
              </w:tc>
              <w:tc>
                <w:tcPr>
                  <w:tcW w:w="499" w:type="pct"/>
                  <w:tcBorders>
                    <w:tl2br w:val="nil"/>
                    <w:tr2bl w:val="nil"/>
                  </w:tcBorders>
                  <w:noWrap w:val="0"/>
                  <w:vAlign w:val="center"/>
                </w:tcPr>
                <w:p w14:paraId="2CF6764B">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30263</w:t>
                  </w:r>
                </w:p>
              </w:tc>
              <w:tc>
                <w:tcPr>
                  <w:tcW w:w="320" w:type="pct"/>
                  <w:tcBorders>
                    <w:tl2br w:val="nil"/>
                    <w:tr2bl w:val="nil"/>
                  </w:tcBorders>
                  <w:noWrap w:val="0"/>
                  <w:vAlign w:val="center"/>
                </w:tcPr>
                <w:p w14:paraId="56FCA400">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w:t>
                  </w:r>
                </w:p>
              </w:tc>
              <w:tc>
                <w:tcPr>
                  <w:tcW w:w="411" w:type="pct"/>
                  <w:tcBorders>
                    <w:tl2br w:val="nil"/>
                    <w:tr2bl w:val="nil"/>
                  </w:tcBorders>
                  <w:noWrap w:val="0"/>
                  <w:vAlign w:val="center"/>
                </w:tcPr>
                <w:p w14:paraId="1484A1D9">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w:t>
                  </w:r>
                </w:p>
              </w:tc>
            </w:tr>
            <w:tr w14:paraId="00CDEC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79" w:type="pct"/>
                  <w:vMerge w:val="continue"/>
                  <w:tcBorders>
                    <w:tl2br w:val="nil"/>
                    <w:tr2bl w:val="nil"/>
                  </w:tcBorders>
                  <w:noWrap w:val="0"/>
                  <w:vAlign w:val="center"/>
                </w:tcPr>
                <w:p w14:paraId="1045377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p>
              </w:tc>
              <w:tc>
                <w:tcPr>
                  <w:tcW w:w="566" w:type="pct"/>
                  <w:vMerge w:val="continue"/>
                  <w:tcBorders>
                    <w:tl2br w:val="nil"/>
                    <w:tr2bl w:val="nil"/>
                  </w:tcBorders>
                  <w:noWrap w:val="0"/>
                  <w:vAlign w:val="center"/>
                </w:tcPr>
                <w:p w14:paraId="5B8DB9D1">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p>
              </w:tc>
              <w:tc>
                <w:tcPr>
                  <w:tcW w:w="408" w:type="pct"/>
                  <w:vMerge w:val="restart"/>
                  <w:tcBorders>
                    <w:right w:val="single" w:color="000000" w:sz="4" w:space="0"/>
                    <w:tl2br w:val="nil"/>
                    <w:tr2bl w:val="nil"/>
                  </w:tcBorders>
                  <w:noWrap w:val="0"/>
                  <w:vAlign w:val="center"/>
                </w:tcPr>
                <w:p w14:paraId="0B1BE4E9">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非甲烷总烃</w:t>
                  </w:r>
                </w:p>
              </w:tc>
              <w:tc>
                <w:tcPr>
                  <w:tcW w:w="700" w:type="pct"/>
                  <w:tcBorders>
                    <w:left w:val="single" w:color="000000" w:sz="4" w:space="0"/>
                    <w:right w:val="single" w:color="000000" w:sz="4" w:space="0"/>
                    <w:tl2br w:val="nil"/>
                    <w:tr2bl w:val="nil"/>
                  </w:tcBorders>
                  <w:noWrap w:val="0"/>
                  <w:vAlign w:val="center"/>
                </w:tcPr>
                <w:p w14:paraId="691424B1">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排放</w:t>
                  </w:r>
                  <w:r>
                    <w:rPr>
                      <w:rFonts w:hint="default" w:ascii="Times New Roman" w:hAnsi="Times New Roman" w:eastAsia="宋体" w:cs="Times New Roman"/>
                      <w:bCs/>
                      <w:color w:val="auto"/>
                      <w:sz w:val="21"/>
                      <w:szCs w:val="21"/>
                    </w:rPr>
                    <w:t>浓度mg/m</w:t>
                  </w:r>
                  <w:r>
                    <w:rPr>
                      <w:rFonts w:hint="default" w:ascii="Times New Roman" w:hAnsi="Times New Roman" w:eastAsia="宋体" w:cs="Times New Roman"/>
                      <w:bCs/>
                      <w:color w:val="auto"/>
                      <w:sz w:val="21"/>
                      <w:szCs w:val="21"/>
                      <w:vertAlign w:val="superscript"/>
                    </w:rPr>
                    <w:t>3</w:t>
                  </w:r>
                </w:p>
              </w:tc>
              <w:tc>
                <w:tcPr>
                  <w:tcW w:w="627" w:type="pct"/>
                  <w:tcBorders>
                    <w:left w:val="single" w:color="000000" w:sz="4" w:space="0"/>
                    <w:tl2br w:val="nil"/>
                    <w:tr2bl w:val="nil"/>
                  </w:tcBorders>
                  <w:noWrap w:val="0"/>
                  <w:vAlign w:val="center"/>
                </w:tcPr>
                <w:p w14:paraId="33D74122">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6.02</w:t>
                  </w:r>
                </w:p>
              </w:tc>
              <w:tc>
                <w:tcPr>
                  <w:tcW w:w="573" w:type="pct"/>
                  <w:tcBorders>
                    <w:tl2br w:val="nil"/>
                    <w:tr2bl w:val="nil"/>
                  </w:tcBorders>
                  <w:noWrap w:val="0"/>
                  <w:vAlign w:val="center"/>
                </w:tcPr>
                <w:p w14:paraId="38B432DF">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6.47</w:t>
                  </w:r>
                </w:p>
              </w:tc>
              <w:tc>
                <w:tcPr>
                  <w:tcW w:w="513" w:type="pct"/>
                  <w:tcBorders>
                    <w:tl2br w:val="nil"/>
                    <w:tr2bl w:val="nil"/>
                  </w:tcBorders>
                  <w:noWrap w:val="0"/>
                  <w:vAlign w:val="center"/>
                </w:tcPr>
                <w:p w14:paraId="246F4494">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7.18</w:t>
                  </w:r>
                </w:p>
              </w:tc>
              <w:tc>
                <w:tcPr>
                  <w:tcW w:w="499" w:type="pct"/>
                  <w:tcBorders>
                    <w:tl2br w:val="nil"/>
                    <w:tr2bl w:val="nil"/>
                  </w:tcBorders>
                  <w:noWrap w:val="0"/>
                  <w:vAlign w:val="center"/>
                </w:tcPr>
                <w:p w14:paraId="1223C267">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6.56</w:t>
                  </w:r>
                </w:p>
              </w:tc>
              <w:tc>
                <w:tcPr>
                  <w:tcW w:w="320" w:type="pct"/>
                  <w:tcBorders>
                    <w:tl2br w:val="nil"/>
                    <w:tr2bl w:val="nil"/>
                  </w:tcBorders>
                  <w:noWrap w:val="0"/>
                  <w:vAlign w:val="center"/>
                </w:tcPr>
                <w:p w14:paraId="6054A9B7">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10</w:t>
                  </w:r>
                </w:p>
              </w:tc>
              <w:tc>
                <w:tcPr>
                  <w:tcW w:w="411" w:type="pct"/>
                  <w:tcBorders>
                    <w:tl2br w:val="nil"/>
                    <w:tr2bl w:val="nil"/>
                  </w:tcBorders>
                  <w:noWrap w:val="0"/>
                  <w:vAlign w:val="center"/>
                </w:tcPr>
                <w:p w14:paraId="2ED75128">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达标</w:t>
                  </w:r>
                </w:p>
              </w:tc>
            </w:tr>
            <w:tr w14:paraId="65E948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79" w:type="pct"/>
                  <w:vMerge w:val="continue"/>
                  <w:tcBorders>
                    <w:tl2br w:val="nil"/>
                    <w:tr2bl w:val="nil"/>
                  </w:tcBorders>
                  <w:noWrap w:val="0"/>
                  <w:vAlign w:val="center"/>
                </w:tcPr>
                <w:p w14:paraId="384DF89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p>
              </w:tc>
              <w:tc>
                <w:tcPr>
                  <w:tcW w:w="566" w:type="pct"/>
                  <w:vMerge w:val="continue"/>
                  <w:tcBorders>
                    <w:tl2br w:val="nil"/>
                    <w:tr2bl w:val="nil"/>
                  </w:tcBorders>
                  <w:noWrap w:val="0"/>
                  <w:vAlign w:val="center"/>
                </w:tcPr>
                <w:p w14:paraId="7DD05D67">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p>
              </w:tc>
              <w:tc>
                <w:tcPr>
                  <w:tcW w:w="408" w:type="pct"/>
                  <w:vMerge w:val="continue"/>
                  <w:tcBorders>
                    <w:right w:val="single" w:color="000000" w:sz="4" w:space="0"/>
                    <w:tl2br w:val="nil"/>
                    <w:tr2bl w:val="nil"/>
                  </w:tcBorders>
                  <w:noWrap w:val="0"/>
                  <w:vAlign w:val="center"/>
                </w:tcPr>
                <w:p w14:paraId="74A40910">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p>
              </w:tc>
              <w:tc>
                <w:tcPr>
                  <w:tcW w:w="700" w:type="pct"/>
                  <w:tcBorders>
                    <w:left w:val="single" w:color="000000" w:sz="4" w:space="0"/>
                    <w:right w:val="single" w:color="000000" w:sz="4" w:space="0"/>
                    <w:tl2br w:val="nil"/>
                    <w:tr2bl w:val="nil"/>
                  </w:tcBorders>
                  <w:noWrap w:val="0"/>
                  <w:vAlign w:val="center"/>
                </w:tcPr>
                <w:p w14:paraId="19C58DEA">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rPr>
                    <w:t>排放速率kg/h</w:t>
                  </w:r>
                </w:p>
              </w:tc>
              <w:tc>
                <w:tcPr>
                  <w:tcW w:w="627" w:type="pct"/>
                  <w:tcBorders>
                    <w:left w:val="single" w:color="000000" w:sz="4" w:space="0"/>
                    <w:tl2br w:val="nil"/>
                    <w:tr2bl w:val="nil"/>
                  </w:tcBorders>
                  <w:noWrap w:val="0"/>
                  <w:vAlign w:val="center"/>
                </w:tcPr>
                <w:p w14:paraId="1F97C972">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0.19</w:t>
                  </w:r>
                </w:p>
              </w:tc>
              <w:tc>
                <w:tcPr>
                  <w:tcW w:w="573" w:type="pct"/>
                  <w:tcBorders>
                    <w:tl2br w:val="nil"/>
                    <w:tr2bl w:val="nil"/>
                  </w:tcBorders>
                  <w:noWrap w:val="0"/>
                  <w:vAlign w:val="center"/>
                </w:tcPr>
                <w:p w14:paraId="42459824">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0.19</w:t>
                  </w:r>
                </w:p>
              </w:tc>
              <w:tc>
                <w:tcPr>
                  <w:tcW w:w="513" w:type="pct"/>
                  <w:tcBorders>
                    <w:tl2br w:val="nil"/>
                    <w:tr2bl w:val="nil"/>
                  </w:tcBorders>
                  <w:noWrap w:val="0"/>
                  <w:vAlign w:val="center"/>
                </w:tcPr>
                <w:p w14:paraId="7CB812DD">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0.22</w:t>
                  </w:r>
                </w:p>
              </w:tc>
              <w:tc>
                <w:tcPr>
                  <w:tcW w:w="499" w:type="pct"/>
                  <w:tcBorders>
                    <w:tl2br w:val="nil"/>
                    <w:tr2bl w:val="nil"/>
                  </w:tcBorders>
                  <w:noWrap w:val="0"/>
                  <w:vAlign w:val="center"/>
                </w:tcPr>
                <w:p w14:paraId="1232BE79">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0.20</w:t>
                  </w:r>
                </w:p>
              </w:tc>
              <w:tc>
                <w:tcPr>
                  <w:tcW w:w="320" w:type="pct"/>
                  <w:tcBorders>
                    <w:tl2br w:val="nil"/>
                    <w:tr2bl w:val="nil"/>
                  </w:tcBorders>
                  <w:noWrap w:val="0"/>
                  <w:vAlign w:val="center"/>
                </w:tcPr>
                <w:p w14:paraId="726513FE">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w:t>
                  </w:r>
                </w:p>
              </w:tc>
              <w:tc>
                <w:tcPr>
                  <w:tcW w:w="411" w:type="pct"/>
                  <w:tcBorders>
                    <w:tl2br w:val="nil"/>
                    <w:tr2bl w:val="nil"/>
                  </w:tcBorders>
                  <w:noWrap w:val="0"/>
                  <w:vAlign w:val="center"/>
                </w:tcPr>
                <w:p w14:paraId="1D8E33BC">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w:t>
                  </w:r>
                </w:p>
              </w:tc>
            </w:tr>
          </w:tbl>
          <w:p w14:paraId="3DCFD22D">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shd w:val="clear" w:color="auto" w:fill="auto"/>
                <w:lang w:val="en-US" w:eastAsia="zh-CN"/>
              </w:rPr>
            </w:pPr>
            <w:r>
              <w:rPr>
                <w:rFonts w:hint="eastAsia" w:ascii="Times New Roman" w:hAnsi="Times New Roman" w:eastAsia="宋体" w:cs="Times New Roman"/>
                <w:color w:val="auto"/>
                <w:sz w:val="24"/>
                <w:highlight w:val="none"/>
                <w:shd w:val="clear" w:color="auto" w:fill="auto"/>
                <w:lang w:val="en-US" w:eastAsia="zh-CN"/>
              </w:rPr>
              <w:t>根据以上监测结果可知，现有项目</w:t>
            </w:r>
            <w:r>
              <w:rPr>
                <w:rFonts w:hint="eastAsia" w:ascii="Times New Roman" w:hAnsi="Times New Roman" w:cs="Times New Roman"/>
                <w:color w:val="auto"/>
                <w:sz w:val="24"/>
                <w:highlight w:val="none"/>
                <w:shd w:val="clear" w:color="auto" w:fill="auto"/>
                <w:lang w:val="en-US" w:eastAsia="zh-CN"/>
              </w:rPr>
              <w:t>投料废气有组织非甲烷总烃浓度满足</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挥发性有机物排放标准 第2部分：有机化工行业</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D</w:t>
            </w:r>
            <w:r>
              <w:rPr>
                <w:rFonts w:hint="default" w:ascii="Times New Roman" w:hAnsi="Times New Roman" w:cs="Times New Roman"/>
                <w:color w:val="auto"/>
                <w:sz w:val="24"/>
              </w:rPr>
              <w:t>B</w:t>
            </w:r>
            <w:r>
              <w:rPr>
                <w:rFonts w:hint="eastAsia" w:ascii="Times New Roman" w:hAnsi="Times New Roman" w:cs="Times New Roman"/>
                <w:color w:val="auto"/>
                <w:sz w:val="24"/>
                <w:lang w:val="en-US" w:eastAsia="zh-CN"/>
              </w:rPr>
              <w:t xml:space="preserve"> 36/1101.2-2019</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标准要求；</w:t>
            </w:r>
            <w:r>
              <w:rPr>
                <w:rFonts w:hint="eastAsia" w:ascii="Times New Roman" w:hAnsi="Times New Roman" w:cs="Times New Roman"/>
                <w:color w:val="auto"/>
                <w:sz w:val="24"/>
                <w:highlight w:val="none"/>
                <w:shd w:val="clear" w:color="auto" w:fill="auto"/>
                <w:lang w:val="en-US" w:eastAsia="zh-CN"/>
              </w:rPr>
              <w:t>投料废气有组织颗粒物浓度满足《工业大气污染物排放标准》（GB37824-2019）标准要求；炼胶、硫化废气有组织非甲烷总烃浓度满足</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橡胶制品工业污染物排放标准</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G</w:t>
            </w:r>
            <w:r>
              <w:rPr>
                <w:rFonts w:hint="default" w:ascii="Times New Roman" w:hAnsi="Times New Roman" w:cs="Times New Roman"/>
                <w:color w:val="auto"/>
                <w:sz w:val="24"/>
              </w:rPr>
              <w:t>B</w:t>
            </w:r>
            <w:r>
              <w:rPr>
                <w:rFonts w:hint="eastAsia" w:ascii="Times New Roman" w:hAnsi="Times New Roman" w:cs="Times New Roman"/>
                <w:color w:val="auto"/>
                <w:sz w:val="24"/>
                <w:lang w:val="en-US" w:eastAsia="zh-CN"/>
              </w:rPr>
              <w:t xml:space="preserve"> 27632-2011</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标准要求。</w:t>
            </w:r>
          </w:p>
          <w:p w14:paraId="620CDA75">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shd w:val="clear" w:color="auto" w:fill="auto"/>
                <w:lang w:val="en-US" w:eastAsia="zh-CN"/>
              </w:rPr>
            </w:pPr>
            <w:r>
              <w:rPr>
                <w:rFonts w:hint="eastAsia" w:ascii="Times New Roman" w:hAnsi="Times New Roman" w:cs="Times New Roman"/>
                <w:b w:val="0"/>
                <w:bCs w:val="0"/>
                <w:color w:val="auto"/>
                <w:sz w:val="24"/>
                <w:highlight w:val="none"/>
                <w:lang w:val="en-US" w:eastAsia="zh-CN"/>
              </w:rPr>
              <w:t>现有项目厂界污染物排放达标情况见表2-1</w:t>
            </w:r>
            <w:r>
              <w:rPr>
                <w:rFonts w:hint="eastAsia" w:cs="Times New Roman"/>
                <w:b w:val="0"/>
                <w:bCs w:val="0"/>
                <w:color w:val="auto"/>
                <w:sz w:val="24"/>
                <w:highlight w:val="none"/>
                <w:lang w:val="en-US" w:eastAsia="zh-CN"/>
              </w:rPr>
              <w:t>7</w:t>
            </w:r>
            <w:r>
              <w:rPr>
                <w:rFonts w:hint="eastAsia" w:ascii="Times New Roman" w:hAnsi="Times New Roman" w:cs="Times New Roman"/>
                <w:b w:val="0"/>
                <w:bCs w:val="0"/>
                <w:color w:val="auto"/>
                <w:sz w:val="24"/>
                <w:highlight w:val="none"/>
                <w:lang w:val="en-US" w:eastAsia="zh-CN"/>
              </w:rPr>
              <w:t>。</w:t>
            </w:r>
          </w:p>
          <w:p w14:paraId="418BA5F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240" w:lineRule="auto"/>
              <w:ind w:left="0" w:right="0"/>
              <w:jc w:val="center"/>
              <w:textAlignment w:val="auto"/>
              <w:rPr>
                <w:rFonts w:hint="default" w:ascii="Times New Roman" w:hAnsi="Times New Roman" w:eastAsia="宋体" w:cs="Times New Roman"/>
                <w:b/>
                <w:color w:val="auto"/>
                <w:kern w:val="2"/>
                <w:sz w:val="21"/>
                <w:szCs w:val="20"/>
                <w:highlight w:val="none"/>
                <w:lang w:val="en-US" w:eastAsia="zh-CN" w:bidi="ar-SA"/>
              </w:rPr>
            </w:pPr>
            <w:r>
              <w:rPr>
                <w:rFonts w:hint="default" w:ascii="Times New Roman" w:hAnsi="Times New Roman" w:eastAsia="宋体" w:cs="Times New Roman"/>
                <w:b/>
                <w:color w:val="auto"/>
                <w:kern w:val="2"/>
                <w:sz w:val="21"/>
                <w:szCs w:val="20"/>
                <w:highlight w:val="none"/>
                <w:lang w:val="en-US" w:eastAsia="zh-CN" w:bidi="ar-SA"/>
              </w:rPr>
              <w:t>表</w:t>
            </w:r>
            <w:r>
              <w:rPr>
                <w:rFonts w:hint="eastAsia" w:ascii="Times New Roman" w:hAnsi="Times New Roman" w:eastAsia="宋体" w:cs="Times New Roman"/>
                <w:b/>
                <w:color w:val="auto"/>
                <w:kern w:val="2"/>
                <w:sz w:val="21"/>
                <w:szCs w:val="20"/>
                <w:highlight w:val="none"/>
                <w:lang w:val="en-US" w:eastAsia="zh-CN" w:bidi="ar-SA"/>
              </w:rPr>
              <w:t>2-</w:t>
            </w:r>
            <w:r>
              <w:rPr>
                <w:rFonts w:hint="eastAsia" w:ascii="Times New Roman" w:hAnsi="Times New Roman" w:cs="Times New Roman"/>
                <w:b/>
                <w:color w:val="auto"/>
                <w:kern w:val="2"/>
                <w:sz w:val="21"/>
                <w:szCs w:val="20"/>
                <w:highlight w:val="none"/>
                <w:lang w:val="en-US" w:eastAsia="zh-CN" w:bidi="ar-SA"/>
              </w:rPr>
              <w:t>1</w:t>
            </w:r>
            <w:r>
              <w:rPr>
                <w:rFonts w:hint="eastAsia" w:cs="Times New Roman"/>
                <w:b/>
                <w:color w:val="auto"/>
                <w:kern w:val="2"/>
                <w:sz w:val="21"/>
                <w:szCs w:val="20"/>
                <w:highlight w:val="none"/>
                <w:lang w:val="en-US" w:eastAsia="zh-CN" w:bidi="ar-SA"/>
              </w:rPr>
              <w:t>7</w:t>
            </w:r>
            <w:r>
              <w:rPr>
                <w:rFonts w:hint="eastAsia" w:ascii="Times New Roman" w:hAnsi="Times New Roman" w:eastAsia="宋体" w:cs="Times New Roman"/>
                <w:b/>
                <w:color w:val="auto"/>
                <w:kern w:val="2"/>
                <w:sz w:val="21"/>
                <w:szCs w:val="20"/>
                <w:highlight w:val="none"/>
                <w:lang w:val="en-US" w:eastAsia="zh-CN" w:bidi="ar-SA"/>
              </w:rPr>
              <w:t xml:space="preserve">  </w:t>
            </w:r>
            <w:r>
              <w:rPr>
                <w:rFonts w:hint="default" w:ascii="Times New Roman" w:hAnsi="Times New Roman" w:eastAsia="宋体" w:cs="Times New Roman"/>
                <w:b/>
                <w:color w:val="auto"/>
                <w:kern w:val="2"/>
                <w:sz w:val="21"/>
                <w:szCs w:val="20"/>
                <w:highlight w:val="none"/>
                <w:lang w:val="en-US" w:eastAsia="zh-CN" w:bidi="ar-SA"/>
              </w:rPr>
              <w:t>无组织废气结果一览表（单位：排放浓度mg/m</w:t>
            </w:r>
            <w:r>
              <w:rPr>
                <w:rFonts w:hint="eastAsia" w:ascii="Times New Roman" w:hAnsi="Times New Roman" w:eastAsia="宋体" w:cs="Times New Roman"/>
                <w:b/>
                <w:color w:val="auto"/>
                <w:kern w:val="2"/>
                <w:sz w:val="21"/>
                <w:szCs w:val="20"/>
                <w:highlight w:val="none"/>
                <w:vertAlign w:val="superscript"/>
                <w:lang w:val="en-US" w:eastAsia="zh-CN" w:bidi="ar-SA"/>
              </w:rPr>
              <w:t>3</w:t>
            </w:r>
            <w:r>
              <w:rPr>
                <w:rFonts w:hint="default" w:ascii="Times New Roman" w:hAnsi="Times New Roman" w:eastAsia="宋体" w:cs="Times New Roman"/>
                <w:b/>
                <w:color w:val="auto"/>
                <w:kern w:val="2"/>
                <w:sz w:val="21"/>
                <w:szCs w:val="20"/>
                <w:highlight w:val="none"/>
                <w:lang w:val="en-US" w:eastAsia="zh-CN" w:bidi="ar-SA"/>
              </w:rPr>
              <w:t>）</w:t>
            </w:r>
          </w:p>
          <w:tbl>
            <w:tblPr>
              <w:tblStyle w:val="33"/>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53"/>
              <w:gridCol w:w="1054"/>
              <w:gridCol w:w="935"/>
              <w:gridCol w:w="1178"/>
              <w:gridCol w:w="1124"/>
              <w:gridCol w:w="1119"/>
              <w:gridCol w:w="1055"/>
              <w:gridCol w:w="668"/>
            </w:tblGrid>
            <w:tr w14:paraId="5CAAE6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32" w:type="pct"/>
                  <w:gridSpan w:val="3"/>
                  <w:vMerge w:val="restart"/>
                  <w:vAlign w:val="center"/>
                </w:tcPr>
                <w:p w14:paraId="4C66B659">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分析项目及采样时间</w:t>
                  </w:r>
                </w:p>
              </w:tc>
              <w:tc>
                <w:tcPr>
                  <w:tcW w:w="2668" w:type="pct"/>
                  <w:gridSpan w:val="4"/>
                  <w:vAlign w:val="center"/>
                </w:tcPr>
                <w:p w14:paraId="1FCF4BC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检测结果</w:t>
                  </w:r>
                </w:p>
              </w:tc>
              <w:tc>
                <w:tcPr>
                  <w:tcW w:w="398" w:type="pct"/>
                  <w:vMerge w:val="restart"/>
                  <w:vAlign w:val="center"/>
                </w:tcPr>
                <w:p w14:paraId="33DA549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标准限值</w:t>
                  </w:r>
                </w:p>
              </w:tc>
            </w:tr>
            <w:tr w14:paraId="4E6A8D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32" w:type="pct"/>
                  <w:gridSpan w:val="3"/>
                  <w:vMerge w:val="continue"/>
                  <w:tcBorders>
                    <w:bottom w:val="single" w:color="auto" w:sz="12" w:space="0"/>
                  </w:tcBorders>
                  <w:vAlign w:val="center"/>
                </w:tcPr>
                <w:p w14:paraId="4867BE14">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highlight w:val="none"/>
                    </w:rPr>
                  </w:pPr>
                </w:p>
              </w:tc>
              <w:tc>
                <w:tcPr>
                  <w:tcW w:w="702" w:type="pct"/>
                  <w:tcBorders>
                    <w:bottom w:val="single" w:color="auto" w:sz="12" w:space="0"/>
                  </w:tcBorders>
                  <w:vAlign w:val="center"/>
                </w:tcPr>
                <w:p w14:paraId="4A703E5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G1</w:t>
                  </w:r>
                  <w:r>
                    <w:rPr>
                      <w:rFonts w:hint="eastAsia" w:ascii="Times New Roman" w:hAnsi="Times New Roman" w:cs="Times New Roman"/>
                      <w:b/>
                      <w:bCs/>
                      <w:color w:val="auto"/>
                      <w:sz w:val="21"/>
                      <w:szCs w:val="21"/>
                      <w:highlight w:val="none"/>
                      <w:lang w:val="en-US" w:eastAsia="zh-CN"/>
                    </w:rPr>
                    <w:t>厂区上风向</w:t>
                  </w:r>
                </w:p>
              </w:tc>
              <w:tc>
                <w:tcPr>
                  <w:tcW w:w="670" w:type="pct"/>
                  <w:tcBorders>
                    <w:bottom w:val="single" w:color="auto" w:sz="12" w:space="0"/>
                  </w:tcBorders>
                  <w:vAlign w:val="center"/>
                </w:tcPr>
                <w:p w14:paraId="47F2F44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G2</w:t>
                  </w:r>
                  <w:r>
                    <w:rPr>
                      <w:rFonts w:hint="eastAsia" w:ascii="Times New Roman" w:hAnsi="Times New Roman" w:cs="Times New Roman"/>
                      <w:b/>
                      <w:bCs/>
                      <w:color w:val="auto"/>
                      <w:sz w:val="21"/>
                      <w:szCs w:val="21"/>
                      <w:highlight w:val="none"/>
                      <w:lang w:val="en-US" w:eastAsia="zh-CN"/>
                    </w:rPr>
                    <w:t>厂区下风向</w:t>
                  </w:r>
                </w:p>
              </w:tc>
              <w:tc>
                <w:tcPr>
                  <w:tcW w:w="667" w:type="pct"/>
                  <w:tcBorders>
                    <w:bottom w:val="single" w:color="auto" w:sz="12" w:space="0"/>
                  </w:tcBorders>
                  <w:vAlign w:val="center"/>
                </w:tcPr>
                <w:p w14:paraId="4FEDBC02">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highlight w:val="none"/>
                    </w:rPr>
                  </w:pPr>
                  <w:r>
                    <w:rPr>
                      <w:rFonts w:hint="eastAsia" w:cs="Times New Roman"/>
                      <w:b/>
                      <w:bCs/>
                      <w:color w:val="auto"/>
                      <w:sz w:val="21"/>
                      <w:szCs w:val="21"/>
                      <w:highlight w:val="none"/>
                      <w:lang w:val="en-US" w:eastAsia="zh-CN"/>
                    </w:rPr>
                    <w:t>G3</w:t>
                  </w:r>
                  <w:r>
                    <w:rPr>
                      <w:rFonts w:hint="eastAsia" w:ascii="Times New Roman" w:hAnsi="Times New Roman" w:cs="Times New Roman"/>
                      <w:b/>
                      <w:bCs/>
                      <w:color w:val="auto"/>
                      <w:sz w:val="21"/>
                      <w:szCs w:val="21"/>
                      <w:highlight w:val="none"/>
                      <w:lang w:val="en-US" w:eastAsia="zh-CN"/>
                    </w:rPr>
                    <w:t>厂区下风向</w:t>
                  </w:r>
                </w:p>
              </w:tc>
              <w:tc>
                <w:tcPr>
                  <w:tcW w:w="628" w:type="pct"/>
                  <w:tcBorders>
                    <w:bottom w:val="single" w:color="auto" w:sz="12" w:space="0"/>
                  </w:tcBorders>
                  <w:vAlign w:val="center"/>
                </w:tcPr>
                <w:p w14:paraId="624D2C82">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G4</w:t>
                  </w:r>
                  <w:r>
                    <w:rPr>
                      <w:rFonts w:hint="eastAsia" w:ascii="Times New Roman" w:hAnsi="Times New Roman" w:cs="Times New Roman"/>
                      <w:b/>
                      <w:bCs/>
                      <w:color w:val="auto"/>
                      <w:sz w:val="21"/>
                      <w:szCs w:val="21"/>
                      <w:highlight w:val="none"/>
                      <w:lang w:val="en-US" w:eastAsia="zh-CN"/>
                    </w:rPr>
                    <w:t>厂区下风向</w:t>
                  </w:r>
                </w:p>
              </w:tc>
              <w:tc>
                <w:tcPr>
                  <w:tcW w:w="398" w:type="pct"/>
                  <w:vMerge w:val="continue"/>
                  <w:tcBorders>
                    <w:bottom w:val="single" w:color="auto" w:sz="12" w:space="0"/>
                  </w:tcBorders>
                  <w:vAlign w:val="center"/>
                </w:tcPr>
                <w:p w14:paraId="1E97544C">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highlight w:val="none"/>
                    </w:rPr>
                  </w:pPr>
                </w:p>
              </w:tc>
            </w:tr>
            <w:tr w14:paraId="1CFE5F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7" w:type="pct"/>
                  <w:vMerge w:val="restart"/>
                  <w:tcBorders>
                    <w:top w:val="single" w:color="auto" w:sz="12" w:space="0"/>
                    <w:tl2br w:val="nil"/>
                    <w:tr2bl w:val="nil"/>
                  </w:tcBorders>
                  <w:vAlign w:val="center"/>
                </w:tcPr>
                <w:p w14:paraId="5B742D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非甲烷总烃</w:t>
                  </w:r>
                  <w:r>
                    <w:rPr>
                      <w:rFonts w:hint="eastAsia" w:ascii="Times New Roman" w:hAnsi="Times New Roman" w:eastAsia="宋体" w:cs="Times New Roman"/>
                      <w:color w:val="auto"/>
                      <w:sz w:val="21"/>
                      <w:szCs w:val="21"/>
                      <w:highlight w:val="none"/>
                      <w:lang w:val="en-US" w:eastAsia="zh-CN"/>
                    </w:rPr>
                    <w:t>（mg/</w:t>
                  </w:r>
                  <w:r>
                    <w:rPr>
                      <w:rFonts w:hint="default" w:ascii="Times New Roman" w:hAnsi="Times New Roman" w:cs="Times New Roman"/>
                      <w:color w:val="auto"/>
                      <w:sz w:val="21"/>
                      <w:highlight w:val="none"/>
                    </w:rPr>
                    <w:t>m</w:t>
                  </w:r>
                  <w:r>
                    <w:rPr>
                      <w:rFonts w:hint="eastAsia" w:ascii="Times New Roman" w:hAnsi="Times New Roman" w:cs="Times New Roman"/>
                      <w:color w:val="auto"/>
                      <w:sz w:val="21"/>
                      <w:highlight w:val="none"/>
                      <w:vertAlign w:val="superscript"/>
                      <w:lang w:val="en-US" w:eastAsia="zh-CN"/>
                    </w:rPr>
                    <w:t>3</w:t>
                  </w:r>
                  <w:r>
                    <w:rPr>
                      <w:rFonts w:hint="eastAsia" w:ascii="Times New Roman" w:hAnsi="Times New Roman" w:eastAsia="宋体" w:cs="Times New Roman"/>
                      <w:color w:val="auto"/>
                      <w:sz w:val="21"/>
                      <w:szCs w:val="21"/>
                      <w:highlight w:val="none"/>
                      <w:lang w:val="en-US" w:eastAsia="zh-CN"/>
                    </w:rPr>
                    <w:t>）</w:t>
                  </w:r>
                </w:p>
              </w:tc>
              <w:tc>
                <w:tcPr>
                  <w:tcW w:w="628" w:type="pct"/>
                  <w:vMerge w:val="restart"/>
                  <w:tcBorders>
                    <w:top w:val="single" w:color="auto" w:sz="12" w:space="0"/>
                    <w:tl2br w:val="nil"/>
                    <w:tr2bl w:val="nil"/>
                  </w:tcBorders>
                  <w:vAlign w:val="center"/>
                </w:tcPr>
                <w:p w14:paraId="5FB43C74">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eastAsia="zh-CN"/>
                    </w:rPr>
                    <w:t>202</w:t>
                  </w:r>
                  <w:r>
                    <w:rPr>
                      <w:rFonts w:hint="eastAsia" w:cs="Times New Roman"/>
                      <w:color w:val="auto"/>
                      <w:sz w:val="21"/>
                      <w:szCs w:val="21"/>
                      <w:highlight w:val="none"/>
                      <w:lang w:val="en-US" w:eastAsia="zh-CN"/>
                    </w:rPr>
                    <w:t>6.6.2</w:t>
                  </w:r>
                </w:p>
              </w:tc>
              <w:tc>
                <w:tcPr>
                  <w:tcW w:w="556" w:type="pct"/>
                  <w:tcBorders>
                    <w:top w:val="single" w:color="auto" w:sz="12" w:space="0"/>
                    <w:tl2br w:val="nil"/>
                    <w:tr2bl w:val="nil"/>
                  </w:tcBorders>
                  <w:shd w:val="clear" w:color="auto" w:fill="auto"/>
                  <w:vAlign w:val="center"/>
                </w:tcPr>
                <w:p w14:paraId="2CA0FB5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第一次</w:t>
                  </w:r>
                </w:p>
              </w:tc>
              <w:tc>
                <w:tcPr>
                  <w:tcW w:w="702" w:type="pct"/>
                  <w:tcBorders>
                    <w:top w:val="single" w:color="auto" w:sz="12" w:space="0"/>
                    <w:tl2br w:val="nil"/>
                    <w:tr2bl w:val="nil"/>
                  </w:tcBorders>
                  <w:vAlign w:val="center"/>
                </w:tcPr>
                <w:p w14:paraId="010E53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0.50</w:t>
                  </w:r>
                </w:p>
              </w:tc>
              <w:tc>
                <w:tcPr>
                  <w:tcW w:w="670" w:type="pct"/>
                  <w:tcBorders>
                    <w:top w:val="single" w:color="auto" w:sz="12" w:space="0"/>
                    <w:tl2br w:val="nil"/>
                    <w:tr2bl w:val="nil"/>
                  </w:tcBorders>
                  <w:vAlign w:val="center"/>
                </w:tcPr>
                <w:p w14:paraId="1CB959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0.61</w:t>
                  </w:r>
                </w:p>
              </w:tc>
              <w:tc>
                <w:tcPr>
                  <w:tcW w:w="667" w:type="pct"/>
                  <w:tcBorders>
                    <w:top w:val="single" w:color="auto" w:sz="12" w:space="0"/>
                    <w:tl2br w:val="nil"/>
                    <w:tr2bl w:val="nil"/>
                  </w:tcBorders>
                  <w:shd w:val="clear" w:color="auto" w:fill="auto"/>
                  <w:vAlign w:val="center"/>
                </w:tcPr>
                <w:p w14:paraId="6D67AD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0.68</w:t>
                  </w:r>
                </w:p>
              </w:tc>
              <w:tc>
                <w:tcPr>
                  <w:tcW w:w="628" w:type="pct"/>
                  <w:tcBorders>
                    <w:top w:val="single" w:color="auto" w:sz="12" w:space="0"/>
                    <w:tl2br w:val="nil"/>
                    <w:tr2bl w:val="nil"/>
                  </w:tcBorders>
                  <w:vAlign w:val="center"/>
                </w:tcPr>
                <w:p w14:paraId="7520CE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0.88</w:t>
                  </w:r>
                </w:p>
              </w:tc>
              <w:tc>
                <w:tcPr>
                  <w:tcW w:w="398" w:type="pct"/>
                  <w:vMerge w:val="restart"/>
                  <w:tcBorders>
                    <w:top w:val="single" w:color="auto" w:sz="12" w:space="0"/>
                    <w:tl2br w:val="nil"/>
                    <w:tr2bl w:val="nil"/>
                  </w:tcBorders>
                  <w:vAlign w:val="center"/>
                </w:tcPr>
                <w:p w14:paraId="6B34743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w:t>
                  </w:r>
                  <w:r>
                    <w:rPr>
                      <w:rFonts w:hint="eastAsia" w:ascii="Times New Roman" w:hAnsi="Times New Roman" w:cs="Times New Roman"/>
                      <w:color w:val="auto"/>
                      <w:sz w:val="21"/>
                      <w:szCs w:val="21"/>
                      <w:highlight w:val="none"/>
                      <w:lang w:val="en-US" w:eastAsia="zh-CN"/>
                    </w:rPr>
                    <w:t>.0</w:t>
                  </w:r>
                </w:p>
              </w:tc>
            </w:tr>
            <w:tr w14:paraId="13F1A5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7" w:type="pct"/>
                  <w:vMerge w:val="continue"/>
                  <w:tcBorders>
                    <w:tl2br w:val="nil"/>
                    <w:tr2bl w:val="nil"/>
                  </w:tcBorders>
                  <w:vAlign w:val="center"/>
                </w:tcPr>
                <w:p w14:paraId="15E2D4E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28" w:type="pct"/>
                  <w:vMerge w:val="continue"/>
                  <w:tcBorders>
                    <w:tl2br w:val="nil"/>
                    <w:tr2bl w:val="nil"/>
                  </w:tcBorders>
                  <w:vAlign w:val="center"/>
                </w:tcPr>
                <w:p w14:paraId="1E508DD3">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556" w:type="pct"/>
                  <w:tcBorders>
                    <w:tl2br w:val="nil"/>
                    <w:tr2bl w:val="nil"/>
                  </w:tcBorders>
                  <w:shd w:val="clear" w:color="auto" w:fill="auto"/>
                  <w:vAlign w:val="center"/>
                </w:tcPr>
                <w:p w14:paraId="159C68C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第二次</w:t>
                  </w:r>
                </w:p>
              </w:tc>
              <w:tc>
                <w:tcPr>
                  <w:tcW w:w="702" w:type="pct"/>
                  <w:tcBorders>
                    <w:tl2br w:val="nil"/>
                    <w:tr2bl w:val="nil"/>
                  </w:tcBorders>
                  <w:vAlign w:val="center"/>
                </w:tcPr>
                <w:p w14:paraId="4A25F9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0.46</w:t>
                  </w:r>
                </w:p>
              </w:tc>
              <w:tc>
                <w:tcPr>
                  <w:tcW w:w="670" w:type="pct"/>
                  <w:tcBorders>
                    <w:tl2br w:val="nil"/>
                    <w:tr2bl w:val="nil"/>
                  </w:tcBorders>
                  <w:vAlign w:val="center"/>
                </w:tcPr>
                <w:p w14:paraId="5AACF3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0.64</w:t>
                  </w:r>
                </w:p>
              </w:tc>
              <w:tc>
                <w:tcPr>
                  <w:tcW w:w="667" w:type="pct"/>
                  <w:tcBorders>
                    <w:tl2br w:val="nil"/>
                    <w:tr2bl w:val="nil"/>
                  </w:tcBorders>
                  <w:shd w:val="clear" w:color="auto" w:fill="auto"/>
                  <w:vAlign w:val="center"/>
                </w:tcPr>
                <w:p w14:paraId="75102F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0.61</w:t>
                  </w:r>
                </w:p>
              </w:tc>
              <w:tc>
                <w:tcPr>
                  <w:tcW w:w="628" w:type="pct"/>
                  <w:tcBorders>
                    <w:tl2br w:val="nil"/>
                    <w:tr2bl w:val="nil"/>
                  </w:tcBorders>
                  <w:vAlign w:val="center"/>
                </w:tcPr>
                <w:p w14:paraId="14BD40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0.82</w:t>
                  </w:r>
                </w:p>
              </w:tc>
              <w:tc>
                <w:tcPr>
                  <w:tcW w:w="398" w:type="pct"/>
                  <w:vMerge w:val="continue"/>
                  <w:tcBorders>
                    <w:tl2br w:val="nil"/>
                    <w:tr2bl w:val="nil"/>
                  </w:tcBorders>
                  <w:vAlign w:val="center"/>
                </w:tcPr>
                <w:p w14:paraId="55AFF429">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r>
            <w:tr w14:paraId="23EC60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7" w:type="pct"/>
                  <w:vMerge w:val="continue"/>
                  <w:tcBorders>
                    <w:tl2br w:val="nil"/>
                    <w:tr2bl w:val="nil"/>
                  </w:tcBorders>
                  <w:vAlign w:val="center"/>
                </w:tcPr>
                <w:p w14:paraId="483AA23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28" w:type="pct"/>
                  <w:vMerge w:val="continue"/>
                  <w:tcBorders>
                    <w:tl2br w:val="nil"/>
                    <w:tr2bl w:val="nil"/>
                  </w:tcBorders>
                  <w:vAlign w:val="center"/>
                </w:tcPr>
                <w:p w14:paraId="1AC7D4C9">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556" w:type="pct"/>
                  <w:tcBorders>
                    <w:tl2br w:val="nil"/>
                    <w:tr2bl w:val="nil"/>
                  </w:tcBorders>
                  <w:shd w:val="clear" w:color="auto" w:fill="auto"/>
                  <w:vAlign w:val="center"/>
                </w:tcPr>
                <w:p w14:paraId="71911BA1">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第三次</w:t>
                  </w:r>
                </w:p>
              </w:tc>
              <w:tc>
                <w:tcPr>
                  <w:tcW w:w="702" w:type="pct"/>
                  <w:tcBorders>
                    <w:tl2br w:val="nil"/>
                    <w:tr2bl w:val="nil"/>
                  </w:tcBorders>
                  <w:vAlign w:val="center"/>
                </w:tcPr>
                <w:p w14:paraId="462EE7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0.41</w:t>
                  </w:r>
                </w:p>
              </w:tc>
              <w:tc>
                <w:tcPr>
                  <w:tcW w:w="670" w:type="pct"/>
                  <w:tcBorders>
                    <w:tl2br w:val="nil"/>
                    <w:tr2bl w:val="nil"/>
                  </w:tcBorders>
                  <w:vAlign w:val="center"/>
                </w:tcPr>
                <w:p w14:paraId="2D7814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0.75</w:t>
                  </w:r>
                </w:p>
              </w:tc>
              <w:tc>
                <w:tcPr>
                  <w:tcW w:w="667" w:type="pct"/>
                  <w:tcBorders>
                    <w:tl2br w:val="nil"/>
                    <w:tr2bl w:val="nil"/>
                  </w:tcBorders>
                  <w:vAlign w:val="center"/>
                </w:tcPr>
                <w:p w14:paraId="369CAB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0.65</w:t>
                  </w:r>
                </w:p>
              </w:tc>
              <w:tc>
                <w:tcPr>
                  <w:tcW w:w="628" w:type="pct"/>
                  <w:tcBorders>
                    <w:tl2br w:val="nil"/>
                    <w:tr2bl w:val="nil"/>
                  </w:tcBorders>
                  <w:vAlign w:val="center"/>
                </w:tcPr>
                <w:p w14:paraId="616AF8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0.73</w:t>
                  </w:r>
                </w:p>
              </w:tc>
              <w:tc>
                <w:tcPr>
                  <w:tcW w:w="398" w:type="pct"/>
                  <w:vMerge w:val="continue"/>
                  <w:tcBorders>
                    <w:tl2br w:val="nil"/>
                    <w:tr2bl w:val="nil"/>
                  </w:tcBorders>
                  <w:vAlign w:val="center"/>
                </w:tcPr>
                <w:p w14:paraId="6578E0BC">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r>
            <w:tr w14:paraId="15AB94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7" w:type="pct"/>
                  <w:vMerge w:val="continue"/>
                  <w:tcBorders>
                    <w:tl2br w:val="nil"/>
                    <w:tr2bl w:val="nil"/>
                  </w:tcBorders>
                  <w:vAlign w:val="center"/>
                </w:tcPr>
                <w:p w14:paraId="733E7E33">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28" w:type="pct"/>
                  <w:vMerge w:val="continue"/>
                  <w:tcBorders>
                    <w:tl2br w:val="nil"/>
                    <w:tr2bl w:val="nil"/>
                  </w:tcBorders>
                  <w:vAlign w:val="center"/>
                </w:tcPr>
                <w:p w14:paraId="56CA85F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556" w:type="pct"/>
                  <w:tcBorders>
                    <w:tl2br w:val="nil"/>
                    <w:tr2bl w:val="nil"/>
                  </w:tcBorders>
                  <w:shd w:val="clear" w:color="auto" w:fill="auto"/>
                  <w:vAlign w:val="center"/>
                </w:tcPr>
                <w:p w14:paraId="3F71F4E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第四次</w:t>
                  </w:r>
                </w:p>
              </w:tc>
              <w:tc>
                <w:tcPr>
                  <w:tcW w:w="702" w:type="pct"/>
                  <w:tcBorders>
                    <w:tl2br w:val="nil"/>
                    <w:tr2bl w:val="nil"/>
                  </w:tcBorders>
                  <w:vAlign w:val="center"/>
                </w:tcPr>
                <w:p w14:paraId="11EC7C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0.53</w:t>
                  </w:r>
                </w:p>
              </w:tc>
              <w:tc>
                <w:tcPr>
                  <w:tcW w:w="670" w:type="pct"/>
                  <w:tcBorders>
                    <w:tl2br w:val="nil"/>
                    <w:tr2bl w:val="nil"/>
                  </w:tcBorders>
                  <w:vAlign w:val="center"/>
                </w:tcPr>
                <w:p w14:paraId="20D3D1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0.85</w:t>
                  </w:r>
                </w:p>
              </w:tc>
              <w:tc>
                <w:tcPr>
                  <w:tcW w:w="667" w:type="pct"/>
                  <w:tcBorders>
                    <w:tl2br w:val="nil"/>
                    <w:tr2bl w:val="nil"/>
                  </w:tcBorders>
                  <w:vAlign w:val="center"/>
                </w:tcPr>
                <w:p w14:paraId="0ED204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0.77</w:t>
                  </w:r>
                </w:p>
              </w:tc>
              <w:tc>
                <w:tcPr>
                  <w:tcW w:w="628" w:type="pct"/>
                  <w:tcBorders>
                    <w:tl2br w:val="nil"/>
                    <w:tr2bl w:val="nil"/>
                  </w:tcBorders>
                  <w:vAlign w:val="center"/>
                </w:tcPr>
                <w:p w14:paraId="72C458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0.84</w:t>
                  </w:r>
                </w:p>
              </w:tc>
              <w:tc>
                <w:tcPr>
                  <w:tcW w:w="398" w:type="pct"/>
                  <w:vMerge w:val="continue"/>
                  <w:tcBorders>
                    <w:tl2br w:val="nil"/>
                    <w:tr2bl w:val="nil"/>
                  </w:tcBorders>
                  <w:vAlign w:val="center"/>
                </w:tcPr>
                <w:p w14:paraId="19A29242">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r>
            <w:tr w14:paraId="012D03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7" w:type="pct"/>
                  <w:vMerge w:val="restart"/>
                  <w:tcBorders>
                    <w:tl2br w:val="nil"/>
                    <w:tr2bl w:val="nil"/>
                  </w:tcBorders>
                  <w:vAlign w:val="center"/>
                </w:tcPr>
                <w:p w14:paraId="65FA7D82">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颗粒物</w:t>
                  </w:r>
                </w:p>
              </w:tc>
              <w:tc>
                <w:tcPr>
                  <w:tcW w:w="628" w:type="pct"/>
                  <w:vMerge w:val="restart"/>
                  <w:tcBorders>
                    <w:tl2br w:val="nil"/>
                    <w:tr2bl w:val="nil"/>
                  </w:tcBorders>
                  <w:vAlign w:val="center"/>
                </w:tcPr>
                <w:p w14:paraId="10206C8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202</w:t>
                  </w:r>
                  <w:r>
                    <w:rPr>
                      <w:rFonts w:hint="eastAsia" w:cs="Times New Roman"/>
                      <w:color w:val="auto"/>
                      <w:sz w:val="21"/>
                      <w:szCs w:val="21"/>
                      <w:highlight w:val="none"/>
                      <w:lang w:val="en-US" w:eastAsia="zh-CN"/>
                    </w:rPr>
                    <w:t>6.6.2</w:t>
                  </w:r>
                </w:p>
              </w:tc>
              <w:tc>
                <w:tcPr>
                  <w:tcW w:w="556" w:type="pct"/>
                  <w:tcBorders>
                    <w:tl2br w:val="nil"/>
                    <w:tr2bl w:val="nil"/>
                  </w:tcBorders>
                  <w:shd w:val="clear" w:color="auto" w:fill="auto"/>
                  <w:vAlign w:val="center"/>
                </w:tcPr>
                <w:p w14:paraId="59FB3E5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第一次</w:t>
                  </w:r>
                </w:p>
              </w:tc>
              <w:tc>
                <w:tcPr>
                  <w:tcW w:w="702" w:type="pct"/>
                  <w:tcBorders>
                    <w:tl2br w:val="nil"/>
                    <w:tr2bl w:val="nil"/>
                  </w:tcBorders>
                  <w:vAlign w:val="center"/>
                </w:tcPr>
                <w:p w14:paraId="297159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0.189</w:t>
                  </w:r>
                </w:p>
              </w:tc>
              <w:tc>
                <w:tcPr>
                  <w:tcW w:w="670" w:type="pct"/>
                  <w:tcBorders>
                    <w:tl2br w:val="nil"/>
                    <w:tr2bl w:val="nil"/>
                  </w:tcBorders>
                  <w:vAlign w:val="center"/>
                </w:tcPr>
                <w:p w14:paraId="303C33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0.292</w:t>
                  </w:r>
                </w:p>
              </w:tc>
              <w:tc>
                <w:tcPr>
                  <w:tcW w:w="667" w:type="pct"/>
                  <w:tcBorders>
                    <w:tl2br w:val="nil"/>
                    <w:tr2bl w:val="nil"/>
                  </w:tcBorders>
                  <w:vAlign w:val="center"/>
                </w:tcPr>
                <w:p w14:paraId="49F546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0.288</w:t>
                  </w:r>
                </w:p>
              </w:tc>
              <w:tc>
                <w:tcPr>
                  <w:tcW w:w="628" w:type="pct"/>
                  <w:tcBorders>
                    <w:tl2br w:val="nil"/>
                    <w:tr2bl w:val="nil"/>
                  </w:tcBorders>
                  <w:vAlign w:val="center"/>
                </w:tcPr>
                <w:p w14:paraId="0A4041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0.333</w:t>
                  </w:r>
                </w:p>
              </w:tc>
              <w:tc>
                <w:tcPr>
                  <w:tcW w:w="398" w:type="pct"/>
                  <w:vMerge w:val="restart"/>
                  <w:tcBorders>
                    <w:tl2br w:val="nil"/>
                    <w:tr2bl w:val="nil"/>
                  </w:tcBorders>
                  <w:vAlign w:val="center"/>
                </w:tcPr>
                <w:p w14:paraId="040A136E">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w:t>
                  </w:r>
                </w:p>
              </w:tc>
            </w:tr>
            <w:tr w14:paraId="15FE11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7" w:type="pct"/>
                  <w:vMerge w:val="continue"/>
                  <w:tcBorders>
                    <w:tl2br w:val="nil"/>
                    <w:tr2bl w:val="nil"/>
                  </w:tcBorders>
                  <w:vAlign w:val="center"/>
                </w:tcPr>
                <w:p w14:paraId="3D66EA2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28" w:type="pct"/>
                  <w:vMerge w:val="continue"/>
                  <w:tcBorders>
                    <w:tl2br w:val="nil"/>
                    <w:tr2bl w:val="nil"/>
                  </w:tcBorders>
                  <w:vAlign w:val="center"/>
                </w:tcPr>
                <w:p w14:paraId="28756C3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556" w:type="pct"/>
                  <w:tcBorders>
                    <w:tl2br w:val="nil"/>
                    <w:tr2bl w:val="nil"/>
                  </w:tcBorders>
                  <w:shd w:val="clear" w:color="auto" w:fill="auto"/>
                  <w:vAlign w:val="center"/>
                </w:tcPr>
                <w:p w14:paraId="294933D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第二次</w:t>
                  </w:r>
                </w:p>
              </w:tc>
              <w:tc>
                <w:tcPr>
                  <w:tcW w:w="702" w:type="pct"/>
                  <w:tcBorders>
                    <w:tl2br w:val="nil"/>
                    <w:tr2bl w:val="nil"/>
                  </w:tcBorders>
                  <w:vAlign w:val="center"/>
                </w:tcPr>
                <w:p w14:paraId="6E644F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0.215</w:t>
                  </w:r>
                </w:p>
              </w:tc>
              <w:tc>
                <w:tcPr>
                  <w:tcW w:w="670" w:type="pct"/>
                  <w:tcBorders>
                    <w:tl2br w:val="nil"/>
                    <w:tr2bl w:val="nil"/>
                  </w:tcBorders>
                  <w:vAlign w:val="center"/>
                </w:tcPr>
                <w:p w14:paraId="3F9FD9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0.275</w:t>
                  </w:r>
                </w:p>
              </w:tc>
              <w:tc>
                <w:tcPr>
                  <w:tcW w:w="667" w:type="pct"/>
                  <w:tcBorders>
                    <w:tl2br w:val="nil"/>
                    <w:tr2bl w:val="nil"/>
                  </w:tcBorders>
                  <w:vAlign w:val="center"/>
                </w:tcPr>
                <w:p w14:paraId="09A20E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0.262</w:t>
                  </w:r>
                </w:p>
              </w:tc>
              <w:tc>
                <w:tcPr>
                  <w:tcW w:w="628" w:type="pct"/>
                  <w:tcBorders>
                    <w:tl2br w:val="nil"/>
                    <w:tr2bl w:val="nil"/>
                  </w:tcBorders>
                  <w:vAlign w:val="center"/>
                </w:tcPr>
                <w:p w14:paraId="01B300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0.298</w:t>
                  </w:r>
                </w:p>
              </w:tc>
              <w:tc>
                <w:tcPr>
                  <w:tcW w:w="398" w:type="pct"/>
                  <w:vMerge w:val="continue"/>
                  <w:tcBorders>
                    <w:tl2br w:val="nil"/>
                    <w:tr2bl w:val="nil"/>
                  </w:tcBorders>
                  <w:vAlign w:val="center"/>
                </w:tcPr>
                <w:p w14:paraId="2648890B">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r>
            <w:tr w14:paraId="14AC72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7" w:type="pct"/>
                  <w:vMerge w:val="continue"/>
                  <w:tcBorders>
                    <w:tl2br w:val="nil"/>
                    <w:tr2bl w:val="nil"/>
                  </w:tcBorders>
                  <w:vAlign w:val="center"/>
                </w:tcPr>
                <w:p w14:paraId="067731C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28" w:type="pct"/>
                  <w:vMerge w:val="continue"/>
                  <w:tcBorders>
                    <w:tl2br w:val="nil"/>
                    <w:tr2bl w:val="nil"/>
                  </w:tcBorders>
                  <w:vAlign w:val="center"/>
                </w:tcPr>
                <w:p w14:paraId="2C4643EC">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556" w:type="pct"/>
                  <w:tcBorders>
                    <w:tl2br w:val="nil"/>
                    <w:tr2bl w:val="nil"/>
                  </w:tcBorders>
                  <w:shd w:val="clear" w:color="auto" w:fill="auto"/>
                  <w:vAlign w:val="center"/>
                </w:tcPr>
                <w:p w14:paraId="1503A95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第三次</w:t>
                  </w:r>
                </w:p>
              </w:tc>
              <w:tc>
                <w:tcPr>
                  <w:tcW w:w="702" w:type="pct"/>
                  <w:tcBorders>
                    <w:tl2br w:val="nil"/>
                    <w:tr2bl w:val="nil"/>
                  </w:tcBorders>
                  <w:vAlign w:val="center"/>
                </w:tcPr>
                <w:p w14:paraId="6A364B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0.244</w:t>
                  </w:r>
                </w:p>
              </w:tc>
              <w:tc>
                <w:tcPr>
                  <w:tcW w:w="670" w:type="pct"/>
                  <w:tcBorders>
                    <w:tl2br w:val="nil"/>
                    <w:tr2bl w:val="nil"/>
                  </w:tcBorders>
                  <w:vAlign w:val="center"/>
                </w:tcPr>
                <w:p w14:paraId="7A2E1D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0.255</w:t>
                  </w:r>
                </w:p>
              </w:tc>
              <w:tc>
                <w:tcPr>
                  <w:tcW w:w="667" w:type="pct"/>
                  <w:tcBorders>
                    <w:tl2br w:val="nil"/>
                    <w:tr2bl w:val="nil"/>
                  </w:tcBorders>
                  <w:vAlign w:val="center"/>
                </w:tcPr>
                <w:p w14:paraId="74E8A0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0.312</w:t>
                  </w:r>
                </w:p>
              </w:tc>
              <w:tc>
                <w:tcPr>
                  <w:tcW w:w="628" w:type="pct"/>
                  <w:tcBorders>
                    <w:tl2br w:val="nil"/>
                    <w:tr2bl w:val="nil"/>
                  </w:tcBorders>
                  <w:vAlign w:val="center"/>
                </w:tcPr>
                <w:p w14:paraId="1AE14F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0.270</w:t>
                  </w:r>
                </w:p>
              </w:tc>
              <w:tc>
                <w:tcPr>
                  <w:tcW w:w="398" w:type="pct"/>
                  <w:vMerge w:val="continue"/>
                  <w:tcBorders>
                    <w:tl2br w:val="nil"/>
                    <w:tr2bl w:val="nil"/>
                  </w:tcBorders>
                  <w:vAlign w:val="center"/>
                </w:tcPr>
                <w:p w14:paraId="5BB1928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r>
            <w:tr w14:paraId="3E49CA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7" w:type="pct"/>
                  <w:vMerge w:val="continue"/>
                  <w:tcBorders>
                    <w:tl2br w:val="nil"/>
                    <w:tr2bl w:val="nil"/>
                  </w:tcBorders>
                  <w:vAlign w:val="center"/>
                </w:tcPr>
                <w:p w14:paraId="37C38F74">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28" w:type="pct"/>
                  <w:vMerge w:val="continue"/>
                  <w:tcBorders>
                    <w:tl2br w:val="nil"/>
                    <w:tr2bl w:val="nil"/>
                  </w:tcBorders>
                  <w:vAlign w:val="center"/>
                </w:tcPr>
                <w:p w14:paraId="3AEA8F6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556" w:type="pct"/>
                  <w:tcBorders>
                    <w:tl2br w:val="nil"/>
                    <w:tr2bl w:val="nil"/>
                  </w:tcBorders>
                  <w:shd w:val="clear" w:color="auto" w:fill="auto"/>
                  <w:vAlign w:val="center"/>
                </w:tcPr>
                <w:p w14:paraId="69EF82E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第四次</w:t>
                  </w:r>
                </w:p>
              </w:tc>
              <w:tc>
                <w:tcPr>
                  <w:tcW w:w="702" w:type="pct"/>
                  <w:tcBorders>
                    <w:tl2br w:val="nil"/>
                    <w:tr2bl w:val="nil"/>
                  </w:tcBorders>
                  <w:vAlign w:val="center"/>
                </w:tcPr>
                <w:p w14:paraId="5230D6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0.222</w:t>
                  </w:r>
                </w:p>
              </w:tc>
              <w:tc>
                <w:tcPr>
                  <w:tcW w:w="670" w:type="pct"/>
                  <w:tcBorders>
                    <w:tl2br w:val="nil"/>
                    <w:tr2bl w:val="nil"/>
                  </w:tcBorders>
                  <w:vAlign w:val="center"/>
                </w:tcPr>
                <w:p w14:paraId="775075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0.319</w:t>
                  </w:r>
                </w:p>
              </w:tc>
              <w:tc>
                <w:tcPr>
                  <w:tcW w:w="667" w:type="pct"/>
                  <w:tcBorders>
                    <w:tl2br w:val="nil"/>
                    <w:tr2bl w:val="nil"/>
                  </w:tcBorders>
                  <w:vAlign w:val="center"/>
                </w:tcPr>
                <w:p w14:paraId="0D5768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0.277</w:t>
                  </w:r>
                </w:p>
              </w:tc>
              <w:tc>
                <w:tcPr>
                  <w:tcW w:w="628" w:type="pct"/>
                  <w:tcBorders>
                    <w:tl2br w:val="nil"/>
                    <w:tr2bl w:val="nil"/>
                  </w:tcBorders>
                  <w:vAlign w:val="center"/>
                </w:tcPr>
                <w:p w14:paraId="3CD17A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0.284</w:t>
                  </w:r>
                </w:p>
              </w:tc>
              <w:tc>
                <w:tcPr>
                  <w:tcW w:w="398" w:type="pct"/>
                  <w:vMerge w:val="continue"/>
                  <w:tcBorders>
                    <w:tl2br w:val="nil"/>
                    <w:tr2bl w:val="nil"/>
                  </w:tcBorders>
                  <w:vAlign w:val="center"/>
                </w:tcPr>
                <w:p w14:paraId="42EDAE4E">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r>
          </w:tbl>
          <w:p w14:paraId="52772A68">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shd w:val="clear" w:color="auto" w:fill="auto"/>
                <w:lang w:val="en-US" w:eastAsia="zh-CN"/>
              </w:rPr>
            </w:pPr>
            <w:r>
              <w:rPr>
                <w:rFonts w:hint="eastAsia" w:ascii="Times New Roman" w:hAnsi="Times New Roman" w:eastAsia="宋体" w:cs="Times New Roman"/>
                <w:color w:val="auto"/>
                <w:sz w:val="24"/>
                <w:highlight w:val="none"/>
                <w:shd w:val="clear" w:color="auto" w:fill="auto"/>
                <w:lang w:val="en-US" w:eastAsia="zh-CN"/>
              </w:rPr>
              <w:t>根据以上监测结果可知，现有项目</w:t>
            </w:r>
            <w:r>
              <w:rPr>
                <w:rFonts w:hint="eastAsia" w:ascii="Times New Roman" w:hAnsi="Times New Roman" w:cs="Times New Roman"/>
                <w:color w:val="auto"/>
                <w:sz w:val="24"/>
                <w:highlight w:val="none"/>
                <w:shd w:val="clear" w:color="auto" w:fill="auto"/>
                <w:lang w:val="en-US" w:eastAsia="zh-CN"/>
              </w:rPr>
              <w:t>厂界非甲烷总烃浓度满足</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挥发性有机物排放标准 第2部分：有机化工行业</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D</w:t>
            </w:r>
            <w:r>
              <w:rPr>
                <w:rFonts w:hint="default" w:ascii="Times New Roman" w:hAnsi="Times New Roman" w:cs="Times New Roman"/>
                <w:color w:val="auto"/>
                <w:sz w:val="24"/>
              </w:rPr>
              <w:t>B</w:t>
            </w:r>
            <w:r>
              <w:rPr>
                <w:rFonts w:hint="eastAsia" w:ascii="Times New Roman" w:hAnsi="Times New Roman" w:cs="Times New Roman"/>
                <w:color w:val="auto"/>
                <w:sz w:val="24"/>
                <w:lang w:val="en-US" w:eastAsia="zh-CN"/>
              </w:rPr>
              <w:t xml:space="preserve"> 36/1101.2-2019</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标准要求，</w:t>
            </w:r>
            <w:r>
              <w:rPr>
                <w:rFonts w:hint="eastAsia" w:ascii="Times New Roman" w:hAnsi="Times New Roman" w:cs="Times New Roman"/>
                <w:color w:val="auto"/>
                <w:sz w:val="24"/>
                <w:highlight w:val="none"/>
                <w:shd w:val="clear" w:color="auto" w:fill="auto"/>
                <w:lang w:val="en-US" w:eastAsia="zh-CN"/>
              </w:rPr>
              <w:t>厂界</w:t>
            </w:r>
            <w:r>
              <w:rPr>
                <w:rFonts w:hint="eastAsia" w:cs="Times New Roman"/>
                <w:color w:val="auto"/>
                <w:sz w:val="24"/>
                <w:highlight w:val="none"/>
                <w:shd w:val="clear" w:color="auto" w:fill="auto"/>
                <w:lang w:val="en-US" w:eastAsia="zh-CN"/>
              </w:rPr>
              <w:t>颗粒物</w:t>
            </w:r>
            <w:r>
              <w:rPr>
                <w:rFonts w:hint="eastAsia" w:ascii="Times New Roman" w:hAnsi="Times New Roman" w:cs="Times New Roman"/>
                <w:color w:val="auto"/>
                <w:sz w:val="24"/>
                <w:highlight w:val="none"/>
                <w:shd w:val="clear" w:color="auto" w:fill="auto"/>
                <w:lang w:val="en-US" w:eastAsia="zh-CN"/>
              </w:rPr>
              <w:t>浓度满足</w:t>
            </w:r>
            <w:r>
              <w:rPr>
                <w:rFonts w:hint="default" w:ascii="Times New Roman" w:hAnsi="Times New Roman" w:cs="Times New Roman"/>
                <w:color w:val="auto"/>
                <w:sz w:val="24"/>
              </w:rPr>
              <w:t>《大气污染物综合排放标准》（GB16297-1996）</w:t>
            </w:r>
            <w:r>
              <w:rPr>
                <w:rFonts w:hint="eastAsia" w:cs="Times New Roman"/>
                <w:color w:val="auto"/>
                <w:sz w:val="24"/>
                <w:lang w:val="en-US" w:eastAsia="zh-CN"/>
              </w:rPr>
              <w:t>标准</w:t>
            </w:r>
            <w:r>
              <w:rPr>
                <w:rFonts w:hint="eastAsia" w:ascii="Times New Roman" w:hAnsi="Times New Roman" w:cs="Times New Roman"/>
                <w:color w:val="auto"/>
                <w:sz w:val="24"/>
                <w:lang w:val="en-US" w:eastAsia="zh-CN"/>
              </w:rPr>
              <w:t>要求。</w:t>
            </w:r>
          </w:p>
          <w:p w14:paraId="37FD9F4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shd w:val="clear" w:color="auto" w:fill="auto"/>
                <w:lang w:val="en-US" w:eastAsia="zh-CN"/>
              </w:rPr>
            </w:pPr>
            <w:r>
              <w:rPr>
                <w:rFonts w:hint="eastAsia" w:ascii="Times New Roman" w:hAnsi="Times New Roman" w:eastAsia="宋体" w:cs="Times New Roman"/>
                <w:color w:val="auto"/>
                <w:sz w:val="24"/>
                <w:highlight w:val="none"/>
                <w:shd w:val="clear" w:color="auto" w:fill="auto"/>
                <w:lang w:val="en-US" w:eastAsia="zh-CN"/>
              </w:rPr>
              <w:t>2）废水</w:t>
            </w:r>
          </w:p>
          <w:p w14:paraId="09A9D90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shd w:val="clear" w:color="auto" w:fill="auto"/>
                <w:lang w:val="en-US" w:eastAsia="zh-CN"/>
              </w:rPr>
            </w:pPr>
            <w:r>
              <w:rPr>
                <w:rFonts w:hint="eastAsia" w:ascii="Times New Roman" w:hAnsi="Times New Roman" w:eastAsia="宋体" w:cs="Times New Roman"/>
                <w:color w:val="auto"/>
                <w:sz w:val="24"/>
                <w:highlight w:val="none"/>
                <w:shd w:val="clear" w:color="auto" w:fill="auto"/>
                <w:lang w:val="en-US" w:eastAsia="zh-CN"/>
              </w:rPr>
              <w:t>现有项目生产过程中不产生废水，废水主要来源于员工办公生活过程中产生生活污水。</w:t>
            </w:r>
            <w:r>
              <w:rPr>
                <w:rFonts w:hint="eastAsia" w:ascii="Times New Roman" w:hAnsi="Times New Roman" w:cs="Times New Roman"/>
                <w:color w:val="auto"/>
                <w:sz w:val="24"/>
                <w:highlight w:val="none"/>
                <w:shd w:val="clear" w:color="auto" w:fill="auto"/>
                <w:lang w:val="en-US" w:eastAsia="zh-CN"/>
              </w:rPr>
              <w:t>项目生活污水经</w:t>
            </w:r>
            <w:r>
              <w:rPr>
                <w:rFonts w:hint="eastAsia" w:cs="Times New Roman"/>
                <w:color w:val="auto"/>
                <w:sz w:val="24"/>
                <w:highlight w:val="none"/>
                <w:shd w:val="clear" w:color="auto" w:fill="auto"/>
                <w:lang w:val="en-US" w:eastAsia="zh-CN"/>
              </w:rPr>
              <w:t>隔油池+</w:t>
            </w:r>
            <w:r>
              <w:rPr>
                <w:rFonts w:hint="eastAsia" w:ascii="Times New Roman" w:hAnsi="Times New Roman" w:cs="Times New Roman"/>
                <w:color w:val="auto"/>
                <w:sz w:val="24"/>
                <w:lang w:val="en-US" w:eastAsia="zh-CN"/>
              </w:rPr>
              <w:t>化粪池处理后排入</w:t>
            </w:r>
            <w:r>
              <w:rPr>
                <w:rFonts w:hint="eastAsia" w:cs="Times New Roman"/>
                <w:color w:val="auto"/>
                <w:kern w:val="0"/>
                <w:sz w:val="24"/>
                <w:highlight w:val="none"/>
                <w:lang w:val="en-US" w:eastAsia="zh-CN"/>
              </w:rPr>
              <w:t>江西安义高新技术产业园区污水处理厂</w:t>
            </w:r>
            <w:r>
              <w:rPr>
                <w:rFonts w:hint="default" w:ascii="Times New Roman" w:hAnsi="Times New Roman" w:cs="Times New Roman"/>
                <w:color w:val="auto"/>
                <w:highlight w:val="none"/>
              </w:rPr>
              <w:t>，最终排至</w:t>
            </w:r>
            <w:r>
              <w:rPr>
                <w:rFonts w:hint="eastAsia" w:cs="Times New Roman"/>
                <w:color w:val="auto"/>
                <w:highlight w:val="none"/>
                <w:lang w:val="en-US" w:eastAsia="zh-CN"/>
              </w:rPr>
              <w:t>潦河</w:t>
            </w:r>
            <w:r>
              <w:rPr>
                <w:rFonts w:hint="default" w:ascii="Times New Roman" w:hAnsi="Times New Roman" w:cs="Times New Roman"/>
                <w:color w:val="auto"/>
                <w:highlight w:val="none"/>
                <w:lang w:eastAsia="zh-CN"/>
              </w:rPr>
              <w:t>。</w:t>
            </w:r>
          </w:p>
          <w:p w14:paraId="6158884F">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shd w:val="clear" w:color="auto" w:fill="auto"/>
                <w:lang w:val="en-US" w:eastAsia="zh-CN"/>
              </w:rPr>
            </w:pPr>
            <w:r>
              <w:rPr>
                <w:rFonts w:hint="eastAsia" w:ascii="Times New Roman" w:hAnsi="Times New Roman" w:cs="Times New Roman"/>
                <w:b w:val="0"/>
                <w:bCs w:val="0"/>
                <w:color w:val="auto"/>
                <w:sz w:val="24"/>
                <w:highlight w:val="none"/>
                <w:lang w:val="en-US" w:eastAsia="zh-CN"/>
              </w:rPr>
              <w:t>现有项目</w:t>
            </w:r>
            <w:r>
              <w:rPr>
                <w:rFonts w:hint="eastAsia" w:cs="Times New Roman"/>
                <w:b w:val="0"/>
                <w:bCs w:val="0"/>
                <w:color w:val="auto"/>
                <w:sz w:val="24"/>
                <w:highlight w:val="none"/>
                <w:lang w:val="en-US" w:eastAsia="zh-CN"/>
              </w:rPr>
              <w:t>生活污水排放口</w:t>
            </w:r>
            <w:r>
              <w:rPr>
                <w:rFonts w:hint="default" w:ascii="Times New Roman" w:hAnsi="Times New Roman" w:cs="Times New Roman"/>
                <w:color w:val="auto"/>
                <w:highlight w:val="none"/>
              </w:rPr>
              <w:t>排放达标情况</w:t>
            </w:r>
            <w:r>
              <w:rPr>
                <w:rFonts w:hint="eastAsia" w:ascii="Times New Roman" w:hAnsi="Times New Roman" w:cs="Times New Roman"/>
                <w:color w:val="auto"/>
                <w:highlight w:val="none"/>
                <w:lang w:val="en-US" w:eastAsia="zh-CN"/>
              </w:rPr>
              <w:t>见</w:t>
            </w:r>
            <w:r>
              <w:rPr>
                <w:rFonts w:hint="default" w:ascii="Times New Roman" w:hAnsi="Times New Roman" w:cs="Times New Roman"/>
                <w:color w:val="auto"/>
                <w:highlight w:val="none"/>
              </w:rPr>
              <w:t>表</w:t>
            </w:r>
            <w:r>
              <w:rPr>
                <w:rFonts w:hint="eastAsia" w:ascii="Times New Roman" w:hAnsi="Times New Roman" w:cs="Times New Roman"/>
                <w:color w:val="auto"/>
                <w:highlight w:val="none"/>
                <w:lang w:val="en-US" w:eastAsia="zh-CN"/>
              </w:rPr>
              <w:t>2-1</w:t>
            </w:r>
            <w:r>
              <w:rPr>
                <w:rFonts w:hint="eastAsia" w:cs="Times New Roman"/>
                <w:color w:val="auto"/>
                <w:highlight w:val="none"/>
                <w:lang w:val="en-US" w:eastAsia="zh-CN"/>
              </w:rPr>
              <w:t>8</w:t>
            </w:r>
            <w:r>
              <w:rPr>
                <w:rFonts w:hint="default" w:ascii="Times New Roman" w:hAnsi="Times New Roman" w:cs="Times New Roman"/>
                <w:color w:val="auto"/>
                <w:highlight w:val="none"/>
              </w:rPr>
              <w:t>。</w:t>
            </w:r>
          </w:p>
          <w:p w14:paraId="7070DDA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240" w:lineRule="auto"/>
              <w:ind w:left="0" w:right="0"/>
              <w:jc w:val="center"/>
              <w:textAlignment w:val="auto"/>
              <w:rPr>
                <w:rFonts w:hint="default" w:ascii="Times New Roman" w:hAnsi="Times New Roman" w:eastAsia="宋体" w:cs="Times New Roman"/>
                <w:b/>
                <w:color w:val="auto"/>
                <w:kern w:val="2"/>
                <w:sz w:val="21"/>
                <w:szCs w:val="20"/>
                <w:highlight w:val="none"/>
                <w:lang w:val="en-US" w:eastAsia="zh-CN" w:bidi="ar-SA"/>
              </w:rPr>
            </w:pPr>
            <w:r>
              <w:rPr>
                <w:rFonts w:hint="default" w:ascii="Times New Roman" w:hAnsi="Times New Roman" w:eastAsia="宋体" w:cs="Times New Roman"/>
                <w:b/>
                <w:color w:val="auto"/>
                <w:kern w:val="2"/>
                <w:sz w:val="21"/>
                <w:szCs w:val="20"/>
                <w:highlight w:val="none"/>
                <w:lang w:val="en-US" w:eastAsia="zh-CN" w:bidi="ar-SA"/>
              </w:rPr>
              <w:t>表</w:t>
            </w:r>
            <w:r>
              <w:rPr>
                <w:rFonts w:hint="eastAsia" w:ascii="Times New Roman" w:hAnsi="Times New Roman" w:eastAsia="宋体" w:cs="Times New Roman"/>
                <w:b/>
                <w:color w:val="auto"/>
                <w:kern w:val="2"/>
                <w:sz w:val="21"/>
                <w:szCs w:val="20"/>
                <w:highlight w:val="none"/>
                <w:lang w:val="en-US" w:eastAsia="zh-CN" w:bidi="ar-SA"/>
              </w:rPr>
              <w:t>2</w:t>
            </w:r>
            <w:r>
              <w:rPr>
                <w:rFonts w:hint="default" w:ascii="Times New Roman" w:hAnsi="Times New Roman" w:eastAsia="宋体" w:cs="Times New Roman"/>
                <w:b/>
                <w:color w:val="auto"/>
                <w:kern w:val="2"/>
                <w:sz w:val="21"/>
                <w:szCs w:val="20"/>
                <w:highlight w:val="none"/>
                <w:lang w:val="en-US" w:eastAsia="zh-CN" w:bidi="ar-SA"/>
              </w:rPr>
              <w:t>-</w:t>
            </w:r>
            <w:r>
              <w:rPr>
                <w:rFonts w:hint="eastAsia" w:ascii="Times New Roman" w:hAnsi="Times New Roman" w:cs="Times New Roman"/>
                <w:b/>
                <w:color w:val="auto"/>
                <w:kern w:val="2"/>
                <w:sz w:val="21"/>
                <w:szCs w:val="20"/>
                <w:highlight w:val="none"/>
                <w:lang w:val="en-US" w:eastAsia="zh-CN" w:bidi="ar-SA"/>
              </w:rPr>
              <w:t>1</w:t>
            </w:r>
            <w:r>
              <w:rPr>
                <w:rFonts w:hint="eastAsia" w:cs="Times New Roman"/>
                <w:b/>
                <w:color w:val="auto"/>
                <w:kern w:val="2"/>
                <w:sz w:val="21"/>
                <w:szCs w:val="20"/>
                <w:highlight w:val="none"/>
                <w:lang w:val="en-US" w:eastAsia="zh-CN" w:bidi="ar-SA"/>
              </w:rPr>
              <w:t>8</w:t>
            </w:r>
            <w:r>
              <w:rPr>
                <w:rFonts w:hint="eastAsia" w:ascii="Times New Roman" w:hAnsi="Times New Roman" w:eastAsia="宋体" w:cs="Times New Roman"/>
                <w:b/>
                <w:color w:val="auto"/>
                <w:kern w:val="2"/>
                <w:sz w:val="21"/>
                <w:szCs w:val="20"/>
                <w:highlight w:val="none"/>
                <w:lang w:val="en-US" w:eastAsia="zh-CN" w:bidi="ar-SA"/>
              </w:rPr>
              <w:t xml:space="preserve"> </w:t>
            </w:r>
            <w:r>
              <w:rPr>
                <w:rFonts w:hint="default" w:ascii="Times New Roman" w:hAnsi="Times New Roman" w:eastAsia="宋体" w:cs="Times New Roman"/>
                <w:b/>
                <w:color w:val="auto"/>
                <w:kern w:val="2"/>
                <w:sz w:val="21"/>
                <w:szCs w:val="20"/>
                <w:highlight w:val="none"/>
                <w:lang w:val="en-US" w:eastAsia="zh-CN" w:bidi="ar-SA"/>
              </w:rPr>
              <w:t xml:space="preserve"> 生活污水</w:t>
            </w:r>
            <w:r>
              <w:rPr>
                <w:rFonts w:hint="eastAsia" w:cs="Times New Roman"/>
                <w:b/>
                <w:color w:val="auto"/>
                <w:kern w:val="2"/>
                <w:sz w:val="21"/>
                <w:szCs w:val="20"/>
                <w:highlight w:val="none"/>
                <w:lang w:val="en-US" w:eastAsia="zh-CN" w:bidi="ar-SA"/>
              </w:rPr>
              <w:t>排放口</w:t>
            </w:r>
            <w:r>
              <w:rPr>
                <w:rFonts w:hint="eastAsia" w:ascii="Times New Roman" w:hAnsi="Times New Roman" w:eastAsia="宋体" w:cs="Times New Roman"/>
                <w:b/>
                <w:color w:val="auto"/>
                <w:kern w:val="2"/>
                <w:sz w:val="21"/>
                <w:szCs w:val="20"/>
                <w:highlight w:val="none"/>
                <w:lang w:val="en-US" w:eastAsia="zh-CN" w:bidi="ar-SA"/>
              </w:rPr>
              <w:t>监测</w:t>
            </w:r>
            <w:r>
              <w:rPr>
                <w:rFonts w:hint="default" w:ascii="Times New Roman" w:hAnsi="Times New Roman" w:eastAsia="宋体" w:cs="Times New Roman"/>
                <w:b/>
                <w:color w:val="auto"/>
                <w:kern w:val="2"/>
                <w:sz w:val="21"/>
                <w:szCs w:val="20"/>
                <w:highlight w:val="none"/>
                <w:lang w:val="en-US" w:eastAsia="zh-CN" w:bidi="ar-SA"/>
              </w:rPr>
              <w:t>结果一览表（单位：mg/L，</w:t>
            </w:r>
            <w:r>
              <w:rPr>
                <w:rFonts w:hint="eastAsia" w:ascii="Times New Roman" w:hAnsi="Times New Roman" w:eastAsia="宋体" w:cs="Times New Roman"/>
                <w:b/>
                <w:color w:val="auto"/>
                <w:kern w:val="2"/>
                <w:sz w:val="21"/>
                <w:szCs w:val="20"/>
                <w:highlight w:val="none"/>
                <w:lang w:val="en-US" w:eastAsia="zh-CN" w:bidi="ar-SA"/>
              </w:rPr>
              <w:t>pH值无量纲</w:t>
            </w:r>
            <w:r>
              <w:rPr>
                <w:rFonts w:hint="default" w:ascii="Times New Roman" w:hAnsi="Times New Roman" w:eastAsia="宋体" w:cs="Times New Roman"/>
                <w:b/>
                <w:color w:val="auto"/>
                <w:kern w:val="2"/>
                <w:sz w:val="21"/>
                <w:szCs w:val="20"/>
                <w:highlight w:val="none"/>
                <w:lang w:val="en-US" w:eastAsia="zh-CN" w:bidi="ar-SA"/>
              </w:rPr>
              <w:t>）</w:t>
            </w:r>
          </w:p>
          <w:tbl>
            <w:tblPr>
              <w:tblStyle w:val="3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32"/>
              <w:gridCol w:w="1252"/>
              <w:gridCol w:w="1193"/>
              <w:gridCol w:w="1097"/>
              <w:gridCol w:w="1360"/>
              <w:gridCol w:w="1381"/>
              <w:gridCol w:w="709"/>
              <w:gridCol w:w="665"/>
            </w:tblGrid>
            <w:tr w14:paraId="378287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32" w:type="dxa"/>
                  <w:vMerge w:val="restart"/>
                  <w:vAlign w:val="center"/>
                </w:tcPr>
                <w:p w14:paraId="4288451C">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highlight w:val="none"/>
                    </w:rPr>
                  </w:pPr>
                  <w:r>
                    <w:rPr>
                      <w:rFonts w:hint="eastAsia" w:ascii="Times New Roman" w:hAnsi="Times New Roman" w:cs="Times New Roman"/>
                      <w:b/>
                      <w:bCs/>
                      <w:color w:val="auto"/>
                      <w:sz w:val="21"/>
                      <w:szCs w:val="21"/>
                      <w:highlight w:val="none"/>
                    </w:rPr>
                    <w:t>检</w:t>
                  </w:r>
                  <w:r>
                    <w:rPr>
                      <w:rFonts w:hint="default" w:ascii="Times New Roman" w:hAnsi="Times New Roman" w:cs="Times New Roman"/>
                      <w:b/>
                      <w:bCs/>
                      <w:color w:val="auto"/>
                      <w:sz w:val="21"/>
                      <w:szCs w:val="21"/>
                      <w:highlight w:val="none"/>
                    </w:rPr>
                    <w:t>测</w:t>
                  </w:r>
                </w:p>
                <w:p w14:paraId="37998AB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highlight w:val="none"/>
                    </w:rPr>
                  </w:pPr>
                  <w:r>
                    <w:rPr>
                      <w:rFonts w:hint="eastAsia" w:ascii="Times New Roman" w:hAnsi="Times New Roman" w:cs="Times New Roman"/>
                      <w:b/>
                      <w:bCs/>
                      <w:color w:val="auto"/>
                      <w:sz w:val="21"/>
                      <w:szCs w:val="21"/>
                      <w:highlight w:val="none"/>
                    </w:rPr>
                    <w:t>点位</w:t>
                  </w:r>
                </w:p>
              </w:tc>
              <w:tc>
                <w:tcPr>
                  <w:tcW w:w="1252" w:type="dxa"/>
                  <w:vMerge w:val="restart"/>
                  <w:vAlign w:val="center"/>
                </w:tcPr>
                <w:p w14:paraId="67883FF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highlight w:val="none"/>
                    </w:rPr>
                  </w:pPr>
                  <w:r>
                    <w:rPr>
                      <w:rFonts w:hint="eastAsia" w:ascii="Times New Roman" w:hAnsi="Times New Roman" w:cs="Times New Roman"/>
                      <w:b/>
                      <w:bCs/>
                      <w:color w:val="auto"/>
                      <w:sz w:val="21"/>
                      <w:szCs w:val="21"/>
                      <w:highlight w:val="none"/>
                    </w:rPr>
                    <w:t>检</w:t>
                  </w:r>
                  <w:r>
                    <w:rPr>
                      <w:rFonts w:hint="default" w:ascii="Times New Roman" w:hAnsi="Times New Roman" w:cs="Times New Roman"/>
                      <w:b/>
                      <w:bCs/>
                      <w:color w:val="auto"/>
                      <w:sz w:val="21"/>
                      <w:szCs w:val="21"/>
                      <w:highlight w:val="none"/>
                    </w:rPr>
                    <w:t>测</w:t>
                  </w:r>
                  <w:r>
                    <w:rPr>
                      <w:rFonts w:hint="eastAsia" w:ascii="Times New Roman" w:hAnsi="Times New Roman" w:cs="Times New Roman"/>
                      <w:b/>
                      <w:bCs/>
                      <w:color w:val="auto"/>
                      <w:sz w:val="21"/>
                      <w:szCs w:val="21"/>
                      <w:highlight w:val="none"/>
                    </w:rPr>
                    <w:t>项目</w:t>
                  </w:r>
                </w:p>
              </w:tc>
              <w:tc>
                <w:tcPr>
                  <w:tcW w:w="1193" w:type="dxa"/>
                  <w:vMerge w:val="restart"/>
                  <w:vAlign w:val="center"/>
                </w:tcPr>
                <w:p w14:paraId="7382C254">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highlight w:val="none"/>
                    </w:rPr>
                  </w:pPr>
                  <w:r>
                    <w:rPr>
                      <w:rFonts w:hint="eastAsia" w:ascii="Times New Roman" w:hAnsi="Times New Roman" w:cs="Times New Roman"/>
                      <w:b/>
                      <w:bCs/>
                      <w:color w:val="auto"/>
                      <w:sz w:val="21"/>
                      <w:szCs w:val="21"/>
                      <w:highlight w:val="none"/>
                    </w:rPr>
                    <w:t>检</w:t>
                  </w:r>
                  <w:r>
                    <w:rPr>
                      <w:rFonts w:hint="default" w:ascii="Times New Roman" w:hAnsi="Times New Roman" w:cs="Times New Roman"/>
                      <w:b/>
                      <w:bCs/>
                      <w:color w:val="auto"/>
                      <w:sz w:val="21"/>
                      <w:szCs w:val="21"/>
                      <w:highlight w:val="none"/>
                    </w:rPr>
                    <w:t>测时间</w:t>
                  </w:r>
                </w:p>
              </w:tc>
              <w:tc>
                <w:tcPr>
                  <w:tcW w:w="3838" w:type="dxa"/>
                  <w:gridSpan w:val="3"/>
                  <w:vAlign w:val="center"/>
                </w:tcPr>
                <w:p w14:paraId="12A8ADC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highlight w:val="none"/>
                    </w:rPr>
                  </w:pPr>
                  <w:r>
                    <w:rPr>
                      <w:rFonts w:hint="eastAsia" w:ascii="Times New Roman" w:hAnsi="Times New Roman" w:cs="Times New Roman"/>
                      <w:b/>
                      <w:bCs/>
                      <w:color w:val="auto"/>
                      <w:sz w:val="21"/>
                      <w:szCs w:val="21"/>
                      <w:highlight w:val="none"/>
                    </w:rPr>
                    <w:t>检测结果</w:t>
                  </w:r>
                </w:p>
              </w:tc>
              <w:tc>
                <w:tcPr>
                  <w:tcW w:w="709" w:type="dxa"/>
                  <w:vMerge w:val="restart"/>
                  <w:vAlign w:val="center"/>
                </w:tcPr>
                <w:p w14:paraId="6B9CB68B">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标准限值</w:t>
                  </w:r>
                </w:p>
              </w:tc>
              <w:tc>
                <w:tcPr>
                  <w:tcW w:w="665" w:type="dxa"/>
                  <w:vMerge w:val="restart"/>
                  <w:vAlign w:val="center"/>
                </w:tcPr>
                <w:p w14:paraId="1266497C">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达标情况</w:t>
                  </w:r>
                </w:p>
              </w:tc>
            </w:tr>
            <w:tr w14:paraId="1E7040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32" w:type="dxa"/>
                  <w:vMerge w:val="continue"/>
                  <w:tcBorders>
                    <w:bottom w:val="single" w:color="auto" w:sz="12" w:space="0"/>
                  </w:tcBorders>
                  <w:vAlign w:val="center"/>
                </w:tcPr>
                <w:p w14:paraId="068F439E">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ascii="Times New Roman" w:hAnsi="Times New Roman" w:cs="Times New Roman"/>
                      <w:b/>
                      <w:bCs/>
                      <w:color w:val="auto"/>
                      <w:sz w:val="21"/>
                      <w:szCs w:val="21"/>
                      <w:highlight w:val="none"/>
                    </w:rPr>
                  </w:pPr>
                </w:p>
              </w:tc>
              <w:tc>
                <w:tcPr>
                  <w:tcW w:w="1252" w:type="dxa"/>
                  <w:vMerge w:val="continue"/>
                  <w:tcBorders>
                    <w:bottom w:val="single" w:color="auto" w:sz="12" w:space="0"/>
                  </w:tcBorders>
                  <w:vAlign w:val="center"/>
                </w:tcPr>
                <w:p w14:paraId="1256CD23">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highlight w:val="none"/>
                    </w:rPr>
                  </w:pPr>
                </w:p>
              </w:tc>
              <w:tc>
                <w:tcPr>
                  <w:tcW w:w="1193" w:type="dxa"/>
                  <w:vMerge w:val="continue"/>
                  <w:tcBorders>
                    <w:bottom w:val="single" w:color="auto" w:sz="12" w:space="0"/>
                  </w:tcBorders>
                  <w:vAlign w:val="center"/>
                </w:tcPr>
                <w:p w14:paraId="62B4FD12">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highlight w:val="none"/>
                    </w:rPr>
                  </w:pPr>
                </w:p>
              </w:tc>
              <w:tc>
                <w:tcPr>
                  <w:tcW w:w="1097" w:type="dxa"/>
                  <w:tcBorders>
                    <w:bottom w:val="single" w:color="auto" w:sz="12" w:space="0"/>
                  </w:tcBorders>
                  <w:vAlign w:val="center"/>
                </w:tcPr>
                <w:p w14:paraId="6E57FB7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b/>
                      <w:bCs/>
                      <w:color w:val="auto"/>
                      <w:sz w:val="21"/>
                      <w:szCs w:val="21"/>
                      <w:highlight w:val="none"/>
                      <w:lang w:eastAsia="zh-CN"/>
                    </w:rPr>
                  </w:pPr>
                  <w:r>
                    <w:rPr>
                      <w:rFonts w:hint="eastAsia" w:cs="Times New Roman"/>
                      <w:b/>
                      <w:bCs/>
                      <w:color w:val="auto"/>
                      <w:sz w:val="21"/>
                      <w:szCs w:val="21"/>
                      <w:highlight w:val="none"/>
                      <w:lang w:val="en-US" w:eastAsia="zh-CN"/>
                    </w:rPr>
                    <w:t>第一次</w:t>
                  </w:r>
                </w:p>
              </w:tc>
              <w:tc>
                <w:tcPr>
                  <w:tcW w:w="1360" w:type="dxa"/>
                  <w:tcBorders>
                    <w:bottom w:val="single" w:color="auto" w:sz="12" w:space="0"/>
                  </w:tcBorders>
                  <w:vAlign w:val="center"/>
                </w:tcPr>
                <w:p w14:paraId="49C4543E">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b/>
                      <w:bCs/>
                      <w:color w:val="auto"/>
                      <w:sz w:val="21"/>
                      <w:szCs w:val="21"/>
                      <w:highlight w:val="none"/>
                      <w:lang w:eastAsia="zh-CN"/>
                    </w:rPr>
                  </w:pPr>
                  <w:r>
                    <w:rPr>
                      <w:rFonts w:hint="eastAsia" w:cs="Times New Roman"/>
                      <w:b/>
                      <w:bCs/>
                      <w:color w:val="auto"/>
                      <w:sz w:val="21"/>
                      <w:szCs w:val="21"/>
                      <w:highlight w:val="none"/>
                      <w:lang w:val="en-US" w:eastAsia="zh-CN"/>
                    </w:rPr>
                    <w:t>第二次</w:t>
                  </w:r>
                </w:p>
              </w:tc>
              <w:tc>
                <w:tcPr>
                  <w:tcW w:w="1381" w:type="dxa"/>
                  <w:tcBorders>
                    <w:bottom w:val="single" w:color="auto" w:sz="12" w:space="0"/>
                  </w:tcBorders>
                  <w:vAlign w:val="center"/>
                </w:tcPr>
                <w:p w14:paraId="5259938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b/>
                      <w:bCs/>
                      <w:color w:val="auto"/>
                      <w:sz w:val="21"/>
                      <w:szCs w:val="21"/>
                      <w:highlight w:val="none"/>
                      <w:lang w:eastAsia="zh-CN"/>
                    </w:rPr>
                  </w:pPr>
                  <w:r>
                    <w:rPr>
                      <w:rFonts w:hint="eastAsia" w:cs="Times New Roman"/>
                      <w:b/>
                      <w:bCs/>
                      <w:color w:val="auto"/>
                      <w:sz w:val="21"/>
                      <w:szCs w:val="21"/>
                      <w:highlight w:val="none"/>
                      <w:lang w:val="en-US" w:eastAsia="zh-CN"/>
                    </w:rPr>
                    <w:t>第三次</w:t>
                  </w:r>
                </w:p>
              </w:tc>
              <w:tc>
                <w:tcPr>
                  <w:tcW w:w="709" w:type="dxa"/>
                  <w:vMerge w:val="continue"/>
                  <w:tcBorders>
                    <w:bottom w:val="single" w:color="auto" w:sz="12" w:space="0"/>
                  </w:tcBorders>
                  <w:vAlign w:val="center"/>
                </w:tcPr>
                <w:p w14:paraId="3A67097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highlight w:val="none"/>
                    </w:rPr>
                  </w:pPr>
                </w:p>
              </w:tc>
              <w:tc>
                <w:tcPr>
                  <w:tcW w:w="665" w:type="dxa"/>
                  <w:vMerge w:val="continue"/>
                  <w:tcBorders>
                    <w:bottom w:val="single" w:color="auto" w:sz="12" w:space="0"/>
                  </w:tcBorders>
                  <w:vAlign w:val="center"/>
                </w:tcPr>
                <w:p w14:paraId="64F77DBC">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highlight w:val="none"/>
                    </w:rPr>
                  </w:pPr>
                </w:p>
              </w:tc>
            </w:tr>
            <w:tr w14:paraId="1F6F14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32" w:type="dxa"/>
                  <w:vMerge w:val="restart"/>
                  <w:tcBorders>
                    <w:top w:val="single" w:color="auto" w:sz="12" w:space="0"/>
                    <w:tl2br w:val="nil"/>
                    <w:tr2bl w:val="nil"/>
                  </w:tcBorders>
                  <w:vAlign w:val="center"/>
                </w:tcPr>
                <w:p w14:paraId="54C713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生活污水</w:t>
                  </w:r>
                  <w:r>
                    <w:rPr>
                      <w:rFonts w:hint="default" w:ascii="Times New Roman" w:hAnsi="Times New Roman" w:eastAsia="宋体" w:cs="Times New Roman"/>
                      <w:color w:val="auto"/>
                      <w:sz w:val="21"/>
                      <w:szCs w:val="21"/>
                      <w:lang w:val="en-US" w:eastAsia="zh-CN"/>
                    </w:rPr>
                    <w:t>排放口</w:t>
                  </w:r>
                </w:p>
              </w:tc>
              <w:tc>
                <w:tcPr>
                  <w:tcW w:w="1252" w:type="dxa"/>
                  <w:tcBorders>
                    <w:top w:val="single" w:color="auto" w:sz="12" w:space="0"/>
                    <w:tl2br w:val="nil"/>
                    <w:tr2bl w:val="nil"/>
                  </w:tcBorders>
                  <w:vAlign w:val="center"/>
                </w:tcPr>
                <w:p w14:paraId="0B0A92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pH</w:t>
                  </w:r>
                </w:p>
              </w:tc>
              <w:tc>
                <w:tcPr>
                  <w:tcW w:w="1193" w:type="dxa"/>
                  <w:tcBorders>
                    <w:top w:val="single" w:color="auto" w:sz="12" w:space="0"/>
                    <w:tl2br w:val="nil"/>
                    <w:tr2bl w:val="nil"/>
                  </w:tcBorders>
                  <w:vAlign w:val="center"/>
                </w:tcPr>
                <w:p w14:paraId="1F0041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202</w:t>
                  </w:r>
                  <w:r>
                    <w:rPr>
                      <w:rFonts w:hint="eastAsia" w:cs="Times New Roman"/>
                      <w:color w:val="auto"/>
                      <w:sz w:val="21"/>
                      <w:szCs w:val="21"/>
                      <w:lang w:val="en-US" w:eastAsia="zh-CN"/>
                    </w:rPr>
                    <w:t>6</w:t>
                  </w:r>
                  <w:r>
                    <w:rPr>
                      <w:rFonts w:hint="default"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3</w:t>
                  </w:r>
                </w:p>
              </w:tc>
              <w:tc>
                <w:tcPr>
                  <w:tcW w:w="1097" w:type="dxa"/>
                  <w:tcBorders>
                    <w:top w:val="single" w:color="auto" w:sz="12" w:space="0"/>
                    <w:tl2br w:val="nil"/>
                    <w:tr2bl w:val="nil"/>
                  </w:tcBorders>
                  <w:vAlign w:val="center"/>
                </w:tcPr>
                <w:p w14:paraId="664703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7.2</w:t>
                  </w:r>
                </w:p>
              </w:tc>
              <w:tc>
                <w:tcPr>
                  <w:tcW w:w="1360" w:type="dxa"/>
                  <w:tcBorders>
                    <w:top w:val="single" w:color="auto" w:sz="12" w:space="0"/>
                    <w:tl2br w:val="nil"/>
                    <w:tr2bl w:val="nil"/>
                  </w:tcBorders>
                  <w:vAlign w:val="center"/>
                </w:tcPr>
                <w:p w14:paraId="3B4A99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kern w:val="2"/>
                      <w:sz w:val="21"/>
                      <w:szCs w:val="21"/>
                      <w:lang w:val="en-US" w:eastAsia="zh-CN" w:bidi="ar-SA"/>
                    </w:rPr>
                    <w:t>7.1</w:t>
                  </w:r>
                </w:p>
              </w:tc>
              <w:tc>
                <w:tcPr>
                  <w:tcW w:w="1381" w:type="dxa"/>
                  <w:tcBorders>
                    <w:top w:val="single" w:color="auto" w:sz="12" w:space="0"/>
                    <w:tl2br w:val="nil"/>
                    <w:tr2bl w:val="nil"/>
                  </w:tcBorders>
                  <w:vAlign w:val="center"/>
                </w:tcPr>
                <w:p w14:paraId="7354DB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7.3</w:t>
                  </w:r>
                </w:p>
              </w:tc>
              <w:tc>
                <w:tcPr>
                  <w:tcW w:w="709" w:type="dxa"/>
                  <w:tcBorders>
                    <w:top w:val="single" w:color="auto" w:sz="12" w:space="0"/>
                    <w:tl2br w:val="nil"/>
                    <w:tr2bl w:val="nil"/>
                  </w:tcBorders>
                  <w:vAlign w:val="center"/>
                </w:tcPr>
                <w:p w14:paraId="185E30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6~9</w:t>
                  </w:r>
                </w:p>
              </w:tc>
              <w:tc>
                <w:tcPr>
                  <w:tcW w:w="665" w:type="dxa"/>
                  <w:tcBorders>
                    <w:top w:val="single" w:color="auto" w:sz="12" w:space="0"/>
                    <w:tl2br w:val="nil"/>
                    <w:tr2bl w:val="nil"/>
                  </w:tcBorders>
                  <w:vAlign w:val="center"/>
                </w:tcPr>
                <w:p w14:paraId="4A6C51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003014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32" w:type="dxa"/>
                  <w:vMerge w:val="continue"/>
                  <w:tcBorders>
                    <w:tl2br w:val="nil"/>
                    <w:tr2bl w:val="nil"/>
                  </w:tcBorders>
                  <w:vAlign w:val="center"/>
                </w:tcPr>
                <w:p w14:paraId="18A8D9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252" w:type="dxa"/>
                  <w:tcBorders>
                    <w:tl2br w:val="nil"/>
                    <w:tr2bl w:val="nil"/>
                  </w:tcBorders>
                  <w:shd w:val="clear" w:color="auto" w:fill="auto"/>
                  <w:vAlign w:val="center"/>
                </w:tcPr>
                <w:p w14:paraId="02215B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化学需氧量</w:t>
                  </w:r>
                </w:p>
              </w:tc>
              <w:tc>
                <w:tcPr>
                  <w:tcW w:w="1193" w:type="dxa"/>
                  <w:tcBorders>
                    <w:tl2br w:val="nil"/>
                    <w:tr2bl w:val="nil"/>
                  </w:tcBorders>
                  <w:shd w:val="clear" w:color="auto" w:fill="auto"/>
                  <w:vAlign w:val="center"/>
                </w:tcPr>
                <w:p w14:paraId="1560C2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202</w:t>
                  </w:r>
                  <w:r>
                    <w:rPr>
                      <w:rFonts w:hint="eastAsia" w:cs="Times New Roman"/>
                      <w:color w:val="auto"/>
                      <w:sz w:val="21"/>
                      <w:szCs w:val="21"/>
                      <w:lang w:val="en-US" w:eastAsia="zh-CN"/>
                    </w:rPr>
                    <w:t>6</w:t>
                  </w:r>
                  <w:r>
                    <w:rPr>
                      <w:rFonts w:hint="default"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3</w:t>
                  </w:r>
                </w:p>
              </w:tc>
              <w:tc>
                <w:tcPr>
                  <w:tcW w:w="1097" w:type="dxa"/>
                  <w:tcBorders>
                    <w:tl2br w:val="nil"/>
                    <w:tr2bl w:val="nil"/>
                  </w:tcBorders>
                  <w:shd w:val="clear" w:color="auto" w:fill="auto"/>
                  <w:vAlign w:val="center"/>
                </w:tcPr>
                <w:p w14:paraId="706E50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104</w:t>
                  </w:r>
                </w:p>
              </w:tc>
              <w:tc>
                <w:tcPr>
                  <w:tcW w:w="1360" w:type="dxa"/>
                  <w:tcBorders>
                    <w:tl2br w:val="nil"/>
                    <w:tr2bl w:val="nil"/>
                  </w:tcBorders>
                  <w:shd w:val="clear" w:color="auto" w:fill="auto"/>
                  <w:vAlign w:val="center"/>
                </w:tcPr>
                <w:p w14:paraId="5ADC86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103</w:t>
                  </w:r>
                </w:p>
              </w:tc>
              <w:tc>
                <w:tcPr>
                  <w:tcW w:w="1381" w:type="dxa"/>
                  <w:tcBorders>
                    <w:tl2br w:val="nil"/>
                    <w:tr2bl w:val="nil"/>
                  </w:tcBorders>
                  <w:shd w:val="clear" w:color="auto" w:fill="auto"/>
                  <w:vAlign w:val="center"/>
                </w:tcPr>
                <w:p w14:paraId="537BEC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109</w:t>
                  </w:r>
                </w:p>
              </w:tc>
              <w:tc>
                <w:tcPr>
                  <w:tcW w:w="709" w:type="dxa"/>
                  <w:tcBorders>
                    <w:tl2br w:val="nil"/>
                    <w:tr2bl w:val="nil"/>
                  </w:tcBorders>
                  <w:shd w:val="clear" w:color="auto" w:fill="auto"/>
                  <w:vAlign w:val="center"/>
                </w:tcPr>
                <w:p w14:paraId="48BE3B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5</w:t>
                  </w:r>
                  <w:r>
                    <w:rPr>
                      <w:rFonts w:hint="eastAsia" w:ascii="Times New Roman" w:hAnsi="Times New Roman" w:eastAsia="宋体" w:cs="Times New Roman"/>
                      <w:color w:val="auto"/>
                      <w:kern w:val="2"/>
                      <w:sz w:val="21"/>
                      <w:szCs w:val="21"/>
                      <w:lang w:val="en-US" w:eastAsia="zh-CN" w:bidi="ar-SA"/>
                    </w:rPr>
                    <w:t>00</w:t>
                  </w:r>
                </w:p>
              </w:tc>
              <w:tc>
                <w:tcPr>
                  <w:tcW w:w="665" w:type="dxa"/>
                  <w:tcBorders>
                    <w:tl2br w:val="nil"/>
                    <w:tr2bl w:val="nil"/>
                  </w:tcBorders>
                  <w:shd w:val="clear" w:color="auto" w:fill="auto"/>
                  <w:vAlign w:val="center"/>
                </w:tcPr>
                <w:p w14:paraId="17DADB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达标</w:t>
                  </w:r>
                </w:p>
              </w:tc>
            </w:tr>
            <w:tr w14:paraId="4BBE16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32" w:type="dxa"/>
                  <w:vMerge w:val="continue"/>
                  <w:tcBorders>
                    <w:tl2br w:val="nil"/>
                    <w:tr2bl w:val="nil"/>
                  </w:tcBorders>
                  <w:vAlign w:val="center"/>
                </w:tcPr>
                <w:p w14:paraId="7DD954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252" w:type="dxa"/>
                  <w:tcBorders>
                    <w:tl2br w:val="nil"/>
                    <w:tr2bl w:val="nil"/>
                  </w:tcBorders>
                  <w:shd w:val="clear" w:color="auto" w:fill="auto"/>
                  <w:vAlign w:val="center"/>
                </w:tcPr>
                <w:p w14:paraId="583A3F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悬浮物</w:t>
                  </w:r>
                </w:p>
              </w:tc>
              <w:tc>
                <w:tcPr>
                  <w:tcW w:w="1193" w:type="dxa"/>
                  <w:tcBorders>
                    <w:tl2br w:val="nil"/>
                    <w:tr2bl w:val="nil"/>
                  </w:tcBorders>
                  <w:shd w:val="clear" w:color="auto" w:fill="auto"/>
                  <w:vAlign w:val="center"/>
                </w:tcPr>
                <w:p w14:paraId="1D31F9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202</w:t>
                  </w:r>
                  <w:r>
                    <w:rPr>
                      <w:rFonts w:hint="eastAsia" w:cs="Times New Roman"/>
                      <w:color w:val="auto"/>
                      <w:sz w:val="21"/>
                      <w:szCs w:val="21"/>
                      <w:lang w:val="en-US" w:eastAsia="zh-CN"/>
                    </w:rPr>
                    <w:t>6</w:t>
                  </w:r>
                  <w:r>
                    <w:rPr>
                      <w:rFonts w:hint="default"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3</w:t>
                  </w:r>
                </w:p>
              </w:tc>
              <w:tc>
                <w:tcPr>
                  <w:tcW w:w="1097" w:type="dxa"/>
                  <w:tcBorders>
                    <w:tl2br w:val="nil"/>
                    <w:tr2bl w:val="nil"/>
                  </w:tcBorders>
                  <w:shd w:val="clear" w:color="auto" w:fill="auto"/>
                  <w:vAlign w:val="center"/>
                </w:tcPr>
                <w:p w14:paraId="1347E5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46</w:t>
                  </w:r>
                </w:p>
              </w:tc>
              <w:tc>
                <w:tcPr>
                  <w:tcW w:w="1360" w:type="dxa"/>
                  <w:tcBorders>
                    <w:tl2br w:val="nil"/>
                    <w:tr2bl w:val="nil"/>
                  </w:tcBorders>
                  <w:shd w:val="clear" w:color="auto" w:fill="auto"/>
                  <w:vAlign w:val="center"/>
                </w:tcPr>
                <w:p w14:paraId="3ADF72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52</w:t>
                  </w:r>
                </w:p>
              </w:tc>
              <w:tc>
                <w:tcPr>
                  <w:tcW w:w="1381" w:type="dxa"/>
                  <w:tcBorders>
                    <w:tl2br w:val="nil"/>
                    <w:tr2bl w:val="nil"/>
                  </w:tcBorders>
                  <w:shd w:val="clear" w:color="auto" w:fill="auto"/>
                  <w:vAlign w:val="center"/>
                </w:tcPr>
                <w:p w14:paraId="1202F5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41</w:t>
                  </w:r>
                </w:p>
              </w:tc>
              <w:tc>
                <w:tcPr>
                  <w:tcW w:w="709" w:type="dxa"/>
                  <w:tcBorders>
                    <w:tl2br w:val="nil"/>
                    <w:tr2bl w:val="nil"/>
                  </w:tcBorders>
                  <w:shd w:val="clear" w:color="auto" w:fill="auto"/>
                  <w:vAlign w:val="center"/>
                </w:tcPr>
                <w:p w14:paraId="5246C3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30</w:t>
                  </w:r>
                  <w:r>
                    <w:rPr>
                      <w:rFonts w:hint="eastAsia" w:ascii="Times New Roman" w:hAnsi="Times New Roman" w:eastAsia="宋体" w:cs="Times New Roman"/>
                      <w:color w:val="auto"/>
                      <w:kern w:val="2"/>
                      <w:sz w:val="21"/>
                      <w:szCs w:val="21"/>
                      <w:lang w:val="en-US" w:eastAsia="zh-CN" w:bidi="ar-SA"/>
                    </w:rPr>
                    <w:t>0</w:t>
                  </w:r>
                </w:p>
              </w:tc>
              <w:tc>
                <w:tcPr>
                  <w:tcW w:w="665" w:type="dxa"/>
                  <w:tcBorders>
                    <w:tl2br w:val="nil"/>
                    <w:tr2bl w:val="nil"/>
                  </w:tcBorders>
                  <w:shd w:val="clear" w:color="auto" w:fill="auto"/>
                  <w:vAlign w:val="center"/>
                </w:tcPr>
                <w:p w14:paraId="71F1FF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达标</w:t>
                  </w:r>
                </w:p>
              </w:tc>
            </w:tr>
            <w:tr w14:paraId="0ED0D6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32" w:type="dxa"/>
                  <w:vMerge w:val="continue"/>
                  <w:tcBorders>
                    <w:tl2br w:val="nil"/>
                    <w:tr2bl w:val="nil"/>
                  </w:tcBorders>
                  <w:vAlign w:val="center"/>
                </w:tcPr>
                <w:p w14:paraId="6C2F98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252" w:type="dxa"/>
                  <w:tcBorders>
                    <w:tl2br w:val="nil"/>
                    <w:tr2bl w:val="nil"/>
                  </w:tcBorders>
                  <w:shd w:val="clear" w:color="auto" w:fill="auto"/>
                  <w:vAlign w:val="center"/>
                </w:tcPr>
                <w:p w14:paraId="0D0466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五日生化需氧量</w:t>
                  </w:r>
                </w:p>
              </w:tc>
              <w:tc>
                <w:tcPr>
                  <w:tcW w:w="1193" w:type="dxa"/>
                  <w:tcBorders>
                    <w:tl2br w:val="nil"/>
                    <w:tr2bl w:val="nil"/>
                  </w:tcBorders>
                  <w:shd w:val="clear" w:color="auto" w:fill="auto"/>
                  <w:vAlign w:val="center"/>
                </w:tcPr>
                <w:p w14:paraId="329B62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202</w:t>
                  </w:r>
                  <w:r>
                    <w:rPr>
                      <w:rFonts w:hint="eastAsia" w:cs="Times New Roman"/>
                      <w:color w:val="auto"/>
                      <w:sz w:val="21"/>
                      <w:szCs w:val="21"/>
                      <w:lang w:val="en-US" w:eastAsia="zh-CN"/>
                    </w:rPr>
                    <w:t>6</w:t>
                  </w:r>
                  <w:r>
                    <w:rPr>
                      <w:rFonts w:hint="default"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3</w:t>
                  </w:r>
                </w:p>
              </w:tc>
              <w:tc>
                <w:tcPr>
                  <w:tcW w:w="1097" w:type="dxa"/>
                  <w:tcBorders>
                    <w:tl2br w:val="nil"/>
                    <w:tr2bl w:val="nil"/>
                  </w:tcBorders>
                  <w:shd w:val="clear" w:color="auto" w:fill="auto"/>
                  <w:vAlign w:val="center"/>
                </w:tcPr>
                <w:p w14:paraId="51F9D2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30.4</w:t>
                  </w:r>
                </w:p>
              </w:tc>
              <w:tc>
                <w:tcPr>
                  <w:tcW w:w="1360" w:type="dxa"/>
                  <w:tcBorders>
                    <w:tl2br w:val="nil"/>
                    <w:tr2bl w:val="nil"/>
                  </w:tcBorders>
                  <w:shd w:val="clear" w:color="auto" w:fill="auto"/>
                  <w:vAlign w:val="center"/>
                </w:tcPr>
                <w:p w14:paraId="291747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28.7</w:t>
                  </w:r>
                </w:p>
              </w:tc>
              <w:tc>
                <w:tcPr>
                  <w:tcW w:w="1381" w:type="dxa"/>
                  <w:tcBorders>
                    <w:tl2br w:val="nil"/>
                    <w:tr2bl w:val="nil"/>
                  </w:tcBorders>
                  <w:shd w:val="clear" w:color="auto" w:fill="auto"/>
                  <w:vAlign w:val="center"/>
                </w:tcPr>
                <w:p w14:paraId="430A4D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31.9</w:t>
                  </w:r>
                </w:p>
              </w:tc>
              <w:tc>
                <w:tcPr>
                  <w:tcW w:w="709" w:type="dxa"/>
                  <w:tcBorders>
                    <w:tl2br w:val="nil"/>
                    <w:tr2bl w:val="nil"/>
                  </w:tcBorders>
                  <w:shd w:val="clear" w:color="auto" w:fill="auto"/>
                  <w:vAlign w:val="center"/>
                </w:tcPr>
                <w:p w14:paraId="7D4D99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300</w:t>
                  </w:r>
                </w:p>
              </w:tc>
              <w:tc>
                <w:tcPr>
                  <w:tcW w:w="665" w:type="dxa"/>
                  <w:tcBorders>
                    <w:tl2br w:val="nil"/>
                    <w:tr2bl w:val="nil"/>
                  </w:tcBorders>
                  <w:shd w:val="clear" w:color="auto" w:fill="auto"/>
                  <w:vAlign w:val="center"/>
                </w:tcPr>
                <w:p w14:paraId="1BB539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达标</w:t>
                  </w:r>
                </w:p>
              </w:tc>
            </w:tr>
            <w:tr w14:paraId="71516D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32" w:type="dxa"/>
                  <w:vMerge w:val="continue"/>
                  <w:tcBorders>
                    <w:tl2br w:val="nil"/>
                    <w:tr2bl w:val="nil"/>
                  </w:tcBorders>
                  <w:vAlign w:val="center"/>
                </w:tcPr>
                <w:p w14:paraId="6B3FF4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252" w:type="dxa"/>
                  <w:tcBorders>
                    <w:tl2br w:val="nil"/>
                    <w:tr2bl w:val="nil"/>
                  </w:tcBorders>
                  <w:shd w:val="clear" w:color="auto" w:fill="auto"/>
                  <w:vAlign w:val="center"/>
                </w:tcPr>
                <w:p w14:paraId="549707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氨氮</w:t>
                  </w:r>
                </w:p>
              </w:tc>
              <w:tc>
                <w:tcPr>
                  <w:tcW w:w="1193" w:type="dxa"/>
                  <w:tcBorders>
                    <w:tl2br w:val="nil"/>
                    <w:tr2bl w:val="nil"/>
                  </w:tcBorders>
                  <w:shd w:val="clear" w:color="auto" w:fill="auto"/>
                  <w:vAlign w:val="center"/>
                </w:tcPr>
                <w:p w14:paraId="28B45F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202</w:t>
                  </w:r>
                  <w:r>
                    <w:rPr>
                      <w:rFonts w:hint="eastAsia" w:cs="Times New Roman"/>
                      <w:color w:val="auto"/>
                      <w:sz w:val="21"/>
                      <w:szCs w:val="21"/>
                      <w:lang w:val="en-US" w:eastAsia="zh-CN"/>
                    </w:rPr>
                    <w:t>6</w:t>
                  </w:r>
                  <w:r>
                    <w:rPr>
                      <w:rFonts w:hint="default"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3</w:t>
                  </w:r>
                </w:p>
              </w:tc>
              <w:tc>
                <w:tcPr>
                  <w:tcW w:w="1097" w:type="dxa"/>
                  <w:tcBorders>
                    <w:tl2br w:val="nil"/>
                    <w:tr2bl w:val="nil"/>
                  </w:tcBorders>
                  <w:shd w:val="clear" w:color="auto" w:fill="auto"/>
                  <w:vAlign w:val="center"/>
                </w:tcPr>
                <w:p w14:paraId="6B461B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14.4</w:t>
                  </w:r>
                </w:p>
              </w:tc>
              <w:tc>
                <w:tcPr>
                  <w:tcW w:w="1360" w:type="dxa"/>
                  <w:tcBorders>
                    <w:tl2br w:val="nil"/>
                    <w:tr2bl w:val="nil"/>
                  </w:tcBorders>
                  <w:shd w:val="clear" w:color="auto" w:fill="auto"/>
                  <w:vAlign w:val="center"/>
                </w:tcPr>
                <w:p w14:paraId="626CCA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13.5</w:t>
                  </w:r>
                </w:p>
              </w:tc>
              <w:tc>
                <w:tcPr>
                  <w:tcW w:w="1381" w:type="dxa"/>
                  <w:tcBorders>
                    <w:tl2br w:val="nil"/>
                    <w:tr2bl w:val="nil"/>
                  </w:tcBorders>
                  <w:shd w:val="clear" w:color="auto" w:fill="auto"/>
                  <w:vAlign w:val="center"/>
                </w:tcPr>
                <w:p w14:paraId="0A749F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14.0</w:t>
                  </w:r>
                </w:p>
              </w:tc>
              <w:tc>
                <w:tcPr>
                  <w:tcW w:w="709" w:type="dxa"/>
                  <w:tcBorders>
                    <w:tl2br w:val="nil"/>
                    <w:tr2bl w:val="nil"/>
                  </w:tcBorders>
                  <w:shd w:val="clear" w:color="auto" w:fill="auto"/>
                  <w:vAlign w:val="center"/>
                </w:tcPr>
                <w:p w14:paraId="171CDA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45</w:t>
                  </w:r>
                </w:p>
              </w:tc>
              <w:tc>
                <w:tcPr>
                  <w:tcW w:w="665" w:type="dxa"/>
                  <w:tcBorders>
                    <w:tl2br w:val="nil"/>
                    <w:tr2bl w:val="nil"/>
                  </w:tcBorders>
                  <w:shd w:val="clear" w:color="auto" w:fill="auto"/>
                  <w:vAlign w:val="center"/>
                </w:tcPr>
                <w:p w14:paraId="4BBB18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达标</w:t>
                  </w:r>
                </w:p>
              </w:tc>
            </w:tr>
            <w:tr w14:paraId="407FF4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32" w:type="dxa"/>
                  <w:vMerge w:val="continue"/>
                  <w:tcBorders>
                    <w:tl2br w:val="nil"/>
                    <w:tr2bl w:val="nil"/>
                  </w:tcBorders>
                  <w:vAlign w:val="center"/>
                </w:tcPr>
                <w:p w14:paraId="331F48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252" w:type="dxa"/>
                  <w:tcBorders>
                    <w:tl2br w:val="nil"/>
                    <w:tr2bl w:val="nil"/>
                  </w:tcBorders>
                  <w:vAlign w:val="center"/>
                </w:tcPr>
                <w:p w14:paraId="37586E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总磷</w:t>
                  </w:r>
                </w:p>
              </w:tc>
              <w:tc>
                <w:tcPr>
                  <w:tcW w:w="1193" w:type="dxa"/>
                  <w:tcBorders>
                    <w:tl2br w:val="nil"/>
                    <w:tr2bl w:val="nil"/>
                  </w:tcBorders>
                  <w:vAlign w:val="center"/>
                </w:tcPr>
                <w:p w14:paraId="40534F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202</w:t>
                  </w:r>
                  <w:r>
                    <w:rPr>
                      <w:rFonts w:hint="eastAsia" w:cs="Times New Roman"/>
                      <w:color w:val="auto"/>
                      <w:sz w:val="21"/>
                      <w:szCs w:val="21"/>
                      <w:lang w:val="en-US" w:eastAsia="zh-CN"/>
                    </w:rPr>
                    <w:t>6</w:t>
                  </w:r>
                  <w:r>
                    <w:rPr>
                      <w:rFonts w:hint="default"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3</w:t>
                  </w:r>
                </w:p>
              </w:tc>
              <w:tc>
                <w:tcPr>
                  <w:tcW w:w="1097" w:type="dxa"/>
                  <w:tcBorders>
                    <w:tl2br w:val="nil"/>
                    <w:tr2bl w:val="nil"/>
                  </w:tcBorders>
                  <w:vAlign w:val="center"/>
                </w:tcPr>
                <w:p w14:paraId="5A135A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1.44</w:t>
                  </w:r>
                </w:p>
              </w:tc>
              <w:tc>
                <w:tcPr>
                  <w:tcW w:w="1360" w:type="dxa"/>
                  <w:tcBorders>
                    <w:tl2br w:val="nil"/>
                    <w:tr2bl w:val="nil"/>
                  </w:tcBorders>
                  <w:vAlign w:val="center"/>
                </w:tcPr>
                <w:p w14:paraId="798D5D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1.59</w:t>
                  </w:r>
                </w:p>
              </w:tc>
              <w:tc>
                <w:tcPr>
                  <w:tcW w:w="1381" w:type="dxa"/>
                  <w:tcBorders>
                    <w:tl2br w:val="nil"/>
                    <w:tr2bl w:val="nil"/>
                  </w:tcBorders>
                  <w:vAlign w:val="center"/>
                </w:tcPr>
                <w:p w14:paraId="129AA9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1.53</w:t>
                  </w:r>
                </w:p>
              </w:tc>
              <w:tc>
                <w:tcPr>
                  <w:tcW w:w="709" w:type="dxa"/>
                  <w:tcBorders>
                    <w:tl2br w:val="nil"/>
                    <w:tr2bl w:val="nil"/>
                  </w:tcBorders>
                  <w:vAlign w:val="center"/>
                </w:tcPr>
                <w:p w14:paraId="593686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8</w:t>
                  </w:r>
                </w:p>
              </w:tc>
              <w:tc>
                <w:tcPr>
                  <w:tcW w:w="665" w:type="dxa"/>
                  <w:tcBorders>
                    <w:tl2br w:val="nil"/>
                    <w:tr2bl w:val="nil"/>
                  </w:tcBorders>
                  <w:vAlign w:val="center"/>
                </w:tcPr>
                <w:p w14:paraId="293651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达标</w:t>
                  </w:r>
                </w:p>
              </w:tc>
            </w:tr>
            <w:tr w14:paraId="3986D1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32" w:type="dxa"/>
                  <w:vMerge w:val="continue"/>
                  <w:tcBorders>
                    <w:tl2br w:val="nil"/>
                    <w:tr2bl w:val="nil"/>
                  </w:tcBorders>
                  <w:vAlign w:val="center"/>
                </w:tcPr>
                <w:p w14:paraId="66D016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252" w:type="dxa"/>
                  <w:tcBorders>
                    <w:tl2br w:val="nil"/>
                    <w:tr2bl w:val="nil"/>
                  </w:tcBorders>
                  <w:vAlign w:val="center"/>
                </w:tcPr>
                <w:p w14:paraId="7A31BF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动植物油</w:t>
                  </w:r>
                </w:p>
              </w:tc>
              <w:tc>
                <w:tcPr>
                  <w:tcW w:w="1193" w:type="dxa"/>
                  <w:tcBorders>
                    <w:tl2br w:val="nil"/>
                    <w:tr2bl w:val="nil"/>
                  </w:tcBorders>
                  <w:vAlign w:val="center"/>
                </w:tcPr>
                <w:p w14:paraId="59C08F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202</w:t>
                  </w:r>
                  <w:r>
                    <w:rPr>
                      <w:rFonts w:hint="eastAsia" w:cs="Times New Roman"/>
                      <w:color w:val="auto"/>
                      <w:sz w:val="21"/>
                      <w:szCs w:val="21"/>
                      <w:lang w:val="en-US" w:eastAsia="zh-CN"/>
                    </w:rPr>
                    <w:t>6</w:t>
                  </w:r>
                  <w:r>
                    <w:rPr>
                      <w:rFonts w:hint="default"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3</w:t>
                  </w:r>
                </w:p>
              </w:tc>
              <w:tc>
                <w:tcPr>
                  <w:tcW w:w="1097" w:type="dxa"/>
                  <w:tcBorders>
                    <w:tl2br w:val="nil"/>
                    <w:tr2bl w:val="nil"/>
                  </w:tcBorders>
                  <w:vAlign w:val="center"/>
                </w:tcPr>
                <w:p w14:paraId="173B36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1.73</w:t>
                  </w:r>
                </w:p>
              </w:tc>
              <w:tc>
                <w:tcPr>
                  <w:tcW w:w="1360" w:type="dxa"/>
                  <w:tcBorders>
                    <w:tl2br w:val="nil"/>
                    <w:tr2bl w:val="nil"/>
                  </w:tcBorders>
                  <w:vAlign w:val="center"/>
                </w:tcPr>
                <w:p w14:paraId="04AA45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1.63</w:t>
                  </w:r>
                </w:p>
              </w:tc>
              <w:tc>
                <w:tcPr>
                  <w:tcW w:w="1381" w:type="dxa"/>
                  <w:tcBorders>
                    <w:tl2br w:val="nil"/>
                    <w:tr2bl w:val="nil"/>
                  </w:tcBorders>
                  <w:vAlign w:val="center"/>
                </w:tcPr>
                <w:p w14:paraId="363C83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1.68</w:t>
                  </w:r>
                </w:p>
              </w:tc>
              <w:tc>
                <w:tcPr>
                  <w:tcW w:w="709" w:type="dxa"/>
                  <w:tcBorders>
                    <w:tl2br w:val="nil"/>
                    <w:tr2bl w:val="nil"/>
                  </w:tcBorders>
                  <w:vAlign w:val="center"/>
                </w:tcPr>
                <w:p w14:paraId="0E1E08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100</w:t>
                  </w:r>
                </w:p>
              </w:tc>
              <w:tc>
                <w:tcPr>
                  <w:tcW w:w="665" w:type="dxa"/>
                  <w:tcBorders>
                    <w:tl2br w:val="nil"/>
                    <w:tr2bl w:val="nil"/>
                  </w:tcBorders>
                  <w:vAlign w:val="center"/>
                </w:tcPr>
                <w:p w14:paraId="45039B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达标</w:t>
                  </w:r>
                </w:p>
              </w:tc>
            </w:tr>
          </w:tbl>
          <w:p w14:paraId="2C160106">
            <w:pPr>
              <w:keepNext w:val="0"/>
              <w:keepLines w:val="0"/>
              <w:widowControl w:val="0"/>
              <w:suppressLineNumbers w:val="0"/>
              <w:spacing w:before="0" w:beforeAutospacing="0" w:after="0" w:afterAutospacing="0" w:line="360" w:lineRule="auto"/>
              <w:ind w:left="0" w:right="0" w:firstLine="472"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cs="Times New Roman"/>
                <w:color w:val="auto"/>
                <w:spacing w:val="-2"/>
                <w:sz w:val="24"/>
                <w:highlight w:val="none"/>
              </w:rPr>
              <w:t>根据监测结果可知，</w:t>
            </w:r>
            <w:r>
              <w:rPr>
                <w:rFonts w:hint="eastAsia" w:ascii="Times New Roman" w:hAnsi="Times New Roman" w:cs="Times New Roman"/>
                <w:color w:val="auto"/>
                <w:spacing w:val="-2"/>
                <w:sz w:val="24"/>
                <w:highlight w:val="none"/>
                <w:lang w:val="en-US" w:eastAsia="zh-CN"/>
              </w:rPr>
              <w:t>现有项目</w:t>
            </w:r>
            <w:r>
              <w:rPr>
                <w:rFonts w:hint="eastAsia" w:cs="Times New Roman"/>
                <w:color w:val="auto"/>
                <w:spacing w:val="-2"/>
                <w:sz w:val="24"/>
                <w:highlight w:val="none"/>
                <w:lang w:val="en-US" w:eastAsia="zh-CN"/>
              </w:rPr>
              <w:t>废水</w:t>
            </w:r>
            <w:r>
              <w:rPr>
                <w:rFonts w:hint="default" w:ascii="Times New Roman" w:hAnsi="Times New Roman" w:cs="Times New Roman"/>
                <w:color w:val="auto"/>
                <w:spacing w:val="-2"/>
                <w:sz w:val="24"/>
                <w:highlight w:val="none"/>
              </w:rPr>
              <w:t>pH值、COD、SS、BOD</w:t>
            </w:r>
            <w:r>
              <w:rPr>
                <w:rFonts w:hint="default" w:ascii="Times New Roman" w:hAnsi="Times New Roman" w:cs="Times New Roman"/>
                <w:color w:val="auto"/>
                <w:spacing w:val="-2"/>
                <w:sz w:val="24"/>
                <w:highlight w:val="none"/>
                <w:vertAlign w:val="subscript"/>
              </w:rPr>
              <w:t>5</w:t>
            </w:r>
            <w:r>
              <w:rPr>
                <w:rFonts w:hint="default" w:ascii="Times New Roman" w:hAnsi="Times New Roman" w:cs="Times New Roman"/>
                <w:color w:val="auto"/>
                <w:spacing w:val="-2"/>
                <w:sz w:val="24"/>
                <w:highlight w:val="none"/>
              </w:rPr>
              <w:t>、氨氮</w:t>
            </w:r>
            <w:r>
              <w:rPr>
                <w:rFonts w:hint="eastAsia" w:cs="Times New Roman"/>
                <w:color w:val="auto"/>
                <w:spacing w:val="-2"/>
                <w:sz w:val="24"/>
                <w:highlight w:val="none"/>
                <w:lang w:eastAsia="zh-CN"/>
              </w:rPr>
              <w:t>、</w:t>
            </w:r>
            <w:r>
              <w:rPr>
                <w:rFonts w:hint="eastAsia" w:cs="Times New Roman"/>
                <w:color w:val="auto"/>
                <w:spacing w:val="-2"/>
                <w:sz w:val="24"/>
                <w:highlight w:val="none"/>
                <w:lang w:val="en-US" w:eastAsia="zh-CN"/>
              </w:rPr>
              <w:t>总磷、动植物油</w:t>
            </w:r>
            <w:r>
              <w:rPr>
                <w:rFonts w:hint="eastAsia" w:ascii="Times New Roman" w:hAnsi="Times New Roman" w:cs="Times New Roman"/>
                <w:color w:val="auto"/>
                <w:spacing w:val="-2"/>
                <w:sz w:val="24"/>
                <w:highlight w:val="none"/>
              </w:rPr>
              <w:t>监测值均</w:t>
            </w:r>
            <w:r>
              <w:rPr>
                <w:rFonts w:hint="eastAsia" w:cs="Times New Roman"/>
                <w:color w:val="auto"/>
                <w:spacing w:val="-2"/>
                <w:sz w:val="24"/>
                <w:highlight w:val="none"/>
                <w:lang w:val="en-US" w:eastAsia="zh-CN"/>
              </w:rPr>
              <w:t>满足</w:t>
            </w:r>
            <w:r>
              <w:rPr>
                <w:rFonts w:hint="eastAsia" w:ascii="Times New Roman" w:hAnsi="Times New Roman" w:cs="Times New Roman"/>
                <w:color w:val="auto"/>
                <w:spacing w:val="-2"/>
                <w:sz w:val="24"/>
                <w:highlight w:val="none"/>
                <w:lang w:val="en-US" w:eastAsia="zh-CN"/>
              </w:rPr>
              <w:t>江西安义高新技术产业园区污水处理厂</w:t>
            </w:r>
            <w:r>
              <w:rPr>
                <w:rFonts w:hint="eastAsia" w:ascii="Times New Roman" w:hAnsi="Times New Roman" w:cs="Times New Roman"/>
                <w:color w:val="auto"/>
                <w:spacing w:val="-2"/>
                <w:sz w:val="24"/>
                <w:highlight w:val="none"/>
              </w:rPr>
              <w:t>接管标准</w:t>
            </w:r>
            <w:r>
              <w:rPr>
                <w:rFonts w:hint="eastAsia" w:ascii="Times New Roman" w:hAnsi="Times New Roman" w:eastAsia="宋体" w:cs="Times New Roman"/>
                <w:color w:val="auto"/>
                <w:kern w:val="2"/>
                <w:sz w:val="24"/>
                <w:szCs w:val="24"/>
                <w:lang w:val="en-US" w:eastAsia="zh-CN" w:bidi="ar-SA"/>
              </w:rPr>
              <w:t>。</w:t>
            </w:r>
          </w:p>
          <w:p w14:paraId="412B608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highlight w:val="none"/>
                <w:lang w:val="en-US" w:eastAsia="zh-CN"/>
              </w:rPr>
            </w:pPr>
            <w:r>
              <w:rPr>
                <w:rFonts w:hint="eastAsia" w:ascii="Times New Roman" w:hAnsi="Times New Roman" w:cs="Times New Roman"/>
                <w:b w:val="0"/>
                <w:bCs w:val="0"/>
                <w:color w:val="auto"/>
                <w:sz w:val="24"/>
                <w:highlight w:val="none"/>
                <w:lang w:val="en-US" w:eastAsia="zh-CN"/>
              </w:rPr>
              <w:t>3）噪声</w:t>
            </w:r>
          </w:p>
          <w:p w14:paraId="57524E6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color w:val="auto"/>
                <w:kern w:val="2"/>
                <w:sz w:val="24"/>
                <w:szCs w:val="24"/>
                <w:highlight w:val="none"/>
                <w:lang w:val="en-US" w:eastAsia="zh-CN" w:bidi="ar-SA"/>
              </w:rPr>
              <w:t>现有</w:t>
            </w:r>
            <w:r>
              <w:rPr>
                <w:rFonts w:hint="eastAsia" w:ascii="Times New Roman" w:hAnsi="Times New Roman" w:eastAsia="宋体" w:cs="Times New Roman"/>
                <w:b w:val="0"/>
                <w:bCs w:val="0"/>
                <w:color w:val="auto"/>
                <w:sz w:val="24"/>
                <w:highlight w:val="none"/>
                <w:lang w:val="en-US" w:eastAsia="zh-CN"/>
              </w:rPr>
              <w:t>项目噪声污染源主要来自各种生产设备在运行过程中产生的噪声</w:t>
            </w:r>
            <w:r>
              <w:rPr>
                <w:rFonts w:hint="eastAsia" w:ascii="Times New Roman" w:hAnsi="Times New Roman" w:cs="Times New Roman"/>
                <w:b w:val="0"/>
                <w:bCs w:val="0"/>
                <w:color w:val="auto"/>
                <w:sz w:val="24"/>
                <w:highlight w:val="none"/>
                <w:lang w:val="en-US" w:eastAsia="zh-CN"/>
              </w:rPr>
              <w:t>。经隔声减振后，现有项目厂界昼间噪声值能满足《工业企业厂界环境噪声排放标准》（GB12348-2008）中的3类标准要求。</w:t>
            </w:r>
          </w:p>
          <w:p w14:paraId="1F41E05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snapToGrid w:val="0"/>
                <w:color w:val="auto"/>
                <w:kern w:val="0"/>
                <w:sz w:val="24"/>
                <w:highlight w:val="none"/>
              </w:rPr>
            </w:pPr>
            <w:r>
              <w:rPr>
                <w:rFonts w:hint="default" w:ascii="Times New Roman" w:hAnsi="Times New Roman" w:cs="Times New Roman"/>
                <w:color w:val="auto"/>
                <w:sz w:val="24"/>
                <w:highlight w:val="none"/>
              </w:rPr>
              <w:t>现有项目</w:t>
            </w:r>
            <w:r>
              <w:rPr>
                <w:rFonts w:hint="eastAsia" w:ascii="Times New Roman" w:hAnsi="Times New Roman" w:cs="Times New Roman"/>
                <w:color w:val="auto"/>
                <w:sz w:val="24"/>
                <w:highlight w:val="none"/>
              </w:rPr>
              <w:t>噪声</w:t>
            </w:r>
            <w:r>
              <w:rPr>
                <w:rFonts w:hint="default" w:ascii="Times New Roman" w:hAnsi="Times New Roman" w:cs="Times New Roman"/>
                <w:color w:val="auto"/>
                <w:sz w:val="24"/>
                <w:highlight w:val="none"/>
              </w:rPr>
              <w:t>排放达标情况如表</w:t>
            </w:r>
            <w:r>
              <w:rPr>
                <w:rFonts w:hint="eastAsia" w:ascii="Times New Roman" w:hAnsi="Times New Roman" w:cs="Times New Roman"/>
                <w:color w:val="auto"/>
                <w:sz w:val="24"/>
                <w:highlight w:val="none"/>
                <w:lang w:val="en-US" w:eastAsia="zh-CN"/>
              </w:rPr>
              <w:t>2-1</w:t>
            </w:r>
            <w:r>
              <w:rPr>
                <w:rFonts w:hint="eastAsia" w:cs="Times New Roman"/>
                <w:color w:val="auto"/>
                <w:sz w:val="24"/>
                <w:highlight w:val="none"/>
                <w:lang w:val="en-US" w:eastAsia="zh-CN"/>
              </w:rPr>
              <w:t>9</w:t>
            </w:r>
            <w:r>
              <w:rPr>
                <w:rFonts w:hint="default" w:ascii="Times New Roman" w:hAnsi="Times New Roman" w:cs="Times New Roman"/>
                <w:color w:val="auto"/>
                <w:sz w:val="24"/>
                <w:highlight w:val="none"/>
              </w:rPr>
              <w:t>。</w:t>
            </w:r>
          </w:p>
          <w:p w14:paraId="64F3DFD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240" w:lineRule="auto"/>
              <w:ind w:left="0" w:right="0"/>
              <w:jc w:val="center"/>
              <w:textAlignment w:val="auto"/>
              <w:rPr>
                <w:rFonts w:hint="default" w:ascii="Times New Roman" w:hAnsi="Times New Roman" w:eastAsia="宋体" w:cs="Times New Roman"/>
                <w:b/>
                <w:color w:val="auto"/>
                <w:kern w:val="2"/>
                <w:sz w:val="21"/>
                <w:szCs w:val="20"/>
                <w:highlight w:val="none"/>
                <w:lang w:val="en-US" w:eastAsia="zh-CN" w:bidi="ar-SA"/>
              </w:rPr>
            </w:pPr>
            <w:r>
              <w:rPr>
                <w:rFonts w:hint="default" w:ascii="Times New Roman" w:hAnsi="Times New Roman" w:eastAsia="宋体" w:cs="Times New Roman"/>
                <w:b/>
                <w:color w:val="auto"/>
                <w:kern w:val="2"/>
                <w:sz w:val="21"/>
                <w:szCs w:val="20"/>
                <w:highlight w:val="none"/>
                <w:lang w:val="en-US" w:eastAsia="zh-CN" w:bidi="ar-SA"/>
              </w:rPr>
              <w:t>表2-</w:t>
            </w:r>
            <w:r>
              <w:rPr>
                <w:rFonts w:hint="eastAsia" w:ascii="Times New Roman" w:hAnsi="Times New Roman" w:cs="Times New Roman"/>
                <w:b/>
                <w:color w:val="auto"/>
                <w:kern w:val="2"/>
                <w:sz w:val="21"/>
                <w:szCs w:val="20"/>
                <w:highlight w:val="none"/>
                <w:lang w:val="en-US" w:eastAsia="zh-CN" w:bidi="ar-SA"/>
              </w:rPr>
              <w:t>1</w:t>
            </w:r>
            <w:r>
              <w:rPr>
                <w:rFonts w:hint="eastAsia" w:cs="Times New Roman"/>
                <w:b/>
                <w:color w:val="auto"/>
                <w:kern w:val="2"/>
                <w:sz w:val="21"/>
                <w:szCs w:val="20"/>
                <w:highlight w:val="none"/>
                <w:lang w:val="en-US" w:eastAsia="zh-CN" w:bidi="ar-SA"/>
              </w:rPr>
              <w:t>9</w:t>
            </w:r>
            <w:r>
              <w:rPr>
                <w:rFonts w:hint="default" w:ascii="Times New Roman" w:hAnsi="Times New Roman" w:eastAsia="宋体" w:cs="Times New Roman"/>
                <w:b/>
                <w:color w:val="auto"/>
                <w:kern w:val="2"/>
                <w:sz w:val="21"/>
                <w:szCs w:val="20"/>
                <w:highlight w:val="none"/>
                <w:lang w:val="en-US" w:eastAsia="zh-CN" w:bidi="ar-SA"/>
              </w:rPr>
              <w:t xml:space="preserve">  厂界噪声监测结果一览表（单位：dB(A)）</w:t>
            </w:r>
          </w:p>
          <w:tbl>
            <w:tblPr>
              <w:tblStyle w:val="3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89"/>
              <w:gridCol w:w="1142"/>
              <w:gridCol w:w="1150"/>
              <w:gridCol w:w="1287"/>
              <w:gridCol w:w="1341"/>
              <w:gridCol w:w="1280"/>
            </w:tblGrid>
            <w:tr w14:paraId="6C6D02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189" w:type="dxa"/>
                  <w:vMerge w:val="restart"/>
                  <w:noWrap w:val="0"/>
                  <w:vAlign w:val="center"/>
                </w:tcPr>
                <w:p w14:paraId="00DA2C5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监测位点</w:t>
                  </w:r>
                </w:p>
              </w:tc>
              <w:tc>
                <w:tcPr>
                  <w:tcW w:w="1142" w:type="dxa"/>
                  <w:vMerge w:val="restart"/>
                  <w:noWrap w:val="0"/>
                  <w:vAlign w:val="center"/>
                </w:tcPr>
                <w:p w14:paraId="4229921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采样日期</w:t>
                  </w:r>
                </w:p>
              </w:tc>
              <w:tc>
                <w:tcPr>
                  <w:tcW w:w="2437" w:type="dxa"/>
                  <w:gridSpan w:val="2"/>
                  <w:noWrap w:val="0"/>
                  <w:vAlign w:val="center"/>
                </w:tcPr>
                <w:p w14:paraId="3CC4195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测量值</w:t>
                  </w:r>
                </w:p>
              </w:tc>
              <w:tc>
                <w:tcPr>
                  <w:tcW w:w="1341" w:type="dxa"/>
                  <w:vMerge w:val="restart"/>
                  <w:noWrap w:val="0"/>
                  <w:vAlign w:val="center"/>
                </w:tcPr>
                <w:p w14:paraId="4F82202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标准限值</w:t>
                  </w:r>
                </w:p>
              </w:tc>
              <w:tc>
                <w:tcPr>
                  <w:tcW w:w="1280" w:type="dxa"/>
                  <w:vMerge w:val="restart"/>
                  <w:noWrap w:val="0"/>
                  <w:vAlign w:val="center"/>
                </w:tcPr>
                <w:p w14:paraId="3FBF484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达标情况</w:t>
                  </w:r>
                </w:p>
              </w:tc>
            </w:tr>
            <w:tr w14:paraId="23214C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189" w:type="dxa"/>
                  <w:vMerge w:val="continue"/>
                  <w:tcBorders>
                    <w:bottom w:val="single" w:color="auto" w:sz="12" w:space="0"/>
                  </w:tcBorders>
                  <w:noWrap w:val="0"/>
                  <w:vAlign w:val="center"/>
                </w:tcPr>
                <w:p w14:paraId="7930598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Times New Roman" w:cs="Times New Roman"/>
                      <w:b/>
                      <w:bCs/>
                      <w:color w:val="auto"/>
                      <w:sz w:val="21"/>
                      <w:szCs w:val="21"/>
                      <w:highlight w:val="none"/>
                    </w:rPr>
                  </w:pPr>
                </w:p>
              </w:tc>
              <w:tc>
                <w:tcPr>
                  <w:tcW w:w="1142" w:type="dxa"/>
                  <w:vMerge w:val="continue"/>
                  <w:tcBorders>
                    <w:bottom w:val="single" w:color="auto" w:sz="12" w:space="0"/>
                  </w:tcBorders>
                  <w:noWrap w:val="0"/>
                  <w:vAlign w:val="center"/>
                </w:tcPr>
                <w:p w14:paraId="78F205C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Times New Roman" w:cs="Times New Roman"/>
                      <w:b/>
                      <w:bCs/>
                      <w:color w:val="auto"/>
                      <w:sz w:val="21"/>
                      <w:szCs w:val="21"/>
                      <w:highlight w:val="none"/>
                    </w:rPr>
                  </w:pPr>
                </w:p>
              </w:tc>
              <w:tc>
                <w:tcPr>
                  <w:tcW w:w="1150" w:type="dxa"/>
                  <w:tcBorders>
                    <w:bottom w:val="single" w:color="auto" w:sz="12" w:space="0"/>
                  </w:tcBorders>
                  <w:noWrap w:val="0"/>
                  <w:vAlign w:val="center"/>
                </w:tcPr>
                <w:p w14:paraId="033F8F4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昼间</w:t>
                  </w:r>
                </w:p>
              </w:tc>
              <w:tc>
                <w:tcPr>
                  <w:tcW w:w="1287" w:type="dxa"/>
                  <w:tcBorders>
                    <w:bottom w:val="single" w:color="auto" w:sz="12" w:space="0"/>
                  </w:tcBorders>
                  <w:noWrap w:val="0"/>
                  <w:vAlign w:val="center"/>
                </w:tcPr>
                <w:p w14:paraId="02B1027C">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夜间</w:t>
                  </w:r>
                </w:p>
              </w:tc>
              <w:tc>
                <w:tcPr>
                  <w:tcW w:w="1341" w:type="dxa"/>
                  <w:vMerge w:val="continue"/>
                  <w:tcBorders>
                    <w:bottom w:val="single" w:color="auto" w:sz="12" w:space="0"/>
                  </w:tcBorders>
                  <w:noWrap w:val="0"/>
                  <w:vAlign w:val="center"/>
                </w:tcPr>
                <w:p w14:paraId="25D3A38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Times New Roman" w:cs="Times New Roman"/>
                      <w:b/>
                      <w:bCs/>
                      <w:color w:val="auto"/>
                      <w:sz w:val="21"/>
                      <w:szCs w:val="21"/>
                      <w:highlight w:val="none"/>
                    </w:rPr>
                  </w:pPr>
                </w:p>
              </w:tc>
              <w:tc>
                <w:tcPr>
                  <w:tcW w:w="1280" w:type="dxa"/>
                  <w:vMerge w:val="continue"/>
                  <w:tcBorders>
                    <w:bottom w:val="single" w:color="auto" w:sz="12" w:space="0"/>
                  </w:tcBorders>
                  <w:noWrap w:val="0"/>
                  <w:vAlign w:val="center"/>
                </w:tcPr>
                <w:p w14:paraId="3DC88A9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Times New Roman" w:cs="Times New Roman"/>
                      <w:b/>
                      <w:bCs/>
                      <w:color w:val="auto"/>
                      <w:sz w:val="21"/>
                      <w:szCs w:val="21"/>
                      <w:highlight w:val="none"/>
                    </w:rPr>
                  </w:pPr>
                </w:p>
              </w:tc>
            </w:tr>
            <w:tr w14:paraId="789507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189" w:type="dxa"/>
                  <w:tcBorders>
                    <w:top w:val="single" w:color="auto" w:sz="12" w:space="0"/>
                  </w:tcBorders>
                  <w:noWrap w:val="0"/>
                  <w:vAlign w:val="center"/>
                </w:tcPr>
                <w:p w14:paraId="4B37117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N1</w:t>
                  </w:r>
                  <w:r>
                    <w:rPr>
                      <w:rFonts w:hint="default" w:ascii="Times New Roman" w:hAnsi="Times New Roman" w:cs="Times New Roman"/>
                      <w:color w:val="auto"/>
                      <w:sz w:val="21"/>
                      <w:szCs w:val="21"/>
                      <w:highlight w:val="none"/>
                    </w:rPr>
                    <w:t>厂界</w:t>
                  </w:r>
                  <w:r>
                    <w:rPr>
                      <w:rFonts w:hint="eastAsia" w:ascii="Times New Roman" w:hAnsi="Times New Roman" w:cs="Times New Roman"/>
                      <w:color w:val="auto"/>
                      <w:sz w:val="21"/>
                      <w:szCs w:val="21"/>
                      <w:highlight w:val="none"/>
                      <w:lang w:val="en-US" w:eastAsia="zh-CN"/>
                    </w:rPr>
                    <w:t>外</w:t>
                  </w:r>
                  <w:r>
                    <w:rPr>
                      <w:rFonts w:hint="default" w:ascii="Times New Roman" w:hAnsi="Times New Roman" w:cs="Times New Roman"/>
                      <w:color w:val="auto"/>
                      <w:sz w:val="21"/>
                      <w:szCs w:val="21"/>
                      <w:highlight w:val="none"/>
                    </w:rPr>
                    <w:t>东</w:t>
                  </w:r>
                  <w:r>
                    <w:rPr>
                      <w:rFonts w:hint="eastAsia" w:cs="Times New Roman"/>
                      <w:color w:val="auto"/>
                      <w:sz w:val="21"/>
                      <w:szCs w:val="21"/>
                      <w:highlight w:val="none"/>
                      <w:lang w:val="en-US" w:eastAsia="zh-CN"/>
                    </w:rPr>
                    <w:t>侧</w:t>
                  </w:r>
                  <w:r>
                    <w:rPr>
                      <w:rFonts w:hint="eastAsia" w:ascii="Times New Roman" w:hAnsi="Times New Roman" w:cs="Times New Roman"/>
                      <w:color w:val="auto"/>
                      <w:sz w:val="21"/>
                      <w:szCs w:val="21"/>
                      <w:highlight w:val="none"/>
                      <w:lang w:val="en-US" w:eastAsia="zh-CN"/>
                    </w:rPr>
                    <w:t>1m处</w:t>
                  </w:r>
                </w:p>
              </w:tc>
              <w:tc>
                <w:tcPr>
                  <w:tcW w:w="1142" w:type="dxa"/>
                  <w:vMerge w:val="restart"/>
                  <w:tcBorders>
                    <w:top w:val="single" w:color="auto" w:sz="12" w:space="0"/>
                  </w:tcBorders>
                  <w:noWrap w:val="0"/>
                  <w:vAlign w:val="center"/>
                </w:tcPr>
                <w:p w14:paraId="3AF6C317">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202</w:t>
                  </w:r>
                  <w:r>
                    <w:rPr>
                      <w:rFonts w:hint="eastAsia" w:cs="Times New Roman"/>
                      <w:color w:val="auto"/>
                      <w:sz w:val="21"/>
                      <w:szCs w:val="21"/>
                      <w:highlight w:val="none"/>
                      <w:lang w:val="en-US" w:eastAsia="zh-CN"/>
                    </w:rPr>
                    <w:t>6</w:t>
                  </w:r>
                  <w:r>
                    <w:rPr>
                      <w:rFonts w:hint="eastAsia"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3.3</w:t>
                  </w:r>
                </w:p>
              </w:tc>
              <w:tc>
                <w:tcPr>
                  <w:tcW w:w="1150" w:type="dxa"/>
                  <w:tcBorders>
                    <w:top w:val="single" w:color="auto" w:sz="12" w:space="0"/>
                  </w:tcBorders>
                  <w:noWrap w:val="0"/>
                  <w:vAlign w:val="center"/>
                </w:tcPr>
                <w:p w14:paraId="2BD5FDCA">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60</w:t>
                  </w:r>
                </w:p>
              </w:tc>
              <w:tc>
                <w:tcPr>
                  <w:tcW w:w="1287" w:type="dxa"/>
                  <w:tcBorders>
                    <w:top w:val="single" w:color="auto" w:sz="12" w:space="0"/>
                  </w:tcBorders>
                  <w:noWrap w:val="0"/>
                  <w:vAlign w:val="center"/>
                </w:tcPr>
                <w:p w14:paraId="21F985AB">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49</w:t>
                  </w:r>
                </w:p>
              </w:tc>
              <w:tc>
                <w:tcPr>
                  <w:tcW w:w="1341" w:type="dxa"/>
                  <w:vMerge w:val="restart"/>
                  <w:tcBorders>
                    <w:top w:val="single" w:color="auto" w:sz="12" w:space="0"/>
                  </w:tcBorders>
                  <w:noWrap w:val="0"/>
                  <w:vAlign w:val="center"/>
                </w:tcPr>
                <w:p w14:paraId="6BE70A2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rPr>
                    <w:t>昼间：</w:t>
                  </w:r>
                  <w:r>
                    <w:rPr>
                      <w:rFonts w:hint="default" w:ascii="Times New Roman" w:hAnsi="Times New Roman" w:eastAsia="Times New Roman" w:cs="Times New Roman"/>
                      <w:color w:val="auto"/>
                      <w:sz w:val="21"/>
                      <w:szCs w:val="21"/>
                      <w:highlight w:val="none"/>
                    </w:rPr>
                    <w:t>6</w:t>
                  </w:r>
                  <w:r>
                    <w:rPr>
                      <w:rFonts w:hint="eastAsia" w:ascii="Times New Roman" w:hAnsi="Times New Roman" w:eastAsia="宋体" w:cs="Times New Roman"/>
                      <w:color w:val="auto"/>
                      <w:sz w:val="21"/>
                      <w:szCs w:val="21"/>
                      <w:highlight w:val="none"/>
                      <w:lang w:val="en-US" w:eastAsia="zh-CN"/>
                    </w:rPr>
                    <w:t>5</w:t>
                  </w:r>
                  <w:r>
                    <w:rPr>
                      <w:rFonts w:hint="eastAsia" w:cs="Times New Roman"/>
                      <w:color w:val="auto"/>
                      <w:sz w:val="21"/>
                      <w:szCs w:val="21"/>
                      <w:highlight w:val="none"/>
                      <w:lang w:val="en-US" w:eastAsia="zh-CN"/>
                    </w:rPr>
                    <w:t>；夜间：55</w:t>
                  </w:r>
                </w:p>
              </w:tc>
              <w:tc>
                <w:tcPr>
                  <w:tcW w:w="1280" w:type="dxa"/>
                  <w:tcBorders>
                    <w:top w:val="single" w:color="auto" w:sz="12" w:space="0"/>
                  </w:tcBorders>
                  <w:noWrap w:val="0"/>
                  <w:vAlign w:val="center"/>
                </w:tcPr>
                <w:p w14:paraId="138831F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56D12C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189" w:type="dxa"/>
                  <w:noWrap w:val="0"/>
                  <w:vAlign w:val="center"/>
                </w:tcPr>
                <w:p w14:paraId="723EA67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N2</w:t>
                  </w:r>
                  <w:r>
                    <w:rPr>
                      <w:rFonts w:hint="default" w:ascii="Times New Roman" w:hAnsi="Times New Roman" w:cs="Times New Roman"/>
                      <w:color w:val="auto"/>
                      <w:sz w:val="21"/>
                      <w:szCs w:val="21"/>
                      <w:highlight w:val="none"/>
                    </w:rPr>
                    <w:t>厂界</w:t>
                  </w:r>
                  <w:r>
                    <w:rPr>
                      <w:rFonts w:hint="eastAsia" w:ascii="Times New Roman" w:hAnsi="Times New Roman" w:cs="Times New Roman"/>
                      <w:color w:val="auto"/>
                      <w:sz w:val="21"/>
                      <w:szCs w:val="21"/>
                      <w:highlight w:val="none"/>
                      <w:lang w:val="en-US" w:eastAsia="zh-CN"/>
                    </w:rPr>
                    <w:t>外南</w:t>
                  </w:r>
                  <w:r>
                    <w:rPr>
                      <w:rFonts w:hint="eastAsia" w:cs="Times New Roman"/>
                      <w:color w:val="auto"/>
                      <w:sz w:val="21"/>
                      <w:szCs w:val="21"/>
                      <w:highlight w:val="none"/>
                      <w:lang w:val="en-US" w:eastAsia="zh-CN"/>
                    </w:rPr>
                    <w:t>侧</w:t>
                  </w:r>
                  <w:r>
                    <w:rPr>
                      <w:rFonts w:hint="eastAsia" w:ascii="Times New Roman" w:hAnsi="Times New Roman" w:cs="Times New Roman"/>
                      <w:color w:val="auto"/>
                      <w:sz w:val="21"/>
                      <w:szCs w:val="21"/>
                      <w:highlight w:val="none"/>
                      <w:lang w:val="en-US" w:eastAsia="zh-CN"/>
                    </w:rPr>
                    <w:t>1m处</w:t>
                  </w:r>
                </w:p>
              </w:tc>
              <w:tc>
                <w:tcPr>
                  <w:tcW w:w="1142" w:type="dxa"/>
                  <w:vMerge w:val="continue"/>
                  <w:noWrap w:val="0"/>
                  <w:vAlign w:val="center"/>
                </w:tcPr>
                <w:p w14:paraId="56FFFDA0">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150" w:type="dxa"/>
                  <w:noWrap w:val="0"/>
                  <w:vAlign w:val="center"/>
                </w:tcPr>
                <w:p w14:paraId="2A1A6A7A">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58</w:t>
                  </w:r>
                </w:p>
              </w:tc>
              <w:tc>
                <w:tcPr>
                  <w:tcW w:w="1287" w:type="dxa"/>
                  <w:noWrap w:val="0"/>
                  <w:vAlign w:val="center"/>
                </w:tcPr>
                <w:p w14:paraId="555855F9">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47</w:t>
                  </w:r>
                </w:p>
              </w:tc>
              <w:tc>
                <w:tcPr>
                  <w:tcW w:w="1341" w:type="dxa"/>
                  <w:vMerge w:val="continue"/>
                  <w:noWrap w:val="0"/>
                  <w:vAlign w:val="center"/>
                </w:tcPr>
                <w:p w14:paraId="5032698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Times New Roman" w:cs="Times New Roman"/>
                      <w:color w:val="auto"/>
                      <w:sz w:val="21"/>
                      <w:szCs w:val="21"/>
                      <w:highlight w:val="none"/>
                    </w:rPr>
                  </w:pPr>
                </w:p>
              </w:tc>
              <w:tc>
                <w:tcPr>
                  <w:tcW w:w="1280" w:type="dxa"/>
                  <w:noWrap w:val="0"/>
                  <w:vAlign w:val="center"/>
                </w:tcPr>
                <w:p w14:paraId="1B9600E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7278AB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189" w:type="dxa"/>
                  <w:noWrap w:val="0"/>
                  <w:vAlign w:val="center"/>
                </w:tcPr>
                <w:p w14:paraId="6776BDE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N3</w:t>
                  </w:r>
                  <w:r>
                    <w:rPr>
                      <w:rFonts w:hint="default" w:ascii="Times New Roman" w:hAnsi="Times New Roman" w:cs="Times New Roman"/>
                      <w:color w:val="auto"/>
                      <w:sz w:val="21"/>
                      <w:szCs w:val="21"/>
                      <w:highlight w:val="none"/>
                    </w:rPr>
                    <w:t>厂界</w:t>
                  </w:r>
                  <w:r>
                    <w:rPr>
                      <w:rFonts w:hint="eastAsia" w:ascii="Times New Roman" w:hAnsi="Times New Roman" w:cs="Times New Roman"/>
                      <w:color w:val="auto"/>
                      <w:sz w:val="21"/>
                      <w:szCs w:val="21"/>
                      <w:highlight w:val="none"/>
                      <w:lang w:val="en-US" w:eastAsia="zh-CN"/>
                    </w:rPr>
                    <w:t>外西</w:t>
                  </w:r>
                  <w:r>
                    <w:rPr>
                      <w:rFonts w:hint="eastAsia" w:cs="Times New Roman"/>
                      <w:color w:val="auto"/>
                      <w:sz w:val="21"/>
                      <w:szCs w:val="21"/>
                      <w:highlight w:val="none"/>
                      <w:lang w:val="en-US" w:eastAsia="zh-CN"/>
                    </w:rPr>
                    <w:t>侧</w:t>
                  </w:r>
                  <w:r>
                    <w:rPr>
                      <w:rFonts w:hint="eastAsia" w:ascii="Times New Roman" w:hAnsi="Times New Roman" w:cs="Times New Roman"/>
                      <w:color w:val="auto"/>
                      <w:sz w:val="21"/>
                      <w:szCs w:val="21"/>
                      <w:highlight w:val="none"/>
                      <w:lang w:val="en-US" w:eastAsia="zh-CN"/>
                    </w:rPr>
                    <w:t>1m处</w:t>
                  </w:r>
                </w:p>
              </w:tc>
              <w:tc>
                <w:tcPr>
                  <w:tcW w:w="1142" w:type="dxa"/>
                  <w:vMerge w:val="continue"/>
                  <w:noWrap w:val="0"/>
                  <w:vAlign w:val="center"/>
                </w:tcPr>
                <w:p w14:paraId="26138527">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Times New Roman" w:cs="Times New Roman"/>
                      <w:color w:val="auto"/>
                      <w:sz w:val="21"/>
                      <w:szCs w:val="21"/>
                      <w:highlight w:val="none"/>
                    </w:rPr>
                  </w:pPr>
                </w:p>
              </w:tc>
              <w:tc>
                <w:tcPr>
                  <w:tcW w:w="1150" w:type="dxa"/>
                  <w:noWrap w:val="0"/>
                  <w:vAlign w:val="center"/>
                </w:tcPr>
                <w:p w14:paraId="0C8230EA">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55</w:t>
                  </w:r>
                </w:p>
              </w:tc>
              <w:tc>
                <w:tcPr>
                  <w:tcW w:w="1287" w:type="dxa"/>
                  <w:noWrap w:val="0"/>
                  <w:vAlign w:val="center"/>
                </w:tcPr>
                <w:p w14:paraId="23453D34">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51</w:t>
                  </w:r>
                </w:p>
              </w:tc>
              <w:tc>
                <w:tcPr>
                  <w:tcW w:w="1341" w:type="dxa"/>
                  <w:vMerge w:val="continue"/>
                  <w:noWrap w:val="0"/>
                  <w:vAlign w:val="center"/>
                </w:tcPr>
                <w:p w14:paraId="1FB8403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Times New Roman" w:cs="Times New Roman"/>
                      <w:color w:val="auto"/>
                      <w:sz w:val="21"/>
                      <w:szCs w:val="21"/>
                      <w:highlight w:val="none"/>
                    </w:rPr>
                  </w:pPr>
                </w:p>
              </w:tc>
              <w:tc>
                <w:tcPr>
                  <w:tcW w:w="1280" w:type="dxa"/>
                  <w:noWrap w:val="0"/>
                  <w:vAlign w:val="center"/>
                </w:tcPr>
                <w:p w14:paraId="15675BF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483631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189" w:type="dxa"/>
                  <w:noWrap w:val="0"/>
                  <w:vAlign w:val="center"/>
                </w:tcPr>
                <w:p w14:paraId="6A7724A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N4</w:t>
                  </w:r>
                  <w:r>
                    <w:rPr>
                      <w:rFonts w:hint="default" w:ascii="Times New Roman" w:hAnsi="Times New Roman" w:cs="Times New Roman"/>
                      <w:color w:val="auto"/>
                      <w:sz w:val="21"/>
                      <w:szCs w:val="21"/>
                      <w:highlight w:val="none"/>
                    </w:rPr>
                    <w:t>厂界</w:t>
                  </w:r>
                  <w:r>
                    <w:rPr>
                      <w:rFonts w:hint="eastAsia" w:ascii="Times New Roman" w:hAnsi="Times New Roman" w:cs="Times New Roman"/>
                      <w:color w:val="auto"/>
                      <w:sz w:val="21"/>
                      <w:szCs w:val="21"/>
                      <w:highlight w:val="none"/>
                      <w:lang w:val="en-US" w:eastAsia="zh-CN"/>
                    </w:rPr>
                    <w:t>外北</w:t>
                  </w:r>
                  <w:r>
                    <w:rPr>
                      <w:rFonts w:hint="eastAsia" w:cs="Times New Roman"/>
                      <w:color w:val="auto"/>
                      <w:sz w:val="21"/>
                      <w:szCs w:val="21"/>
                      <w:highlight w:val="none"/>
                      <w:lang w:val="en-US" w:eastAsia="zh-CN"/>
                    </w:rPr>
                    <w:t>侧</w:t>
                  </w:r>
                  <w:r>
                    <w:rPr>
                      <w:rFonts w:hint="eastAsia" w:ascii="Times New Roman" w:hAnsi="Times New Roman" w:cs="Times New Roman"/>
                      <w:color w:val="auto"/>
                      <w:sz w:val="21"/>
                      <w:szCs w:val="21"/>
                      <w:highlight w:val="none"/>
                      <w:lang w:val="en-US" w:eastAsia="zh-CN"/>
                    </w:rPr>
                    <w:t>1m处</w:t>
                  </w:r>
                </w:p>
              </w:tc>
              <w:tc>
                <w:tcPr>
                  <w:tcW w:w="1142" w:type="dxa"/>
                  <w:vMerge w:val="continue"/>
                  <w:noWrap w:val="0"/>
                  <w:vAlign w:val="center"/>
                </w:tcPr>
                <w:p w14:paraId="74447AF5">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Times New Roman" w:cs="Times New Roman"/>
                      <w:color w:val="auto"/>
                      <w:sz w:val="21"/>
                      <w:szCs w:val="21"/>
                      <w:highlight w:val="none"/>
                    </w:rPr>
                  </w:pPr>
                </w:p>
              </w:tc>
              <w:tc>
                <w:tcPr>
                  <w:tcW w:w="1150" w:type="dxa"/>
                  <w:noWrap w:val="0"/>
                  <w:vAlign w:val="center"/>
                </w:tcPr>
                <w:p w14:paraId="3D33802D">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60</w:t>
                  </w:r>
                </w:p>
              </w:tc>
              <w:tc>
                <w:tcPr>
                  <w:tcW w:w="1287" w:type="dxa"/>
                  <w:noWrap w:val="0"/>
                  <w:vAlign w:val="center"/>
                </w:tcPr>
                <w:p w14:paraId="693AEC4B">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48</w:t>
                  </w:r>
                </w:p>
              </w:tc>
              <w:tc>
                <w:tcPr>
                  <w:tcW w:w="1341" w:type="dxa"/>
                  <w:vMerge w:val="continue"/>
                  <w:noWrap w:val="0"/>
                  <w:vAlign w:val="center"/>
                </w:tcPr>
                <w:p w14:paraId="72F2234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Times New Roman" w:cs="Times New Roman"/>
                      <w:color w:val="auto"/>
                      <w:sz w:val="21"/>
                      <w:szCs w:val="21"/>
                      <w:highlight w:val="none"/>
                    </w:rPr>
                  </w:pPr>
                </w:p>
              </w:tc>
              <w:tc>
                <w:tcPr>
                  <w:tcW w:w="1280" w:type="dxa"/>
                  <w:noWrap w:val="0"/>
                  <w:vAlign w:val="center"/>
                </w:tcPr>
                <w:p w14:paraId="66B1326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bl>
          <w:p w14:paraId="41FF35BC">
            <w:pPr>
              <w:keepNext w:val="0"/>
              <w:keepLines w:val="0"/>
              <w:suppressLineNumbers w:val="0"/>
              <w:spacing w:before="0" w:beforeAutospacing="0" w:after="0" w:afterAutospacing="0" w:line="360" w:lineRule="auto"/>
              <w:ind w:left="0" w:right="0" w:firstLine="472" w:firstLineChars="200"/>
              <w:rPr>
                <w:rFonts w:hint="eastAsia" w:ascii="Times New Roman" w:hAnsi="Times New Roman" w:cs="Times New Roman"/>
                <w:color w:val="auto"/>
                <w:spacing w:val="-2"/>
                <w:sz w:val="24"/>
                <w:highlight w:val="none"/>
              </w:rPr>
            </w:pPr>
            <w:r>
              <w:rPr>
                <w:rFonts w:hint="eastAsia" w:ascii="Times New Roman" w:hAnsi="Times New Roman" w:cs="Times New Roman"/>
                <w:color w:val="auto"/>
                <w:spacing w:val="-2"/>
                <w:sz w:val="24"/>
                <w:highlight w:val="none"/>
              </w:rPr>
              <w:t>由上表可知，监测期间项目厂界昼间噪声监测值均达到《工业企业厂界环境噪声排放标准》(GB12348-2008)中3类功能区标准要求。</w:t>
            </w:r>
          </w:p>
          <w:p w14:paraId="78C5343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val="0"/>
                <w:color w:val="auto"/>
                <w:sz w:val="24"/>
                <w:highlight w:val="none"/>
              </w:rPr>
            </w:pPr>
            <w:r>
              <w:rPr>
                <w:rFonts w:hint="eastAsia" w:ascii="Times New Roman" w:hAnsi="Times New Roman" w:eastAsia="宋体" w:cs="Times New Roman"/>
                <w:b w:val="0"/>
                <w:bCs w:val="0"/>
                <w:color w:val="auto"/>
                <w:sz w:val="24"/>
                <w:highlight w:val="none"/>
                <w:lang w:val="en-US" w:eastAsia="zh-CN"/>
              </w:rPr>
              <w:t>4</w:t>
            </w:r>
            <w:r>
              <w:rPr>
                <w:rFonts w:hint="eastAsia" w:ascii="Times New Roman" w:hAnsi="Times New Roman" w:eastAsia="宋体" w:cs="Times New Roman"/>
                <w:b w:val="0"/>
                <w:bCs w:val="0"/>
                <w:color w:val="auto"/>
                <w:sz w:val="24"/>
                <w:highlight w:val="none"/>
                <w:lang w:eastAsia="zh-CN"/>
              </w:rPr>
              <w:t>）</w:t>
            </w:r>
            <w:r>
              <w:rPr>
                <w:rFonts w:hint="default" w:ascii="Times New Roman" w:hAnsi="Times New Roman" w:cs="Times New Roman"/>
                <w:b w:val="0"/>
                <w:bCs w:val="0"/>
                <w:color w:val="auto"/>
                <w:sz w:val="24"/>
                <w:highlight w:val="none"/>
              </w:rPr>
              <w:t>固废污染源防治措施及其达标性分析</w:t>
            </w:r>
          </w:p>
          <w:p w14:paraId="05BF6005">
            <w:pPr>
              <w:keepNext w:val="0"/>
              <w:keepLines w:val="0"/>
              <w:widowControl/>
              <w:suppressLineNumbers w:val="0"/>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现有项目固体废物产生和处置情况详见表2-</w:t>
            </w:r>
            <w:r>
              <w:rPr>
                <w:rFonts w:hint="eastAsia" w:cs="Times New Roman"/>
                <w:color w:val="auto"/>
                <w:kern w:val="2"/>
                <w:sz w:val="24"/>
                <w:szCs w:val="24"/>
                <w:highlight w:val="none"/>
                <w:lang w:val="en-US" w:eastAsia="zh-CN" w:bidi="ar-SA"/>
              </w:rPr>
              <w:t>20</w:t>
            </w:r>
            <w:r>
              <w:rPr>
                <w:rFonts w:hint="eastAsia" w:ascii="Times New Roman" w:hAnsi="Times New Roman" w:eastAsia="宋体" w:cs="Times New Roman"/>
                <w:color w:val="auto"/>
                <w:kern w:val="2"/>
                <w:sz w:val="24"/>
                <w:szCs w:val="24"/>
                <w:highlight w:val="none"/>
                <w:lang w:val="en-US" w:eastAsia="zh-CN" w:bidi="ar-SA"/>
              </w:rPr>
              <w:t>。</w:t>
            </w:r>
          </w:p>
          <w:p w14:paraId="12C03F6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240" w:lineRule="auto"/>
              <w:ind w:left="0" w:right="0"/>
              <w:jc w:val="center"/>
              <w:textAlignment w:val="auto"/>
              <w:rPr>
                <w:rFonts w:hint="default" w:ascii="Times New Roman" w:hAnsi="Times New Roman" w:eastAsia="宋体" w:cs="Times New Roman"/>
                <w:b/>
                <w:color w:val="auto"/>
                <w:kern w:val="2"/>
                <w:sz w:val="21"/>
                <w:szCs w:val="20"/>
                <w:highlight w:val="none"/>
                <w:lang w:val="en-US" w:eastAsia="zh-CN" w:bidi="ar-SA"/>
              </w:rPr>
            </w:pPr>
            <w:r>
              <w:rPr>
                <w:rFonts w:hint="eastAsia" w:ascii="Times New Roman" w:hAnsi="Times New Roman" w:eastAsia="宋体" w:cs="Times New Roman"/>
                <w:b/>
                <w:color w:val="auto"/>
                <w:kern w:val="2"/>
                <w:sz w:val="21"/>
                <w:szCs w:val="20"/>
                <w:highlight w:val="none"/>
                <w:lang w:val="en-US" w:eastAsia="zh-CN" w:bidi="ar-SA"/>
              </w:rPr>
              <w:t>表2-</w:t>
            </w:r>
            <w:r>
              <w:rPr>
                <w:rFonts w:hint="eastAsia" w:cs="Times New Roman"/>
                <w:b/>
                <w:color w:val="auto"/>
                <w:kern w:val="2"/>
                <w:sz w:val="21"/>
                <w:szCs w:val="20"/>
                <w:highlight w:val="none"/>
                <w:lang w:val="en-US" w:eastAsia="zh-CN" w:bidi="ar-SA"/>
              </w:rPr>
              <w:t xml:space="preserve">20 </w:t>
            </w:r>
            <w:r>
              <w:rPr>
                <w:rFonts w:hint="eastAsia" w:ascii="Times New Roman" w:hAnsi="Times New Roman" w:eastAsia="宋体" w:cs="Times New Roman"/>
                <w:b/>
                <w:color w:val="auto"/>
                <w:kern w:val="2"/>
                <w:sz w:val="21"/>
                <w:szCs w:val="20"/>
                <w:highlight w:val="none"/>
                <w:lang w:val="en-US" w:eastAsia="zh-CN" w:bidi="ar-SA"/>
              </w:rPr>
              <w:t xml:space="preserve"> 现有项目固体废物产生和处置情况一览表</w:t>
            </w:r>
          </w:p>
          <w:tbl>
            <w:tblPr>
              <w:tblStyle w:val="32"/>
              <w:tblW w:w="839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19"/>
              <w:gridCol w:w="3258"/>
              <w:gridCol w:w="1314"/>
              <w:gridCol w:w="2503"/>
            </w:tblGrid>
            <w:tr w14:paraId="278FA1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85" w:type="pct"/>
                  <w:tcBorders>
                    <w:tl2br w:val="nil"/>
                    <w:tr2bl w:val="nil"/>
                  </w:tcBorders>
                  <w:noWrap w:val="0"/>
                  <w:vAlign w:val="center"/>
                </w:tcPr>
                <w:p w14:paraId="38A4465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固废类别</w:t>
                  </w:r>
                </w:p>
              </w:tc>
              <w:tc>
                <w:tcPr>
                  <w:tcW w:w="1939" w:type="pct"/>
                  <w:tcBorders>
                    <w:tl2br w:val="nil"/>
                    <w:tr2bl w:val="nil"/>
                  </w:tcBorders>
                  <w:noWrap w:val="0"/>
                  <w:vAlign w:val="center"/>
                </w:tcPr>
                <w:p w14:paraId="7B46641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固废名称</w:t>
                  </w:r>
                </w:p>
              </w:tc>
              <w:tc>
                <w:tcPr>
                  <w:tcW w:w="782" w:type="pct"/>
                  <w:tcBorders>
                    <w:tl2br w:val="nil"/>
                    <w:tr2bl w:val="nil"/>
                  </w:tcBorders>
                  <w:noWrap w:val="0"/>
                  <w:vAlign w:val="center"/>
                </w:tcPr>
                <w:p w14:paraId="222057E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b/>
                      <w:color w:val="auto"/>
                      <w:sz w:val="21"/>
                      <w:szCs w:val="21"/>
                      <w:highlight w:val="none"/>
                    </w:rPr>
                  </w:pPr>
                  <w:r>
                    <w:rPr>
                      <w:rFonts w:hint="eastAsia" w:ascii="Times New Roman" w:hAnsi="Times New Roman" w:eastAsia="宋体" w:cs="Times New Roman"/>
                      <w:b/>
                      <w:color w:val="auto"/>
                      <w:sz w:val="21"/>
                      <w:szCs w:val="21"/>
                      <w:highlight w:val="none"/>
                      <w:lang w:val="en-US" w:eastAsia="zh-CN"/>
                    </w:rPr>
                    <w:t>产生</w:t>
                  </w:r>
                  <w:r>
                    <w:rPr>
                      <w:rFonts w:hint="default" w:ascii="Times New Roman" w:hAnsi="Times New Roman" w:cs="Times New Roman"/>
                      <w:b/>
                      <w:color w:val="auto"/>
                      <w:sz w:val="21"/>
                      <w:szCs w:val="21"/>
                      <w:highlight w:val="none"/>
                    </w:rPr>
                    <w:t>量</w:t>
                  </w:r>
                  <w:r>
                    <w:rPr>
                      <w:rFonts w:hint="eastAsia" w:ascii="Times New Roman" w:hAnsi="Times New Roman" w:cs="Times New Roman"/>
                      <w:b/>
                      <w:color w:val="auto"/>
                      <w:sz w:val="21"/>
                      <w:szCs w:val="21"/>
                      <w:highlight w:val="none"/>
                    </w:rPr>
                    <w:t>（</w:t>
                  </w:r>
                  <w:r>
                    <w:rPr>
                      <w:rFonts w:hint="default" w:ascii="Times New Roman" w:hAnsi="Times New Roman" w:cs="Times New Roman"/>
                      <w:b/>
                      <w:bCs/>
                      <w:color w:val="auto"/>
                      <w:sz w:val="21"/>
                      <w:szCs w:val="21"/>
                      <w:highlight w:val="none"/>
                    </w:rPr>
                    <w:t>t/a</w:t>
                  </w:r>
                  <w:r>
                    <w:rPr>
                      <w:rFonts w:hint="eastAsia" w:ascii="Times New Roman" w:hAnsi="Times New Roman" w:cs="Times New Roman"/>
                      <w:b/>
                      <w:color w:val="auto"/>
                      <w:sz w:val="21"/>
                      <w:szCs w:val="21"/>
                      <w:highlight w:val="none"/>
                    </w:rPr>
                    <w:t>）</w:t>
                  </w:r>
                </w:p>
              </w:tc>
              <w:tc>
                <w:tcPr>
                  <w:tcW w:w="1490" w:type="pct"/>
                  <w:tcBorders>
                    <w:tl2br w:val="nil"/>
                    <w:tr2bl w:val="nil"/>
                  </w:tcBorders>
                  <w:noWrap w:val="0"/>
                  <w:vAlign w:val="center"/>
                </w:tcPr>
                <w:p w14:paraId="5CA9C2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处置方式</w:t>
                  </w:r>
                </w:p>
              </w:tc>
            </w:tr>
            <w:tr w14:paraId="2E4401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85" w:type="pct"/>
                  <w:vMerge w:val="restart"/>
                  <w:tcBorders>
                    <w:tl2br w:val="nil"/>
                    <w:tr2bl w:val="nil"/>
                  </w:tcBorders>
                  <w:noWrap w:val="0"/>
                  <w:vAlign w:val="center"/>
                </w:tcPr>
                <w:p w14:paraId="3A0AE8C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一般</w:t>
                  </w:r>
                  <w:r>
                    <w:rPr>
                      <w:rFonts w:hint="eastAsia" w:cs="Times New Roman"/>
                      <w:color w:val="auto"/>
                      <w:sz w:val="21"/>
                      <w:szCs w:val="21"/>
                      <w:highlight w:val="none"/>
                      <w:lang w:val="en-US" w:eastAsia="zh-CN"/>
                    </w:rPr>
                    <w:t>工业</w:t>
                  </w:r>
                  <w:r>
                    <w:rPr>
                      <w:rFonts w:hint="default" w:ascii="Times New Roman" w:hAnsi="Times New Roman" w:cs="Times New Roman"/>
                      <w:color w:val="auto"/>
                      <w:sz w:val="21"/>
                      <w:szCs w:val="21"/>
                      <w:highlight w:val="none"/>
                    </w:rPr>
                    <w:t>固</w:t>
                  </w:r>
                  <w:r>
                    <w:rPr>
                      <w:rFonts w:hint="eastAsia" w:cs="Times New Roman"/>
                      <w:color w:val="auto"/>
                      <w:sz w:val="21"/>
                      <w:szCs w:val="21"/>
                      <w:highlight w:val="none"/>
                      <w:lang w:val="en-US" w:eastAsia="zh-CN"/>
                    </w:rPr>
                    <w:t>体</w:t>
                  </w:r>
                  <w:r>
                    <w:rPr>
                      <w:rFonts w:hint="default" w:ascii="Times New Roman" w:hAnsi="Times New Roman" w:cs="Times New Roman"/>
                      <w:color w:val="auto"/>
                      <w:sz w:val="21"/>
                      <w:szCs w:val="21"/>
                      <w:highlight w:val="none"/>
                    </w:rPr>
                    <w:t>废</w:t>
                  </w:r>
                  <w:r>
                    <w:rPr>
                      <w:rFonts w:hint="eastAsia" w:cs="Times New Roman"/>
                      <w:color w:val="auto"/>
                      <w:sz w:val="21"/>
                      <w:szCs w:val="21"/>
                      <w:highlight w:val="none"/>
                      <w:lang w:val="en-US" w:eastAsia="zh-CN"/>
                    </w:rPr>
                    <w:t>物</w:t>
                  </w:r>
                </w:p>
              </w:tc>
              <w:tc>
                <w:tcPr>
                  <w:tcW w:w="1939" w:type="pct"/>
                  <w:tcBorders>
                    <w:tl2br w:val="nil"/>
                    <w:tr2bl w:val="nil"/>
                  </w:tcBorders>
                  <w:shd w:val="clear" w:color="auto" w:fill="auto"/>
                  <w:noWrap w:val="0"/>
                  <w:vAlign w:val="center"/>
                </w:tcPr>
                <w:p w14:paraId="7933AC3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废包装材料</w:t>
                  </w:r>
                </w:p>
              </w:tc>
              <w:tc>
                <w:tcPr>
                  <w:tcW w:w="782" w:type="pct"/>
                  <w:tcBorders>
                    <w:tl2br w:val="nil"/>
                    <w:tr2bl w:val="nil"/>
                  </w:tcBorders>
                  <w:shd w:val="clear" w:color="auto" w:fill="auto"/>
                  <w:noWrap w:val="0"/>
                  <w:vAlign w:val="center"/>
                </w:tcPr>
                <w:p w14:paraId="016FAA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2</w:t>
                  </w:r>
                </w:p>
              </w:tc>
              <w:tc>
                <w:tcPr>
                  <w:tcW w:w="1490" w:type="pct"/>
                  <w:vMerge w:val="restart"/>
                  <w:tcBorders>
                    <w:tl2br w:val="nil"/>
                    <w:tr2bl w:val="nil"/>
                  </w:tcBorders>
                  <w:shd w:val="clear" w:color="auto" w:fill="auto"/>
                  <w:noWrap w:val="0"/>
                  <w:vAlign w:val="center"/>
                </w:tcPr>
                <w:p w14:paraId="71200824">
                  <w:pPr>
                    <w:keepNext w:val="0"/>
                    <w:keepLines w:val="0"/>
                    <w:pageBreakBefore w:val="0"/>
                    <w:suppressLineNumbers w:val="0"/>
                    <w:tabs>
                      <w:tab w:val="left" w:pos="3345"/>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color w:val="auto"/>
                      <w:sz w:val="21"/>
                      <w:szCs w:val="21"/>
                      <w:highlight w:val="none"/>
                      <w:lang w:val="en-US" w:eastAsia="zh-CN"/>
                    </w:rPr>
                    <w:t>外售综合利用</w:t>
                  </w:r>
                </w:p>
              </w:tc>
            </w:tr>
            <w:tr w14:paraId="2941B6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85" w:type="pct"/>
                  <w:vMerge w:val="continue"/>
                  <w:tcBorders>
                    <w:tl2br w:val="nil"/>
                    <w:tr2bl w:val="nil"/>
                  </w:tcBorders>
                  <w:noWrap w:val="0"/>
                  <w:vAlign w:val="center"/>
                </w:tcPr>
                <w:p w14:paraId="1F5C4C9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939" w:type="pct"/>
                  <w:tcBorders>
                    <w:tl2br w:val="nil"/>
                    <w:tr2bl w:val="nil"/>
                  </w:tcBorders>
                  <w:shd w:val="clear" w:color="auto" w:fill="auto"/>
                  <w:noWrap w:val="0"/>
                  <w:vAlign w:val="center"/>
                </w:tcPr>
                <w:p w14:paraId="2B1607E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一般液体化学品废物料桶</w:t>
                  </w:r>
                </w:p>
              </w:tc>
              <w:tc>
                <w:tcPr>
                  <w:tcW w:w="782" w:type="pct"/>
                  <w:tcBorders>
                    <w:tl2br w:val="nil"/>
                    <w:tr2bl w:val="nil"/>
                  </w:tcBorders>
                  <w:shd w:val="clear" w:color="auto" w:fill="auto"/>
                  <w:noWrap w:val="0"/>
                  <w:vAlign w:val="center"/>
                </w:tcPr>
                <w:p w14:paraId="3C72FE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0.5</w:t>
                  </w:r>
                </w:p>
              </w:tc>
              <w:tc>
                <w:tcPr>
                  <w:tcW w:w="1490" w:type="pct"/>
                  <w:vMerge w:val="continue"/>
                  <w:tcBorders>
                    <w:tl2br w:val="nil"/>
                    <w:tr2bl w:val="nil"/>
                  </w:tcBorders>
                  <w:shd w:val="clear" w:color="auto" w:fill="auto"/>
                  <w:noWrap w:val="0"/>
                  <w:vAlign w:val="center"/>
                </w:tcPr>
                <w:p w14:paraId="4DEB4F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5BBB04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85" w:type="pct"/>
                  <w:vMerge w:val="continue"/>
                  <w:tcBorders>
                    <w:tl2br w:val="nil"/>
                    <w:tr2bl w:val="nil"/>
                  </w:tcBorders>
                  <w:noWrap w:val="0"/>
                  <w:vAlign w:val="center"/>
                </w:tcPr>
                <w:p w14:paraId="5021ABA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p>
              </w:tc>
              <w:tc>
                <w:tcPr>
                  <w:tcW w:w="1939" w:type="pct"/>
                  <w:tcBorders>
                    <w:tl2br w:val="nil"/>
                    <w:tr2bl w:val="nil"/>
                  </w:tcBorders>
                  <w:shd w:val="clear" w:color="auto" w:fill="auto"/>
                  <w:noWrap w:val="0"/>
                  <w:vAlign w:val="center"/>
                </w:tcPr>
                <w:p w14:paraId="77983FB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五金件不合格产品</w:t>
                  </w:r>
                </w:p>
              </w:tc>
              <w:tc>
                <w:tcPr>
                  <w:tcW w:w="782" w:type="pct"/>
                  <w:tcBorders>
                    <w:tl2br w:val="nil"/>
                    <w:tr2bl w:val="nil"/>
                  </w:tcBorders>
                  <w:shd w:val="clear" w:color="auto" w:fill="auto"/>
                  <w:noWrap w:val="0"/>
                  <w:vAlign w:val="center"/>
                </w:tcPr>
                <w:p w14:paraId="134983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10</w:t>
                  </w:r>
                </w:p>
              </w:tc>
              <w:tc>
                <w:tcPr>
                  <w:tcW w:w="1490" w:type="pct"/>
                  <w:vMerge w:val="continue"/>
                  <w:tcBorders>
                    <w:tl2br w:val="nil"/>
                    <w:tr2bl w:val="nil"/>
                  </w:tcBorders>
                  <w:shd w:val="clear" w:color="auto" w:fill="auto"/>
                  <w:noWrap w:val="0"/>
                  <w:vAlign w:val="center"/>
                </w:tcPr>
                <w:p w14:paraId="224FDF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0BDEC7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85" w:type="pct"/>
                  <w:vMerge w:val="continue"/>
                  <w:tcBorders>
                    <w:tl2br w:val="nil"/>
                    <w:tr2bl w:val="nil"/>
                  </w:tcBorders>
                  <w:noWrap w:val="0"/>
                  <w:vAlign w:val="center"/>
                </w:tcPr>
                <w:p w14:paraId="1EA8604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p>
              </w:tc>
              <w:tc>
                <w:tcPr>
                  <w:tcW w:w="1939" w:type="pct"/>
                  <w:tcBorders>
                    <w:tl2br w:val="nil"/>
                    <w:tr2bl w:val="nil"/>
                  </w:tcBorders>
                  <w:shd w:val="clear" w:color="auto" w:fill="auto"/>
                  <w:noWrap w:val="0"/>
                  <w:vAlign w:val="center"/>
                </w:tcPr>
                <w:p w14:paraId="64BF3A6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布袋除尘器收集尘</w:t>
                  </w:r>
                </w:p>
              </w:tc>
              <w:tc>
                <w:tcPr>
                  <w:tcW w:w="782" w:type="pct"/>
                  <w:tcBorders>
                    <w:tl2br w:val="nil"/>
                    <w:tr2bl w:val="nil"/>
                  </w:tcBorders>
                  <w:shd w:val="clear" w:color="auto" w:fill="auto"/>
                  <w:noWrap w:val="0"/>
                  <w:vAlign w:val="center"/>
                </w:tcPr>
                <w:p w14:paraId="26DBEC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0.1</w:t>
                  </w:r>
                </w:p>
              </w:tc>
              <w:tc>
                <w:tcPr>
                  <w:tcW w:w="1490" w:type="pct"/>
                  <w:vMerge w:val="continue"/>
                  <w:tcBorders>
                    <w:tl2br w:val="nil"/>
                    <w:tr2bl w:val="nil"/>
                  </w:tcBorders>
                  <w:shd w:val="clear" w:color="auto" w:fill="auto"/>
                  <w:noWrap w:val="0"/>
                  <w:vAlign w:val="center"/>
                </w:tcPr>
                <w:p w14:paraId="20A0AA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1B3777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85" w:type="pct"/>
                  <w:vMerge w:val="restart"/>
                  <w:tcBorders>
                    <w:tl2br w:val="nil"/>
                    <w:tr2bl w:val="nil"/>
                  </w:tcBorders>
                  <w:noWrap w:val="0"/>
                  <w:vAlign w:val="center"/>
                </w:tcPr>
                <w:p w14:paraId="2A59B99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危险废物</w:t>
                  </w:r>
                </w:p>
              </w:tc>
              <w:tc>
                <w:tcPr>
                  <w:tcW w:w="1939" w:type="pct"/>
                  <w:tcBorders>
                    <w:tl2br w:val="nil"/>
                    <w:tr2bl w:val="nil"/>
                  </w:tcBorders>
                  <w:shd w:val="clear" w:color="auto" w:fill="auto"/>
                  <w:noWrap w:val="0"/>
                  <w:vAlign w:val="center"/>
                </w:tcPr>
                <w:p w14:paraId="6BE61D5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废润滑油</w:t>
                  </w:r>
                </w:p>
              </w:tc>
              <w:tc>
                <w:tcPr>
                  <w:tcW w:w="782" w:type="pct"/>
                  <w:tcBorders>
                    <w:tl2br w:val="nil"/>
                    <w:tr2bl w:val="nil"/>
                  </w:tcBorders>
                  <w:shd w:val="clear" w:color="auto" w:fill="auto"/>
                  <w:noWrap w:val="0"/>
                  <w:vAlign w:val="center"/>
                </w:tcPr>
                <w:p w14:paraId="1F79D9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0.2</w:t>
                  </w:r>
                </w:p>
              </w:tc>
              <w:tc>
                <w:tcPr>
                  <w:tcW w:w="1490" w:type="pct"/>
                  <w:vMerge w:val="restart"/>
                  <w:tcBorders>
                    <w:tl2br w:val="nil"/>
                    <w:tr2bl w:val="nil"/>
                  </w:tcBorders>
                  <w:shd w:val="clear" w:color="auto" w:fill="auto"/>
                  <w:noWrap w:val="0"/>
                  <w:vAlign w:val="center"/>
                </w:tcPr>
                <w:p w14:paraId="425388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交由九江浦泽环保工程有限公司处置</w:t>
                  </w:r>
                </w:p>
              </w:tc>
            </w:tr>
            <w:tr w14:paraId="005D61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85" w:type="pct"/>
                  <w:vMerge w:val="continue"/>
                  <w:tcBorders>
                    <w:tl2br w:val="nil"/>
                    <w:tr2bl w:val="nil"/>
                  </w:tcBorders>
                  <w:noWrap w:val="0"/>
                  <w:vAlign w:val="center"/>
                </w:tcPr>
                <w:p w14:paraId="5BB3C32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p>
              </w:tc>
              <w:tc>
                <w:tcPr>
                  <w:tcW w:w="1939" w:type="pct"/>
                  <w:tcBorders>
                    <w:tl2br w:val="nil"/>
                    <w:tr2bl w:val="nil"/>
                  </w:tcBorders>
                  <w:shd w:val="clear" w:color="auto" w:fill="auto"/>
                  <w:noWrap w:val="0"/>
                  <w:vAlign w:val="center"/>
                </w:tcPr>
                <w:p w14:paraId="50F09E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设备清洗渣</w:t>
                  </w:r>
                </w:p>
              </w:tc>
              <w:tc>
                <w:tcPr>
                  <w:tcW w:w="782" w:type="pct"/>
                  <w:tcBorders>
                    <w:tl2br w:val="nil"/>
                    <w:tr2bl w:val="nil"/>
                  </w:tcBorders>
                  <w:shd w:val="clear" w:color="auto" w:fill="auto"/>
                  <w:noWrap w:val="0"/>
                  <w:vAlign w:val="center"/>
                </w:tcPr>
                <w:p w14:paraId="31A0A5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1.95</w:t>
                  </w:r>
                </w:p>
              </w:tc>
              <w:tc>
                <w:tcPr>
                  <w:tcW w:w="1490" w:type="pct"/>
                  <w:vMerge w:val="continue"/>
                  <w:tcBorders>
                    <w:tl2br w:val="nil"/>
                    <w:tr2bl w:val="nil"/>
                  </w:tcBorders>
                  <w:shd w:val="clear" w:color="auto" w:fill="auto"/>
                  <w:noWrap w:val="0"/>
                  <w:vAlign w:val="center"/>
                </w:tcPr>
                <w:p w14:paraId="0BE548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i w:val="0"/>
                      <w:iCs w:val="0"/>
                      <w:color w:val="auto"/>
                      <w:kern w:val="0"/>
                      <w:sz w:val="21"/>
                      <w:szCs w:val="21"/>
                      <w:highlight w:val="none"/>
                      <w:u w:val="none"/>
                      <w:lang w:val="en-US" w:eastAsia="zh-CN" w:bidi="ar"/>
                    </w:rPr>
                  </w:pPr>
                </w:p>
              </w:tc>
            </w:tr>
            <w:tr w14:paraId="46A2DC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85" w:type="pct"/>
                  <w:vMerge w:val="continue"/>
                  <w:tcBorders>
                    <w:tl2br w:val="nil"/>
                    <w:tr2bl w:val="nil"/>
                  </w:tcBorders>
                  <w:noWrap w:val="0"/>
                  <w:vAlign w:val="center"/>
                </w:tcPr>
                <w:p w14:paraId="6325F88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p>
              </w:tc>
              <w:tc>
                <w:tcPr>
                  <w:tcW w:w="1939" w:type="pct"/>
                  <w:tcBorders>
                    <w:tl2br w:val="nil"/>
                    <w:tr2bl w:val="nil"/>
                  </w:tcBorders>
                  <w:shd w:val="clear" w:color="auto" w:fill="auto"/>
                  <w:noWrap w:val="0"/>
                  <w:vAlign w:val="center"/>
                </w:tcPr>
                <w:p w14:paraId="240901B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循环池油渣</w:t>
                  </w:r>
                </w:p>
              </w:tc>
              <w:tc>
                <w:tcPr>
                  <w:tcW w:w="782" w:type="pct"/>
                  <w:tcBorders>
                    <w:tl2br w:val="nil"/>
                    <w:tr2bl w:val="nil"/>
                  </w:tcBorders>
                  <w:shd w:val="clear" w:color="auto" w:fill="auto"/>
                  <w:noWrap w:val="0"/>
                  <w:vAlign w:val="center"/>
                </w:tcPr>
                <w:p w14:paraId="0733B8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0.02</w:t>
                  </w:r>
                </w:p>
              </w:tc>
              <w:tc>
                <w:tcPr>
                  <w:tcW w:w="1490" w:type="pct"/>
                  <w:vMerge w:val="continue"/>
                  <w:tcBorders>
                    <w:tl2br w:val="nil"/>
                    <w:tr2bl w:val="nil"/>
                  </w:tcBorders>
                  <w:shd w:val="clear" w:color="auto" w:fill="auto"/>
                  <w:noWrap w:val="0"/>
                  <w:vAlign w:val="center"/>
                </w:tcPr>
                <w:p w14:paraId="2A3627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i w:val="0"/>
                      <w:iCs w:val="0"/>
                      <w:color w:val="auto"/>
                      <w:kern w:val="0"/>
                      <w:sz w:val="21"/>
                      <w:szCs w:val="21"/>
                      <w:highlight w:val="none"/>
                      <w:u w:val="none"/>
                      <w:lang w:val="en-US" w:eastAsia="zh-CN" w:bidi="ar"/>
                    </w:rPr>
                  </w:pPr>
                </w:p>
              </w:tc>
            </w:tr>
            <w:tr w14:paraId="2F46A3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85" w:type="pct"/>
                  <w:vMerge w:val="continue"/>
                  <w:tcBorders>
                    <w:tl2br w:val="nil"/>
                    <w:tr2bl w:val="nil"/>
                  </w:tcBorders>
                  <w:noWrap w:val="0"/>
                  <w:vAlign w:val="center"/>
                </w:tcPr>
                <w:p w14:paraId="69848A9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p>
              </w:tc>
              <w:tc>
                <w:tcPr>
                  <w:tcW w:w="1939" w:type="pct"/>
                  <w:tcBorders>
                    <w:tl2br w:val="nil"/>
                    <w:tr2bl w:val="nil"/>
                  </w:tcBorders>
                  <w:shd w:val="clear" w:color="auto" w:fill="auto"/>
                  <w:noWrap w:val="0"/>
                  <w:vAlign w:val="center"/>
                </w:tcPr>
                <w:p w14:paraId="2217A71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液体危险化学品废物料桶</w:t>
                  </w:r>
                </w:p>
              </w:tc>
              <w:tc>
                <w:tcPr>
                  <w:tcW w:w="782" w:type="pct"/>
                  <w:tcBorders>
                    <w:tl2br w:val="nil"/>
                    <w:tr2bl w:val="nil"/>
                  </w:tcBorders>
                  <w:shd w:val="clear" w:color="auto" w:fill="auto"/>
                  <w:noWrap w:val="0"/>
                  <w:vAlign w:val="center"/>
                </w:tcPr>
                <w:p w14:paraId="440CBB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0.5</w:t>
                  </w:r>
                </w:p>
              </w:tc>
              <w:tc>
                <w:tcPr>
                  <w:tcW w:w="1490" w:type="pct"/>
                  <w:vMerge w:val="continue"/>
                  <w:tcBorders>
                    <w:tl2br w:val="nil"/>
                    <w:tr2bl w:val="nil"/>
                  </w:tcBorders>
                  <w:shd w:val="clear" w:color="auto" w:fill="auto"/>
                  <w:noWrap w:val="0"/>
                  <w:vAlign w:val="center"/>
                </w:tcPr>
                <w:p w14:paraId="0C4855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i w:val="0"/>
                      <w:iCs w:val="0"/>
                      <w:color w:val="auto"/>
                      <w:kern w:val="0"/>
                      <w:sz w:val="21"/>
                      <w:szCs w:val="21"/>
                      <w:highlight w:val="none"/>
                      <w:u w:val="none"/>
                      <w:lang w:val="en-US" w:eastAsia="zh-CN" w:bidi="ar"/>
                    </w:rPr>
                  </w:pPr>
                </w:p>
              </w:tc>
            </w:tr>
            <w:tr w14:paraId="3D043C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85" w:type="pct"/>
                  <w:vMerge w:val="continue"/>
                  <w:tcBorders>
                    <w:tl2br w:val="nil"/>
                    <w:tr2bl w:val="nil"/>
                  </w:tcBorders>
                  <w:noWrap w:val="0"/>
                  <w:vAlign w:val="center"/>
                </w:tcPr>
                <w:p w14:paraId="15170C8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p>
              </w:tc>
              <w:tc>
                <w:tcPr>
                  <w:tcW w:w="1939" w:type="pct"/>
                  <w:tcBorders>
                    <w:tl2br w:val="nil"/>
                    <w:tr2bl w:val="nil"/>
                  </w:tcBorders>
                  <w:shd w:val="clear" w:color="auto" w:fill="auto"/>
                  <w:noWrap w:val="0"/>
                  <w:vAlign w:val="center"/>
                </w:tcPr>
                <w:p w14:paraId="5BFA69A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废活性炭</w:t>
                  </w:r>
                </w:p>
              </w:tc>
              <w:tc>
                <w:tcPr>
                  <w:tcW w:w="782" w:type="pct"/>
                  <w:tcBorders>
                    <w:tl2br w:val="nil"/>
                    <w:tr2bl w:val="nil"/>
                  </w:tcBorders>
                  <w:shd w:val="clear" w:color="auto" w:fill="auto"/>
                  <w:noWrap w:val="0"/>
                  <w:vAlign w:val="center"/>
                </w:tcPr>
                <w:p w14:paraId="439F2D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0.03</w:t>
                  </w:r>
                </w:p>
              </w:tc>
              <w:tc>
                <w:tcPr>
                  <w:tcW w:w="1490" w:type="pct"/>
                  <w:vMerge w:val="continue"/>
                  <w:tcBorders>
                    <w:tl2br w:val="nil"/>
                    <w:tr2bl w:val="nil"/>
                  </w:tcBorders>
                  <w:shd w:val="clear" w:color="auto" w:fill="auto"/>
                  <w:noWrap w:val="0"/>
                  <w:vAlign w:val="center"/>
                </w:tcPr>
                <w:p w14:paraId="419C06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i w:val="0"/>
                      <w:iCs w:val="0"/>
                      <w:color w:val="auto"/>
                      <w:kern w:val="0"/>
                      <w:sz w:val="21"/>
                      <w:szCs w:val="21"/>
                      <w:highlight w:val="none"/>
                      <w:u w:val="none"/>
                      <w:lang w:val="en-US" w:eastAsia="zh-CN" w:bidi="ar"/>
                    </w:rPr>
                  </w:pPr>
                </w:p>
              </w:tc>
            </w:tr>
            <w:tr w14:paraId="61A6DC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85" w:type="pct"/>
                  <w:vMerge w:val="continue"/>
                  <w:tcBorders>
                    <w:tl2br w:val="nil"/>
                    <w:tr2bl w:val="nil"/>
                  </w:tcBorders>
                  <w:noWrap w:val="0"/>
                  <w:vAlign w:val="center"/>
                </w:tcPr>
                <w:p w14:paraId="472E4EC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p>
              </w:tc>
              <w:tc>
                <w:tcPr>
                  <w:tcW w:w="1939" w:type="pct"/>
                  <w:tcBorders>
                    <w:tl2br w:val="nil"/>
                    <w:tr2bl w:val="nil"/>
                  </w:tcBorders>
                  <w:shd w:val="clear" w:color="auto" w:fill="auto"/>
                  <w:noWrap w:val="0"/>
                  <w:vAlign w:val="center"/>
                </w:tcPr>
                <w:p w14:paraId="7D26459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水幕水废液</w:t>
                  </w:r>
                </w:p>
              </w:tc>
              <w:tc>
                <w:tcPr>
                  <w:tcW w:w="782" w:type="pct"/>
                  <w:tcBorders>
                    <w:tl2br w:val="nil"/>
                    <w:tr2bl w:val="nil"/>
                  </w:tcBorders>
                  <w:shd w:val="clear" w:color="auto" w:fill="auto"/>
                  <w:noWrap w:val="0"/>
                  <w:vAlign w:val="center"/>
                </w:tcPr>
                <w:p w14:paraId="5EDD7E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0.1</w:t>
                  </w:r>
                </w:p>
              </w:tc>
              <w:tc>
                <w:tcPr>
                  <w:tcW w:w="1490" w:type="pct"/>
                  <w:vMerge w:val="continue"/>
                  <w:tcBorders>
                    <w:tl2br w:val="nil"/>
                    <w:tr2bl w:val="nil"/>
                  </w:tcBorders>
                  <w:shd w:val="clear" w:color="auto" w:fill="auto"/>
                  <w:noWrap w:val="0"/>
                  <w:vAlign w:val="center"/>
                </w:tcPr>
                <w:p w14:paraId="4FFF3E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i w:val="0"/>
                      <w:iCs w:val="0"/>
                      <w:color w:val="auto"/>
                      <w:kern w:val="0"/>
                      <w:sz w:val="21"/>
                      <w:szCs w:val="21"/>
                      <w:highlight w:val="none"/>
                      <w:u w:val="none"/>
                      <w:lang w:val="en-US" w:eastAsia="zh-CN" w:bidi="ar"/>
                    </w:rPr>
                  </w:pPr>
                </w:p>
              </w:tc>
            </w:tr>
            <w:tr w14:paraId="213F5A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85" w:type="pct"/>
                  <w:vMerge w:val="continue"/>
                  <w:tcBorders>
                    <w:tl2br w:val="nil"/>
                    <w:tr2bl w:val="nil"/>
                  </w:tcBorders>
                  <w:noWrap w:val="0"/>
                  <w:vAlign w:val="center"/>
                </w:tcPr>
                <w:p w14:paraId="0C220B0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p>
              </w:tc>
              <w:tc>
                <w:tcPr>
                  <w:tcW w:w="1939" w:type="pct"/>
                  <w:tcBorders>
                    <w:tl2br w:val="nil"/>
                    <w:tr2bl w:val="nil"/>
                  </w:tcBorders>
                  <w:shd w:val="clear" w:color="auto" w:fill="auto"/>
                  <w:noWrap w:val="0"/>
                  <w:vAlign w:val="center"/>
                </w:tcPr>
                <w:p w14:paraId="6F42FA7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废抹布</w:t>
                  </w:r>
                </w:p>
              </w:tc>
              <w:tc>
                <w:tcPr>
                  <w:tcW w:w="782" w:type="pct"/>
                  <w:tcBorders>
                    <w:tl2br w:val="nil"/>
                    <w:tr2bl w:val="nil"/>
                  </w:tcBorders>
                  <w:shd w:val="clear" w:color="auto" w:fill="auto"/>
                  <w:noWrap w:val="0"/>
                  <w:vAlign w:val="center"/>
                </w:tcPr>
                <w:p w14:paraId="540728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0.01</w:t>
                  </w:r>
                </w:p>
              </w:tc>
              <w:tc>
                <w:tcPr>
                  <w:tcW w:w="1490" w:type="pct"/>
                  <w:vMerge w:val="continue"/>
                  <w:tcBorders>
                    <w:tl2br w:val="nil"/>
                    <w:tr2bl w:val="nil"/>
                  </w:tcBorders>
                  <w:shd w:val="clear" w:color="auto" w:fill="auto"/>
                  <w:noWrap w:val="0"/>
                  <w:vAlign w:val="center"/>
                </w:tcPr>
                <w:p w14:paraId="34108B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i w:val="0"/>
                      <w:iCs w:val="0"/>
                      <w:color w:val="auto"/>
                      <w:kern w:val="0"/>
                      <w:sz w:val="21"/>
                      <w:szCs w:val="21"/>
                      <w:highlight w:val="none"/>
                      <w:u w:val="none"/>
                      <w:lang w:val="en-US" w:eastAsia="zh-CN" w:bidi="ar"/>
                    </w:rPr>
                  </w:pPr>
                </w:p>
              </w:tc>
            </w:tr>
            <w:tr w14:paraId="5E8CA2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85" w:type="pct"/>
                  <w:vMerge w:val="continue"/>
                  <w:tcBorders>
                    <w:tl2br w:val="nil"/>
                    <w:tr2bl w:val="nil"/>
                  </w:tcBorders>
                  <w:noWrap w:val="0"/>
                  <w:vAlign w:val="center"/>
                </w:tcPr>
                <w:p w14:paraId="6BAC531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p>
              </w:tc>
              <w:tc>
                <w:tcPr>
                  <w:tcW w:w="1939" w:type="pct"/>
                  <w:tcBorders>
                    <w:tl2br w:val="nil"/>
                    <w:tr2bl w:val="nil"/>
                  </w:tcBorders>
                  <w:shd w:val="clear" w:color="auto" w:fill="auto"/>
                  <w:noWrap w:val="0"/>
                  <w:vAlign w:val="center"/>
                </w:tcPr>
                <w:p w14:paraId="1D2DDCC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密封胶、密封条不合格半成品</w:t>
                  </w:r>
                </w:p>
              </w:tc>
              <w:tc>
                <w:tcPr>
                  <w:tcW w:w="782" w:type="pct"/>
                  <w:tcBorders>
                    <w:tl2br w:val="nil"/>
                    <w:tr2bl w:val="nil"/>
                  </w:tcBorders>
                  <w:shd w:val="clear" w:color="auto" w:fill="auto"/>
                  <w:noWrap w:val="0"/>
                  <w:vAlign w:val="center"/>
                </w:tcPr>
                <w:p w14:paraId="000A65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13</w:t>
                  </w:r>
                </w:p>
              </w:tc>
              <w:tc>
                <w:tcPr>
                  <w:tcW w:w="1490" w:type="pct"/>
                  <w:tcBorders>
                    <w:tl2br w:val="nil"/>
                    <w:tr2bl w:val="nil"/>
                  </w:tcBorders>
                  <w:shd w:val="clear" w:color="auto" w:fill="auto"/>
                  <w:noWrap w:val="0"/>
                  <w:vAlign w:val="center"/>
                </w:tcPr>
                <w:p w14:paraId="1F70C7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回用于生产</w:t>
                  </w:r>
                </w:p>
              </w:tc>
            </w:tr>
            <w:tr w14:paraId="7884FC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2724" w:type="pct"/>
                  <w:gridSpan w:val="2"/>
                  <w:tcBorders>
                    <w:tl2br w:val="nil"/>
                    <w:tr2bl w:val="nil"/>
                  </w:tcBorders>
                  <w:noWrap w:val="0"/>
                  <w:vAlign w:val="center"/>
                </w:tcPr>
                <w:p w14:paraId="79F630C7">
                  <w:pPr>
                    <w:keepNext w:val="0"/>
                    <w:keepLines w:val="0"/>
                    <w:pageBreakBefore w:val="0"/>
                    <w:suppressLineNumbers w:val="0"/>
                    <w:tabs>
                      <w:tab w:val="left" w:pos="3345"/>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生活垃圾</w:t>
                  </w:r>
                </w:p>
              </w:tc>
              <w:tc>
                <w:tcPr>
                  <w:tcW w:w="782" w:type="pct"/>
                  <w:tcBorders>
                    <w:tl2br w:val="nil"/>
                    <w:tr2bl w:val="nil"/>
                  </w:tcBorders>
                  <w:noWrap w:val="0"/>
                  <w:vAlign w:val="center"/>
                </w:tcPr>
                <w:p w14:paraId="07226965">
                  <w:pPr>
                    <w:keepNext w:val="0"/>
                    <w:keepLines w:val="0"/>
                    <w:pageBreakBefore w:val="0"/>
                    <w:suppressLineNumbers w:val="0"/>
                    <w:tabs>
                      <w:tab w:val="left" w:pos="3345"/>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45</w:t>
                  </w:r>
                </w:p>
              </w:tc>
              <w:tc>
                <w:tcPr>
                  <w:tcW w:w="1490" w:type="pct"/>
                  <w:tcBorders>
                    <w:tl2br w:val="nil"/>
                    <w:tr2bl w:val="nil"/>
                  </w:tcBorders>
                  <w:noWrap w:val="0"/>
                  <w:vAlign w:val="center"/>
                </w:tcPr>
                <w:p w14:paraId="342309C1">
                  <w:pPr>
                    <w:keepNext w:val="0"/>
                    <w:keepLines w:val="0"/>
                    <w:pageBreakBefore w:val="0"/>
                    <w:suppressLineNumbers w:val="0"/>
                    <w:tabs>
                      <w:tab w:val="left" w:pos="3345"/>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环卫部门统一清运、处置</w:t>
                  </w:r>
                </w:p>
              </w:tc>
            </w:tr>
          </w:tbl>
          <w:p w14:paraId="51228DFB">
            <w:pPr>
              <w:keepNext w:val="0"/>
              <w:keepLines w:val="0"/>
              <w:suppressLineNumbers w:val="0"/>
              <w:spacing w:before="0" w:beforeAutospacing="0" w:after="0" w:afterAutospacing="0" w:line="360" w:lineRule="auto"/>
              <w:ind w:left="0" w:right="0" w:firstLine="482" w:firstLineChars="200"/>
              <w:outlineLvl w:val="3"/>
              <w:rPr>
                <w:rFonts w:hint="default" w:ascii="Times New Roman" w:hAnsi="Times New Roman" w:cs="Times New Roman"/>
                <w:b/>
                <w:color w:val="auto"/>
                <w:kern w:val="0"/>
                <w:sz w:val="24"/>
                <w:highlight w:val="none"/>
              </w:rPr>
            </w:pPr>
            <w:r>
              <w:rPr>
                <w:rFonts w:hint="eastAsia" w:ascii="Times New Roman" w:hAnsi="Times New Roman" w:cs="Times New Roman"/>
                <w:b/>
                <w:color w:val="auto"/>
                <w:kern w:val="0"/>
                <w:sz w:val="24"/>
                <w:highlight w:val="none"/>
                <w:lang w:eastAsia="zh-CN"/>
              </w:rPr>
              <w:t>（</w:t>
            </w:r>
            <w:r>
              <w:rPr>
                <w:rFonts w:hint="eastAsia" w:cs="Times New Roman"/>
                <w:b/>
                <w:color w:val="auto"/>
                <w:kern w:val="0"/>
                <w:sz w:val="24"/>
                <w:highlight w:val="none"/>
                <w:lang w:val="en-US" w:eastAsia="zh-CN"/>
              </w:rPr>
              <w:t>3</w:t>
            </w:r>
            <w:r>
              <w:rPr>
                <w:rFonts w:hint="eastAsia" w:ascii="Times New Roman" w:hAnsi="Times New Roman" w:cs="Times New Roman"/>
                <w:b/>
                <w:color w:val="auto"/>
                <w:kern w:val="0"/>
                <w:sz w:val="24"/>
                <w:highlight w:val="none"/>
                <w:lang w:eastAsia="zh-CN"/>
              </w:rPr>
              <w:t>）</w:t>
            </w:r>
            <w:r>
              <w:rPr>
                <w:rFonts w:hint="eastAsia" w:ascii="Times New Roman" w:hAnsi="Times New Roman" w:cs="Times New Roman"/>
                <w:b/>
                <w:color w:val="auto"/>
                <w:kern w:val="0"/>
                <w:sz w:val="24"/>
                <w:highlight w:val="none"/>
              </w:rPr>
              <w:t>现有项目污染源汇总</w:t>
            </w:r>
          </w:p>
          <w:p w14:paraId="04AE9BBD">
            <w:pPr>
              <w:keepNext w:val="0"/>
              <w:keepLines w:val="0"/>
              <w:widowControl/>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根据企业现有项目实际生产数据</w:t>
            </w:r>
            <w:r>
              <w:rPr>
                <w:rFonts w:hint="eastAsia" w:cs="Times New Roman"/>
                <w:color w:val="auto"/>
                <w:kern w:val="2"/>
                <w:sz w:val="24"/>
                <w:szCs w:val="24"/>
                <w:highlight w:val="none"/>
                <w:lang w:val="en-US" w:eastAsia="zh-CN" w:bidi="ar-SA"/>
              </w:rPr>
              <w:t>及检测数据</w:t>
            </w:r>
            <w:r>
              <w:rPr>
                <w:rFonts w:hint="eastAsia" w:ascii="Times New Roman" w:hAnsi="Times New Roman" w:eastAsia="宋体" w:cs="Times New Roman"/>
                <w:color w:val="auto"/>
                <w:kern w:val="2"/>
                <w:sz w:val="24"/>
                <w:szCs w:val="24"/>
                <w:highlight w:val="none"/>
                <w:lang w:val="en-US" w:eastAsia="zh-CN" w:bidi="ar-SA"/>
              </w:rPr>
              <w:t>，项目现有污染物排放情况见表2-</w:t>
            </w:r>
            <w:r>
              <w:rPr>
                <w:rFonts w:hint="eastAsia" w:cs="Times New Roman"/>
                <w:color w:val="auto"/>
                <w:kern w:val="2"/>
                <w:sz w:val="24"/>
                <w:szCs w:val="24"/>
                <w:highlight w:val="none"/>
                <w:lang w:val="en-US" w:eastAsia="zh-CN" w:bidi="ar-SA"/>
              </w:rPr>
              <w:t>21</w:t>
            </w:r>
            <w:r>
              <w:rPr>
                <w:rFonts w:hint="eastAsia" w:ascii="Times New Roman" w:hAnsi="Times New Roman" w:eastAsia="宋体" w:cs="Times New Roman"/>
                <w:color w:val="auto"/>
                <w:kern w:val="2"/>
                <w:sz w:val="24"/>
                <w:szCs w:val="24"/>
                <w:highlight w:val="none"/>
                <w:lang w:val="en-US" w:eastAsia="zh-CN" w:bidi="ar-SA"/>
              </w:rPr>
              <w:t>。</w:t>
            </w:r>
          </w:p>
          <w:p w14:paraId="719724F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240" w:lineRule="auto"/>
              <w:ind w:left="0" w:right="0"/>
              <w:jc w:val="center"/>
              <w:textAlignment w:val="auto"/>
              <w:rPr>
                <w:rFonts w:hint="default" w:ascii="Times New Roman" w:hAnsi="Times New Roman" w:eastAsia="宋体" w:cs="Times New Roman"/>
                <w:b/>
                <w:color w:val="auto"/>
                <w:kern w:val="2"/>
                <w:sz w:val="21"/>
                <w:szCs w:val="20"/>
                <w:highlight w:val="none"/>
                <w:lang w:val="en-US" w:eastAsia="zh-CN" w:bidi="ar-SA"/>
              </w:rPr>
            </w:pPr>
            <w:r>
              <w:rPr>
                <w:rFonts w:hint="eastAsia" w:ascii="Times New Roman" w:hAnsi="Times New Roman" w:eastAsia="宋体" w:cs="Times New Roman"/>
                <w:b/>
                <w:color w:val="auto"/>
                <w:kern w:val="2"/>
                <w:sz w:val="21"/>
                <w:szCs w:val="20"/>
                <w:highlight w:val="none"/>
                <w:lang w:val="en-US" w:eastAsia="zh-CN" w:bidi="ar-SA"/>
              </w:rPr>
              <w:t>表2-</w:t>
            </w:r>
            <w:r>
              <w:rPr>
                <w:rFonts w:hint="eastAsia" w:cs="Times New Roman"/>
                <w:b/>
                <w:color w:val="auto"/>
                <w:kern w:val="2"/>
                <w:sz w:val="21"/>
                <w:szCs w:val="20"/>
                <w:highlight w:val="none"/>
                <w:lang w:val="en-US" w:eastAsia="zh-CN" w:bidi="ar-SA"/>
              </w:rPr>
              <w:t>21</w:t>
            </w:r>
            <w:r>
              <w:rPr>
                <w:rFonts w:hint="eastAsia" w:ascii="Times New Roman" w:hAnsi="Times New Roman" w:cs="Times New Roman"/>
                <w:b/>
                <w:color w:val="auto"/>
                <w:kern w:val="2"/>
                <w:sz w:val="21"/>
                <w:szCs w:val="20"/>
                <w:highlight w:val="none"/>
                <w:lang w:val="en-US" w:eastAsia="zh-CN" w:bidi="ar-SA"/>
              </w:rPr>
              <w:t xml:space="preserve"> </w:t>
            </w:r>
            <w:r>
              <w:rPr>
                <w:rFonts w:hint="eastAsia" w:ascii="Times New Roman" w:hAnsi="Times New Roman" w:eastAsia="宋体" w:cs="Times New Roman"/>
                <w:b/>
                <w:color w:val="auto"/>
                <w:kern w:val="2"/>
                <w:sz w:val="21"/>
                <w:szCs w:val="20"/>
                <w:highlight w:val="none"/>
                <w:lang w:val="en-US" w:eastAsia="zh-CN" w:bidi="ar-SA"/>
              </w:rPr>
              <w:t xml:space="preserve"> 现有项目污染物排放情况一览表</w:t>
            </w:r>
          </w:p>
          <w:tbl>
            <w:tblPr>
              <w:tblStyle w:val="32"/>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33"/>
              <w:gridCol w:w="1106"/>
              <w:gridCol w:w="3586"/>
              <w:gridCol w:w="2764"/>
            </w:tblGrid>
            <w:tr w14:paraId="683D44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215" w:type="pct"/>
                  <w:gridSpan w:val="2"/>
                  <w:tcBorders>
                    <w:bottom w:val="single" w:color="auto" w:sz="12" w:space="0"/>
                  </w:tcBorders>
                  <w:noWrap w:val="0"/>
                  <w:vAlign w:val="center"/>
                </w:tcPr>
                <w:p w14:paraId="182864C9">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种类</w:t>
                  </w:r>
                </w:p>
              </w:tc>
              <w:tc>
                <w:tcPr>
                  <w:tcW w:w="2137" w:type="pct"/>
                  <w:tcBorders>
                    <w:bottom w:val="single" w:color="auto" w:sz="12" w:space="0"/>
                  </w:tcBorders>
                  <w:noWrap w:val="0"/>
                  <w:vAlign w:val="center"/>
                </w:tcPr>
                <w:p w14:paraId="6A23EEA5">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污染物名称</w:t>
                  </w:r>
                </w:p>
              </w:tc>
              <w:tc>
                <w:tcPr>
                  <w:tcW w:w="1647" w:type="pct"/>
                  <w:tcBorders>
                    <w:bottom w:val="single" w:color="auto" w:sz="12" w:space="0"/>
                  </w:tcBorders>
                  <w:noWrap w:val="0"/>
                  <w:vAlign w:val="center"/>
                </w:tcPr>
                <w:p w14:paraId="210EFD73">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排放量（</w:t>
                  </w:r>
                  <w:r>
                    <w:rPr>
                      <w:rFonts w:hint="default" w:ascii="Times New Roman" w:hAnsi="Times New Roman" w:cs="Times New Roman"/>
                      <w:b/>
                      <w:bCs/>
                      <w:color w:val="auto"/>
                      <w:sz w:val="21"/>
                      <w:szCs w:val="21"/>
                      <w:highlight w:val="none"/>
                    </w:rPr>
                    <w:t>t/a</w:t>
                  </w:r>
                  <w:r>
                    <w:rPr>
                      <w:rFonts w:hint="default" w:ascii="Times New Roman" w:hAnsi="Times New Roman" w:cs="Times New Roman"/>
                      <w:b/>
                      <w:color w:val="auto"/>
                      <w:sz w:val="21"/>
                      <w:szCs w:val="21"/>
                      <w:highlight w:val="none"/>
                    </w:rPr>
                    <w:t>）</w:t>
                  </w:r>
                </w:p>
              </w:tc>
            </w:tr>
            <w:tr w14:paraId="15F94A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215" w:type="pct"/>
                  <w:gridSpan w:val="2"/>
                  <w:vMerge w:val="restart"/>
                  <w:tcBorders>
                    <w:top w:val="single" w:color="auto" w:sz="12" w:space="0"/>
                  </w:tcBorders>
                  <w:noWrap w:val="0"/>
                  <w:vAlign w:val="center"/>
                </w:tcPr>
                <w:p w14:paraId="02B47271">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废气</w:t>
                  </w:r>
                </w:p>
              </w:tc>
              <w:tc>
                <w:tcPr>
                  <w:tcW w:w="2137" w:type="pct"/>
                  <w:tcBorders>
                    <w:top w:val="single" w:color="auto" w:sz="12" w:space="0"/>
                  </w:tcBorders>
                  <w:shd w:val="clear" w:color="auto" w:fill="auto"/>
                  <w:noWrap w:val="0"/>
                  <w:vAlign w:val="center"/>
                </w:tcPr>
                <w:p w14:paraId="077076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颗粒物</w:t>
                  </w:r>
                </w:p>
              </w:tc>
              <w:tc>
                <w:tcPr>
                  <w:tcW w:w="1647" w:type="pct"/>
                  <w:tcBorders>
                    <w:top w:val="single" w:color="auto" w:sz="12" w:space="0"/>
                  </w:tcBorders>
                  <w:shd w:val="clear" w:color="auto" w:fill="auto"/>
                  <w:noWrap w:val="0"/>
                  <w:vAlign w:val="center"/>
                </w:tcPr>
                <w:p w14:paraId="1A7A1B45">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0.122</w:t>
                  </w:r>
                </w:p>
              </w:tc>
            </w:tr>
            <w:tr w14:paraId="0DEA07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215" w:type="pct"/>
                  <w:gridSpan w:val="2"/>
                  <w:vMerge w:val="continue"/>
                  <w:noWrap w:val="0"/>
                  <w:vAlign w:val="center"/>
                </w:tcPr>
                <w:p w14:paraId="0C8AF0E3">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2137" w:type="pct"/>
                  <w:shd w:val="clear" w:color="auto" w:fill="auto"/>
                  <w:noWrap w:val="0"/>
                  <w:vAlign w:val="center"/>
                </w:tcPr>
                <w:p w14:paraId="7ED38A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非甲烷总烃</w:t>
                  </w:r>
                </w:p>
              </w:tc>
              <w:tc>
                <w:tcPr>
                  <w:tcW w:w="1647" w:type="pct"/>
                  <w:shd w:val="clear" w:color="auto" w:fill="auto"/>
                  <w:noWrap w:val="0"/>
                  <w:vAlign w:val="center"/>
                </w:tcPr>
                <w:p w14:paraId="2218C433">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2.009</w:t>
                  </w:r>
                </w:p>
              </w:tc>
            </w:tr>
            <w:tr w14:paraId="74C82F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6" w:type="pct"/>
                  <w:vMerge w:val="restart"/>
                  <w:noWrap w:val="0"/>
                  <w:vAlign w:val="center"/>
                </w:tcPr>
                <w:p w14:paraId="1434CD16">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废水</w:t>
                  </w:r>
                </w:p>
              </w:tc>
              <w:tc>
                <w:tcPr>
                  <w:tcW w:w="659" w:type="pct"/>
                  <w:vMerge w:val="restart"/>
                  <w:noWrap w:val="0"/>
                  <w:vAlign w:val="center"/>
                </w:tcPr>
                <w:p w14:paraId="214FE8F8">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生活污水</w:t>
                  </w:r>
                </w:p>
              </w:tc>
              <w:tc>
                <w:tcPr>
                  <w:tcW w:w="2137" w:type="pct"/>
                  <w:shd w:val="clear" w:color="auto" w:fill="auto"/>
                  <w:noWrap w:val="0"/>
                  <w:vAlign w:val="center"/>
                </w:tcPr>
                <w:p w14:paraId="1564915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污水量</w:t>
                  </w:r>
                </w:p>
              </w:tc>
              <w:tc>
                <w:tcPr>
                  <w:tcW w:w="1647" w:type="pct"/>
                  <w:shd w:val="clear" w:color="auto" w:fill="auto"/>
                  <w:noWrap w:val="0"/>
                  <w:vAlign w:val="center"/>
                </w:tcPr>
                <w:p w14:paraId="24992C07">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7200</w:t>
                  </w:r>
                </w:p>
              </w:tc>
            </w:tr>
            <w:tr w14:paraId="726A4B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6" w:type="pct"/>
                  <w:vMerge w:val="continue"/>
                  <w:noWrap w:val="0"/>
                  <w:vAlign w:val="center"/>
                </w:tcPr>
                <w:p w14:paraId="011E7BEC">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659" w:type="pct"/>
                  <w:vMerge w:val="continue"/>
                  <w:noWrap w:val="0"/>
                  <w:vAlign w:val="center"/>
                </w:tcPr>
                <w:p w14:paraId="6032AD85">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2137" w:type="pct"/>
                  <w:shd w:val="clear" w:color="auto" w:fill="auto"/>
                  <w:noWrap w:val="0"/>
                  <w:vAlign w:val="center"/>
                </w:tcPr>
                <w:p w14:paraId="79BD8B6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化学需氧量</w:t>
                  </w:r>
                </w:p>
              </w:tc>
              <w:tc>
                <w:tcPr>
                  <w:tcW w:w="1647" w:type="pct"/>
                  <w:shd w:val="clear" w:color="auto" w:fill="auto"/>
                  <w:noWrap w:val="0"/>
                  <w:vAlign w:val="center"/>
                </w:tcPr>
                <w:p w14:paraId="70F9899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0.756</w:t>
                  </w:r>
                </w:p>
              </w:tc>
            </w:tr>
            <w:tr w14:paraId="0FDBC8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6" w:type="pct"/>
                  <w:vMerge w:val="continue"/>
                  <w:noWrap w:val="0"/>
                  <w:vAlign w:val="center"/>
                </w:tcPr>
                <w:p w14:paraId="58EE1F31">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659" w:type="pct"/>
                  <w:vMerge w:val="continue"/>
                  <w:noWrap w:val="0"/>
                  <w:vAlign w:val="center"/>
                </w:tcPr>
                <w:p w14:paraId="05C181ED">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2137" w:type="pct"/>
                  <w:shd w:val="clear" w:color="auto" w:fill="auto"/>
                  <w:noWrap w:val="0"/>
                  <w:vAlign w:val="center"/>
                </w:tcPr>
                <w:p w14:paraId="67D298E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悬浮物</w:t>
                  </w:r>
                </w:p>
              </w:tc>
              <w:tc>
                <w:tcPr>
                  <w:tcW w:w="1647" w:type="pct"/>
                  <w:shd w:val="clear" w:color="auto" w:fill="auto"/>
                  <w:noWrap w:val="0"/>
                  <w:vAlign w:val="center"/>
                </w:tcPr>
                <w:p w14:paraId="3BBA932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0.331</w:t>
                  </w:r>
                </w:p>
              </w:tc>
            </w:tr>
            <w:tr w14:paraId="1BC0CF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6" w:type="pct"/>
                  <w:vMerge w:val="continue"/>
                  <w:noWrap w:val="0"/>
                  <w:vAlign w:val="center"/>
                </w:tcPr>
                <w:p w14:paraId="442BA363">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659" w:type="pct"/>
                  <w:vMerge w:val="continue"/>
                  <w:noWrap w:val="0"/>
                  <w:vAlign w:val="center"/>
                </w:tcPr>
                <w:p w14:paraId="04286F25">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2137" w:type="pct"/>
                  <w:shd w:val="clear" w:color="auto" w:fill="auto"/>
                  <w:noWrap w:val="0"/>
                  <w:vAlign w:val="center"/>
                </w:tcPr>
                <w:p w14:paraId="01EC574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五日生化需氧量</w:t>
                  </w:r>
                </w:p>
              </w:tc>
              <w:tc>
                <w:tcPr>
                  <w:tcW w:w="1647" w:type="pct"/>
                  <w:shd w:val="clear" w:color="auto" w:fill="auto"/>
                  <w:noWrap w:val="0"/>
                  <w:vAlign w:val="center"/>
                </w:tcPr>
                <w:p w14:paraId="4E06AC9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0.218</w:t>
                  </w:r>
                </w:p>
              </w:tc>
            </w:tr>
            <w:tr w14:paraId="73EC32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6" w:type="pct"/>
                  <w:vMerge w:val="continue"/>
                  <w:noWrap w:val="0"/>
                  <w:vAlign w:val="center"/>
                </w:tcPr>
                <w:p w14:paraId="1AD800AE">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659" w:type="pct"/>
                  <w:vMerge w:val="continue"/>
                  <w:noWrap w:val="0"/>
                  <w:vAlign w:val="center"/>
                </w:tcPr>
                <w:p w14:paraId="47CAD309">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2137" w:type="pct"/>
                  <w:shd w:val="clear" w:color="auto" w:fill="auto"/>
                  <w:noWrap w:val="0"/>
                  <w:vAlign w:val="center"/>
                </w:tcPr>
                <w:p w14:paraId="7C0D310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氨氮</w:t>
                  </w:r>
                </w:p>
              </w:tc>
              <w:tc>
                <w:tcPr>
                  <w:tcW w:w="1647" w:type="pct"/>
                  <w:shd w:val="clear" w:color="auto" w:fill="auto"/>
                  <w:noWrap w:val="0"/>
                  <w:vAlign w:val="center"/>
                </w:tcPr>
                <w:p w14:paraId="7CF0617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0.101</w:t>
                  </w:r>
                </w:p>
              </w:tc>
            </w:tr>
            <w:tr w14:paraId="05606B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6" w:type="pct"/>
                  <w:vMerge w:val="continue"/>
                  <w:noWrap w:val="0"/>
                  <w:vAlign w:val="center"/>
                </w:tcPr>
                <w:p w14:paraId="609641AE">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659" w:type="pct"/>
                  <w:vMerge w:val="continue"/>
                  <w:noWrap w:val="0"/>
                  <w:vAlign w:val="center"/>
                </w:tcPr>
                <w:p w14:paraId="3137D87C">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2137" w:type="pct"/>
                  <w:shd w:val="clear" w:color="auto" w:fill="auto"/>
                  <w:noWrap w:val="0"/>
                  <w:vAlign w:val="center"/>
                </w:tcPr>
                <w:p w14:paraId="5CD9E19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总磷</w:t>
                  </w:r>
                </w:p>
              </w:tc>
              <w:tc>
                <w:tcPr>
                  <w:tcW w:w="1647" w:type="pct"/>
                  <w:shd w:val="clear" w:color="auto" w:fill="auto"/>
                  <w:noWrap w:val="0"/>
                  <w:vAlign w:val="center"/>
                </w:tcPr>
                <w:p w14:paraId="11D7819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0.011</w:t>
                  </w:r>
                </w:p>
              </w:tc>
            </w:tr>
            <w:tr w14:paraId="66E738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6" w:type="pct"/>
                  <w:vMerge w:val="continue"/>
                  <w:noWrap w:val="0"/>
                  <w:vAlign w:val="center"/>
                </w:tcPr>
                <w:p w14:paraId="770C338C">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659" w:type="pct"/>
                  <w:vMerge w:val="continue"/>
                  <w:noWrap w:val="0"/>
                  <w:vAlign w:val="center"/>
                </w:tcPr>
                <w:p w14:paraId="39F0C738">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2137" w:type="pct"/>
                  <w:shd w:val="clear" w:color="auto" w:fill="auto"/>
                  <w:noWrap w:val="0"/>
                  <w:vAlign w:val="center"/>
                </w:tcPr>
                <w:p w14:paraId="044310D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总氮</w:t>
                  </w:r>
                </w:p>
              </w:tc>
              <w:tc>
                <w:tcPr>
                  <w:tcW w:w="1647" w:type="pct"/>
                  <w:shd w:val="clear" w:color="auto" w:fill="auto"/>
                  <w:noWrap w:val="0"/>
                  <w:vAlign w:val="center"/>
                </w:tcPr>
                <w:p w14:paraId="00FB6CF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0.216</w:t>
                  </w:r>
                </w:p>
              </w:tc>
            </w:tr>
            <w:tr w14:paraId="2B490D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6" w:type="pct"/>
                  <w:vMerge w:val="continue"/>
                  <w:noWrap w:val="0"/>
                  <w:vAlign w:val="center"/>
                </w:tcPr>
                <w:p w14:paraId="37011412">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659" w:type="pct"/>
                  <w:vMerge w:val="continue"/>
                  <w:noWrap w:val="0"/>
                  <w:vAlign w:val="center"/>
                </w:tcPr>
                <w:p w14:paraId="4BC87E82">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2137" w:type="pct"/>
                  <w:shd w:val="clear" w:color="auto" w:fill="auto"/>
                  <w:noWrap w:val="0"/>
                  <w:vAlign w:val="center"/>
                </w:tcPr>
                <w:p w14:paraId="6257291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动植物油</w:t>
                  </w:r>
                </w:p>
              </w:tc>
              <w:tc>
                <w:tcPr>
                  <w:tcW w:w="1647" w:type="pct"/>
                  <w:shd w:val="clear" w:color="auto" w:fill="auto"/>
                  <w:noWrap w:val="0"/>
                  <w:vAlign w:val="center"/>
                </w:tcPr>
                <w:p w14:paraId="37C671E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0.012</w:t>
                  </w:r>
                </w:p>
              </w:tc>
            </w:tr>
            <w:tr w14:paraId="6F9043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6" w:type="pct"/>
                  <w:vMerge w:val="restart"/>
                  <w:noWrap w:val="0"/>
                  <w:vAlign w:val="center"/>
                </w:tcPr>
                <w:p w14:paraId="2678BB8A">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固废</w:t>
                  </w:r>
                </w:p>
              </w:tc>
              <w:tc>
                <w:tcPr>
                  <w:tcW w:w="659" w:type="pct"/>
                  <w:vMerge w:val="restart"/>
                  <w:noWrap w:val="0"/>
                  <w:vAlign w:val="center"/>
                </w:tcPr>
                <w:p w14:paraId="600473CA">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一般固废</w:t>
                  </w:r>
                </w:p>
              </w:tc>
              <w:tc>
                <w:tcPr>
                  <w:tcW w:w="2137" w:type="pct"/>
                  <w:shd w:val="clear" w:color="auto" w:fill="auto"/>
                  <w:noWrap w:val="0"/>
                  <w:vAlign w:val="center"/>
                </w:tcPr>
                <w:p w14:paraId="4EAA607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废包装材料</w:t>
                  </w:r>
                </w:p>
              </w:tc>
              <w:tc>
                <w:tcPr>
                  <w:tcW w:w="1647" w:type="pct"/>
                  <w:shd w:val="clear" w:color="auto" w:fill="auto"/>
                  <w:noWrap w:val="0"/>
                  <w:vAlign w:val="center"/>
                </w:tcPr>
                <w:p w14:paraId="01A47E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2</w:t>
                  </w:r>
                </w:p>
              </w:tc>
            </w:tr>
            <w:tr w14:paraId="49568D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6" w:type="pct"/>
                  <w:vMerge w:val="continue"/>
                  <w:noWrap w:val="0"/>
                  <w:vAlign w:val="center"/>
                </w:tcPr>
                <w:p w14:paraId="3C096B90">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659" w:type="pct"/>
                  <w:vMerge w:val="continue"/>
                  <w:noWrap w:val="0"/>
                  <w:vAlign w:val="center"/>
                </w:tcPr>
                <w:p w14:paraId="42293D0C">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2137" w:type="pct"/>
                  <w:shd w:val="clear" w:color="auto" w:fill="auto"/>
                  <w:noWrap w:val="0"/>
                  <w:vAlign w:val="center"/>
                </w:tcPr>
                <w:p w14:paraId="6715D34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一般液体化学品废物料桶</w:t>
                  </w:r>
                </w:p>
              </w:tc>
              <w:tc>
                <w:tcPr>
                  <w:tcW w:w="1647" w:type="pct"/>
                  <w:shd w:val="clear" w:color="auto" w:fill="auto"/>
                  <w:noWrap w:val="0"/>
                  <w:vAlign w:val="center"/>
                </w:tcPr>
                <w:p w14:paraId="7DE215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0.5</w:t>
                  </w:r>
                </w:p>
              </w:tc>
            </w:tr>
            <w:tr w14:paraId="7138B4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6" w:type="pct"/>
                  <w:vMerge w:val="continue"/>
                  <w:noWrap w:val="0"/>
                  <w:vAlign w:val="center"/>
                </w:tcPr>
                <w:p w14:paraId="6E8CA2A0">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659" w:type="pct"/>
                  <w:vMerge w:val="continue"/>
                  <w:noWrap w:val="0"/>
                  <w:vAlign w:val="center"/>
                </w:tcPr>
                <w:p w14:paraId="0709529D">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2137" w:type="pct"/>
                  <w:shd w:val="clear" w:color="auto" w:fill="auto"/>
                  <w:noWrap w:val="0"/>
                  <w:vAlign w:val="center"/>
                </w:tcPr>
                <w:p w14:paraId="206F59B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五金件不合格产品</w:t>
                  </w:r>
                </w:p>
              </w:tc>
              <w:tc>
                <w:tcPr>
                  <w:tcW w:w="1647" w:type="pct"/>
                  <w:shd w:val="clear" w:color="auto" w:fill="auto"/>
                  <w:noWrap w:val="0"/>
                  <w:vAlign w:val="center"/>
                </w:tcPr>
                <w:p w14:paraId="581ED2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10</w:t>
                  </w:r>
                </w:p>
              </w:tc>
            </w:tr>
            <w:tr w14:paraId="1369AE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6" w:type="pct"/>
                  <w:vMerge w:val="continue"/>
                  <w:noWrap w:val="0"/>
                  <w:vAlign w:val="center"/>
                </w:tcPr>
                <w:p w14:paraId="7E9DBD3C">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659" w:type="pct"/>
                  <w:vMerge w:val="continue"/>
                  <w:noWrap w:val="0"/>
                  <w:vAlign w:val="center"/>
                </w:tcPr>
                <w:p w14:paraId="455CED29">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2137" w:type="pct"/>
                  <w:shd w:val="clear" w:color="auto" w:fill="auto"/>
                  <w:noWrap w:val="0"/>
                  <w:vAlign w:val="center"/>
                </w:tcPr>
                <w:p w14:paraId="03F8478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布袋除尘器收集尘</w:t>
                  </w:r>
                </w:p>
              </w:tc>
              <w:tc>
                <w:tcPr>
                  <w:tcW w:w="1647" w:type="pct"/>
                  <w:shd w:val="clear" w:color="auto" w:fill="auto"/>
                  <w:noWrap w:val="0"/>
                  <w:vAlign w:val="center"/>
                </w:tcPr>
                <w:p w14:paraId="01EAA3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0.1</w:t>
                  </w:r>
                </w:p>
              </w:tc>
            </w:tr>
            <w:tr w14:paraId="21D997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6" w:type="pct"/>
                  <w:vMerge w:val="continue"/>
                  <w:noWrap w:val="0"/>
                  <w:vAlign w:val="center"/>
                </w:tcPr>
                <w:p w14:paraId="3F73DDDE">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659" w:type="pct"/>
                  <w:vMerge w:val="restart"/>
                  <w:noWrap w:val="0"/>
                  <w:vAlign w:val="center"/>
                </w:tcPr>
                <w:p w14:paraId="4DE319FC">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危险废物</w:t>
                  </w:r>
                </w:p>
              </w:tc>
              <w:tc>
                <w:tcPr>
                  <w:tcW w:w="2137" w:type="pct"/>
                  <w:shd w:val="clear" w:color="auto" w:fill="auto"/>
                  <w:noWrap w:val="0"/>
                  <w:vAlign w:val="center"/>
                </w:tcPr>
                <w:p w14:paraId="693B1B5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废润滑油</w:t>
                  </w:r>
                </w:p>
              </w:tc>
              <w:tc>
                <w:tcPr>
                  <w:tcW w:w="1647" w:type="pct"/>
                  <w:shd w:val="clear" w:color="auto" w:fill="auto"/>
                  <w:noWrap w:val="0"/>
                  <w:vAlign w:val="center"/>
                </w:tcPr>
                <w:p w14:paraId="65E084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0.2</w:t>
                  </w:r>
                </w:p>
              </w:tc>
            </w:tr>
            <w:tr w14:paraId="5535D2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6" w:type="pct"/>
                  <w:vMerge w:val="continue"/>
                  <w:noWrap w:val="0"/>
                  <w:vAlign w:val="center"/>
                </w:tcPr>
                <w:p w14:paraId="5039416A">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659" w:type="pct"/>
                  <w:vMerge w:val="continue"/>
                  <w:noWrap w:val="0"/>
                  <w:vAlign w:val="center"/>
                </w:tcPr>
                <w:p w14:paraId="6DB793D5">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2137" w:type="pct"/>
                  <w:shd w:val="clear" w:color="auto" w:fill="auto"/>
                  <w:noWrap w:val="0"/>
                  <w:vAlign w:val="center"/>
                </w:tcPr>
                <w:p w14:paraId="65BB979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设备清洗渣</w:t>
                  </w:r>
                </w:p>
              </w:tc>
              <w:tc>
                <w:tcPr>
                  <w:tcW w:w="1647" w:type="pct"/>
                  <w:shd w:val="clear" w:color="auto" w:fill="auto"/>
                  <w:noWrap w:val="0"/>
                  <w:vAlign w:val="center"/>
                </w:tcPr>
                <w:p w14:paraId="39FEF2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1.95</w:t>
                  </w:r>
                </w:p>
              </w:tc>
            </w:tr>
            <w:tr w14:paraId="10CE63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6" w:type="pct"/>
                  <w:vMerge w:val="continue"/>
                  <w:noWrap w:val="0"/>
                  <w:vAlign w:val="center"/>
                </w:tcPr>
                <w:p w14:paraId="6DBCACAB">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659" w:type="pct"/>
                  <w:vMerge w:val="continue"/>
                  <w:noWrap w:val="0"/>
                  <w:vAlign w:val="center"/>
                </w:tcPr>
                <w:p w14:paraId="2E4842E6">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2137" w:type="pct"/>
                  <w:shd w:val="clear" w:color="auto" w:fill="auto"/>
                  <w:noWrap w:val="0"/>
                  <w:vAlign w:val="center"/>
                </w:tcPr>
                <w:p w14:paraId="2ADA3A3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循环池油渣</w:t>
                  </w:r>
                </w:p>
              </w:tc>
              <w:tc>
                <w:tcPr>
                  <w:tcW w:w="1647" w:type="pct"/>
                  <w:shd w:val="clear" w:color="auto" w:fill="auto"/>
                  <w:noWrap w:val="0"/>
                  <w:vAlign w:val="center"/>
                </w:tcPr>
                <w:p w14:paraId="297BA6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0.02</w:t>
                  </w:r>
                </w:p>
              </w:tc>
            </w:tr>
            <w:tr w14:paraId="2B92C0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6" w:type="pct"/>
                  <w:vMerge w:val="continue"/>
                  <w:noWrap w:val="0"/>
                  <w:vAlign w:val="center"/>
                </w:tcPr>
                <w:p w14:paraId="4A6742B9">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659" w:type="pct"/>
                  <w:vMerge w:val="continue"/>
                  <w:noWrap w:val="0"/>
                  <w:vAlign w:val="center"/>
                </w:tcPr>
                <w:p w14:paraId="68E36C30">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2137" w:type="pct"/>
                  <w:shd w:val="clear" w:color="auto" w:fill="auto"/>
                  <w:noWrap w:val="0"/>
                  <w:vAlign w:val="center"/>
                </w:tcPr>
                <w:p w14:paraId="0301CB9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液体危险化学品废物料桶</w:t>
                  </w:r>
                </w:p>
              </w:tc>
              <w:tc>
                <w:tcPr>
                  <w:tcW w:w="1647" w:type="pct"/>
                  <w:shd w:val="clear" w:color="auto" w:fill="auto"/>
                  <w:noWrap w:val="0"/>
                  <w:vAlign w:val="center"/>
                </w:tcPr>
                <w:p w14:paraId="1DF0CB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0.5</w:t>
                  </w:r>
                </w:p>
              </w:tc>
            </w:tr>
            <w:tr w14:paraId="4AEEEE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6" w:type="pct"/>
                  <w:vMerge w:val="continue"/>
                  <w:noWrap w:val="0"/>
                  <w:vAlign w:val="center"/>
                </w:tcPr>
                <w:p w14:paraId="7EB08CFD">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659" w:type="pct"/>
                  <w:vMerge w:val="continue"/>
                  <w:noWrap w:val="0"/>
                  <w:vAlign w:val="center"/>
                </w:tcPr>
                <w:p w14:paraId="26E3D099">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2137" w:type="pct"/>
                  <w:shd w:val="clear" w:color="auto" w:fill="auto"/>
                  <w:noWrap w:val="0"/>
                  <w:vAlign w:val="center"/>
                </w:tcPr>
                <w:p w14:paraId="6A9A711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废活性炭</w:t>
                  </w:r>
                </w:p>
              </w:tc>
              <w:tc>
                <w:tcPr>
                  <w:tcW w:w="1647" w:type="pct"/>
                  <w:shd w:val="clear" w:color="auto" w:fill="auto"/>
                  <w:noWrap w:val="0"/>
                  <w:vAlign w:val="center"/>
                </w:tcPr>
                <w:p w14:paraId="0C749D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0.03</w:t>
                  </w:r>
                </w:p>
              </w:tc>
            </w:tr>
            <w:tr w14:paraId="068332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6" w:type="pct"/>
                  <w:vMerge w:val="continue"/>
                  <w:noWrap w:val="0"/>
                  <w:vAlign w:val="center"/>
                </w:tcPr>
                <w:p w14:paraId="78288D00">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659" w:type="pct"/>
                  <w:vMerge w:val="continue"/>
                  <w:noWrap w:val="0"/>
                  <w:vAlign w:val="center"/>
                </w:tcPr>
                <w:p w14:paraId="44B326DE">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2137" w:type="pct"/>
                  <w:shd w:val="clear" w:color="auto" w:fill="auto"/>
                  <w:noWrap w:val="0"/>
                  <w:vAlign w:val="center"/>
                </w:tcPr>
                <w:p w14:paraId="36B6F6C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水幕水废液</w:t>
                  </w:r>
                </w:p>
              </w:tc>
              <w:tc>
                <w:tcPr>
                  <w:tcW w:w="1647" w:type="pct"/>
                  <w:shd w:val="clear" w:color="auto" w:fill="auto"/>
                  <w:noWrap w:val="0"/>
                  <w:vAlign w:val="center"/>
                </w:tcPr>
                <w:p w14:paraId="7E0A79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0.1</w:t>
                  </w:r>
                </w:p>
              </w:tc>
            </w:tr>
            <w:tr w14:paraId="0EF10D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6" w:type="pct"/>
                  <w:vMerge w:val="continue"/>
                  <w:noWrap w:val="0"/>
                  <w:vAlign w:val="center"/>
                </w:tcPr>
                <w:p w14:paraId="05AAAB93">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659" w:type="pct"/>
                  <w:vMerge w:val="continue"/>
                  <w:noWrap w:val="0"/>
                  <w:vAlign w:val="center"/>
                </w:tcPr>
                <w:p w14:paraId="76D3D71C">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2137" w:type="pct"/>
                  <w:shd w:val="clear" w:color="auto" w:fill="auto"/>
                  <w:noWrap w:val="0"/>
                  <w:vAlign w:val="center"/>
                </w:tcPr>
                <w:p w14:paraId="7975B6D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废抹布</w:t>
                  </w:r>
                </w:p>
              </w:tc>
              <w:tc>
                <w:tcPr>
                  <w:tcW w:w="1647" w:type="pct"/>
                  <w:shd w:val="clear" w:color="auto" w:fill="auto"/>
                  <w:noWrap w:val="0"/>
                  <w:vAlign w:val="center"/>
                </w:tcPr>
                <w:p w14:paraId="02894C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0.01</w:t>
                  </w:r>
                </w:p>
              </w:tc>
            </w:tr>
            <w:tr w14:paraId="13ADF6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56" w:type="pct"/>
                  <w:vMerge w:val="continue"/>
                  <w:noWrap w:val="0"/>
                  <w:vAlign w:val="center"/>
                </w:tcPr>
                <w:p w14:paraId="5E7CAEB5">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659" w:type="pct"/>
                  <w:vMerge w:val="continue"/>
                  <w:noWrap w:val="0"/>
                  <w:vAlign w:val="center"/>
                </w:tcPr>
                <w:p w14:paraId="17709595">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2137" w:type="pct"/>
                  <w:shd w:val="clear" w:color="auto" w:fill="auto"/>
                  <w:noWrap w:val="0"/>
                  <w:vAlign w:val="center"/>
                </w:tcPr>
                <w:p w14:paraId="66F8F93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密封胶、密封条不合格半成品</w:t>
                  </w:r>
                </w:p>
              </w:tc>
              <w:tc>
                <w:tcPr>
                  <w:tcW w:w="1647" w:type="pct"/>
                  <w:shd w:val="clear" w:color="auto" w:fill="auto"/>
                  <w:noWrap w:val="0"/>
                  <w:vAlign w:val="center"/>
                </w:tcPr>
                <w:p w14:paraId="536E0F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13</w:t>
                  </w:r>
                </w:p>
              </w:tc>
            </w:tr>
            <w:tr w14:paraId="32B5C4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6" w:type="pct"/>
                  <w:vMerge w:val="continue"/>
                  <w:noWrap w:val="0"/>
                  <w:vAlign w:val="center"/>
                </w:tcPr>
                <w:p w14:paraId="6E16D3D0">
                  <w:pPr>
                    <w:keepNext w:val="0"/>
                    <w:keepLines w:val="0"/>
                    <w:pageBreakBefore w:val="0"/>
                    <w:suppressLineNumbers w:val="0"/>
                    <w:tabs>
                      <w:tab w:val="left" w:pos="3345"/>
                    </w:tabs>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p>
              </w:tc>
              <w:tc>
                <w:tcPr>
                  <w:tcW w:w="2796" w:type="pct"/>
                  <w:gridSpan w:val="2"/>
                  <w:noWrap w:val="0"/>
                  <w:vAlign w:val="center"/>
                </w:tcPr>
                <w:p w14:paraId="789C700A">
                  <w:pPr>
                    <w:keepNext w:val="0"/>
                    <w:keepLines w:val="0"/>
                    <w:pageBreakBefore w:val="0"/>
                    <w:suppressLineNumbers w:val="0"/>
                    <w:tabs>
                      <w:tab w:val="left" w:pos="3345"/>
                    </w:tabs>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生活垃圾</w:t>
                  </w:r>
                </w:p>
              </w:tc>
              <w:tc>
                <w:tcPr>
                  <w:tcW w:w="1647" w:type="pct"/>
                  <w:noWrap w:val="0"/>
                  <w:vAlign w:val="center"/>
                </w:tcPr>
                <w:p w14:paraId="7B5DEC91">
                  <w:pPr>
                    <w:keepNext w:val="0"/>
                    <w:keepLines w:val="0"/>
                    <w:pageBreakBefore w:val="0"/>
                    <w:suppressLineNumbers w:val="0"/>
                    <w:tabs>
                      <w:tab w:val="left" w:pos="3345"/>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45</w:t>
                  </w:r>
                </w:p>
              </w:tc>
            </w:tr>
          </w:tbl>
          <w:p w14:paraId="3EFD1F29">
            <w:pPr>
              <w:keepNext w:val="0"/>
              <w:keepLines w:val="0"/>
              <w:widowControl w:val="0"/>
              <w:suppressLineNumbers w:val="0"/>
              <w:spacing w:before="0" w:beforeAutospacing="0" w:after="0" w:afterAutospacing="0" w:line="360" w:lineRule="auto"/>
              <w:ind w:left="0" w:right="0" w:firstLine="0" w:firstLineChars="0"/>
              <w:jc w:val="both"/>
              <w:rPr>
                <w:rFonts w:hint="default" w:ascii="Times New Roman" w:hAnsi="Times New Roman" w:eastAsia="宋体" w:cs="Times New Roman"/>
                <w:b/>
                <w:bCs/>
                <w:color w:val="auto"/>
                <w:kern w:val="2"/>
                <w:sz w:val="24"/>
                <w:szCs w:val="20"/>
                <w:highlight w:val="none"/>
                <w:lang w:val="en-US" w:eastAsia="zh-CN" w:bidi="ar-SA"/>
              </w:rPr>
            </w:pPr>
            <w:bookmarkStart w:id="16" w:name="_Toc11518"/>
            <w:r>
              <w:rPr>
                <w:rFonts w:hint="eastAsia" w:ascii="Times New Roman" w:hAnsi="Times New Roman" w:eastAsia="宋体" w:cs="Times New Roman"/>
                <w:b/>
                <w:bCs/>
                <w:color w:val="auto"/>
                <w:kern w:val="2"/>
                <w:sz w:val="24"/>
                <w:szCs w:val="20"/>
                <w:highlight w:val="none"/>
                <w:lang w:val="en-US" w:eastAsia="zh-CN" w:bidi="ar-SA"/>
              </w:rPr>
              <w:t>3、企业现有项目排污许可执行情况</w:t>
            </w:r>
          </w:p>
          <w:p w14:paraId="23E13449">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val="en-US" w:eastAsia="zh-CN"/>
              </w:rPr>
              <w:t>江西奋发科技有限公司</w:t>
            </w:r>
            <w:r>
              <w:rPr>
                <w:rFonts w:hint="eastAsia" w:ascii="Times New Roman" w:hAnsi="Times New Roman" w:eastAsia="宋体" w:cs="Times New Roman"/>
                <w:color w:val="auto"/>
                <w:sz w:val="24"/>
                <w:highlight w:val="none"/>
              </w:rPr>
              <w:t>于2020年</w:t>
            </w:r>
            <w:r>
              <w:rPr>
                <w:rFonts w:hint="eastAsia" w:cs="Times New Roman"/>
                <w:color w:val="auto"/>
                <w:sz w:val="24"/>
                <w:highlight w:val="none"/>
                <w:lang w:val="en-US" w:eastAsia="zh-CN"/>
              </w:rPr>
              <w:t>7</w:t>
            </w:r>
            <w:r>
              <w:rPr>
                <w:rFonts w:hint="eastAsia" w:ascii="Times New Roman" w:hAnsi="Times New Roman" w:eastAsia="宋体" w:cs="Times New Roman"/>
                <w:color w:val="auto"/>
                <w:sz w:val="24"/>
                <w:highlight w:val="none"/>
              </w:rPr>
              <w:t>月</w:t>
            </w:r>
            <w:r>
              <w:rPr>
                <w:rFonts w:hint="eastAsia" w:ascii="Times New Roman" w:hAnsi="Times New Roman" w:cs="Times New Roman"/>
                <w:color w:val="auto"/>
                <w:sz w:val="24"/>
                <w:highlight w:val="none"/>
                <w:lang w:val="en-US" w:eastAsia="zh-CN"/>
              </w:rPr>
              <w:t>2</w:t>
            </w:r>
            <w:r>
              <w:rPr>
                <w:rFonts w:hint="eastAsia" w:cs="Times New Roman"/>
                <w:color w:val="auto"/>
                <w:sz w:val="24"/>
                <w:highlight w:val="none"/>
                <w:lang w:val="en-US" w:eastAsia="zh-CN"/>
              </w:rPr>
              <w:t>8</w:t>
            </w:r>
            <w:r>
              <w:rPr>
                <w:rFonts w:hint="eastAsia" w:ascii="Times New Roman" w:hAnsi="Times New Roman" w:eastAsia="宋体" w:cs="Times New Roman"/>
                <w:color w:val="auto"/>
                <w:sz w:val="24"/>
                <w:highlight w:val="none"/>
              </w:rPr>
              <w:t>日</w:t>
            </w:r>
            <w:r>
              <w:rPr>
                <w:rFonts w:hint="eastAsia" w:cs="Times New Roman"/>
                <w:color w:val="auto"/>
                <w:sz w:val="24"/>
                <w:highlight w:val="none"/>
                <w:lang w:val="en-US" w:eastAsia="zh-CN"/>
              </w:rPr>
              <w:t>申领</w:t>
            </w:r>
            <w:r>
              <w:rPr>
                <w:rFonts w:hint="eastAsia" w:ascii="Times New Roman" w:hAnsi="Times New Roman" w:eastAsia="宋体" w:cs="Times New Roman"/>
                <w:color w:val="auto"/>
                <w:sz w:val="24"/>
                <w:highlight w:val="none"/>
              </w:rPr>
              <w:t>排污许可</w:t>
            </w:r>
            <w:r>
              <w:rPr>
                <w:rFonts w:hint="eastAsia" w:cs="Times New Roman"/>
                <w:color w:val="auto"/>
                <w:sz w:val="24"/>
                <w:highlight w:val="none"/>
                <w:lang w:val="en-US" w:eastAsia="zh-CN"/>
              </w:rPr>
              <w:t>证</w:t>
            </w:r>
            <w:r>
              <w:rPr>
                <w:rFonts w:hint="eastAsia" w:ascii="Times New Roman" w:hAnsi="Times New Roman" w:cs="Times New Roman"/>
                <w:color w:val="auto"/>
                <w:sz w:val="24"/>
                <w:highlight w:val="none"/>
                <w:lang w:eastAsia="zh-CN"/>
              </w:rPr>
              <w:t>（</w:t>
            </w:r>
            <w:r>
              <w:rPr>
                <w:rFonts w:hint="eastAsia" w:cs="Times New Roman"/>
                <w:color w:val="auto"/>
                <w:sz w:val="24"/>
                <w:highlight w:val="none"/>
                <w:lang w:val="en-US" w:eastAsia="zh-CN"/>
              </w:rPr>
              <w:t>许可证</w:t>
            </w:r>
            <w:r>
              <w:rPr>
                <w:rFonts w:hint="eastAsia" w:ascii="Times New Roman" w:hAnsi="Times New Roman" w:eastAsia="宋体" w:cs="Times New Roman"/>
                <w:color w:val="auto"/>
                <w:sz w:val="24"/>
                <w:highlight w:val="none"/>
              </w:rPr>
              <w:t>编号为：91360123573634078D001U</w:t>
            </w:r>
            <w:r>
              <w:rPr>
                <w:rFonts w:hint="eastAsia" w:ascii="Times New Roman" w:hAnsi="Times New Roman" w:cs="Times New Roman"/>
                <w:color w:val="auto"/>
                <w:sz w:val="24"/>
                <w:highlight w:val="none"/>
                <w:lang w:eastAsia="zh-CN"/>
              </w:rPr>
              <w:t>）</w:t>
            </w:r>
            <w:r>
              <w:rPr>
                <w:rFonts w:hint="eastAsia" w:ascii="Times New Roman" w:hAnsi="Times New Roman" w:eastAsia="宋体" w:cs="Times New Roman"/>
                <w:color w:val="auto"/>
                <w:sz w:val="24"/>
                <w:highlight w:val="none"/>
              </w:rPr>
              <w:t>，于202</w:t>
            </w:r>
            <w:r>
              <w:rPr>
                <w:rFonts w:hint="eastAsia" w:ascii="Times New Roman" w:hAnsi="Times New Roman" w:cs="Times New Roman"/>
                <w:color w:val="auto"/>
                <w:sz w:val="24"/>
                <w:highlight w:val="none"/>
                <w:lang w:val="en-US" w:eastAsia="zh-CN"/>
              </w:rPr>
              <w:t>5</w:t>
            </w:r>
            <w:r>
              <w:rPr>
                <w:rFonts w:hint="eastAsia" w:ascii="Times New Roman" w:hAnsi="Times New Roman" w:eastAsia="宋体" w:cs="Times New Roman"/>
                <w:color w:val="auto"/>
                <w:sz w:val="24"/>
                <w:highlight w:val="none"/>
              </w:rPr>
              <w:t>年</w:t>
            </w:r>
            <w:r>
              <w:rPr>
                <w:rFonts w:hint="eastAsia" w:cs="Times New Roman"/>
                <w:color w:val="auto"/>
                <w:sz w:val="24"/>
                <w:highlight w:val="none"/>
                <w:lang w:val="en-US" w:eastAsia="zh-CN"/>
              </w:rPr>
              <w:t>9</w:t>
            </w:r>
            <w:r>
              <w:rPr>
                <w:rFonts w:hint="eastAsia" w:ascii="Times New Roman" w:hAnsi="Times New Roman" w:eastAsia="宋体" w:cs="Times New Roman"/>
                <w:color w:val="auto"/>
                <w:sz w:val="24"/>
                <w:highlight w:val="none"/>
              </w:rPr>
              <w:t>月</w:t>
            </w:r>
            <w:r>
              <w:rPr>
                <w:rFonts w:hint="eastAsia" w:cs="Times New Roman"/>
                <w:color w:val="auto"/>
                <w:sz w:val="24"/>
                <w:highlight w:val="none"/>
                <w:lang w:val="en-US" w:eastAsia="zh-CN"/>
              </w:rPr>
              <w:t>17</w:t>
            </w:r>
            <w:r>
              <w:rPr>
                <w:rFonts w:hint="eastAsia" w:ascii="Times New Roman" w:hAnsi="Times New Roman" w:eastAsia="宋体" w:cs="Times New Roman"/>
                <w:color w:val="auto"/>
                <w:sz w:val="24"/>
                <w:highlight w:val="none"/>
              </w:rPr>
              <w:t>日完成</w:t>
            </w:r>
            <w:r>
              <w:rPr>
                <w:rFonts w:hint="eastAsia" w:ascii="Times New Roman" w:hAnsi="Times New Roman" w:cs="Times New Roman"/>
                <w:color w:val="auto"/>
                <w:sz w:val="24"/>
                <w:highlight w:val="none"/>
                <w:lang w:val="en-US" w:eastAsia="zh-CN"/>
              </w:rPr>
              <w:t>企业</w:t>
            </w:r>
            <w:r>
              <w:rPr>
                <w:rFonts w:hint="eastAsia" w:ascii="Times New Roman" w:hAnsi="Times New Roman" w:eastAsia="宋体" w:cs="Times New Roman"/>
                <w:color w:val="auto"/>
                <w:sz w:val="24"/>
                <w:highlight w:val="none"/>
              </w:rPr>
              <w:t>排污许可</w:t>
            </w:r>
            <w:r>
              <w:rPr>
                <w:rFonts w:hint="eastAsia" w:cs="Times New Roman"/>
                <w:color w:val="auto"/>
                <w:sz w:val="24"/>
                <w:highlight w:val="none"/>
                <w:lang w:val="en-US" w:eastAsia="zh-CN"/>
              </w:rPr>
              <w:t>证重新申请</w:t>
            </w:r>
            <w:r>
              <w:rPr>
                <w:rFonts w:hint="eastAsia" w:ascii="Times New Roman" w:hAnsi="Times New Roman" w:cs="Times New Roman"/>
                <w:color w:val="auto"/>
                <w:sz w:val="24"/>
                <w:highlight w:val="none"/>
              </w:rPr>
              <w:t>，</w:t>
            </w:r>
            <w:r>
              <w:rPr>
                <w:rFonts w:hint="eastAsia" w:cs="Times New Roman"/>
                <w:color w:val="auto"/>
                <w:sz w:val="24"/>
                <w:highlight w:val="none"/>
                <w:lang w:val="en-US" w:eastAsia="zh-CN"/>
              </w:rPr>
              <w:t>有效期</w:t>
            </w:r>
            <w:r>
              <w:rPr>
                <w:rFonts w:hint="eastAsia" w:ascii="Times New Roman" w:hAnsi="Times New Roman" w:cs="Times New Roman"/>
                <w:color w:val="auto"/>
                <w:sz w:val="24"/>
                <w:highlight w:val="none"/>
              </w:rPr>
              <w:t>自2025年09月17日至2030年09月16日止</w:t>
            </w:r>
            <w:r>
              <w:rPr>
                <w:rFonts w:hint="eastAsia" w:cs="Times New Roman"/>
                <w:color w:val="auto"/>
                <w:sz w:val="24"/>
                <w:highlight w:val="none"/>
                <w:lang w:eastAsia="zh-CN"/>
              </w:rPr>
              <w:t>，</w:t>
            </w:r>
            <w:r>
              <w:rPr>
                <w:rFonts w:hint="eastAsia" w:cs="Times New Roman"/>
                <w:color w:val="auto"/>
                <w:sz w:val="24"/>
                <w:highlight w:val="none"/>
                <w:lang w:val="en-US" w:eastAsia="zh-CN"/>
              </w:rPr>
              <w:t>排污许可证</w:t>
            </w:r>
            <w:r>
              <w:rPr>
                <w:rFonts w:hint="eastAsia" w:ascii="Times New Roman" w:hAnsi="Times New Roman" w:cs="Times New Roman"/>
                <w:color w:val="auto"/>
                <w:sz w:val="24"/>
                <w:highlight w:val="none"/>
              </w:rPr>
              <w:t>在有效期内</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企业现有项目已</w:t>
            </w:r>
            <w:r>
              <w:rPr>
                <w:rFonts w:hint="eastAsia" w:ascii="Times New Roman" w:hAnsi="Times New Roman" w:cs="Times New Roman"/>
                <w:color w:val="auto"/>
                <w:sz w:val="24"/>
                <w:highlight w:val="none"/>
              </w:rPr>
              <w:t>开展</w:t>
            </w:r>
            <w:r>
              <w:rPr>
                <w:rFonts w:hint="eastAsia" w:ascii="Times New Roman" w:hAnsi="Times New Roman" w:cs="Times New Roman"/>
                <w:color w:val="auto"/>
                <w:sz w:val="24"/>
                <w:highlight w:val="none"/>
                <w:lang w:val="en-US" w:eastAsia="zh-CN"/>
              </w:rPr>
              <w:t>废气、废水、噪声</w:t>
            </w:r>
            <w:r>
              <w:rPr>
                <w:rFonts w:hint="eastAsia" w:ascii="Times New Roman" w:hAnsi="Times New Roman" w:cs="Times New Roman"/>
                <w:color w:val="auto"/>
                <w:sz w:val="24"/>
                <w:highlight w:val="none"/>
              </w:rPr>
              <w:t>自行监测，数据保存完整。</w:t>
            </w:r>
          </w:p>
          <w:p w14:paraId="27241007">
            <w:pPr>
              <w:keepNext w:val="0"/>
              <w:keepLines w:val="0"/>
              <w:widowControl w:val="0"/>
              <w:suppressLineNumbers w:val="0"/>
              <w:spacing w:before="0" w:beforeAutospacing="0" w:after="0" w:afterAutospacing="0" w:line="360" w:lineRule="auto"/>
              <w:ind w:left="0" w:right="0" w:firstLine="0" w:firstLineChars="0"/>
              <w:jc w:val="both"/>
              <w:rPr>
                <w:rFonts w:hint="default" w:ascii="Times New Roman" w:hAnsi="Times New Roman" w:eastAsia="宋体" w:cs="Times New Roman"/>
                <w:b/>
                <w:bCs/>
                <w:color w:val="auto"/>
                <w:kern w:val="2"/>
                <w:sz w:val="24"/>
                <w:szCs w:val="20"/>
                <w:highlight w:val="none"/>
                <w:lang w:val="en-US" w:eastAsia="zh-CN" w:bidi="ar-SA"/>
              </w:rPr>
            </w:pPr>
            <w:r>
              <w:rPr>
                <w:rFonts w:hint="eastAsia" w:ascii="Times New Roman" w:hAnsi="Times New Roman" w:eastAsia="宋体" w:cs="Times New Roman"/>
                <w:b/>
                <w:bCs/>
                <w:color w:val="auto"/>
                <w:kern w:val="2"/>
                <w:sz w:val="24"/>
                <w:szCs w:val="20"/>
                <w:highlight w:val="none"/>
                <w:lang w:val="en-US" w:eastAsia="zh-CN" w:bidi="ar-SA"/>
              </w:rPr>
              <w:t>4、现有</w:t>
            </w:r>
            <w:r>
              <w:rPr>
                <w:rFonts w:hint="default" w:ascii="Times New Roman" w:hAnsi="Times New Roman" w:eastAsia="宋体" w:cs="Times New Roman"/>
                <w:b/>
                <w:bCs/>
                <w:color w:val="auto"/>
                <w:kern w:val="2"/>
                <w:sz w:val="24"/>
                <w:szCs w:val="20"/>
                <w:highlight w:val="none"/>
                <w:lang w:val="en-US" w:eastAsia="zh-CN" w:bidi="ar-SA"/>
              </w:rPr>
              <w:t>项目存在的问题及整改措施</w:t>
            </w:r>
            <w:bookmarkEnd w:id="16"/>
          </w:p>
          <w:p w14:paraId="579C3F41">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根据现场踏勘，</w:t>
            </w:r>
            <w:r>
              <w:rPr>
                <w:rFonts w:hint="eastAsia" w:cs="Times New Roman"/>
                <w:color w:val="auto"/>
                <w:sz w:val="24"/>
                <w:highlight w:val="none"/>
                <w:lang w:val="en-US" w:eastAsia="zh-CN"/>
              </w:rPr>
              <w:t>现有</w:t>
            </w:r>
            <w:r>
              <w:rPr>
                <w:rFonts w:hint="eastAsia" w:ascii="Times New Roman" w:hAnsi="Times New Roman" w:cs="Times New Roman"/>
                <w:color w:val="auto"/>
                <w:sz w:val="24"/>
                <w:highlight w:val="none"/>
              </w:rPr>
              <w:t>项目厂区已配套建设一般工业固废贮存区、危险废物暂存间及事故应急池。现有危废暂存间已落实防腐、防渗等污染防控措施，可满足项目危险废物暂存贮存要求。现有</w:t>
            </w:r>
            <w:r>
              <w:rPr>
                <w:rFonts w:hint="eastAsia" w:ascii="Times New Roman" w:hAnsi="Times New Roman" w:eastAsia="宋体" w:cs="Times New Roman"/>
                <w:color w:val="auto"/>
                <w:sz w:val="24"/>
                <w:highlight w:val="none"/>
                <w:lang w:val="en-US" w:eastAsia="zh-CN"/>
              </w:rPr>
              <w:t>项目存在的</w:t>
            </w:r>
            <w:r>
              <w:rPr>
                <w:rFonts w:hint="eastAsia" w:ascii="Times New Roman" w:hAnsi="Times New Roman" w:cs="Times New Roman"/>
                <w:color w:val="auto"/>
                <w:sz w:val="24"/>
                <w:highlight w:val="none"/>
              </w:rPr>
              <w:t>主要环境问题如下：</w:t>
            </w:r>
          </w:p>
          <w:p w14:paraId="2E767298">
            <w:pPr>
              <w:keepNext w:val="0"/>
              <w:keepLines w:val="0"/>
              <w:widowControl/>
              <w:suppressLineNumbers w:val="0"/>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（1）项目存在的主要问题</w:t>
            </w:r>
          </w:p>
          <w:p w14:paraId="4D3340AB">
            <w:pPr>
              <w:keepNext w:val="0"/>
              <w:keepLines w:val="0"/>
              <w:widowControl/>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color w:val="auto"/>
                <w:kern w:val="2"/>
                <w:sz w:val="24"/>
                <w:szCs w:val="24"/>
                <w:highlight w:val="none"/>
                <w:lang w:val="en-US" w:eastAsia="zh-CN" w:bidi="ar-SA"/>
              </w:rPr>
              <w:t>①</w:t>
            </w:r>
            <w:r>
              <w:rPr>
                <w:rFonts w:hint="default" w:ascii="Times New Roman" w:hAnsi="Times New Roman" w:eastAsia="宋体" w:cs="Times New Roman"/>
                <w:color w:val="auto"/>
                <w:kern w:val="2"/>
                <w:sz w:val="24"/>
                <w:szCs w:val="24"/>
                <w:highlight w:val="none"/>
                <w:lang w:val="en-US" w:eastAsia="zh-CN" w:bidi="ar-SA"/>
              </w:rPr>
              <w:t>企业未对</w:t>
            </w:r>
            <w:r>
              <w:rPr>
                <w:rFonts w:hint="eastAsia" w:ascii="Times New Roman" w:hAnsi="Times New Roman" w:eastAsia="宋体" w:cs="Times New Roman"/>
                <w:color w:val="auto"/>
                <w:kern w:val="2"/>
                <w:sz w:val="24"/>
                <w:szCs w:val="24"/>
                <w:highlight w:val="none"/>
                <w:lang w:val="en-US" w:eastAsia="zh-CN" w:bidi="ar-SA"/>
              </w:rPr>
              <w:t>废水</w:t>
            </w:r>
            <w:r>
              <w:rPr>
                <w:rFonts w:hint="default" w:ascii="Times New Roman" w:hAnsi="Times New Roman" w:eastAsia="宋体" w:cs="Times New Roman"/>
                <w:color w:val="auto"/>
                <w:kern w:val="2"/>
                <w:sz w:val="24"/>
                <w:szCs w:val="24"/>
                <w:highlight w:val="none"/>
                <w:lang w:val="en-US" w:eastAsia="zh-CN" w:bidi="ar-SA"/>
              </w:rPr>
              <w:t>排口设置规范化标识牌。</w:t>
            </w:r>
          </w:p>
          <w:p w14:paraId="284C9A75">
            <w:pPr>
              <w:keepNext w:val="0"/>
              <w:keepLines w:val="0"/>
              <w:widowControl/>
              <w:suppressLineNumbers w:val="0"/>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（2）以新带老措施整改措施</w:t>
            </w:r>
          </w:p>
          <w:p w14:paraId="259E7AE9">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kern w:val="2"/>
                <w:sz w:val="24"/>
                <w:szCs w:val="24"/>
                <w:highlight w:val="none"/>
                <w:lang w:val="en-US" w:eastAsia="zh-CN" w:bidi="ar-SA"/>
              </w:rPr>
              <w:t>①</w:t>
            </w:r>
            <w:r>
              <w:rPr>
                <w:rFonts w:hint="eastAsia" w:ascii="Times New Roman" w:hAnsi="Times New Roman" w:cs="Times New Roman"/>
                <w:color w:val="auto"/>
                <w:sz w:val="24"/>
                <w:highlight w:val="none"/>
                <w:lang w:val="en-US" w:eastAsia="zh-CN"/>
              </w:rPr>
              <w:t>企业改建完成后，</w:t>
            </w:r>
            <w:r>
              <w:rPr>
                <w:rFonts w:hint="eastAsia" w:ascii="Times New Roman" w:hAnsi="Times New Roman" w:eastAsia="宋体" w:cs="Times New Roman"/>
                <w:color w:val="auto"/>
                <w:sz w:val="24"/>
                <w:highlight w:val="none"/>
                <w:lang w:val="en-US" w:eastAsia="zh-CN"/>
              </w:rPr>
              <w:t>按照《环境保护图形标志—排放口（源）》和《排污口规范化整治要求（试行）》等文件的要求设置</w:t>
            </w:r>
            <w:r>
              <w:rPr>
                <w:rFonts w:hint="eastAsia" w:ascii="Times New Roman" w:hAnsi="Times New Roman" w:cs="Times New Roman"/>
                <w:color w:val="auto"/>
                <w:sz w:val="24"/>
                <w:highlight w:val="none"/>
                <w:lang w:val="en-US" w:eastAsia="zh-CN"/>
              </w:rPr>
              <w:t>废气、</w:t>
            </w:r>
            <w:r>
              <w:rPr>
                <w:rFonts w:hint="eastAsia" w:ascii="Times New Roman" w:hAnsi="Times New Roman" w:eastAsia="宋体" w:cs="Times New Roman"/>
                <w:color w:val="auto"/>
                <w:sz w:val="24"/>
                <w:highlight w:val="none"/>
                <w:lang w:val="en-US" w:eastAsia="zh-CN"/>
              </w:rPr>
              <w:t>废水标志牌。</w:t>
            </w:r>
          </w:p>
          <w:p w14:paraId="0D35C3D9">
            <w:pPr>
              <w:keepNext w:val="0"/>
              <w:keepLines w:val="0"/>
              <w:widowControl w:val="0"/>
              <w:suppressLineNumbers w:val="0"/>
              <w:spacing w:before="0" w:beforeAutospacing="0" w:after="0" w:afterAutospacing="0" w:line="360" w:lineRule="auto"/>
              <w:ind w:left="0" w:right="0" w:firstLine="0" w:firstLineChars="0"/>
              <w:jc w:val="both"/>
              <w:rPr>
                <w:rFonts w:hint="default" w:ascii="Times New Roman" w:hAnsi="Times New Roman" w:eastAsia="宋体" w:cs="Times New Roman"/>
                <w:b/>
                <w:bCs/>
                <w:color w:val="auto"/>
                <w:kern w:val="2"/>
                <w:sz w:val="24"/>
                <w:szCs w:val="20"/>
                <w:highlight w:val="none"/>
                <w:lang w:val="en-US" w:eastAsia="zh-CN" w:bidi="ar-SA"/>
              </w:rPr>
            </w:pPr>
            <w:r>
              <w:rPr>
                <w:rFonts w:hint="eastAsia" w:ascii="Times New Roman" w:hAnsi="Times New Roman" w:eastAsia="宋体" w:cs="Times New Roman"/>
                <w:b/>
                <w:bCs/>
                <w:color w:val="auto"/>
                <w:kern w:val="2"/>
                <w:sz w:val="24"/>
                <w:szCs w:val="20"/>
                <w:highlight w:val="none"/>
                <w:lang w:val="en-US" w:eastAsia="zh-CN" w:bidi="ar-SA"/>
              </w:rPr>
              <w:t>5、</w:t>
            </w:r>
            <w:r>
              <w:rPr>
                <w:rFonts w:hint="eastAsia" w:cs="Times New Roman"/>
                <w:b/>
                <w:bCs/>
                <w:color w:val="auto"/>
                <w:kern w:val="2"/>
                <w:sz w:val="24"/>
                <w:szCs w:val="20"/>
                <w:highlight w:val="none"/>
                <w:lang w:val="en-US" w:eastAsia="zh-CN" w:bidi="ar-SA"/>
              </w:rPr>
              <w:t>扩</w:t>
            </w:r>
            <w:r>
              <w:rPr>
                <w:rFonts w:hint="eastAsia" w:ascii="Times New Roman" w:hAnsi="Times New Roman" w:eastAsia="宋体" w:cs="Times New Roman"/>
                <w:b/>
                <w:bCs/>
                <w:color w:val="auto"/>
                <w:kern w:val="2"/>
                <w:sz w:val="24"/>
                <w:szCs w:val="20"/>
                <w:highlight w:val="none"/>
                <w:lang w:val="en-US" w:eastAsia="zh-CN" w:bidi="ar-SA"/>
              </w:rPr>
              <w:t>建前后环境影响分析</w:t>
            </w:r>
          </w:p>
          <w:p w14:paraId="02B0DC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b w:val="0"/>
                <w:bCs w:val="0"/>
                <w:color w:val="auto"/>
                <w:kern w:val="2"/>
                <w:sz w:val="24"/>
                <w:szCs w:val="20"/>
                <w:highlight w:val="none"/>
                <w:lang w:val="en-US" w:eastAsia="zh-CN" w:bidi="ar-SA"/>
              </w:rPr>
            </w:pPr>
            <w:r>
              <w:rPr>
                <w:rFonts w:hint="eastAsia" w:ascii="Times New Roman" w:hAnsi="Times New Roman" w:eastAsia="宋体" w:cs="Times New Roman"/>
                <w:b w:val="0"/>
                <w:bCs w:val="0"/>
                <w:color w:val="auto"/>
                <w:kern w:val="2"/>
                <w:sz w:val="24"/>
                <w:szCs w:val="20"/>
                <w:highlight w:val="none"/>
                <w:lang w:val="en-US" w:eastAsia="zh-CN" w:bidi="ar-SA"/>
              </w:rPr>
              <w:t>（1）</w:t>
            </w:r>
            <w:r>
              <w:rPr>
                <w:rFonts w:hint="default" w:ascii="Times New Roman" w:hAnsi="Times New Roman" w:eastAsia="Segoe UI" w:cs="Times New Roman"/>
                <w:i w:val="0"/>
                <w:iCs w:val="0"/>
                <w:caps w:val="0"/>
                <w:color w:val="auto"/>
                <w:spacing w:val="0"/>
                <w:sz w:val="24"/>
                <w:szCs w:val="24"/>
                <w:shd w:val="clear" w:fill="FFFFFF"/>
              </w:rPr>
              <w:t>本项目为</w:t>
            </w:r>
            <w:r>
              <w:rPr>
                <w:rFonts w:hint="default" w:ascii="Times New Roman" w:hAnsi="Times New Roman" w:eastAsia="宋体" w:cs="Times New Roman"/>
                <w:i w:val="0"/>
                <w:iCs w:val="0"/>
                <w:caps w:val="0"/>
                <w:color w:val="auto"/>
                <w:spacing w:val="0"/>
                <w:sz w:val="24"/>
                <w:szCs w:val="24"/>
                <w:shd w:val="clear" w:fill="FFFFFF"/>
                <w:lang w:val="en-US" w:eastAsia="zh-CN"/>
              </w:rPr>
              <w:t>在原厂内进行</w:t>
            </w:r>
            <w:r>
              <w:rPr>
                <w:rFonts w:hint="eastAsia" w:cs="Times New Roman"/>
                <w:i w:val="0"/>
                <w:iCs w:val="0"/>
                <w:caps w:val="0"/>
                <w:color w:val="auto"/>
                <w:spacing w:val="0"/>
                <w:sz w:val="24"/>
                <w:szCs w:val="24"/>
                <w:shd w:val="clear" w:fill="FFFFFF"/>
                <w:lang w:val="en-US" w:eastAsia="zh-CN"/>
              </w:rPr>
              <w:t>扩</w:t>
            </w:r>
            <w:r>
              <w:rPr>
                <w:rFonts w:hint="default" w:ascii="Times New Roman" w:hAnsi="Times New Roman" w:eastAsia="宋体" w:cs="Times New Roman"/>
                <w:i w:val="0"/>
                <w:iCs w:val="0"/>
                <w:caps w:val="0"/>
                <w:color w:val="auto"/>
                <w:spacing w:val="0"/>
                <w:sz w:val="24"/>
                <w:szCs w:val="24"/>
                <w:shd w:val="clear" w:fill="FFFFFF"/>
                <w:lang w:val="en-US" w:eastAsia="zh-CN"/>
              </w:rPr>
              <w:t>建，利用企业</w:t>
            </w:r>
            <w:r>
              <w:rPr>
                <w:rFonts w:hint="default" w:ascii="Times New Roman" w:hAnsi="Times New Roman" w:eastAsia="Segoe UI" w:cs="Times New Roman"/>
                <w:i w:val="0"/>
                <w:iCs w:val="0"/>
                <w:caps w:val="0"/>
                <w:color w:val="auto"/>
                <w:spacing w:val="0"/>
                <w:sz w:val="24"/>
                <w:szCs w:val="24"/>
                <w:shd w:val="clear" w:fill="FFFFFF"/>
              </w:rPr>
              <w:t>厂区</w:t>
            </w:r>
            <w:r>
              <w:rPr>
                <w:rFonts w:hint="eastAsia" w:eastAsia="宋体" w:cs="Times New Roman"/>
                <w:i w:val="0"/>
                <w:iCs w:val="0"/>
                <w:caps w:val="0"/>
                <w:color w:val="auto"/>
                <w:spacing w:val="0"/>
                <w:sz w:val="24"/>
                <w:szCs w:val="24"/>
                <w:shd w:val="clear" w:fill="FFFFFF"/>
                <w:lang w:val="en-US" w:eastAsia="zh-CN"/>
              </w:rPr>
              <w:t>已建</w:t>
            </w:r>
            <w:r>
              <w:rPr>
                <w:rFonts w:hint="eastAsia" w:cs="Times New Roman"/>
                <w:i w:val="0"/>
                <w:iCs w:val="0"/>
                <w:caps w:val="0"/>
                <w:color w:val="auto"/>
                <w:spacing w:val="0"/>
                <w:sz w:val="24"/>
                <w:szCs w:val="24"/>
                <w:shd w:val="clear" w:fill="FFFFFF"/>
                <w:lang w:val="en-US" w:eastAsia="zh-CN"/>
              </w:rPr>
              <w:t>5#备用厂房进行扩建生产</w:t>
            </w:r>
            <w:r>
              <w:rPr>
                <w:rFonts w:hint="default" w:ascii="Times New Roman" w:hAnsi="Times New Roman" w:eastAsia="Segoe UI" w:cs="Times New Roman"/>
                <w:i w:val="0"/>
                <w:iCs w:val="0"/>
                <w:caps w:val="0"/>
                <w:color w:val="auto"/>
                <w:spacing w:val="0"/>
                <w:sz w:val="24"/>
                <w:szCs w:val="24"/>
                <w:shd w:val="clear" w:fill="FFFFFF"/>
              </w:rPr>
              <w:t>，</w:t>
            </w:r>
            <w:r>
              <w:rPr>
                <w:rFonts w:hint="eastAsia" w:cs="Times New Roman"/>
                <w:i w:val="0"/>
                <w:iCs w:val="0"/>
                <w:caps w:val="0"/>
                <w:color w:val="auto"/>
                <w:spacing w:val="0"/>
                <w:sz w:val="24"/>
                <w:szCs w:val="24"/>
                <w:shd w:val="clear" w:fill="FFFFFF"/>
                <w:lang w:val="en-US" w:eastAsia="zh-CN"/>
              </w:rPr>
              <w:t>建设60条尼龙隔热条生产线，规模为</w:t>
            </w:r>
            <w:r>
              <w:rPr>
                <w:rFonts w:hint="default" w:ascii="Times New Roman" w:hAnsi="Times New Roman" w:eastAsia="Segoe UI" w:cs="Times New Roman"/>
                <w:i w:val="0"/>
                <w:iCs w:val="0"/>
                <w:caps w:val="0"/>
                <w:color w:val="auto"/>
                <w:spacing w:val="0"/>
                <w:sz w:val="24"/>
                <w:szCs w:val="24"/>
                <w:shd w:val="clear" w:fill="FFFFFF"/>
              </w:rPr>
              <w:t>年产</w:t>
            </w:r>
            <w:r>
              <w:rPr>
                <w:rFonts w:hint="eastAsia" w:eastAsia="宋体" w:cs="Times New Roman"/>
                <w:i w:val="0"/>
                <w:iCs w:val="0"/>
                <w:caps w:val="0"/>
                <w:color w:val="auto"/>
                <w:spacing w:val="0"/>
                <w:sz w:val="24"/>
                <w:szCs w:val="24"/>
                <w:shd w:val="clear" w:fill="FFFFFF"/>
                <w:lang w:val="en-US" w:eastAsia="zh-CN"/>
              </w:rPr>
              <w:t>25</w:t>
            </w:r>
            <w:r>
              <w:rPr>
                <w:rFonts w:hint="default" w:ascii="Times New Roman" w:hAnsi="Times New Roman" w:eastAsia="Segoe UI" w:cs="Times New Roman"/>
                <w:i w:val="0"/>
                <w:iCs w:val="0"/>
                <w:caps w:val="0"/>
                <w:color w:val="auto"/>
                <w:spacing w:val="0"/>
                <w:sz w:val="24"/>
                <w:szCs w:val="24"/>
                <w:shd w:val="clear" w:fill="FFFFFF"/>
              </w:rPr>
              <w:t>00吨</w:t>
            </w:r>
            <w:r>
              <w:rPr>
                <w:rFonts w:hint="eastAsia" w:eastAsia="宋体" w:cs="Times New Roman"/>
                <w:i w:val="0"/>
                <w:iCs w:val="0"/>
                <w:caps w:val="0"/>
                <w:color w:val="auto"/>
                <w:spacing w:val="0"/>
                <w:sz w:val="24"/>
                <w:szCs w:val="24"/>
                <w:shd w:val="clear" w:fill="FFFFFF"/>
                <w:lang w:val="en-US" w:eastAsia="zh-CN"/>
              </w:rPr>
              <w:t>尼龙隔热条</w:t>
            </w:r>
            <w:r>
              <w:rPr>
                <w:rFonts w:hint="default" w:ascii="Times New Roman" w:hAnsi="Times New Roman" w:eastAsia="Segoe UI" w:cs="Times New Roman"/>
                <w:i w:val="0"/>
                <w:iCs w:val="0"/>
                <w:caps w:val="0"/>
                <w:color w:val="auto"/>
                <w:spacing w:val="0"/>
                <w:sz w:val="24"/>
                <w:szCs w:val="24"/>
                <w:shd w:val="clear" w:fill="FFFFFF"/>
              </w:rPr>
              <w:t>。</w:t>
            </w:r>
            <w:r>
              <w:rPr>
                <w:rFonts w:hint="default" w:ascii="Times New Roman" w:hAnsi="Times New Roman" w:eastAsia="宋体" w:cs="Times New Roman"/>
                <w:i w:val="0"/>
                <w:iCs w:val="0"/>
                <w:caps w:val="0"/>
                <w:color w:val="auto"/>
                <w:spacing w:val="0"/>
                <w:sz w:val="24"/>
                <w:szCs w:val="24"/>
                <w:shd w:val="clear" w:fill="FFFFFF"/>
                <w:lang w:val="en-US" w:eastAsia="zh-CN"/>
              </w:rPr>
              <w:t>本项目建成投产后，</w:t>
            </w:r>
            <w:r>
              <w:rPr>
                <w:rFonts w:hint="eastAsia" w:cs="Times New Roman"/>
                <w:i w:val="0"/>
                <w:iCs w:val="0"/>
                <w:caps w:val="0"/>
                <w:color w:val="auto"/>
                <w:spacing w:val="0"/>
                <w:sz w:val="24"/>
                <w:szCs w:val="24"/>
                <w:shd w:val="clear" w:fill="FFFFFF"/>
                <w:lang w:val="en-US" w:eastAsia="zh-CN"/>
              </w:rPr>
              <w:t>主要依托现有项目危废暂存间暂存危废，生活污水依托现有已建隔油池+化粪池，项目设备及生产线与现有项目无交叉重合</w:t>
            </w:r>
            <w:r>
              <w:rPr>
                <w:rFonts w:hint="default" w:ascii="Times New Roman" w:hAnsi="Times New Roman" w:eastAsia="宋体" w:cs="Times New Roman"/>
                <w:i w:val="0"/>
                <w:iCs w:val="0"/>
                <w:caps w:val="0"/>
                <w:color w:val="auto"/>
                <w:spacing w:val="0"/>
                <w:sz w:val="24"/>
                <w:szCs w:val="24"/>
                <w:shd w:val="clear" w:fill="FFFFFF"/>
                <w:lang w:val="en-US" w:eastAsia="zh-CN"/>
              </w:rPr>
              <w:t>，</w:t>
            </w:r>
            <w:r>
              <w:rPr>
                <w:rFonts w:hint="eastAsia" w:cs="Times New Roman"/>
                <w:i w:val="0"/>
                <w:iCs w:val="0"/>
                <w:caps w:val="0"/>
                <w:color w:val="auto"/>
                <w:spacing w:val="0"/>
                <w:sz w:val="24"/>
                <w:szCs w:val="24"/>
                <w:shd w:val="clear" w:fill="FFFFFF"/>
                <w:lang w:val="en-US" w:eastAsia="zh-CN"/>
              </w:rPr>
              <w:t>现有项目保持不变</w:t>
            </w:r>
            <w:r>
              <w:rPr>
                <w:rFonts w:hint="default" w:ascii="Times New Roman" w:hAnsi="Times New Roman" w:eastAsia="宋体" w:cs="Times New Roman"/>
                <w:i w:val="0"/>
                <w:iCs w:val="0"/>
                <w:caps w:val="0"/>
                <w:color w:val="auto"/>
                <w:spacing w:val="0"/>
                <w:sz w:val="24"/>
                <w:szCs w:val="24"/>
                <w:shd w:val="clear" w:fill="FFFFFF"/>
                <w:lang w:val="en-US" w:eastAsia="zh-CN"/>
              </w:rPr>
              <w:t>。</w:t>
            </w:r>
          </w:p>
          <w:p w14:paraId="20B0E9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b w:val="0"/>
                <w:bCs w:val="0"/>
                <w:color w:val="auto"/>
                <w:kern w:val="2"/>
                <w:sz w:val="24"/>
                <w:szCs w:val="20"/>
                <w:highlight w:val="none"/>
                <w:lang w:val="en-US" w:eastAsia="zh-CN" w:bidi="ar-SA"/>
              </w:rPr>
            </w:pPr>
            <w:r>
              <w:rPr>
                <w:rFonts w:hint="eastAsia" w:ascii="Times New Roman" w:hAnsi="Times New Roman" w:eastAsia="宋体" w:cs="Times New Roman"/>
                <w:b w:val="0"/>
                <w:bCs w:val="0"/>
                <w:color w:val="auto"/>
                <w:kern w:val="2"/>
                <w:sz w:val="24"/>
                <w:szCs w:val="20"/>
                <w:highlight w:val="none"/>
                <w:lang w:val="en-US" w:eastAsia="zh-CN" w:bidi="ar-SA"/>
              </w:rPr>
              <w:t>（2）本项目</w:t>
            </w:r>
            <w:r>
              <w:rPr>
                <w:rFonts w:hint="eastAsia" w:cs="Times New Roman"/>
                <w:b w:val="0"/>
                <w:bCs w:val="0"/>
                <w:color w:val="auto"/>
                <w:kern w:val="2"/>
                <w:sz w:val="24"/>
                <w:szCs w:val="20"/>
                <w:highlight w:val="none"/>
                <w:lang w:val="en-US" w:eastAsia="zh-CN" w:bidi="ar-SA"/>
              </w:rPr>
              <w:t>扩</w:t>
            </w:r>
            <w:r>
              <w:rPr>
                <w:rFonts w:hint="eastAsia" w:ascii="Times New Roman" w:hAnsi="Times New Roman" w:eastAsia="宋体" w:cs="Times New Roman"/>
                <w:b w:val="0"/>
                <w:bCs w:val="0"/>
                <w:color w:val="auto"/>
                <w:kern w:val="2"/>
                <w:sz w:val="24"/>
                <w:szCs w:val="20"/>
                <w:highlight w:val="none"/>
                <w:lang w:val="en-US" w:eastAsia="zh-CN" w:bidi="ar-SA"/>
              </w:rPr>
              <w:t>建在企业</w:t>
            </w:r>
            <w:r>
              <w:rPr>
                <w:rFonts w:hint="eastAsia" w:cs="Times New Roman"/>
                <w:b w:val="0"/>
                <w:bCs w:val="0"/>
                <w:color w:val="auto"/>
                <w:kern w:val="2"/>
                <w:sz w:val="24"/>
                <w:szCs w:val="20"/>
                <w:highlight w:val="none"/>
                <w:lang w:val="en-US" w:eastAsia="zh-CN" w:bidi="ar-SA"/>
              </w:rPr>
              <w:t>已建备用车间内进行生产</w:t>
            </w:r>
            <w:r>
              <w:rPr>
                <w:rFonts w:hint="eastAsia" w:ascii="Times New Roman" w:hAnsi="Times New Roman" w:eastAsia="宋体" w:cs="Times New Roman"/>
                <w:b w:val="0"/>
                <w:bCs w:val="0"/>
                <w:color w:val="auto"/>
                <w:kern w:val="2"/>
                <w:sz w:val="24"/>
                <w:szCs w:val="20"/>
                <w:highlight w:val="none"/>
                <w:lang w:val="en-US" w:eastAsia="zh-CN" w:bidi="ar-SA"/>
              </w:rPr>
              <w:t>，不新增用地。本次</w:t>
            </w:r>
            <w:r>
              <w:rPr>
                <w:rFonts w:hint="eastAsia" w:cs="Times New Roman"/>
                <w:b w:val="0"/>
                <w:bCs w:val="0"/>
                <w:color w:val="auto"/>
                <w:kern w:val="2"/>
                <w:sz w:val="24"/>
                <w:szCs w:val="20"/>
                <w:highlight w:val="none"/>
                <w:lang w:val="en-US" w:eastAsia="zh-CN" w:bidi="ar-SA"/>
              </w:rPr>
              <w:t>扩</w:t>
            </w:r>
            <w:r>
              <w:rPr>
                <w:rFonts w:hint="eastAsia" w:ascii="Times New Roman" w:hAnsi="Times New Roman" w:eastAsia="宋体" w:cs="Times New Roman"/>
                <w:b w:val="0"/>
                <w:bCs w:val="0"/>
                <w:color w:val="auto"/>
                <w:kern w:val="2"/>
                <w:sz w:val="24"/>
                <w:szCs w:val="20"/>
                <w:highlight w:val="none"/>
                <w:lang w:val="en-US" w:eastAsia="zh-CN" w:bidi="ar-SA"/>
              </w:rPr>
              <w:t>建后不改变现有生产区和生活区划分情况，</w:t>
            </w:r>
            <w:r>
              <w:rPr>
                <w:rFonts w:hint="eastAsia" w:cs="Times New Roman"/>
                <w:b w:val="0"/>
                <w:bCs w:val="0"/>
                <w:color w:val="auto"/>
                <w:kern w:val="2"/>
                <w:sz w:val="24"/>
                <w:szCs w:val="20"/>
                <w:highlight w:val="none"/>
                <w:lang w:val="en-US" w:eastAsia="zh-CN" w:bidi="ar-SA"/>
              </w:rPr>
              <w:t>扩</w:t>
            </w:r>
            <w:r>
              <w:rPr>
                <w:rFonts w:hint="eastAsia" w:ascii="Times New Roman" w:hAnsi="Times New Roman" w:eastAsia="宋体" w:cs="Times New Roman"/>
                <w:b w:val="0"/>
                <w:bCs w:val="0"/>
                <w:color w:val="auto"/>
                <w:kern w:val="2"/>
                <w:sz w:val="24"/>
                <w:szCs w:val="20"/>
                <w:highlight w:val="none"/>
                <w:lang w:val="en-US" w:eastAsia="zh-CN" w:bidi="ar-SA"/>
              </w:rPr>
              <w:t>建后平面布置变化对人员生活影响较小，不会导致涉及环境敏感点增加，不会对周围环境造成较大影响。</w:t>
            </w:r>
          </w:p>
          <w:p w14:paraId="4B0414B0">
            <w:pPr>
              <w:keepNext w:val="0"/>
              <w:keepLines w:val="0"/>
              <w:widowControl w:val="0"/>
              <w:suppressLineNumbers w:val="0"/>
              <w:spacing w:before="0" w:beforeAutospacing="0" w:after="0" w:afterAutospacing="0" w:line="360" w:lineRule="auto"/>
              <w:ind w:left="0" w:right="0" w:firstLine="0" w:firstLineChars="0"/>
              <w:jc w:val="both"/>
              <w:rPr>
                <w:rFonts w:hint="default" w:ascii="Times New Roman" w:hAnsi="Times New Roman" w:eastAsia="宋体" w:cs="Times New Roman"/>
                <w:b/>
                <w:bCs/>
                <w:color w:val="auto"/>
                <w:kern w:val="2"/>
                <w:sz w:val="24"/>
                <w:szCs w:val="20"/>
                <w:highlight w:val="none"/>
                <w:lang w:val="en-US" w:eastAsia="zh-CN" w:bidi="ar-SA"/>
              </w:rPr>
            </w:pPr>
            <w:r>
              <w:rPr>
                <w:rFonts w:hint="eastAsia" w:ascii="Times New Roman" w:hAnsi="Times New Roman" w:eastAsia="宋体" w:cs="Times New Roman"/>
                <w:b/>
                <w:bCs/>
                <w:color w:val="auto"/>
                <w:kern w:val="2"/>
                <w:sz w:val="24"/>
                <w:szCs w:val="20"/>
                <w:highlight w:val="none"/>
                <w:lang w:val="en-US" w:eastAsia="zh-CN" w:bidi="ar-SA"/>
              </w:rPr>
              <w:t>6</w:t>
            </w:r>
            <w:r>
              <w:rPr>
                <w:rFonts w:hint="default" w:ascii="Times New Roman" w:hAnsi="Times New Roman" w:eastAsia="宋体" w:cs="Times New Roman"/>
                <w:b/>
                <w:bCs/>
                <w:color w:val="auto"/>
                <w:kern w:val="2"/>
                <w:sz w:val="24"/>
                <w:szCs w:val="20"/>
                <w:highlight w:val="none"/>
                <w:lang w:val="en-US" w:eastAsia="zh-CN" w:bidi="ar-SA"/>
              </w:rPr>
              <w:t>、项目建设前后</w:t>
            </w:r>
            <w:r>
              <w:rPr>
                <w:rFonts w:hint="eastAsia" w:ascii="Times New Roman" w:hAnsi="Times New Roman" w:eastAsia="宋体" w:cs="Times New Roman"/>
                <w:b/>
                <w:bCs/>
                <w:color w:val="auto"/>
                <w:kern w:val="2"/>
                <w:sz w:val="24"/>
                <w:szCs w:val="20"/>
                <w:highlight w:val="none"/>
                <w:lang w:val="en-US" w:eastAsia="zh-CN" w:bidi="ar-SA"/>
              </w:rPr>
              <w:t>“</w:t>
            </w:r>
            <w:r>
              <w:rPr>
                <w:rFonts w:hint="default" w:ascii="Times New Roman" w:hAnsi="Times New Roman" w:eastAsia="宋体" w:cs="Times New Roman"/>
                <w:b/>
                <w:bCs/>
                <w:color w:val="auto"/>
                <w:kern w:val="2"/>
                <w:sz w:val="24"/>
                <w:szCs w:val="20"/>
                <w:highlight w:val="none"/>
                <w:lang w:val="en-US" w:eastAsia="zh-CN" w:bidi="ar-SA"/>
              </w:rPr>
              <w:t>三本账</w:t>
            </w:r>
            <w:r>
              <w:rPr>
                <w:rFonts w:hint="eastAsia" w:ascii="Times New Roman" w:hAnsi="Times New Roman" w:eastAsia="宋体" w:cs="Times New Roman"/>
                <w:b/>
                <w:bCs/>
                <w:color w:val="auto"/>
                <w:kern w:val="2"/>
                <w:sz w:val="24"/>
                <w:szCs w:val="20"/>
                <w:highlight w:val="none"/>
                <w:lang w:val="en-US" w:eastAsia="zh-CN" w:bidi="ar-SA"/>
              </w:rPr>
              <w:t>”分析</w:t>
            </w:r>
          </w:p>
          <w:p w14:paraId="45E29B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0"/>
                <w:highlight w:val="none"/>
                <w:lang w:val="zh-CN" w:eastAsia="zh-CN" w:bidi="ar-SA"/>
              </w:rPr>
            </w:pPr>
            <w:r>
              <w:rPr>
                <w:rFonts w:hint="default" w:ascii="Times New Roman" w:hAnsi="Times New Roman" w:eastAsia="宋体" w:cs="Times New Roman"/>
                <w:b w:val="0"/>
                <w:bCs w:val="0"/>
                <w:color w:val="auto"/>
                <w:kern w:val="2"/>
                <w:sz w:val="24"/>
                <w:szCs w:val="20"/>
                <w:highlight w:val="none"/>
                <w:lang w:val="en-US" w:eastAsia="zh-CN" w:bidi="ar-SA"/>
              </w:rPr>
              <w:t>本</w:t>
            </w:r>
            <w:r>
              <w:rPr>
                <w:rFonts w:hint="default" w:ascii="Times New Roman" w:hAnsi="Times New Roman" w:eastAsia="宋体" w:cs="Times New Roman"/>
                <w:b w:val="0"/>
                <w:bCs w:val="0"/>
                <w:color w:val="auto"/>
                <w:kern w:val="2"/>
                <w:sz w:val="24"/>
                <w:szCs w:val="20"/>
                <w:highlight w:val="none"/>
                <w:lang w:val="zh-CN" w:eastAsia="zh-CN" w:bidi="ar-SA"/>
              </w:rPr>
              <w:t>项目</w:t>
            </w:r>
            <w:r>
              <w:rPr>
                <w:rFonts w:hint="eastAsia" w:cs="Times New Roman"/>
                <w:b w:val="0"/>
                <w:bCs w:val="0"/>
                <w:color w:val="auto"/>
                <w:kern w:val="2"/>
                <w:sz w:val="24"/>
                <w:szCs w:val="20"/>
                <w:highlight w:val="none"/>
                <w:lang w:val="en-US" w:eastAsia="zh-CN" w:bidi="ar-SA"/>
              </w:rPr>
              <w:t>扩</w:t>
            </w:r>
            <w:r>
              <w:rPr>
                <w:rFonts w:hint="eastAsia" w:ascii="Times New Roman" w:hAnsi="Times New Roman" w:eastAsia="宋体" w:cs="Times New Roman"/>
                <w:b w:val="0"/>
                <w:bCs w:val="0"/>
                <w:color w:val="auto"/>
                <w:kern w:val="2"/>
                <w:sz w:val="24"/>
                <w:szCs w:val="20"/>
                <w:highlight w:val="none"/>
                <w:lang w:val="en-US" w:eastAsia="zh-CN" w:bidi="ar-SA"/>
              </w:rPr>
              <w:t>建</w:t>
            </w:r>
            <w:r>
              <w:rPr>
                <w:rFonts w:hint="default" w:ascii="Times New Roman" w:hAnsi="Times New Roman" w:eastAsia="宋体" w:cs="Times New Roman"/>
                <w:b w:val="0"/>
                <w:bCs w:val="0"/>
                <w:color w:val="auto"/>
                <w:kern w:val="2"/>
                <w:sz w:val="24"/>
                <w:szCs w:val="20"/>
                <w:highlight w:val="none"/>
                <w:lang w:val="zh-CN" w:eastAsia="zh-CN" w:bidi="ar-SA"/>
              </w:rPr>
              <w:t>前后</w:t>
            </w:r>
            <w:r>
              <w:rPr>
                <w:rFonts w:hint="eastAsia" w:ascii="Times New Roman" w:hAnsi="Times New Roman" w:eastAsia="宋体" w:cs="Times New Roman"/>
                <w:b w:val="0"/>
                <w:bCs w:val="0"/>
                <w:color w:val="auto"/>
                <w:kern w:val="2"/>
                <w:sz w:val="24"/>
                <w:szCs w:val="20"/>
                <w:highlight w:val="none"/>
                <w:lang w:val="zh-CN" w:eastAsia="zh-CN" w:bidi="ar-SA"/>
              </w:rPr>
              <w:t>“</w:t>
            </w:r>
            <w:r>
              <w:rPr>
                <w:rFonts w:hint="default" w:ascii="Times New Roman" w:hAnsi="Times New Roman" w:eastAsia="宋体" w:cs="Times New Roman"/>
                <w:b w:val="0"/>
                <w:bCs w:val="0"/>
                <w:color w:val="auto"/>
                <w:kern w:val="2"/>
                <w:sz w:val="24"/>
                <w:szCs w:val="20"/>
                <w:highlight w:val="none"/>
                <w:lang w:val="zh-CN" w:eastAsia="zh-CN" w:bidi="ar-SA"/>
              </w:rPr>
              <w:t>三本</w:t>
            </w:r>
            <w:r>
              <w:rPr>
                <w:rFonts w:hint="eastAsia" w:cs="Times New Roman"/>
                <w:b w:val="0"/>
                <w:bCs w:val="0"/>
                <w:color w:val="auto"/>
                <w:kern w:val="2"/>
                <w:sz w:val="24"/>
                <w:szCs w:val="20"/>
                <w:highlight w:val="none"/>
                <w:lang w:val="en-US" w:eastAsia="zh-CN" w:bidi="ar-SA"/>
              </w:rPr>
              <w:t>账</w:t>
            </w:r>
            <w:r>
              <w:rPr>
                <w:rFonts w:hint="eastAsia" w:ascii="Times New Roman" w:hAnsi="Times New Roman" w:eastAsia="宋体" w:cs="Times New Roman"/>
                <w:b w:val="0"/>
                <w:bCs w:val="0"/>
                <w:color w:val="auto"/>
                <w:kern w:val="2"/>
                <w:sz w:val="24"/>
                <w:szCs w:val="20"/>
                <w:highlight w:val="none"/>
                <w:lang w:val="zh-CN" w:eastAsia="zh-CN" w:bidi="ar-SA"/>
              </w:rPr>
              <w:t>”</w:t>
            </w:r>
            <w:r>
              <w:rPr>
                <w:rFonts w:hint="default" w:ascii="Times New Roman" w:hAnsi="Times New Roman" w:eastAsia="宋体" w:cs="Times New Roman"/>
                <w:b w:val="0"/>
                <w:bCs w:val="0"/>
                <w:color w:val="auto"/>
                <w:kern w:val="2"/>
                <w:sz w:val="24"/>
                <w:szCs w:val="20"/>
                <w:highlight w:val="none"/>
                <w:lang w:val="zh-CN" w:eastAsia="zh-CN" w:bidi="ar-SA"/>
              </w:rPr>
              <w:t>见表</w:t>
            </w:r>
            <w:r>
              <w:rPr>
                <w:rFonts w:hint="eastAsia" w:ascii="Times New Roman" w:hAnsi="Times New Roman" w:eastAsia="宋体" w:cs="Times New Roman"/>
                <w:b w:val="0"/>
                <w:bCs w:val="0"/>
                <w:color w:val="auto"/>
                <w:kern w:val="2"/>
                <w:sz w:val="24"/>
                <w:szCs w:val="20"/>
                <w:highlight w:val="none"/>
                <w:lang w:val="en-US" w:eastAsia="zh-CN" w:bidi="ar-SA"/>
              </w:rPr>
              <w:t>2-</w:t>
            </w:r>
            <w:r>
              <w:rPr>
                <w:rFonts w:hint="eastAsia" w:cs="Times New Roman"/>
                <w:b w:val="0"/>
                <w:bCs w:val="0"/>
                <w:color w:val="auto"/>
                <w:kern w:val="2"/>
                <w:sz w:val="24"/>
                <w:szCs w:val="20"/>
                <w:highlight w:val="none"/>
                <w:lang w:val="en-US" w:eastAsia="zh-CN" w:bidi="ar-SA"/>
              </w:rPr>
              <w:t>22</w:t>
            </w:r>
            <w:r>
              <w:rPr>
                <w:rFonts w:hint="eastAsia" w:ascii="Times New Roman" w:hAnsi="Times New Roman" w:eastAsia="宋体" w:cs="Times New Roman"/>
                <w:b w:val="0"/>
                <w:bCs w:val="0"/>
                <w:color w:val="auto"/>
                <w:kern w:val="2"/>
                <w:sz w:val="24"/>
                <w:szCs w:val="20"/>
                <w:highlight w:val="none"/>
                <w:lang w:val="en-US" w:eastAsia="zh-CN" w:bidi="ar-SA"/>
              </w:rPr>
              <w:t>。</w:t>
            </w:r>
          </w:p>
          <w:p w14:paraId="58A3F40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240" w:lineRule="auto"/>
              <w:ind w:left="0" w:right="0"/>
              <w:jc w:val="center"/>
              <w:textAlignment w:val="auto"/>
              <w:rPr>
                <w:rFonts w:hint="default" w:ascii="Times New Roman" w:hAnsi="Times New Roman" w:eastAsia="宋体" w:cs="Times New Roman"/>
                <w:b/>
                <w:color w:val="auto"/>
                <w:kern w:val="2"/>
                <w:sz w:val="21"/>
                <w:szCs w:val="20"/>
                <w:highlight w:val="none"/>
                <w:lang w:val="en-US" w:eastAsia="zh-CN" w:bidi="ar-SA"/>
              </w:rPr>
            </w:pPr>
            <w:r>
              <w:rPr>
                <w:rFonts w:hint="default" w:ascii="Times New Roman" w:hAnsi="Times New Roman" w:eastAsia="宋体" w:cs="Times New Roman"/>
                <w:b/>
                <w:color w:val="auto"/>
                <w:kern w:val="2"/>
                <w:sz w:val="21"/>
                <w:szCs w:val="20"/>
                <w:highlight w:val="none"/>
                <w:lang w:val="en-US" w:eastAsia="zh-CN" w:bidi="ar-SA"/>
              </w:rPr>
              <w:t>表</w:t>
            </w:r>
            <w:r>
              <w:rPr>
                <w:rFonts w:hint="eastAsia" w:ascii="Times New Roman" w:hAnsi="Times New Roman" w:eastAsia="宋体" w:cs="Times New Roman"/>
                <w:b/>
                <w:color w:val="auto"/>
                <w:kern w:val="2"/>
                <w:sz w:val="21"/>
                <w:szCs w:val="20"/>
                <w:highlight w:val="none"/>
                <w:lang w:val="en-US" w:eastAsia="zh-CN" w:bidi="ar-SA"/>
              </w:rPr>
              <w:t>2-</w:t>
            </w:r>
            <w:r>
              <w:rPr>
                <w:rFonts w:hint="eastAsia" w:cs="Times New Roman"/>
                <w:b/>
                <w:color w:val="auto"/>
                <w:kern w:val="2"/>
                <w:sz w:val="21"/>
                <w:szCs w:val="20"/>
                <w:highlight w:val="none"/>
                <w:lang w:val="en-US" w:eastAsia="zh-CN" w:bidi="ar-SA"/>
              </w:rPr>
              <w:t>22</w:t>
            </w:r>
            <w:r>
              <w:rPr>
                <w:rFonts w:hint="default" w:ascii="Times New Roman" w:hAnsi="Times New Roman" w:eastAsia="宋体" w:cs="Times New Roman"/>
                <w:b/>
                <w:color w:val="auto"/>
                <w:kern w:val="2"/>
                <w:sz w:val="21"/>
                <w:szCs w:val="20"/>
                <w:highlight w:val="none"/>
                <w:lang w:val="en-US" w:eastAsia="zh-CN" w:bidi="ar-SA"/>
              </w:rPr>
              <w:t xml:space="preserve">   </w:t>
            </w:r>
            <w:r>
              <w:rPr>
                <w:rFonts w:hint="eastAsia" w:cs="Times New Roman"/>
                <w:b/>
                <w:color w:val="auto"/>
                <w:kern w:val="2"/>
                <w:sz w:val="21"/>
                <w:szCs w:val="20"/>
                <w:highlight w:val="none"/>
                <w:lang w:val="en-US" w:eastAsia="zh-CN" w:bidi="ar-SA"/>
              </w:rPr>
              <w:t>扩</w:t>
            </w:r>
            <w:r>
              <w:rPr>
                <w:rFonts w:hint="eastAsia" w:ascii="Times New Roman" w:hAnsi="Times New Roman" w:eastAsia="宋体" w:cs="Times New Roman"/>
                <w:b/>
                <w:color w:val="auto"/>
                <w:kern w:val="2"/>
                <w:sz w:val="21"/>
                <w:szCs w:val="20"/>
                <w:highlight w:val="none"/>
                <w:lang w:val="en-US" w:eastAsia="zh-CN" w:bidi="ar-SA"/>
              </w:rPr>
              <w:t>建后全厂“三本账”核算情况一览</w:t>
            </w:r>
            <w:r>
              <w:rPr>
                <w:rFonts w:hint="eastAsia" w:ascii="Times New Roman" w:hAnsi="Times New Roman" w:cs="Times New Roman"/>
                <w:b/>
                <w:color w:val="auto"/>
                <w:kern w:val="2"/>
                <w:sz w:val="21"/>
                <w:szCs w:val="20"/>
                <w:highlight w:val="none"/>
                <w:lang w:val="en-US" w:eastAsia="zh-CN" w:bidi="ar-SA"/>
              </w:rPr>
              <w:t>表</w:t>
            </w:r>
          </w:p>
          <w:tbl>
            <w:tblPr>
              <w:tblStyle w:val="32"/>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770"/>
              <w:gridCol w:w="1442"/>
              <w:gridCol w:w="492"/>
              <w:gridCol w:w="1259"/>
              <w:gridCol w:w="1316"/>
              <w:gridCol w:w="732"/>
              <w:gridCol w:w="1462"/>
              <w:gridCol w:w="913"/>
            </w:tblGrid>
            <w:tr w14:paraId="458F53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9" w:type="pct"/>
                  <w:tcBorders>
                    <w:top w:val="single" w:color="auto" w:sz="12" w:space="0"/>
                    <w:bottom w:val="single" w:color="auto" w:sz="12" w:space="0"/>
                  </w:tcBorders>
                  <w:noWrap w:val="0"/>
                  <w:vAlign w:val="center"/>
                </w:tcPr>
                <w:p w14:paraId="73F3C61D">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污染源</w:t>
                  </w:r>
                </w:p>
              </w:tc>
              <w:tc>
                <w:tcPr>
                  <w:tcW w:w="859" w:type="pct"/>
                  <w:tcBorders>
                    <w:top w:val="single" w:color="auto" w:sz="12" w:space="0"/>
                    <w:bottom w:val="single" w:color="auto" w:sz="12" w:space="0"/>
                  </w:tcBorders>
                  <w:noWrap w:val="0"/>
                  <w:vAlign w:val="center"/>
                </w:tcPr>
                <w:p w14:paraId="5C55D10E">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w:t>
                  </w:r>
                </w:p>
              </w:tc>
              <w:tc>
                <w:tcPr>
                  <w:tcW w:w="293" w:type="pct"/>
                  <w:tcBorders>
                    <w:top w:val="single" w:color="auto" w:sz="12" w:space="0"/>
                    <w:bottom w:val="single" w:color="auto" w:sz="12" w:space="0"/>
                  </w:tcBorders>
                  <w:noWrap w:val="0"/>
                  <w:vAlign w:val="center"/>
                </w:tcPr>
                <w:p w14:paraId="3055F1F7">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单位</w:t>
                  </w:r>
                </w:p>
              </w:tc>
              <w:tc>
                <w:tcPr>
                  <w:tcW w:w="750" w:type="pct"/>
                  <w:tcBorders>
                    <w:top w:val="single" w:color="auto" w:sz="12" w:space="0"/>
                    <w:bottom w:val="single" w:color="auto" w:sz="12" w:space="0"/>
                  </w:tcBorders>
                  <w:noWrap w:val="0"/>
                  <w:vAlign w:val="center"/>
                </w:tcPr>
                <w:p w14:paraId="552686DD">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b/>
                      <w:bCs/>
                      <w:color w:val="auto"/>
                      <w:sz w:val="21"/>
                      <w:szCs w:val="21"/>
                      <w:highlight w:val="none"/>
                      <w:lang w:eastAsia="zh-CN"/>
                    </w:rPr>
                  </w:pPr>
                  <w:r>
                    <w:rPr>
                      <w:rFonts w:hint="eastAsia" w:ascii="Times New Roman" w:hAnsi="Times New Roman" w:cs="Times New Roman"/>
                      <w:b/>
                      <w:bCs/>
                      <w:color w:val="auto"/>
                      <w:sz w:val="21"/>
                      <w:szCs w:val="21"/>
                      <w:highlight w:val="none"/>
                      <w:lang w:val="en-US" w:eastAsia="zh-CN"/>
                    </w:rPr>
                    <w:t>现有项目</w:t>
                  </w:r>
                  <w:r>
                    <w:rPr>
                      <w:rFonts w:hint="default" w:ascii="Times New Roman" w:hAnsi="Times New Roman" w:eastAsia="宋体" w:cs="Times New Roman"/>
                      <w:b/>
                      <w:bCs/>
                      <w:color w:val="auto"/>
                      <w:sz w:val="21"/>
                      <w:szCs w:val="21"/>
                      <w:highlight w:val="none"/>
                    </w:rPr>
                    <w:t>排放量</w:t>
                  </w:r>
                  <w:r>
                    <w:rPr>
                      <w:rFonts w:hint="eastAsia" w:ascii="Times New Roman" w:hAnsi="Times New Roman" w:eastAsia="宋体" w:cs="Times New Roman"/>
                      <w:b/>
                      <w:bCs/>
                      <w:color w:val="auto"/>
                      <w:sz w:val="21"/>
                      <w:szCs w:val="21"/>
                      <w:highlight w:val="none"/>
                      <w:lang w:eastAsia="zh-CN"/>
                    </w:rPr>
                    <w:t>（</w:t>
                  </w:r>
                  <w:r>
                    <w:rPr>
                      <w:rFonts w:hint="eastAsia" w:ascii="Times New Roman" w:hAnsi="Times New Roman" w:eastAsia="宋体" w:cs="Times New Roman"/>
                      <w:b/>
                      <w:bCs/>
                      <w:color w:val="auto"/>
                      <w:sz w:val="21"/>
                      <w:szCs w:val="21"/>
                      <w:highlight w:val="none"/>
                      <w:lang w:val="en-US" w:eastAsia="zh-CN"/>
                    </w:rPr>
                    <w:t>固废为产生量</w:t>
                  </w:r>
                  <w:r>
                    <w:rPr>
                      <w:rFonts w:hint="eastAsia" w:ascii="Times New Roman" w:hAnsi="Times New Roman" w:eastAsia="宋体" w:cs="Times New Roman"/>
                      <w:b/>
                      <w:bCs/>
                      <w:color w:val="auto"/>
                      <w:sz w:val="21"/>
                      <w:szCs w:val="21"/>
                      <w:highlight w:val="none"/>
                      <w:lang w:eastAsia="zh-CN"/>
                    </w:rPr>
                    <w:t>）</w:t>
                  </w:r>
                </w:p>
              </w:tc>
              <w:tc>
                <w:tcPr>
                  <w:tcW w:w="784" w:type="pct"/>
                  <w:tcBorders>
                    <w:top w:val="single" w:color="auto" w:sz="12" w:space="0"/>
                    <w:bottom w:val="single" w:color="auto" w:sz="12" w:space="0"/>
                  </w:tcBorders>
                  <w:noWrap w:val="0"/>
                  <w:vAlign w:val="center"/>
                </w:tcPr>
                <w:p w14:paraId="1D1397A1">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highlight w:val="none"/>
                    </w:rPr>
                  </w:pPr>
                  <w:r>
                    <w:rPr>
                      <w:rFonts w:hint="eastAsia" w:cs="Times New Roman"/>
                      <w:b/>
                      <w:bCs/>
                      <w:color w:val="auto"/>
                      <w:sz w:val="21"/>
                      <w:szCs w:val="21"/>
                      <w:highlight w:val="none"/>
                      <w:lang w:val="en-US" w:eastAsia="zh-CN"/>
                    </w:rPr>
                    <w:t>扩</w:t>
                  </w:r>
                  <w:r>
                    <w:rPr>
                      <w:rFonts w:hint="eastAsia" w:ascii="Times New Roman" w:hAnsi="Times New Roman" w:cs="Times New Roman"/>
                      <w:b/>
                      <w:bCs/>
                      <w:color w:val="auto"/>
                      <w:sz w:val="21"/>
                      <w:szCs w:val="21"/>
                      <w:highlight w:val="none"/>
                      <w:lang w:val="en-US" w:eastAsia="zh-CN"/>
                    </w:rPr>
                    <w:t>建项目</w:t>
                  </w:r>
                  <w:r>
                    <w:rPr>
                      <w:rFonts w:hint="default" w:ascii="Times New Roman" w:hAnsi="Times New Roman" w:eastAsia="宋体" w:cs="Times New Roman"/>
                      <w:b/>
                      <w:bCs/>
                      <w:color w:val="auto"/>
                      <w:sz w:val="21"/>
                      <w:szCs w:val="21"/>
                      <w:highlight w:val="none"/>
                    </w:rPr>
                    <w:t>排放量（固废为产生量）</w:t>
                  </w:r>
                </w:p>
              </w:tc>
              <w:tc>
                <w:tcPr>
                  <w:tcW w:w="436" w:type="pct"/>
                  <w:tcBorders>
                    <w:top w:val="single" w:color="auto" w:sz="12" w:space="0"/>
                    <w:bottom w:val="single" w:color="auto" w:sz="12" w:space="0"/>
                  </w:tcBorders>
                  <w:noWrap w:val="0"/>
                  <w:vAlign w:val="center"/>
                </w:tcPr>
                <w:p w14:paraId="361A43B0">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以新带老削减量</w:t>
                  </w:r>
                </w:p>
              </w:tc>
              <w:tc>
                <w:tcPr>
                  <w:tcW w:w="871" w:type="pct"/>
                  <w:tcBorders>
                    <w:top w:val="single" w:color="auto" w:sz="12" w:space="0"/>
                    <w:bottom w:val="single" w:color="auto" w:sz="12" w:space="0"/>
                  </w:tcBorders>
                  <w:noWrap w:val="0"/>
                  <w:vAlign w:val="center"/>
                </w:tcPr>
                <w:p w14:paraId="02B231F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highlight w:val="none"/>
                    </w:rPr>
                  </w:pPr>
                  <w:r>
                    <w:rPr>
                      <w:rFonts w:hint="eastAsia" w:cs="Times New Roman"/>
                      <w:b/>
                      <w:bCs/>
                      <w:color w:val="auto"/>
                      <w:sz w:val="21"/>
                      <w:szCs w:val="21"/>
                      <w:highlight w:val="none"/>
                      <w:lang w:val="en-US" w:eastAsia="zh-CN"/>
                    </w:rPr>
                    <w:t>扩</w:t>
                  </w:r>
                  <w:r>
                    <w:rPr>
                      <w:rFonts w:hint="eastAsia" w:ascii="Times New Roman" w:hAnsi="Times New Roman" w:cs="Times New Roman"/>
                      <w:b/>
                      <w:bCs/>
                      <w:color w:val="auto"/>
                      <w:sz w:val="21"/>
                      <w:szCs w:val="21"/>
                      <w:highlight w:val="none"/>
                      <w:lang w:val="en-US" w:eastAsia="zh-CN"/>
                    </w:rPr>
                    <w:t>建后</w:t>
                  </w:r>
                  <w:r>
                    <w:rPr>
                      <w:rFonts w:hint="default" w:ascii="Times New Roman" w:hAnsi="Times New Roman" w:eastAsia="宋体" w:cs="Times New Roman"/>
                      <w:b/>
                      <w:bCs/>
                      <w:color w:val="auto"/>
                      <w:sz w:val="21"/>
                      <w:szCs w:val="21"/>
                      <w:highlight w:val="none"/>
                    </w:rPr>
                    <w:t>全厂排放量（固</w:t>
                  </w:r>
                  <w:r>
                    <w:rPr>
                      <w:rFonts w:hint="eastAsia" w:ascii="Times New Roman" w:hAnsi="Times New Roman" w:eastAsia="宋体" w:cs="Times New Roman"/>
                      <w:b/>
                      <w:bCs/>
                      <w:color w:val="auto"/>
                      <w:sz w:val="21"/>
                      <w:szCs w:val="21"/>
                      <w:highlight w:val="none"/>
                      <w:lang w:val="en-US" w:eastAsia="zh-CN"/>
                    </w:rPr>
                    <w:t>废</w:t>
                  </w:r>
                  <w:r>
                    <w:rPr>
                      <w:rFonts w:hint="default" w:ascii="Times New Roman" w:hAnsi="Times New Roman" w:eastAsia="宋体" w:cs="Times New Roman"/>
                      <w:b/>
                      <w:bCs/>
                      <w:color w:val="auto"/>
                      <w:sz w:val="21"/>
                      <w:szCs w:val="21"/>
                      <w:highlight w:val="none"/>
                    </w:rPr>
                    <w:t>为产生量）</w:t>
                  </w:r>
                </w:p>
              </w:tc>
              <w:tc>
                <w:tcPr>
                  <w:tcW w:w="544" w:type="pct"/>
                  <w:tcBorders>
                    <w:top w:val="single" w:color="auto" w:sz="12" w:space="0"/>
                    <w:bottom w:val="single" w:color="auto" w:sz="12" w:space="0"/>
                  </w:tcBorders>
                  <w:noWrap w:val="0"/>
                  <w:vAlign w:val="center"/>
                </w:tcPr>
                <w:p w14:paraId="13EB73B3">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增减量</w:t>
                  </w:r>
                </w:p>
              </w:tc>
            </w:tr>
            <w:tr w14:paraId="1E5DEC1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9" w:type="pct"/>
                  <w:vMerge w:val="restart"/>
                  <w:tcBorders>
                    <w:top w:val="single" w:color="auto" w:sz="12" w:space="0"/>
                  </w:tcBorders>
                  <w:noWrap w:val="0"/>
                  <w:vAlign w:val="center"/>
                </w:tcPr>
                <w:p w14:paraId="16E4554C">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大气污染物</w:t>
                  </w:r>
                </w:p>
              </w:tc>
              <w:tc>
                <w:tcPr>
                  <w:tcW w:w="859" w:type="pct"/>
                  <w:tcBorders>
                    <w:top w:val="single" w:color="auto" w:sz="12" w:space="0"/>
                  </w:tcBorders>
                  <w:noWrap w:val="0"/>
                  <w:vAlign w:val="center"/>
                </w:tcPr>
                <w:p w14:paraId="11F19A94">
                  <w:pPr>
                    <w:keepNext w:val="0"/>
                    <w:keepLines w:val="0"/>
                    <w:widowControl/>
                    <w:suppressLineNumbers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eastAsia" w:ascii="Times New Roman" w:hAnsi="Times New Roman" w:cs="Times New Roman"/>
                      <w:color w:val="auto"/>
                      <w:sz w:val="21"/>
                      <w:szCs w:val="21"/>
                      <w:highlight w:val="none"/>
                    </w:rPr>
                    <w:t>颗粒物</w:t>
                  </w:r>
                </w:p>
              </w:tc>
              <w:tc>
                <w:tcPr>
                  <w:tcW w:w="293" w:type="pct"/>
                  <w:tcBorders>
                    <w:top w:val="single" w:color="auto" w:sz="12" w:space="0"/>
                  </w:tcBorders>
                  <w:noWrap w:val="0"/>
                  <w:vAlign w:val="center"/>
                </w:tcPr>
                <w:p w14:paraId="7D59FF10">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t/a</w:t>
                  </w:r>
                </w:p>
              </w:tc>
              <w:tc>
                <w:tcPr>
                  <w:tcW w:w="750" w:type="pct"/>
                  <w:tcBorders>
                    <w:top w:val="single" w:color="auto" w:sz="12" w:space="0"/>
                  </w:tcBorders>
                  <w:noWrap w:val="0"/>
                  <w:vAlign w:val="center"/>
                </w:tcPr>
                <w:p w14:paraId="6D8E147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0.122</w:t>
                  </w:r>
                </w:p>
              </w:tc>
              <w:tc>
                <w:tcPr>
                  <w:tcW w:w="784" w:type="pct"/>
                  <w:tcBorders>
                    <w:top w:val="single" w:color="auto" w:sz="12" w:space="0"/>
                  </w:tcBorders>
                  <w:shd w:val="clear" w:color="auto" w:fill="auto"/>
                  <w:noWrap w:val="0"/>
                  <w:vAlign w:val="center"/>
                </w:tcPr>
                <w:p w14:paraId="1D37EF8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436" w:type="pct"/>
                  <w:tcBorders>
                    <w:top w:val="single" w:color="auto" w:sz="12" w:space="0"/>
                  </w:tcBorders>
                  <w:shd w:val="clear" w:color="auto" w:fill="auto"/>
                  <w:noWrap w:val="0"/>
                  <w:vAlign w:val="center"/>
                </w:tcPr>
                <w:p w14:paraId="1BC467F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871" w:type="pct"/>
                  <w:tcBorders>
                    <w:top w:val="single" w:color="auto" w:sz="12" w:space="0"/>
                  </w:tcBorders>
                  <w:shd w:val="clear" w:color="auto" w:fill="auto"/>
                  <w:noWrap w:val="0"/>
                  <w:vAlign w:val="center"/>
                </w:tcPr>
                <w:p w14:paraId="18298EB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0.122</w:t>
                  </w:r>
                </w:p>
              </w:tc>
              <w:tc>
                <w:tcPr>
                  <w:tcW w:w="544" w:type="pct"/>
                  <w:tcBorders>
                    <w:top w:val="single" w:color="auto" w:sz="12" w:space="0"/>
                  </w:tcBorders>
                  <w:shd w:val="clear" w:color="auto" w:fill="auto"/>
                  <w:noWrap w:val="0"/>
                  <w:vAlign w:val="center"/>
                </w:tcPr>
                <w:p w14:paraId="7059A65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r>
            <w:tr w14:paraId="2CE252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59" w:type="pct"/>
                  <w:vMerge w:val="continue"/>
                  <w:noWrap w:val="0"/>
                  <w:vAlign w:val="center"/>
                </w:tcPr>
                <w:p w14:paraId="73817B7A">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859" w:type="pct"/>
                  <w:noWrap w:val="0"/>
                  <w:vAlign w:val="center"/>
                </w:tcPr>
                <w:p w14:paraId="4FCE2FAB">
                  <w:pPr>
                    <w:keepNext w:val="0"/>
                    <w:keepLines w:val="0"/>
                    <w:widowControl/>
                    <w:suppressLineNumbers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color w:val="auto"/>
                      <w:kern w:val="0"/>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非甲烷总烃</w:t>
                  </w:r>
                </w:p>
              </w:tc>
              <w:tc>
                <w:tcPr>
                  <w:tcW w:w="293" w:type="pct"/>
                  <w:noWrap w:val="0"/>
                  <w:vAlign w:val="center"/>
                </w:tcPr>
                <w:p w14:paraId="397FD7A0">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t/a</w:t>
                  </w:r>
                </w:p>
              </w:tc>
              <w:tc>
                <w:tcPr>
                  <w:tcW w:w="750" w:type="pct"/>
                  <w:noWrap w:val="0"/>
                  <w:vAlign w:val="center"/>
                </w:tcPr>
                <w:p w14:paraId="6C1A95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2.009</w:t>
                  </w:r>
                </w:p>
              </w:tc>
              <w:tc>
                <w:tcPr>
                  <w:tcW w:w="784" w:type="pct"/>
                  <w:noWrap w:val="0"/>
                  <w:vAlign w:val="center"/>
                </w:tcPr>
                <w:p w14:paraId="136F5C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1.227</w:t>
                  </w:r>
                </w:p>
              </w:tc>
              <w:tc>
                <w:tcPr>
                  <w:tcW w:w="436" w:type="pct"/>
                  <w:noWrap w:val="0"/>
                  <w:vAlign w:val="center"/>
                </w:tcPr>
                <w:p w14:paraId="0D583A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871" w:type="pct"/>
                  <w:noWrap w:val="0"/>
                  <w:vAlign w:val="center"/>
                </w:tcPr>
                <w:p w14:paraId="26074C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3.236</w:t>
                  </w:r>
                </w:p>
              </w:tc>
              <w:tc>
                <w:tcPr>
                  <w:tcW w:w="544" w:type="pct"/>
                  <w:noWrap w:val="0"/>
                  <w:vAlign w:val="center"/>
                </w:tcPr>
                <w:p w14:paraId="120C0B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+1.227</w:t>
                  </w:r>
                </w:p>
              </w:tc>
            </w:tr>
            <w:tr w14:paraId="700DA8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59" w:type="pct"/>
                  <w:vMerge w:val="continue"/>
                  <w:noWrap w:val="0"/>
                  <w:vAlign w:val="center"/>
                </w:tcPr>
                <w:p w14:paraId="46E8CA3C">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859" w:type="pct"/>
                  <w:noWrap w:val="0"/>
                  <w:vAlign w:val="center"/>
                </w:tcPr>
                <w:p w14:paraId="5B307C84">
                  <w:pPr>
                    <w:keepNext w:val="0"/>
                    <w:keepLines w:val="0"/>
                    <w:widowControl/>
                    <w:suppressLineNumbers w:val="0"/>
                    <w:adjustRightInd w:val="0"/>
                    <w:snapToGrid w:val="0"/>
                    <w:spacing w:before="0" w:beforeAutospacing="0" w:after="0" w:afterAutospacing="0" w:line="360" w:lineRule="exact"/>
                    <w:ind w:left="0" w:right="0"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氨</w:t>
                  </w:r>
                </w:p>
              </w:tc>
              <w:tc>
                <w:tcPr>
                  <w:tcW w:w="293" w:type="pct"/>
                  <w:noWrap w:val="0"/>
                  <w:vAlign w:val="center"/>
                </w:tcPr>
                <w:p w14:paraId="2B13BCFD">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t/a</w:t>
                  </w:r>
                </w:p>
              </w:tc>
              <w:tc>
                <w:tcPr>
                  <w:tcW w:w="750" w:type="pct"/>
                  <w:noWrap w:val="0"/>
                  <w:vAlign w:val="center"/>
                </w:tcPr>
                <w:p w14:paraId="7344DF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784" w:type="pct"/>
                  <w:noWrap w:val="0"/>
                  <w:vAlign w:val="center"/>
                </w:tcPr>
                <w:p w14:paraId="4AFFA2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0.256</w:t>
                  </w:r>
                </w:p>
              </w:tc>
              <w:tc>
                <w:tcPr>
                  <w:tcW w:w="436" w:type="pct"/>
                  <w:noWrap w:val="0"/>
                  <w:vAlign w:val="center"/>
                </w:tcPr>
                <w:p w14:paraId="1D0CE5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871" w:type="pct"/>
                  <w:noWrap w:val="0"/>
                  <w:vAlign w:val="center"/>
                </w:tcPr>
                <w:p w14:paraId="002DF0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0.256</w:t>
                  </w:r>
                </w:p>
              </w:tc>
              <w:tc>
                <w:tcPr>
                  <w:tcW w:w="544" w:type="pct"/>
                  <w:noWrap w:val="0"/>
                  <w:vAlign w:val="center"/>
                </w:tcPr>
                <w:p w14:paraId="3EEA99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+0.256</w:t>
                  </w:r>
                </w:p>
              </w:tc>
            </w:tr>
            <w:tr w14:paraId="2301BB3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9" w:type="pct"/>
                  <w:vMerge w:val="restart"/>
                  <w:noWrap w:val="0"/>
                  <w:vAlign w:val="center"/>
                </w:tcPr>
                <w:p w14:paraId="608A3E40">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18"/>
                      <w:sz w:val="21"/>
                      <w:szCs w:val="21"/>
                      <w:highlight w:val="none"/>
                      <w:lang w:val="en-US" w:eastAsia="zh-CN" w:bidi="ar-SA"/>
                    </w:rPr>
                  </w:pPr>
                  <w:r>
                    <w:rPr>
                      <w:rFonts w:hint="eastAsia" w:ascii="Times New Roman" w:hAnsi="Times New Roman" w:eastAsia="宋体" w:cs="Times New Roman"/>
                      <w:color w:val="auto"/>
                      <w:kern w:val="18"/>
                      <w:sz w:val="21"/>
                      <w:szCs w:val="21"/>
                      <w:highlight w:val="none"/>
                      <w:lang w:val="en-US" w:eastAsia="zh-CN" w:bidi="ar-SA"/>
                    </w:rPr>
                    <w:t>废水污染物</w:t>
                  </w:r>
                </w:p>
              </w:tc>
              <w:tc>
                <w:tcPr>
                  <w:tcW w:w="859" w:type="pct"/>
                  <w:noWrap w:val="0"/>
                  <w:vAlign w:val="center"/>
                </w:tcPr>
                <w:p w14:paraId="5D31E8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bidi="ar-SA"/>
                    </w:rPr>
                    <w:t>废水排放总量</w:t>
                  </w:r>
                </w:p>
              </w:tc>
              <w:tc>
                <w:tcPr>
                  <w:tcW w:w="293" w:type="pct"/>
                  <w:noWrap w:val="0"/>
                  <w:vAlign w:val="center"/>
                </w:tcPr>
                <w:p w14:paraId="03E9B22D">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t/a</w:t>
                  </w:r>
                </w:p>
              </w:tc>
              <w:tc>
                <w:tcPr>
                  <w:tcW w:w="750" w:type="pct"/>
                  <w:noWrap w:val="0"/>
                  <w:vAlign w:val="center"/>
                </w:tcPr>
                <w:p w14:paraId="12A131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7200</w:t>
                  </w:r>
                </w:p>
              </w:tc>
              <w:tc>
                <w:tcPr>
                  <w:tcW w:w="784" w:type="pct"/>
                  <w:shd w:val="clear" w:color="auto" w:fill="auto"/>
                  <w:noWrap w:val="0"/>
                  <w:vAlign w:val="center"/>
                </w:tcPr>
                <w:p w14:paraId="06B5F02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593.54</w:t>
                  </w:r>
                </w:p>
              </w:tc>
              <w:tc>
                <w:tcPr>
                  <w:tcW w:w="436" w:type="pct"/>
                  <w:noWrap w:val="0"/>
                  <w:vAlign w:val="center"/>
                </w:tcPr>
                <w:p w14:paraId="102CD8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rPr>
                  </w:pPr>
                  <w:r>
                    <w:rPr>
                      <w:rFonts w:hint="eastAsia" w:ascii="Times New Roman" w:hAnsi="Times New Roman" w:cs="Times New Roman"/>
                      <w:color w:val="auto"/>
                      <w:sz w:val="21"/>
                      <w:szCs w:val="21"/>
                      <w:highlight w:val="none"/>
                      <w:lang w:val="en-US" w:eastAsia="zh-CN"/>
                    </w:rPr>
                    <w:t>0</w:t>
                  </w:r>
                </w:p>
              </w:tc>
              <w:tc>
                <w:tcPr>
                  <w:tcW w:w="871" w:type="pct"/>
                  <w:noWrap w:val="0"/>
                  <w:vAlign w:val="center"/>
                </w:tcPr>
                <w:p w14:paraId="1493A7E2">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7793.54</w:t>
                  </w:r>
                </w:p>
              </w:tc>
              <w:tc>
                <w:tcPr>
                  <w:tcW w:w="544" w:type="pct"/>
                  <w:noWrap w:val="0"/>
                  <w:vAlign w:val="center"/>
                </w:tcPr>
                <w:p w14:paraId="59DB03F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+593.54</w:t>
                  </w:r>
                </w:p>
              </w:tc>
            </w:tr>
            <w:tr w14:paraId="571CC78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9" w:type="pct"/>
                  <w:vMerge w:val="continue"/>
                  <w:noWrap w:val="0"/>
                  <w:vAlign w:val="center"/>
                </w:tcPr>
                <w:p w14:paraId="4A5FA3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bidi="ar-SA"/>
                    </w:rPr>
                  </w:pPr>
                </w:p>
              </w:tc>
              <w:tc>
                <w:tcPr>
                  <w:tcW w:w="859" w:type="pct"/>
                  <w:noWrap w:val="0"/>
                  <w:vAlign w:val="center"/>
                </w:tcPr>
                <w:p w14:paraId="31DD6ED7">
                  <w:pPr>
                    <w:keepNext w:val="0"/>
                    <w:keepLines w:val="0"/>
                    <w:widowControl/>
                    <w:suppressLineNumbers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lang w:val="en-US" w:eastAsia="zh-CN" w:bidi="ar-SA"/>
                    </w:rPr>
                  </w:pPr>
                  <w:r>
                    <w:rPr>
                      <w:rFonts w:hint="eastAsia" w:ascii="Times New Roman" w:hAnsi="Times New Roman" w:cs="Times New Roman"/>
                      <w:color w:val="auto"/>
                      <w:sz w:val="21"/>
                      <w:szCs w:val="21"/>
                      <w:highlight w:val="none"/>
                    </w:rPr>
                    <w:t>COD</w:t>
                  </w:r>
                </w:p>
              </w:tc>
              <w:tc>
                <w:tcPr>
                  <w:tcW w:w="293" w:type="pct"/>
                  <w:noWrap w:val="0"/>
                  <w:vAlign w:val="center"/>
                </w:tcPr>
                <w:p w14:paraId="2532E8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bidi="ar-SA"/>
                    </w:rPr>
                    <w:t>t/a</w:t>
                  </w:r>
                </w:p>
              </w:tc>
              <w:tc>
                <w:tcPr>
                  <w:tcW w:w="750" w:type="pct"/>
                  <w:noWrap w:val="0"/>
                  <w:vAlign w:val="center"/>
                </w:tcPr>
                <w:p w14:paraId="0A41BF8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0.756</w:t>
                  </w:r>
                </w:p>
              </w:tc>
              <w:tc>
                <w:tcPr>
                  <w:tcW w:w="784" w:type="pct"/>
                  <w:shd w:val="clear" w:color="auto" w:fill="auto"/>
                  <w:noWrap w:val="0"/>
                  <w:vAlign w:val="center"/>
                </w:tcPr>
                <w:p w14:paraId="687D492E">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0.117</w:t>
                  </w:r>
                </w:p>
              </w:tc>
              <w:tc>
                <w:tcPr>
                  <w:tcW w:w="436" w:type="pct"/>
                  <w:noWrap w:val="0"/>
                  <w:vAlign w:val="center"/>
                </w:tcPr>
                <w:p w14:paraId="78479E9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0</w:t>
                  </w:r>
                </w:p>
              </w:tc>
              <w:tc>
                <w:tcPr>
                  <w:tcW w:w="871" w:type="pct"/>
                  <w:noWrap w:val="0"/>
                  <w:vAlign w:val="center"/>
                </w:tcPr>
                <w:p w14:paraId="521DA76A">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0.873</w:t>
                  </w:r>
                </w:p>
              </w:tc>
              <w:tc>
                <w:tcPr>
                  <w:tcW w:w="544" w:type="pct"/>
                  <w:noWrap w:val="0"/>
                  <w:vAlign w:val="center"/>
                </w:tcPr>
                <w:p w14:paraId="3C5076C0">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+0.117</w:t>
                  </w:r>
                </w:p>
              </w:tc>
            </w:tr>
            <w:tr w14:paraId="1B238C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59" w:type="pct"/>
                  <w:vMerge w:val="continue"/>
                  <w:noWrap w:val="0"/>
                  <w:vAlign w:val="center"/>
                </w:tcPr>
                <w:p w14:paraId="2706AC1E">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859" w:type="pct"/>
                  <w:noWrap w:val="0"/>
                  <w:vAlign w:val="center"/>
                </w:tcPr>
                <w:p w14:paraId="37AF35E6">
                  <w:pPr>
                    <w:keepNext w:val="0"/>
                    <w:keepLines w:val="0"/>
                    <w:widowControl/>
                    <w:suppressLineNumbers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BOD</w:t>
                  </w:r>
                  <w:r>
                    <w:rPr>
                      <w:rFonts w:hint="eastAsia" w:ascii="Times New Roman" w:hAnsi="Times New Roman" w:cs="Times New Roman"/>
                      <w:color w:val="auto"/>
                      <w:sz w:val="21"/>
                      <w:szCs w:val="21"/>
                      <w:highlight w:val="none"/>
                      <w:vertAlign w:val="subscript"/>
                      <w:lang w:val="en-US" w:eastAsia="zh-CN"/>
                    </w:rPr>
                    <w:t>5</w:t>
                  </w:r>
                </w:p>
              </w:tc>
              <w:tc>
                <w:tcPr>
                  <w:tcW w:w="293" w:type="pct"/>
                  <w:noWrap w:val="0"/>
                  <w:vAlign w:val="center"/>
                </w:tcPr>
                <w:p w14:paraId="0F2B122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t/a</w:t>
                  </w:r>
                </w:p>
              </w:tc>
              <w:tc>
                <w:tcPr>
                  <w:tcW w:w="750" w:type="pct"/>
                  <w:noWrap w:val="0"/>
                  <w:vAlign w:val="center"/>
                </w:tcPr>
                <w:p w14:paraId="45997BA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0.331</w:t>
                  </w:r>
                </w:p>
              </w:tc>
              <w:tc>
                <w:tcPr>
                  <w:tcW w:w="784" w:type="pct"/>
                  <w:shd w:val="clear" w:color="auto" w:fill="auto"/>
                  <w:noWrap w:val="0"/>
                  <w:vAlign w:val="center"/>
                </w:tcPr>
                <w:p w14:paraId="7DC52002">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0.046</w:t>
                  </w:r>
                </w:p>
              </w:tc>
              <w:tc>
                <w:tcPr>
                  <w:tcW w:w="436" w:type="pct"/>
                  <w:noWrap w:val="0"/>
                  <w:vAlign w:val="center"/>
                </w:tcPr>
                <w:p w14:paraId="640BA6F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0</w:t>
                  </w:r>
                </w:p>
              </w:tc>
              <w:tc>
                <w:tcPr>
                  <w:tcW w:w="871" w:type="pct"/>
                  <w:noWrap w:val="0"/>
                  <w:vAlign w:val="center"/>
                </w:tcPr>
                <w:p w14:paraId="0129BFA2">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0.377</w:t>
                  </w:r>
                </w:p>
              </w:tc>
              <w:tc>
                <w:tcPr>
                  <w:tcW w:w="544" w:type="pct"/>
                  <w:noWrap w:val="0"/>
                  <w:vAlign w:val="center"/>
                </w:tcPr>
                <w:p w14:paraId="7C2B274D">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+0.046</w:t>
                  </w:r>
                </w:p>
              </w:tc>
            </w:tr>
            <w:tr w14:paraId="41FDE1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9" w:type="pct"/>
                  <w:vMerge w:val="continue"/>
                  <w:noWrap w:val="0"/>
                  <w:vAlign w:val="center"/>
                </w:tcPr>
                <w:p w14:paraId="7AE327B8">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859" w:type="pct"/>
                  <w:noWrap w:val="0"/>
                  <w:vAlign w:val="center"/>
                </w:tcPr>
                <w:p w14:paraId="26EAB950">
                  <w:pPr>
                    <w:keepNext w:val="0"/>
                    <w:keepLines w:val="0"/>
                    <w:widowControl/>
                    <w:suppressLineNumbers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ascii="Times New Roman" w:hAnsi="Times New Roman" w:cs="Times New Roman"/>
                      <w:color w:val="auto"/>
                      <w:sz w:val="21"/>
                      <w:szCs w:val="21"/>
                      <w:highlight w:val="none"/>
                    </w:rPr>
                    <w:t>SS</w:t>
                  </w:r>
                </w:p>
              </w:tc>
              <w:tc>
                <w:tcPr>
                  <w:tcW w:w="293" w:type="pct"/>
                  <w:noWrap w:val="0"/>
                  <w:vAlign w:val="center"/>
                </w:tcPr>
                <w:p w14:paraId="0630BBDF">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t/a</w:t>
                  </w:r>
                </w:p>
              </w:tc>
              <w:tc>
                <w:tcPr>
                  <w:tcW w:w="750" w:type="pct"/>
                  <w:noWrap w:val="0"/>
                  <w:vAlign w:val="center"/>
                </w:tcPr>
                <w:p w14:paraId="420AA8F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0.218</w:t>
                  </w:r>
                </w:p>
              </w:tc>
              <w:tc>
                <w:tcPr>
                  <w:tcW w:w="784" w:type="pct"/>
                  <w:shd w:val="clear" w:color="auto" w:fill="auto"/>
                  <w:noWrap w:val="0"/>
                  <w:vAlign w:val="center"/>
                </w:tcPr>
                <w:p w14:paraId="064B2B25">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0.062</w:t>
                  </w:r>
                </w:p>
              </w:tc>
              <w:tc>
                <w:tcPr>
                  <w:tcW w:w="436" w:type="pct"/>
                  <w:noWrap w:val="0"/>
                  <w:vAlign w:val="center"/>
                </w:tcPr>
                <w:p w14:paraId="314684E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0</w:t>
                  </w:r>
                </w:p>
              </w:tc>
              <w:tc>
                <w:tcPr>
                  <w:tcW w:w="871" w:type="pct"/>
                  <w:noWrap w:val="0"/>
                  <w:vAlign w:val="center"/>
                </w:tcPr>
                <w:p w14:paraId="3B43B86E">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0.28</w:t>
                  </w:r>
                </w:p>
              </w:tc>
              <w:tc>
                <w:tcPr>
                  <w:tcW w:w="544" w:type="pct"/>
                  <w:noWrap w:val="0"/>
                  <w:vAlign w:val="center"/>
                </w:tcPr>
                <w:p w14:paraId="157E5888">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+0.062</w:t>
                  </w:r>
                </w:p>
              </w:tc>
            </w:tr>
            <w:tr w14:paraId="7E941F1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9" w:type="pct"/>
                  <w:vMerge w:val="continue"/>
                  <w:noWrap w:val="0"/>
                  <w:vAlign w:val="center"/>
                </w:tcPr>
                <w:p w14:paraId="6BFF3C28">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859" w:type="pct"/>
                  <w:noWrap w:val="0"/>
                  <w:vAlign w:val="center"/>
                </w:tcPr>
                <w:p w14:paraId="76CA5858">
                  <w:pPr>
                    <w:keepNext w:val="0"/>
                    <w:keepLines w:val="0"/>
                    <w:widowControl/>
                    <w:suppressLineNumbers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ascii="Times New Roman" w:hAnsi="Times New Roman" w:cs="Times New Roman"/>
                      <w:color w:val="auto"/>
                      <w:sz w:val="21"/>
                      <w:szCs w:val="21"/>
                      <w:highlight w:val="none"/>
                    </w:rPr>
                    <w:t>NH</w:t>
                  </w:r>
                  <w:r>
                    <w:rPr>
                      <w:rFonts w:hint="eastAsia" w:ascii="Times New Roman" w:hAnsi="Times New Roman" w:cs="Times New Roman"/>
                      <w:color w:val="auto"/>
                      <w:sz w:val="21"/>
                      <w:szCs w:val="21"/>
                      <w:highlight w:val="none"/>
                      <w:vertAlign w:val="subscript"/>
                    </w:rPr>
                    <w:t>3</w:t>
                  </w:r>
                  <w:r>
                    <w:rPr>
                      <w:rFonts w:hint="eastAsia" w:ascii="Times New Roman" w:hAnsi="Times New Roman" w:cs="Times New Roman"/>
                      <w:color w:val="auto"/>
                      <w:sz w:val="21"/>
                      <w:szCs w:val="21"/>
                      <w:highlight w:val="none"/>
                    </w:rPr>
                    <w:t>-N</w:t>
                  </w:r>
                </w:p>
              </w:tc>
              <w:tc>
                <w:tcPr>
                  <w:tcW w:w="293" w:type="pct"/>
                  <w:noWrap w:val="0"/>
                  <w:vAlign w:val="center"/>
                </w:tcPr>
                <w:p w14:paraId="7CC9525F">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t/a</w:t>
                  </w:r>
                </w:p>
              </w:tc>
              <w:tc>
                <w:tcPr>
                  <w:tcW w:w="750" w:type="pct"/>
                  <w:noWrap w:val="0"/>
                  <w:vAlign w:val="center"/>
                </w:tcPr>
                <w:p w14:paraId="3041484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0.101</w:t>
                  </w:r>
                </w:p>
              </w:tc>
              <w:tc>
                <w:tcPr>
                  <w:tcW w:w="784" w:type="pct"/>
                  <w:shd w:val="clear" w:color="auto" w:fill="auto"/>
                  <w:noWrap w:val="0"/>
                  <w:vAlign w:val="center"/>
                </w:tcPr>
                <w:p w14:paraId="79A6559A">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0.014</w:t>
                  </w:r>
                </w:p>
              </w:tc>
              <w:tc>
                <w:tcPr>
                  <w:tcW w:w="436" w:type="pct"/>
                  <w:noWrap w:val="0"/>
                  <w:vAlign w:val="center"/>
                </w:tcPr>
                <w:p w14:paraId="40EC4F5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0</w:t>
                  </w:r>
                </w:p>
              </w:tc>
              <w:tc>
                <w:tcPr>
                  <w:tcW w:w="871" w:type="pct"/>
                  <w:noWrap w:val="0"/>
                  <w:vAlign w:val="center"/>
                </w:tcPr>
                <w:p w14:paraId="6AB13CC7">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0.115</w:t>
                  </w:r>
                </w:p>
              </w:tc>
              <w:tc>
                <w:tcPr>
                  <w:tcW w:w="544" w:type="pct"/>
                  <w:noWrap w:val="0"/>
                  <w:vAlign w:val="center"/>
                </w:tcPr>
                <w:p w14:paraId="313461AB">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+0.014</w:t>
                  </w:r>
                </w:p>
              </w:tc>
            </w:tr>
            <w:tr w14:paraId="027839A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9" w:type="pct"/>
                  <w:vMerge w:val="continue"/>
                  <w:noWrap w:val="0"/>
                  <w:vAlign w:val="center"/>
                </w:tcPr>
                <w:p w14:paraId="5AF2D97F">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859" w:type="pct"/>
                  <w:noWrap w:val="0"/>
                  <w:vAlign w:val="center"/>
                </w:tcPr>
                <w:p w14:paraId="239D79F4">
                  <w:pPr>
                    <w:keepNext w:val="0"/>
                    <w:keepLines w:val="0"/>
                    <w:widowControl/>
                    <w:suppressLineNumbers w:val="0"/>
                    <w:adjustRightInd w:val="0"/>
                    <w:snapToGrid w:val="0"/>
                    <w:spacing w:before="0" w:beforeAutospacing="0" w:after="0" w:afterAutospacing="0" w:line="360" w:lineRule="exact"/>
                    <w:ind w:left="0" w:right="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总磷</w:t>
                  </w:r>
                </w:p>
              </w:tc>
              <w:tc>
                <w:tcPr>
                  <w:tcW w:w="293" w:type="pct"/>
                  <w:noWrap w:val="0"/>
                  <w:vAlign w:val="center"/>
                </w:tcPr>
                <w:p w14:paraId="4B217EE6">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t/a</w:t>
                  </w:r>
                </w:p>
              </w:tc>
              <w:tc>
                <w:tcPr>
                  <w:tcW w:w="750" w:type="pct"/>
                  <w:noWrap w:val="0"/>
                  <w:vAlign w:val="center"/>
                </w:tcPr>
                <w:p w14:paraId="43D8F45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0.011</w:t>
                  </w:r>
                </w:p>
              </w:tc>
              <w:tc>
                <w:tcPr>
                  <w:tcW w:w="784" w:type="pct"/>
                  <w:shd w:val="clear" w:color="auto" w:fill="auto"/>
                  <w:noWrap w:val="0"/>
                  <w:vAlign w:val="center"/>
                </w:tcPr>
                <w:p w14:paraId="0EAD2BF2">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kern w:val="2"/>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0.003</w:t>
                  </w:r>
                </w:p>
              </w:tc>
              <w:tc>
                <w:tcPr>
                  <w:tcW w:w="436" w:type="pct"/>
                  <w:noWrap w:val="0"/>
                  <w:vAlign w:val="center"/>
                </w:tcPr>
                <w:p w14:paraId="754AF13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871" w:type="pct"/>
                  <w:noWrap w:val="0"/>
                  <w:vAlign w:val="center"/>
                </w:tcPr>
                <w:p w14:paraId="1CC55727">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0.014</w:t>
                  </w:r>
                </w:p>
              </w:tc>
              <w:tc>
                <w:tcPr>
                  <w:tcW w:w="544" w:type="pct"/>
                  <w:noWrap w:val="0"/>
                  <w:vAlign w:val="center"/>
                </w:tcPr>
                <w:p w14:paraId="5B39E23E">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kern w:val="2"/>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+0.003</w:t>
                  </w:r>
                </w:p>
              </w:tc>
            </w:tr>
            <w:tr w14:paraId="18645C0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9" w:type="pct"/>
                  <w:vMerge w:val="continue"/>
                  <w:noWrap w:val="0"/>
                  <w:vAlign w:val="center"/>
                </w:tcPr>
                <w:p w14:paraId="7E6EB81B">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859" w:type="pct"/>
                  <w:noWrap w:val="0"/>
                  <w:vAlign w:val="center"/>
                </w:tcPr>
                <w:p w14:paraId="7073C064">
                  <w:pPr>
                    <w:keepNext w:val="0"/>
                    <w:keepLines w:val="0"/>
                    <w:widowControl/>
                    <w:suppressLineNumbers w:val="0"/>
                    <w:adjustRightInd w:val="0"/>
                    <w:snapToGrid w:val="0"/>
                    <w:spacing w:before="0" w:beforeAutospacing="0" w:after="0" w:afterAutospacing="0" w:line="360" w:lineRule="exact"/>
                    <w:ind w:left="0" w:right="0" w:firstLine="0" w:firstLine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总氮</w:t>
                  </w:r>
                </w:p>
              </w:tc>
              <w:tc>
                <w:tcPr>
                  <w:tcW w:w="293" w:type="pct"/>
                  <w:noWrap w:val="0"/>
                  <w:vAlign w:val="center"/>
                </w:tcPr>
                <w:p w14:paraId="5083CDED">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t/a</w:t>
                  </w:r>
                </w:p>
              </w:tc>
              <w:tc>
                <w:tcPr>
                  <w:tcW w:w="750" w:type="pct"/>
                  <w:noWrap w:val="0"/>
                  <w:vAlign w:val="center"/>
                </w:tcPr>
                <w:p w14:paraId="4508656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0.216</w:t>
                  </w:r>
                </w:p>
              </w:tc>
              <w:tc>
                <w:tcPr>
                  <w:tcW w:w="784" w:type="pct"/>
                  <w:shd w:val="clear" w:color="auto" w:fill="auto"/>
                  <w:noWrap w:val="0"/>
                  <w:vAlign w:val="center"/>
                </w:tcPr>
                <w:p w14:paraId="0446A5EF">
                  <w:pPr>
                    <w:pStyle w:val="6"/>
                    <w:keepNext w:val="0"/>
                    <w:keepLines w:val="0"/>
                    <w:suppressLineNumbers w:val="0"/>
                    <w:bidi w:val="0"/>
                    <w:spacing w:before="0" w:beforeAutospacing="0" w:after="0" w:afterAutospacing="0"/>
                    <w:ind w:left="0" w:leftChars="0" w:right="0" w:rightChars="0" w:firstLine="0" w:firstLineChars="0"/>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0.017</w:t>
                  </w:r>
                </w:p>
              </w:tc>
              <w:tc>
                <w:tcPr>
                  <w:tcW w:w="436" w:type="pct"/>
                  <w:noWrap w:val="0"/>
                  <w:vAlign w:val="center"/>
                </w:tcPr>
                <w:p w14:paraId="7F30502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871" w:type="pct"/>
                  <w:noWrap w:val="0"/>
                  <w:vAlign w:val="center"/>
                </w:tcPr>
                <w:p w14:paraId="571D98A4">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0.233</w:t>
                  </w:r>
                </w:p>
              </w:tc>
              <w:tc>
                <w:tcPr>
                  <w:tcW w:w="544" w:type="pct"/>
                  <w:noWrap w:val="0"/>
                  <w:vAlign w:val="center"/>
                </w:tcPr>
                <w:p w14:paraId="72FE0456">
                  <w:pPr>
                    <w:pStyle w:val="6"/>
                    <w:keepNext w:val="0"/>
                    <w:keepLines w:val="0"/>
                    <w:suppressLineNumbers w:val="0"/>
                    <w:bidi w:val="0"/>
                    <w:spacing w:before="0" w:beforeAutospacing="0" w:after="0" w:afterAutospacing="0"/>
                    <w:ind w:left="0" w:leftChars="0" w:right="0" w:rightChars="0" w:firstLine="0" w:firstLineChars="0"/>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+0.017</w:t>
                  </w:r>
                </w:p>
              </w:tc>
            </w:tr>
            <w:tr w14:paraId="331320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9" w:type="pct"/>
                  <w:vMerge w:val="continue"/>
                  <w:noWrap w:val="0"/>
                  <w:vAlign w:val="center"/>
                </w:tcPr>
                <w:p w14:paraId="4BFB11C6">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859" w:type="pct"/>
                  <w:noWrap w:val="0"/>
                  <w:vAlign w:val="center"/>
                </w:tcPr>
                <w:p w14:paraId="0CD5DF85">
                  <w:pPr>
                    <w:keepNext w:val="0"/>
                    <w:keepLines w:val="0"/>
                    <w:widowControl/>
                    <w:suppressLineNumbers w:val="0"/>
                    <w:adjustRightInd w:val="0"/>
                    <w:snapToGrid w:val="0"/>
                    <w:spacing w:before="0" w:beforeAutospacing="0" w:after="0" w:afterAutospacing="0" w:line="360" w:lineRule="exact"/>
                    <w:ind w:left="0" w:right="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动植物油</w:t>
                  </w:r>
                </w:p>
              </w:tc>
              <w:tc>
                <w:tcPr>
                  <w:tcW w:w="293" w:type="pct"/>
                  <w:noWrap w:val="0"/>
                  <w:vAlign w:val="center"/>
                </w:tcPr>
                <w:p w14:paraId="47A811FF">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t/a</w:t>
                  </w:r>
                </w:p>
              </w:tc>
              <w:tc>
                <w:tcPr>
                  <w:tcW w:w="750" w:type="pct"/>
                  <w:noWrap w:val="0"/>
                  <w:vAlign w:val="center"/>
                </w:tcPr>
                <w:p w14:paraId="2F5FDFA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0.012</w:t>
                  </w:r>
                </w:p>
              </w:tc>
              <w:tc>
                <w:tcPr>
                  <w:tcW w:w="784" w:type="pct"/>
                  <w:shd w:val="clear" w:color="auto" w:fill="auto"/>
                  <w:noWrap w:val="0"/>
                  <w:vAlign w:val="center"/>
                </w:tcPr>
                <w:p w14:paraId="5070C1E2">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kern w:val="2"/>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0.002</w:t>
                  </w:r>
                </w:p>
              </w:tc>
              <w:tc>
                <w:tcPr>
                  <w:tcW w:w="436" w:type="pct"/>
                  <w:noWrap w:val="0"/>
                  <w:vAlign w:val="center"/>
                </w:tcPr>
                <w:p w14:paraId="312F6F3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871" w:type="pct"/>
                  <w:noWrap w:val="0"/>
                  <w:vAlign w:val="center"/>
                </w:tcPr>
                <w:p w14:paraId="01AC3AB7">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0.014</w:t>
                  </w:r>
                </w:p>
              </w:tc>
              <w:tc>
                <w:tcPr>
                  <w:tcW w:w="544" w:type="pct"/>
                  <w:noWrap w:val="0"/>
                  <w:vAlign w:val="center"/>
                </w:tcPr>
                <w:p w14:paraId="0B5F56B2">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kern w:val="2"/>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+0.002</w:t>
                  </w:r>
                </w:p>
              </w:tc>
            </w:tr>
            <w:tr w14:paraId="2BCA9C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9" w:type="pct"/>
                  <w:vMerge w:val="continue"/>
                  <w:noWrap w:val="0"/>
                  <w:vAlign w:val="center"/>
                </w:tcPr>
                <w:p w14:paraId="2ADE99BA">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859" w:type="pct"/>
                  <w:noWrap w:val="0"/>
                  <w:vAlign w:val="center"/>
                </w:tcPr>
                <w:p w14:paraId="0ECDFDAE">
                  <w:pPr>
                    <w:keepNext w:val="0"/>
                    <w:keepLines w:val="0"/>
                    <w:widowControl/>
                    <w:suppressLineNumbers w:val="0"/>
                    <w:adjustRightInd w:val="0"/>
                    <w:snapToGrid w:val="0"/>
                    <w:spacing w:before="0" w:beforeAutospacing="0" w:after="0" w:afterAutospacing="0" w:line="360" w:lineRule="exact"/>
                    <w:ind w:left="0" w:right="0" w:firstLine="0" w:firstLine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石油类</w:t>
                  </w:r>
                </w:p>
              </w:tc>
              <w:tc>
                <w:tcPr>
                  <w:tcW w:w="293" w:type="pct"/>
                  <w:noWrap w:val="0"/>
                  <w:vAlign w:val="center"/>
                </w:tcPr>
                <w:p w14:paraId="60376F42">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t/a</w:t>
                  </w:r>
                </w:p>
              </w:tc>
              <w:tc>
                <w:tcPr>
                  <w:tcW w:w="750" w:type="pct"/>
                  <w:noWrap w:val="0"/>
                  <w:vAlign w:val="center"/>
                </w:tcPr>
                <w:p w14:paraId="16C0F2F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c>
                <w:tcPr>
                  <w:tcW w:w="784" w:type="pct"/>
                  <w:shd w:val="clear" w:color="auto" w:fill="auto"/>
                  <w:noWrap w:val="0"/>
                  <w:vAlign w:val="center"/>
                </w:tcPr>
                <w:p w14:paraId="359B97BF">
                  <w:pPr>
                    <w:pStyle w:val="6"/>
                    <w:keepNext w:val="0"/>
                    <w:keepLines w:val="0"/>
                    <w:suppressLineNumbers w:val="0"/>
                    <w:bidi w:val="0"/>
                    <w:spacing w:before="0" w:beforeAutospacing="0" w:after="0" w:afterAutospacing="0"/>
                    <w:ind w:left="0" w:leftChars="0" w:right="0" w:rightChars="0" w:firstLine="0" w:firstLineChars="0"/>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0.001</w:t>
                  </w:r>
                </w:p>
              </w:tc>
              <w:tc>
                <w:tcPr>
                  <w:tcW w:w="436" w:type="pct"/>
                  <w:noWrap w:val="0"/>
                  <w:vAlign w:val="center"/>
                </w:tcPr>
                <w:p w14:paraId="5A387B1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871" w:type="pct"/>
                  <w:noWrap w:val="0"/>
                  <w:vAlign w:val="center"/>
                </w:tcPr>
                <w:p w14:paraId="2B8851F3">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0.001</w:t>
                  </w:r>
                </w:p>
              </w:tc>
              <w:tc>
                <w:tcPr>
                  <w:tcW w:w="544" w:type="pct"/>
                  <w:noWrap w:val="0"/>
                  <w:vAlign w:val="center"/>
                </w:tcPr>
                <w:p w14:paraId="0FC260A7">
                  <w:pPr>
                    <w:pStyle w:val="6"/>
                    <w:keepNext w:val="0"/>
                    <w:keepLines w:val="0"/>
                    <w:suppressLineNumbers w:val="0"/>
                    <w:bidi w:val="0"/>
                    <w:spacing w:before="0" w:beforeAutospacing="0" w:after="0" w:afterAutospacing="0"/>
                    <w:ind w:left="0" w:leftChars="0" w:right="0" w:rightChars="0" w:firstLine="0" w:firstLineChars="0"/>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+0.001</w:t>
                  </w:r>
                </w:p>
              </w:tc>
            </w:tr>
            <w:tr w14:paraId="05C64E5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9" w:type="pct"/>
                  <w:vMerge w:val="restart"/>
                  <w:noWrap w:val="0"/>
                  <w:vAlign w:val="center"/>
                </w:tcPr>
                <w:p w14:paraId="72699624">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一般</w:t>
                  </w:r>
                  <w:r>
                    <w:rPr>
                      <w:rFonts w:hint="default" w:ascii="Times New Roman" w:hAnsi="Times New Roman" w:eastAsia="宋体" w:cs="Times New Roman"/>
                      <w:color w:val="auto"/>
                      <w:sz w:val="21"/>
                      <w:szCs w:val="21"/>
                      <w:highlight w:val="none"/>
                    </w:rPr>
                    <w:t>固废</w:t>
                  </w:r>
                </w:p>
              </w:tc>
              <w:tc>
                <w:tcPr>
                  <w:tcW w:w="859" w:type="pct"/>
                  <w:noWrap w:val="0"/>
                  <w:vAlign w:val="center"/>
                </w:tcPr>
                <w:p w14:paraId="4DF3482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1"/>
                      <w:highlight w:val="none"/>
                      <w:lang w:val="en-US" w:eastAsia="zh-CN" w:bidi="ar-SA"/>
                    </w:rPr>
                    <w:t>废包装材料</w:t>
                  </w:r>
                </w:p>
              </w:tc>
              <w:tc>
                <w:tcPr>
                  <w:tcW w:w="293" w:type="pct"/>
                  <w:noWrap w:val="0"/>
                  <w:vAlign w:val="center"/>
                </w:tcPr>
                <w:p w14:paraId="330999C4">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t/a</w:t>
                  </w:r>
                </w:p>
              </w:tc>
              <w:tc>
                <w:tcPr>
                  <w:tcW w:w="750" w:type="pct"/>
                  <w:noWrap w:val="0"/>
                  <w:vAlign w:val="center"/>
                </w:tcPr>
                <w:p w14:paraId="3138370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w:t>
                  </w:r>
                </w:p>
              </w:tc>
              <w:tc>
                <w:tcPr>
                  <w:tcW w:w="784" w:type="pct"/>
                  <w:noWrap w:val="0"/>
                  <w:vAlign w:val="center"/>
                </w:tcPr>
                <w:p w14:paraId="6303AB7C">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10.24</w:t>
                  </w:r>
                </w:p>
              </w:tc>
              <w:tc>
                <w:tcPr>
                  <w:tcW w:w="436" w:type="pct"/>
                  <w:noWrap w:val="0"/>
                  <w:vAlign w:val="center"/>
                </w:tcPr>
                <w:p w14:paraId="5FC48B67">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0</w:t>
                  </w:r>
                </w:p>
              </w:tc>
              <w:tc>
                <w:tcPr>
                  <w:tcW w:w="871" w:type="pct"/>
                  <w:noWrap w:val="0"/>
                  <w:vAlign w:val="center"/>
                </w:tcPr>
                <w:p w14:paraId="1DF5F557">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12.24</w:t>
                  </w:r>
                </w:p>
              </w:tc>
              <w:tc>
                <w:tcPr>
                  <w:tcW w:w="544" w:type="pct"/>
                  <w:noWrap w:val="0"/>
                  <w:vAlign w:val="center"/>
                </w:tcPr>
                <w:p w14:paraId="11CC1D2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+10.24</w:t>
                  </w:r>
                </w:p>
              </w:tc>
            </w:tr>
            <w:tr w14:paraId="3906A2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9" w:type="pct"/>
                  <w:vMerge w:val="continue"/>
                  <w:noWrap w:val="0"/>
                  <w:vAlign w:val="center"/>
                </w:tcPr>
                <w:p w14:paraId="62F51887">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859" w:type="pct"/>
                  <w:noWrap w:val="0"/>
                  <w:vAlign w:val="center"/>
                </w:tcPr>
                <w:p w14:paraId="16A6CC95">
                  <w:pPr>
                    <w:pStyle w:val="61"/>
                    <w:keepNext w:val="0"/>
                    <w:keepLines w:val="0"/>
                    <w:pageBreakBefore w:val="0"/>
                    <w:widowControl w:val="0"/>
                    <w:suppressLineNumbers w:val="0"/>
                    <w:tabs>
                      <w:tab w:val="left" w:pos="8020"/>
                    </w:tabs>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s="Times New Roman"/>
                      <w:b w:val="0"/>
                      <w:bCs/>
                      <w:snapToGrid w:val="0"/>
                      <w:color w:val="auto"/>
                      <w:kern w:val="21"/>
                      <w:sz w:val="21"/>
                      <w:szCs w:val="21"/>
                      <w:highlight w:val="none"/>
                      <w:lang w:val="en-US" w:eastAsia="zh-CN" w:bidi="ar-SA"/>
                    </w:rPr>
                    <w:t>边角料及不合格品</w:t>
                  </w:r>
                </w:p>
              </w:tc>
              <w:tc>
                <w:tcPr>
                  <w:tcW w:w="293" w:type="pct"/>
                  <w:noWrap w:val="0"/>
                  <w:vAlign w:val="center"/>
                </w:tcPr>
                <w:p w14:paraId="176CEB54">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t/a</w:t>
                  </w:r>
                </w:p>
              </w:tc>
              <w:tc>
                <w:tcPr>
                  <w:tcW w:w="750" w:type="pct"/>
                  <w:noWrap w:val="0"/>
                  <w:vAlign w:val="center"/>
                </w:tcPr>
                <w:p w14:paraId="0749C24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784" w:type="pct"/>
                  <w:noWrap w:val="0"/>
                  <w:vAlign w:val="center"/>
                </w:tcPr>
                <w:p w14:paraId="1F06C6BC">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57.5</w:t>
                  </w:r>
                </w:p>
              </w:tc>
              <w:tc>
                <w:tcPr>
                  <w:tcW w:w="436" w:type="pct"/>
                  <w:noWrap w:val="0"/>
                  <w:vAlign w:val="center"/>
                </w:tcPr>
                <w:p w14:paraId="457FD067">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0</w:t>
                  </w:r>
                </w:p>
              </w:tc>
              <w:tc>
                <w:tcPr>
                  <w:tcW w:w="871" w:type="pct"/>
                  <w:noWrap w:val="0"/>
                  <w:vAlign w:val="center"/>
                </w:tcPr>
                <w:p w14:paraId="2F208A22">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57.5</w:t>
                  </w:r>
                </w:p>
              </w:tc>
              <w:tc>
                <w:tcPr>
                  <w:tcW w:w="544" w:type="pct"/>
                  <w:noWrap w:val="0"/>
                  <w:vAlign w:val="center"/>
                </w:tcPr>
                <w:p w14:paraId="2493AF8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+57.5</w:t>
                  </w:r>
                </w:p>
              </w:tc>
            </w:tr>
            <w:tr w14:paraId="2A4B088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9" w:type="pct"/>
                  <w:vMerge w:val="continue"/>
                  <w:noWrap w:val="0"/>
                  <w:vAlign w:val="center"/>
                </w:tcPr>
                <w:p w14:paraId="39637EC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859" w:type="pct"/>
                  <w:noWrap w:val="0"/>
                  <w:vAlign w:val="center"/>
                </w:tcPr>
                <w:p w14:paraId="2E3EE6E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4"/>
                      <w:kern w:val="0"/>
                      <w:sz w:val="21"/>
                      <w:szCs w:val="21"/>
                      <w:highlight w:val="none"/>
                      <w:lang w:val="en-US" w:eastAsia="zh-CN" w:bidi="ar-SA"/>
                    </w:rPr>
                  </w:pPr>
                  <w:r>
                    <w:rPr>
                      <w:rFonts w:hint="eastAsia" w:cs="Times New Roman"/>
                      <w:color w:val="auto"/>
                      <w:sz w:val="21"/>
                      <w:szCs w:val="21"/>
                      <w:highlight w:val="none"/>
                      <w:lang w:val="en-US" w:eastAsia="zh-CN"/>
                    </w:rPr>
                    <w:t>一般液体化学品废物料桶</w:t>
                  </w:r>
                </w:p>
              </w:tc>
              <w:tc>
                <w:tcPr>
                  <w:tcW w:w="293" w:type="pct"/>
                  <w:noWrap w:val="0"/>
                  <w:vAlign w:val="center"/>
                </w:tcPr>
                <w:p w14:paraId="7B9BC4FD">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t/a</w:t>
                  </w:r>
                </w:p>
              </w:tc>
              <w:tc>
                <w:tcPr>
                  <w:tcW w:w="750" w:type="pct"/>
                  <w:noWrap w:val="0"/>
                  <w:vAlign w:val="center"/>
                </w:tcPr>
                <w:p w14:paraId="35BB301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0.5</w:t>
                  </w:r>
                </w:p>
              </w:tc>
              <w:tc>
                <w:tcPr>
                  <w:tcW w:w="784" w:type="pct"/>
                  <w:shd w:val="clear" w:color="auto" w:fill="auto"/>
                  <w:noWrap w:val="0"/>
                  <w:vAlign w:val="center"/>
                </w:tcPr>
                <w:p w14:paraId="54ADC5DF">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0</w:t>
                  </w:r>
                </w:p>
              </w:tc>
              <w:tc>
                <w:tcPr>
                  <w:tcW w:w="436" w:type="pct"/>
                  <w:shd w:val="clear" w:color="auto" w:fill="auto"/>
                  <w:noWrap w:val="0"/>
                  <w:vAlign w:val="center"/>
                </w:tcPr>
                <w:p w14:paraId="08C6722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871" w:type="pct"/>
                  <w:shd w:val="clear" w:color="auto" w:fill="auto"/>
                  <w:noWrap w:val="0"/>
                  <w:vAlign w:val="center"/>
                </w:tcPr>
                <w:p w14:paraId="0AECE979">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0.5</w:t>
                  </w:r>
                </w:p>
              </w:tc>
              <w:tc>
                <w:tcPr>
                  <w:tcW w:w="544" w:type="pct"/>
                  <w:shd w:val="clear" w:color="auto" w:fill="auto"/>
                  <w:noWrap w:val="0"/>
                  <w:vAlign w:val="center"/>
                </w:tcPr>
                <w:p w14:paraId="46E7787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r>
            <w:tr w14:paraId="723AC3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9" w:type="pct"/>
                  <w:vMerge w:val="continue"/>
                  <w:noWrap w:val="0"/>
                  <w:vAlign w:val="center"/>
                </w:tcPr>
                <w:p w14:paraId="36BDAE11">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859" w:type="pct"/>
                  <w:noWrap w:val="0"/>
                  <w:vAlign w:val="center"/>
                </w:tcPr>
                <w:p w14:paraId="078F526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auto"/>
                      <w:spacing w:val="4"/>
                      <w:kern w:val="0"/>
                      <w:sz w:val="21"/>
                      <w:szCs w:val="21"/>
                      <w:highlight w:val="none"/>
                      <w:lang w:val="en-US" w:eastAsia="zh-CN" w:bidi="ar-SA"/>
                    </w:rPr>
                  </w:pPr>
                  <w:r>
                    <w:rPr>
                      <w:rFonts w:hint="eastAsia" w:cs="Times New Roman"/>
                      <w:color w:val="auto"/>
                      <w:sz w:val="21"/>
                      <w:szCs w:val="21"/>
                      <w:highlight w:val="none"/>
                      <w:lang w:val="en-US" w:eastAsia="zh-CN"/>
                    </w:rPr>
                    <w:t>五金件不合格产品</w:t>
                  </w:r>
                </w:p>
              </w:tc>
              <w:tc>
                <w:tcPr>
                  <w:tcW w:w="293" w:type="pct"/>
                  <w:noWrap w:val="0"/>
                  <w:vAlign w:val="center"/>
                </w:tcPr>
                <w:p w14:paraId="5937AAFE">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t/a</w:t>
                  </w:r>
                </w:p>
              </w:tc>
              <w:tc>
                <w:tcPr>
                  <w:tcW w:w="750" w:type="pct"/>
                  <w:noWrap w:val="0"/>
                  <w:vAlign w:val="center"/>
                </w:tcPr>
                <w:p w14:paraId="1CD4DE9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10</w:t>
                  </w:r>
                </w:p>
              </w:tc>
              <w:tc>
                <w:tcPr>
                  <w:tcW w:w="784" w:type="pct"/>
                  <w:shd w:val="clear" w:color="auto" w:fill="auto"/>
                  <w:noWrap w:val="0"/>
                  <w:vAlign w:val="center"/>
                </w:tcPr>
                <w:p w14:paraId="68C89092">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w:t>
                  </w:r>
                </w:p>
              </w:tc>
              <w:tc>
                <w:tcPr>
                  <w:tcW w:w="436" w:type="pct"/>
                  <w:shd w:val="clear" w:color="auto" w:fill="auto"/>
                  <w:noWrap w:val="0"/>
                  <w:vAlign w:val="center"/>
                </w:tcPr>
                <w:p w14:paraId="005C8CB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0</w:t>
                  </w:r>
                </w:p>
              </w:tc>
              <w:tc>
                <w:tcPr>
                  <w:tcW w:w="871" w:type="pct"/>
                  <w:shd w:val="clear" w:color="auto" w:fill="auto"/>
                  <w:noWrap w:val="0"/>
                  <w:vAlign w:val="center"/>
                </w:tcPr>
                <w:p w14:paraId="73E5DF66">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10</w:t>
                  </w:r>
                </w:p>
              </w:tc>
              <w:tc>
                <w:tcPr>
                  <w:tcW w:w="544" w:type="pct"/>
                  <w:shd w:val="clear" w:color="auto" w:fill="auto"/>
                  <w:noWrap w:val="0"/>
                  <w:vAlign w:val="center"/>
                </w:tcPr>
                <w:p w14:paraId="29163DA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r>
            <w:tr w14:paraId="415DFD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9" w:type="pct"/>
                  <w:vMerge w:val="continue"/>
                  <w:noWrap w:val="0"/>
                  <w:vAlign w:val="center"/>
                </w:tcPr>
                <w:p w14:paraId="10D2A433">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859" w:type="pct"/>
                  <w:noWrap w:val="0"/>
                  <w:vAlign w:val="center"/>
                </w:tcPr>
                <w:p w14:paraId="6FEF566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auto"/>
                      <w:spacing w:val="4"/>
                      <w:kern w:val="0"/>
                      <w:sz w:val="21"/>
                      <w:szCs w:val="21"/>
                      <w:highlight w:val="none"/>
                      <w:lang w:val="en-US" w:eastAsia="zh-CN" w:bidi="ar-SA"/>
                    </w:rPr>
                  </w:pPr>
                  <w:r>
                    <w:rPr>
                      <w:rFonts w:hint="eastAsia" w:cs="Times New Roman"/>
                      <w:color w:val="auto"/>
                      <w:sz w:val="21"/>
                      <w:szCs w:val="21"/>
                      <w:highlight w:val="none"/>
                      <w:lang w:val="en-US" w:eastAsia="zh-CN"/>
                    </w:rPr>
                    <w:t>布袋除尘器收集尘</w:t>
                  </w:r>
                </w:p>
              </w:tc>
              <w:tc>
                <w:tcPr>
                  <w:tcW w:w="293" w:type="pct"/>
                  <w:noWrap w:val="0"/>
                  <w:vAlign w:val="center"/>
                </w:tcPr>
                <w:p w14:paraId="0E436CCB">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t/a</w:t>
                  </w:r>
                </w:p>
              </w:tc>
              <w:tc>
                <w:tcPr>
                  <w:tcW w:w="750" w:type="pct"/>
                  <w:noWrap w:val="0"/>
                  <w:vAlign w:val="center"/>
                </w:tcPr>
                <w:p w14:paraId="7255D20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0.1</w:t>
                  </w:r>
                </w:p>
              </w:tc>
              <w:tc>
                <w:tcPr>
                  <w:tcW w:w="784" w:type="pct"/>
                  <w:shd w:val="clear" w:color="auto" w:fill="auto"/>
                  <w:noWrap w:val="0"/>
                  <w:vAlign w:val="center"/>
                </w:tcPr>
                <w:p w14:paraId="308694DB">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w:t>
                  </w:r>
                </w:p>
              </w:tc>
              <w:tc>
                <w:tcPr>
                  <w:tcW w:w="436" w:type="pct"/>
                  <w:shd w:val="clear" w:color="auto" w:fill="auto"/>
                  <w:noWrap w:val="0"/>
                  <w:vAlign w:val="center"/>
                </w:tcPr>
                <w:p w14:paraId="62DFD36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0</w:t>
                  </w:r>
                </w:p>
              </w:tc>
              <w:tc>
                <w:tcPr>
                  <w:tcW w:w="871" w:type="pct"/>
                  <w:shd w:val="clear" w:color="auto" w:fill="auto"/>
                  <w:noWrap w:val="0"/>
                  <w:vAlign w:val="center"/>
                </w:tcPr>
                <w:p w14:paraId="7EAF3958">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0.1</w:t>
                  </w:r>
                </w:p>
              </w:tc>
              <w:tc>
                <w:tcPr>
                  <w:tcW w:w="544" w:type="pct"/>
                  <w:shd w:val="clear" w:color="auto" w:fill="auto"/>
                  <w:noWrap w:val="0"/>
                  <w:vAlign w:val="center"/>
                </w:tcPr>
                <w:p w14:paraId="1701436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r>
            <w:tr w14:paraId="470AC6B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9" w:type="pct"/>
                  <w:vMerge w:val="restart"/>
                  <w:noWrap w:val="0"/>
                  <w:vAlign w:val="center"/>
                </w:tcPr>
                <w:p w14:paraId="1B7F9F7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危险废物</w:t>
                  </w:r>
                </w:p>
              </w:tc>
              <w:tc>
                <w:tcPr>
                  <w:tcW w:w="859" w:type="pct"/>
                  <w:shd w:val="clear" w:color="auto" w:fill="auto"/>
                  <w:noWrap w:val="0"/>
                  <w:vAlign w:val="center"/>
                </w:tcPr>
                <w:p w14:paraId="01C5FB0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废机油</w:t>
                  </w:r>
                </w:p>
              </w:tc>
              <w:tc>
                <w:tcPr>
                  <w:tcW w:w="293" w:type="pct"/>
                  <w:shd w:val="clear" w:color="auto" w:fill="auto"/>
                  <w:noWrap w:val="0"/>
                  <w:vAlign w:val="center"/>
                </w:tcPr>
                <w:p w14:paraId="2E81812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t/a</w:t>
                  </w:r>
                </w:p>
              </w:tc>
              <w:tc>
                <w:tcPr>
                  <w:tcW w:w="750" w:type="pct"/>
                  <w:shd w:val="clear" w:color="auto" w:fill="auto"/>
                  <w:noWrap w:val="0"/>
                  <w:vAlign w:val="center"/>
                </w:tcPr>
                <w:p w14:paraId="696C06A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0.2</w:t>
                  </w:r>
                </w:p>
              </w:tc>
              <w:tc>
                <w:tcPr>
                  <w:tcW w:w="784" w:type="pct"/>
                  <w:shd w:val="clear" w:color="auto" w:fill="auto"/>
                  <w:noWrap w:val="0"/>
                  <w:vAlign w:val="center"/>
                </w:tcPr>
                <w:p w14:paraId="593898F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0.05</w:t>
                  </w:r>
                </w:p>
              </w:tc>
              <w:tc>
                <w:tcPr>
                  <w:tcW w:w="436" w:type="pct"/>
                  <w:shd w:val="clear" w:color="auto" w:fill="auto"/>
                  <w:noWrap w:val="0"/>
                  <w:vAlign w:val="center"/>
                </w:tcPr>
                <w:p w14:paraId="101DCA7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871" w:type="pct"/>
                  <w:shd w:val="clear" w:color="auto" w:fill="auto"/>
                  <w:noWrap w:val="0"/>
                  <w:vAlign w:val="center"/>
                </w:tcPr>
                <w:p w14:paraId="20AA4E3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0.25</w:t>
                  </w:r>
                </w:p>
              </w:tc>
              <w:tc>
                <w:tcPr>
                  <w:tcW w:w="544" w:type="pct"/>
                  <w:shd w:val="clear" w:color="auto" w:fill="auto"/>
                  <w:noWrap w:val="0"/>
                  <w:vAlign w:val="center"/>
                </w:tcPr>
                <w:p w14:paraId="1F0F38B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+0.05</w:t>
                  </w:r>
                </w:p>
              </w:tc>
            </w:tr>
            <w:tr w14:paraId="669841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9" w:type="pct"/>
                  <w:vMerge w:val="continue"/>
                  <w:noWrap w:val="0"/>
                  <w:vAlign w:val="center"/>
                </w:tcPr>
                <w:p w14:paraId="14EFF0F1">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eastAsia" w:ascii="Times New Roman" w:hAnsi="Times New Roman" w:cs="Times New Roman"/>
                      <w:color w:val="auto"/>
                      <w:sz w:val="21"/>
                      <w:szCs w:val="21"/>
                      <w:highlight w:val="none"/>
                      <w:lang w:val="en-US" w:eastAsia="zh-CN"/>
                    </w:rPr>
                  </w:pPr>
                </w:p>
              </w:tc>
              <w:tc>
                <w:tcPr>
                  <w:tcW w:w="859" w:type="pct"/>
                  <w:noWrap w:val="0"/>
                  <w:vAlign w:val="center"/>
                </w:tcPr>
                <w:p w14:paraId="4E247A6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废机油桶</w:t>
                  </w:r>
                </w:p>
              </w:tc>
              <w:tc>
                <w:tcPr>
                  <w:tcW w:w="293" w:type="pct"/>
                  <w:noWrap w:val="0"/>
                  <w:vAlign w:val="center"/>
                </w:tcPr>
                <w:p w14:paraId="73D8806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t/a</w:t>
                  </w:r>
                </w:p>
              </w:tc>
              <w:tc>
                <w:tcPr>
                  <w:tcW w:w="750" w:type="pct"/>
                  <w:noWrap w:val="0"/>
                  <w:vAlign w:val="center"/>
                </w:tcPr>
                <w:p w14:paraId="2D9708C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784" w:type="pct"/>
                  <w:shd w:val="clear" w:color="auto" w:fill="auto"/>
                  <w:noWrap w:val="0"/>
                  <w:vAlign w:val="center"/>
                </w:tcPr>
                <w:p w14:paraId="0535F20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0.01</w:t>
                  </w:r>
                </w:p>
              </w:tc>
              <w:tc>
                <w:tcPr>
                  <w:tcW w:w="436" w:type="pct"/>
                  <w:shd w:val="clear" w:color="auto" w:fill="auto"/>
                  <w:noWrap w:val="0"/>
                  <w:vAlign w:val="center"/>
                </w:tcPr>
                <w:p w14:paraId="21BFCC4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871" w:type="pct"/>
                  <w:shd w:val="clear" w:color="auto" w:fill="auto"/>
                  <w:noWrap w:val="0"/>
                  <w:vAlign w:val="center"/>
                </w:tcPr>
                <w:p w14:paraId="4C52565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0.01</w:t>
                  </w:r>
                </w:p>
              </w:tc>
              <w:tc>
                <w:tcPr>
                  <w:tcW w:w="544" w:type="pct"/>
                  <w:shd w:val="clear" w:color="auto" w:fill="auto"/>
                  <w:noWrap w:val="0"/>
                  <w:vAlign w:val="center"/>
                </w:tcPr>
                <w:p w14:paraId="2B8610A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+0.01</w:t>
                  </w:r>
                </w:p>
              </w:tc>
            </w:tr>
            <w:tr w14:paraId="5CCF7F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9" w:type="pct"/>
                  <w:vMerge w:val="continue"/>
                  <w:noWrap w:val="0"/>
                  <w:vAlign w:val="center"/>
                </w:tcPr>
                <w:p w14:paraId="21C174AA">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eastAsia" w:ascii="Times New Roman" w:hAnsi="Times New Roman" w:cs="Times New Roman"/>
                      <w:color w:val="auto"/>
                      <w:sz w:val="21"/>
                      <w:szCs w:val="21"/>
                      <w:highlight w:val="none"/>
                      <w:lang w:val="en-US" w:eastAsia="zh-CN"/>
                    </w:rPr>
                  </w:pPr>
                </w:p>
              </w:tc>
              <w:tc>
                <w:tcPr>
                  <w:tcW w:w="859" w:type="pct"/>
                  <w:noWrap w:val="0"/>
                  <w:vAlign w:val="center"/>
                </w:tcPr>
                <w:p w14:paraId="2A65217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废含油抹布</w:t>
                  </w:r>
                </w:p>
              </w:tc>
              <w:tc>
                <w:tcPr>
                  <w:tcW w:w="293" w:type="pct"/>
                  <w:shd w:val="clear" w:color="auto" w:fill="auto"/>
                  <w:noWrap w:val="0"/>
                  <w:vAlign w:val="center"/>
                </w:tcPr>
                <w:p w14:paraId="20FB000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t/a</w:t>
                  </w:r>
                </w:p>
              </w:tc>
              <w:tc>
                <w:tcPr>
                  <w:tcW w:w="750" w:type="pct"/>
                  <w:shd w:val="clear" w:color="auto" w:fill="auto"/>
                  <w:noWrap w:val="0"/>
                  <w:vAlign w:val="center"/>
                </w:tcPr>
                <w:p w14:paraId="6FC6DE0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0.01</w:t>
                  </w:r>
                </w:p>
              </w:tc>
              <w:tc>
                <w:tcPr>
                  <w:tcW w:w="784" w:type="pct"/>
                  <w:shd w:val="clear" w:color="auto" w:fill="auto"/>
                  <w:noWrap w:val="0"/>
                  <w:vAlign w:val="center"/>
                </w:tcPr>
                <w:p w14:paraId="73905F6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0.01</w:t>
                  </w:r>
                </w:p>
              </w:tc>
              <w:tc>
                <w:tcPr>
                  <w:tcW w:w="436" w:type="pct"/>
                  <w:shd w:val="clear" w:color="auto" w:fill="auto"/>
                  <w:noWrap w:val="0"/>
                  <w:vAlign w:val="center"/>
                </w:tcPr>
                <w:p w14:paraId="2A8C5F4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871" w:type="pct"/>
                  <w:shd w:val="clear" w:color="auto" w:fill="auto"/>
                  <w:noWrap w:val="0"/>
                  <w:vAlign w:val="center"/>
                </w:tcPr>
                <w:p w14:paraId="6426BD6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0.02</w:t>
                  </w:r>
                </w:p>
              </w:tc>
              <w:tc>
                <w:tcPr>
                  <w:tcW w:w="544" w:type="pct"/>
                  <w:shd w:val="clear" w:color="auto" w:fill="auto"/>
                  <w:noWrap w:val="0"/>
                  <w:vAlign w:val="center"/>
                </w:tcPr>
                <w:p w14:paraId="728CCBA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+0.01</w:t>
                  </w:r>
                </w:p>
              </w:tc>
            </w:tr>
            <w:tr w14:paraId="331118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9" w:type="pct"/>
                  <w:vMerge w:val="continue"/>
                  <w:noWrap w:val="0"/>
                  <w:vAlign w:val="center"/>
                </w:tcPr>
                <w:p w14:paraId="6AFD5036">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eastAsia" w:ascii="Times New Roman" w:hAnsi="Times New Roman" w:cs="Times New Roman"/>
                      <w:color w:val="auto"/>
                      <w:sz w:val="21"/>
                      <w:szCs w:val="21"/>
                      <w:highlight w:val="none"/>
                      <w:lang w:val="en-US" w:eastAsia="zh-CN"/>
                    </w:rPr>
                  </w:pPr>
                </w:p>
              </w:tc>
              <w:tc>
                <w:tcPr>
                  <w:tcW w:w="859" w:type="pct"/>
                  <w:shd w:val="clear" w:color="auto" w:fill="auto"/>
                  <w:noWrap w:val="0"/>
                  <w:vAlign w:val="center"/>
                </w:tcPr>
                <w:p w14:paraId="313C45C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4"/>
                      <w:kern w:val="0"/>
                      <w:sz w:val="21"/>
                      <w:szCs w:val="21"/>
                      <w:highlight w:val="none"/>
                      <w:lang w:val="en-US" w:eastAsia="zh-CN" w:bidi="ar-SA"/>
                    </w:rPr>
                  </w:pPr>
                  <w:r>
                    <w:rPr>
                      <w:rFonts w:hint="eastAsia" w:cs="Times New Roman"/>
                      <w:color w:val="auto"/>
                      <w:sz w:val="21"/>
                      <w:szCs w:val="21"/>
                      <w:highlight w:val="none"/>
                      <w:lang w:val="en-US" w:eastAsia="zh-CN"/>
                    </w:rPr>
                    <w:t>设备清洗渣</w:t>
                  </w:r>
                </w:p>
              </w:tc>
              <w:tc>
                <w:tcPr>
                  <w:tcW w:w="293" w:type="pct"/>
                  <w:shd w:val="clear" w:color="auto" w:fill="auto"/>
                  <w:noWrap w:val="0"/>
                  <w:vAlign w:val="center"/>
                </w:tcPr>
                <w:p w14:paraId="7B63C81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t/a</w:t>
                  </w:r>
                </w:p>
              </w:tc>
              <w:tc>
                <w:tcPr>
                  <w:tcW w:w="750" w:type="pct"/>
                  <w:shd w:val="clear" w:color="auto" w:fill="auto"/>
                  <w:noWrap w:val="0"/>
                  <w:vAlign w:val="center"/>
                </w:tcPr>
                <w:p w14:paraId="6C8F9AFC">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1.95</w:t>
                  </w:r>
                </w:p>
              </w:tc>
              <w:tc>
                <w:tcPr>
                  <w:tcW w:w="784" w:type="pct"/>
                  <w:shd w:val="clear" w:color="auto" w:fill="auto"/>
                  <w:noWrap w:val="0"/>
                  <w:vAlign w:val="center"/>
                </w:tcPr>
                <w:p w14:paraId="1723B9F1">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436" w:type="pct"/>
                  <w:shd w:val="clear" w:color="auto" w:fill="auto"/>
                  <w:noWrap w:val="0"/>
                  <w:vAlign w:val="center"/>
                </w:tcPr>
                <w:p w14:paraId="6F04076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0</w:t>
                  </w:r>
                </w:p>
              </w:tc>
              <w:tc>
                <w:tcPr>
                  <w:tcW w:w="871" w:type="pct"/>
                  <w:shd w:val="clear" w:color="auto" w:fill="auto"/>
                  <w:noWrap w:val="0"/>
                  <w:vAlign w:val="center"/>
                </w:tcPr>
                <w:p w14:paraId="12EE2B7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1.95</w:t>
                  </w:r>
                </w:p>
              </w:tc>
              <w:tc>
                <w:tcPr>
                  <w:tcW w:w="544" w:type="pct"/>
                  <w:shd w:val="clear" w:color="auto" w:fill="auto"/>
                  <w:noWrap w:val="0"/>
                  <w:vAlign w:val="center"/>
                </w:tcPr>
                <w:p w14:paraId="76A89EA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r>
            <w:tr w14:paraId="0B083E3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9" w:type="pct"/>
                  <w:vMerge w:val="continue"/>
                  <w:noWrap w:val="0"/>
                  <w:vAlign w:val="center"/>
                </w:tcPr>
                <w:p w14:paraId="18C61716">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eastAsia" w:ascii="Times New Roman" w:hAnsi="Times New Roman" w:cs="Times New Roman"/>
                      <w:color w:val="auto"/>
                      <w:sz w:val="21"/>
                      <w:szCs w:val="21"/>
                      <w:highlight w:val="none"/>
                      <w:lang w:val="en-US" w:eastAsia="zh-CN"/>
                    </w:rPr>
                  </w:pPr>
                </w:p>
              </w:tc>
              <w:tc>
                <w:tcPr>
                  <w:tcW w:w="859" w:type="pct"/>
                  <w:shd w:val="clear" w:color="auto" w:fill="auto"/>
                  <w:noWrap w:val="0"/>
                  <w:vAlign w:val="center"/>
                </w:tcPr>
                <w:p w14:paraId="1E02047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4"/>
                      <w:kern w:val="0"/>
                      <w:sz w:val="21"/>
                      <w:szCs w:val="21"/>
                      <w:highlight w:val="none"/>
                      <w:lang w:val="en-US" w:eastAsia="zh-CN" w:bidi="ar-SA"/>
                    </w:rPr>
                  </w:pPr>
                  <w:r>
                    <w:rPr>
                      <w:rFonts w:hint="eastAsia" w:cs="Times New Roman"/>
                      <w:color w:val="auto"/>
                      <w:sz w:val="21"/>
                      <w:szCs w:val="21"/>
                      <w:highlight w:val="none"/>
                      <w:lang w:val="en-US" w:eastAsia="zh-CN"/>
                    </w:rPr>
                    <w:t>循环池油渣</w:t>
                  </w:r>
                </w:p>
              </w:tc>
              <w:tc>
                <w:tcPr>
                  <w:tcW w:w="293" w:type="pct"/>
                  <w:shd w:val="clear" w:color="auto" w:fill="auto"/>
                  <w:noWrap w:val="0"/>
                  <w:vAlign w:val="center"/>
                </w:tcPr>
                <w:p w14:paraId="0DC691B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t/a</w:t>
                  </w:r>
                </w:p>
              </w:tc>
              <w:tc>
                <w:tcPr>
                  <w:tcW w:w="750" w:type="pct"/>
                  <w:shd w:val="clear" w:color="auto" w:fill="auto"/>
                  <w:noWrap w:val="0"/>
                  <w:vAlign w:val="center"/>
                </w:tcPr>
                <w:p w14:paraId="4DA328A0">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0.02</w:t>
                  </w:r>
                </w:p>
              </w:tc>
              <w:tc>
                <w:tcPr>
                  <w:tcW w:w="784" w:type="pct"/>
                  <w:shd w:val="clear" w:color="auto" w:fill="auto"/>
                  <w:noWrap w:val="0"/>
                  <w:vAlign w:val="center"/>
                </w:tcPr>
                <w:p w14:paraId="2A478817">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436" w:type="pct"/>
                  <w:shd w:val="clear" w:color="auto" w:fill="auto"/>
                  <w:noWrap w:val="0"/>
                  <w:vAlign w:val="center"/>
                </w:tcPr>
                <w:p w14:paraId="7B6ECAB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0</w:t>
                  </w:r>
                </w:p>
              </w:tc>
              <w:tc>
                <w:tcPr>
                  <w:tcW w:w="871" w:type="pct"/>
                  <w:shd w:val="clear" w:color="auto" w:fill="auto"/>
                  <w:noWrap w:val="0"/>
                  <w:vAlign w:val="center"/>
                </w:tcPr>
                <w:p w14:paraId="67322B7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0.02</w:t>
                  </w:r>
                </w:p>
              </w:tc>
              <w:tc>
                <w:tcPr>
                  <w:tcW w:w="544" w:type="pct"/>
                  <w:shd w:val="clear" w:color="auto" w:fill="auto"/>
                  <w:noWrap w:val="0"/>
                  <w:vAlign w:val="center"/>
                </w:tcPr>
                <w:p w14:paraId="1803A36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r>
            <w:tr w14:paraId="2C7A8BC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9" w:type="pct"/>
                  <w:vMerge w:val="continue"/>
                  <w:noWrap w:val="0"/>
                  <w:vAlign w:val="center"/>
                </w:tcPr>
                <w:p w14:paraId="13B68B67">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eastAsia" w:ascii="Times New Roman" w:hAnsi="Times New Roman" w:cs="Times New Roman"/>
                      <w:color w:val="auto"/>
                      <w:sz w:val="21"/>
                      <w:szCs w:val="21"/>
                      <w:highlight w:val="none"/>
                      <w:lang w:val="en-US" w:eastAsia="zh-CN"/>
                    </w:rPr>
                  </w:pPr>
                </w:p>
              </w:tc>
              <w:tc>
                <w:tcPr>
                  <w:tcW w:w="859" w:type="pct"/>
                  <w:shd w:val="clear" w:color="auto" w:fill="auto"/>
                  <w:noWrap w:val="0"/>
                  <w:vAlign w:val="center"/>
                </w:tcPr>
                <w:p w14:paraId="3EB136A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4"/>
                      <w:kern w:val="0"/>
                      <w:sz w:val="21"/>
                      <w:szCs w:val="21"/>
                      <w:highlight w:val="none"/>
                      <w:lang w:val="en-US" w:eastAsia="zh-CN" w:bidi="ar-SA"/>
                    </w:rPr>
                  </w:pPr>
                  <w:r>
                    <w:rPr>
                      <w:rFonts w:hint="eastAsia" w:cs="Times New Roman"/>
                      <w:color w:val="auto"/>
                      <w:sz w:val="21"/>
                      <w:szCs w:val="21"/>
                      <w:highlight w:val="none"/>
                      <w:lang w:val="en-US" w:eastAsia="zh-CN"/>
                    </w:rPr>
                    <w:t>液体危险化学品废物料桶</w:t>
                  </w:r>
                </w:p>
              </w:tc>
              <w:tc>
                <w:tcPr>
                  <w:tcW w:w="293" w:type="pct"/>
                  <w:shd w:val="clear" w:color="auto" w:fill="auto"/>
                  <w:noWrap w:val="0"/>
                  <w:vAlign w:val="center"/>
                </w:tcPr>
                <w:p w14:paraId="0F3CF94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t/a</w:t>
                  </w:r>
                </w:p>
              </w:tc>
              <w:tc>
                <w:tcPr>
                  <w:tcW w:w="750" w:type="pct"/>
                  <w:shd w:val="clear" w:color="auto" w:fill="auto"/>
                  <w:noWrap w:val="0"/>
                  <w:vAlign w:val="center"/>
                </w:tcPr>
                <w:p w14:paraId="4B691789">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0.5</w:t>
                  </w:r>
                </w:p>
              </w:tc>
              <w:tc>
                <w:tcPr>
                  <w:tcW w:w="784" w:type="pct"/>
                  <w:shd w:val="clear" w:color="auto" w:fill="auto"/>
                  <w:noWrap w:val="0"/>
                  <w:vAlign w:val="center"/>
                </w:tcPr>
                <w:p w14:paraId="1D51F79C">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436" w:type="pct"/>
                  <w:shd w:val="clear" w:color="auto" w:fill="auto"/>
                  <w:noWrap w:val="0"/>
                  <w:vAlign w:val="center"/>
                </w:tcPr>
                <w:p w14:paraId="129D5A4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0</w:t>
                  </w:r>
                </w:p>
              </w:tc>
              <w:tc>
                <w:tcPr>
                  <w:tcW w:w="871" w:type="pct"/>
                  <w:shd w:val="clear" w:color="auto" w:fill="auto"/>
                  <w:noWrap w:val="0"/>
                  <w:vAlign w:val="center"/>
                </w:tcPr>
                <w:p w14:paraId="1A48494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0.</w:t>
                  </w:r>
                  <w:r>
                    <w:rPr>
                      <w:rFonts w:hint="eastAsia" w:cs="Times New Roman"/>
                      <w:color w:val="auto"/>
                      <w:kern w:val="2"/>
                      <w:sz w:val="21"/>
                      <w:szCs w:val="21"/>
                      <w:highlight w:val="none"/>
                      <w:lang w:val="en-US" w:eastAsia="zh-CN" w:bidi="ar-SA"/>
                    </w:rPr>
                    <w:t>5</w:t>
                  </w:r>
                </w:p>
              </w:tc>
              <w:tc>
                <w:tcPr>
                  <w:tcW w:w="544" w:type="pct"/>
                  <w:shd w:val="clear" w:color="auto" w:fill="auto"/>
                  <w:noWrap w:val="0"/>
                  <w:vAlign w:val="center"/>
                </w:tcPr>
                <w:p w14:paraId="3804F59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0</w:t>
                  </w:r>
                </w:p>
              </w:tc>
            </w:tr>
            <w:tr w14:paraId="77157D3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9" w:type="pct"/>
                  <w:vMerge w:val="continue"/>
                  <w:noWrap w:val="0"/>
                  <w:vAlign w:val="center"/>
                </w:tcPr>
                <w:p w14:paraId="7FBDB6F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eastAsia" w:ascii="Times New Roman" w:hAnsi="Times New Roman" w:cs="Times New Roman"/>
                      <w:color w:val="auto"/>
                      <w:sz w:val="21"/>
                      <w:szCs w:val="21"/>
                      <w:highlight w:val="none"/>
                      <w:lang w:val="en-US" w:eastAsia="zh-CN"/>
                    </w:rPr>
                  </w:pPr>
                </w:p>
              </w:tc>
              <w:tc>
                <w:tcPr>
                  <w:tcW w:w="859" w:type="pct"/>
                  <w:noWrap w:val="0"/>
                  <w:vAlign w:val="center"/>
                </w:tcPr>
                <w:p w14:paraId="1D249E6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auto"/>
                      <w:spacing w:val="4"/>
                      <w:kern w:val="0"/>
                      <w:sz w:val="21"/>
                      <w:szCs w:val="21"/>
                      <w:highlight w:val="none"/>
                      <w:lang w:val="en-US" w:eastAsia="zh-CN" w:bidi="ar-SA"/>
                    </w:rPr>
                  </w:pPr>
                  <w:r>
                    <w:rPr>
                      <w:rFonts w:hint="eastAsia" w:cs="Times New Roman"/>
                      <w:color w:val="auto"/>
                      <w:sz w:val="21"/>
                      <w:szCs w:val="21"/>
                      <w:highlight w:val="none"/>
                      <w:lang w:val="en-US" w:eastAsia="zh-CN"/>
                    </w:rPr>
                    <w:t>废活性炭</w:t>
                  </w:r>
                </w:p>
              </w:tc>
              <w:tc>
                <w:tcPr>
                  <w:tcW w:w="293" w:type="pct"/>
                  <w:noWrap w:val="0"/>
                  <w:vAlign w:val="center"/>
                </w:tcPr>
                <w:p w14:paraId="7F4D850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t/a</w:t>
                  </w:r>
                </w:p>
              </w:tc>
              <w:tc>
                <w:tcPr>
                  <w:tcW w:w="750" w:type="pct"/>
                  <w:noWrap w:val="0"/>
                  <w:vAlign w:val="center"/>
                </w:tcPr>
                <w:p w14:paraId="6C2D9139">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0.03</w:t>
                  </w:r>
                </w:p>
              </w:tc>
              <w:tc>
                <w:tcPr>
                  <w:tcW w:w="784" w:type="pct"/>
                  <w:shd w:val="clear" w:color="auto" w:fill="auto"/>
                  <w:noWrap w:val="0"/>
                  <w:vAlign w:val="center"/>
                </w:tcPr>
                <w:p w14:paraId="0BE722F6">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0.961</w:t>
                  </w:r>
                </w:p>
              </w:tc>
              <w:tc>
                <w:tcPr>
                  <w:tcW w:w="436" w:type="pct"/>
                  <w:shd w:val="clear" w:color="auto" w:fill="auto"/>
                  <w:noWrap w:val="0"/>
                  <w:vAlign w:val="center"/>
                </w:tcPr>
                <w:p w14:paraId="5B82A05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871" w:type="pct"/>
                  <w:shd w:val="clear" w:color="auto" w:fill="auto"/>
                  <w:noWrap w:val="0"/>
                  <w:vAlign w:val="center"/>
                </w:tcPr>
                <w:p w14:paraId="6272C26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0.991</w:t>
                  </w:r>
                </w:p>
              </w:tc>
              <w:tc>
                <w:tcPr>
                  <w:tcW w:w="544" w:type="pct"/>
                  <w:shd w:val="clear" w:color="auto" w:fill="auto"/>
                  <w:noWrap w:val="0"/>
                  <w:vAlign w:val="center"/>
                </w:tcPr>
                <w:p w14:paraId="3DF2292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+0.961</w:t>
                  </w:r>
                </w:p>
              </w:tc>
            </w:tr>
            <w:tr w14:paraId="7324C63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9" w:type="pct"/>
                  <w:vMerge w:val="continue"/>
                  <w:noWrap w:val="0"/>
                  <w:vAlign w:val="center"/>
                </w:tcPr>
                <w:p w14:paraId="4346658D">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eastAsia" w:ascii="Times New Roman" w:hAnsi="Times New Roman" w:cs="Times New Roman"/>
                      <w:color w:val="auto"/>
                      <w:sz w:val="21"/>
                      <w:szCs w:val="21"/>
                      <w:highlight w:val="none"/>
                      <w:lang w:val="en-US" w:eastAsia="zh-CN"/>
                    </w:rPr>
                  </w:pPr>
                </w:p>
              </w:tc>
              <w:tc>
                <w:tcPr>
                  <w:tcW w:w="859" w:type="pct"/>
                  <w:noWrap w:val="0"/>
                  <w:vAlign w:val="center"/>
                </w:tcPr>
                <w:p w14:paraId="704AA51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auto"/>
                      <w:spacing w:val="4"/>
                      <w:kern w:val="0"/>
                      <w:sz w:val="21"/>
                      <w:szCs w:val="21"/>
                      <w:highlight w:val="none"/>
                      <w:lang w:val="en-US" w:eastAsia="zh-CN" w:bidi="ar-SA"/>
                    </w:rPr>
                  </w:pPr>
                  <w:r>
                    <w:rPr>
                      <w:rFonts w:hint="eastAsia" w:cs="Times New Roman"/>
                      <w:color w:val="auto"/>
                      <w:sz w:val="21"/>
                      <w:szCs w:val="21"/>
                      <w:highlight w:val="none"/>
                      <w:lang w:val="en-US" w:eastAsia="zh-CN"/>
                    </w:rPr>
                    <w:t>水幕水废液</w:t>
                  </w:r>
                </w:p>
              </w:tc>
              <w:tc>
                <w:tcPr>
                  <w:tcW w:w="293" w:type="pct"/>
                  <w:noWrap w:val="0"/>
                  <w:vAlign w:val="center"/>
                </w:tcPr>
                <w:p w14:paraId="505A836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t/a</w:t>
                  </w:r>
                </w:p>
              </w:tc>
              <w:tc>
                <w:tcPr>
                  <w:tcW w:w="750" w:type="pct"/>
                  <w:noWrap w:val="0"/>
                  <w:vAlign w:val="center"/>
                </w:tcPr>
                <w:p w14:paraId="071A2CE0">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0.1</w:t>
                  </w:r>
                </w:p>
              </w:tc>
              <w:tc>
                <w:tcPr>
                  <w:tcW w:w="784" w:type="pct"/>
                  <w:shd w:val="clear" w:color="auto" w:fill="auto"/>
                  <w:noWrap w:val="0"/>
                  <w:vAlign w:val="center"/>
                </w:tcPr>
                <w:p w14:paraId="2C4D6EA3">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436" w:type="pct"/>
                  <w:shd w:val="clear" w:color="auto" w:fill="auto"/>
                  <w:noWrap w:val="0"/>
                  <w:vAlign w:val="center"/>
                </w:tcPr>
                <w:p w14:paraId="15EFD0E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871" w:type="pct"/>
                  <w:shd w:val="clear" w:color="auto" w:fill="auto"/>
                  <w:noWrap w:val="0"/>
                  <w:vAlign w:val="center"/>
                </w:tcPr>
                <w:p w14:paraId="7B53BC2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0.1</w:t>
                  </w:r>
                </w:p>
              </w:tc>
              <w:tc>
                <w:tcPr>
                  <w:tcW w:w="544" w:type="pct"/>
                  <w:shd w:val="clear" w:color="auto" w:fill="auto"/>
                  <w:noWrap w:val="0"/>
                  <w:vAlign w:val="center"/>
                </w:tcPr>
                <w:p w14:paraId="20B3C55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r>
            <w:tr w14:paraId="27517B6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9" w:type="pct"/>
                  <w:vMerge w:val="continue"/>
                  <w:noWrap w:val="0"/>
                  <w:vAlign w:val="center"/>
                </w:tcPr>
                <w:p w14:paraId="1C4A1034">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eastAsia" w:ascii="Times New Roman" w:hAnsi="Times New Roman" w:cs="Times New Roman"/>
                      <w:color w:val="auto"/>
                      <w:sz w:val="21"/>
                      <w:szCs w:val="21"/>
                      <w:highlight w:val="none"/>
                      <w:lang w:val="en-US" w:eastAsia="zh-CN"/>
                    </w:rPr>
                  </w:pPr>
                </w:p>
              </w:tc>
              <w:tc>
                <w:tcPr>
                  <w:tcW w:w="859" w:type="pct"/>
                  <w:noWrap w:val="0"/>
                  <w:vAlign w:val="center"/>
                </w:tcPr>
                <w:p w14:paraId="2CA857E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4"/>
                      <w:kern w:val="0"/>
                      <w:sz w:val="21"/>
                      <w:szCs w:val="21"/>
                      <w:highlight w:val="green"/>
                      <w:lang w:val="en-US" w:eastAsia="zh-CN" w:bidi="ar-SA"/>
                    </w:rPr>
                  </w:pPr>
                  <w:r>
                    <w:rPr>
                      <w:rFonts w:hint="eastAsia" w:cs="Times New Roman"/>
                      <w:color w:val="auto"/>
                      <w:sz w:val="21"/>
                      <w:szCs w:val="21"/>
                      <w:highlight w:val="none"/>
                      <w:lang w:val="en-US" w:eastAsia="zh-CN"/>
                    </w:rPr>
                    <w:t>密封胶、密封条不合格半成品</w:t>
                  </w:r>
                </w:p>
              </w:tc>
              <w:tc>
                <w:tcPr>
                  <w:tcW w:w="293" w:type="pct"/>
                  <w:noWrap w:val="0"/>
                  <w:vAlign w:val="center"/>
                </w:tcPr>
                <w:p w14:paraId="06F8B9D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t/a</w:t>
                  </w:r>
                </w:p>
              </w:tc>
              <w:tc>
                <w:tcPr>
                  <w:tcW w:w="750" w:type="pct"/>
                  <w:noWrap w:val="0"/>
                  <w:vAlign w:val="center"/>
                </w:tcPr>
                <w:p w14:paraId="1127BD7A">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13</w:t>
                  </w:r>
                </w:p>
              </w:tc>
              <w:tc>
                <w:tcPr>
                  <w:tcW w:w="784" w:type="pct"/>
                  <w:shd w:val="clear" w:color="auto" w:fill="auto"/>
                  <w:noWrap w:val="0"/>
                  <w:vAlign w:val="center"/>
                </w:tcPr>
                <w:p w14:paraId="3FAC8120">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436" w:type="pct"/>
                  <w:shd w:val="clear" w:color="auto" w:fill="auto"/>
                  <w:noWrap w:val="0"/>
                  <w:vAlign w:val="center"/>
                </w:tcPr>
                <w:p w14:paraId="459B103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871" w:type="pct"/>
                  <w:shd w:val="clear" w:color="auto" w:fill="auto"/>
                  <w:noWrap w:val="0"/>
                  <w:vAlign w:val="center"/>
                </w:tcPr>
                <w:p w14:paraId="7B7624E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13</w:t>
                  </w:r>
                </w:p>
              </w:tc>
              <w:tc>
                <w:tcPr>
                  <w:tcW w:w="544" w:type="pct"/>
                  <w:shd w:val="clear" w:color="auto" w:fill="auto"/>
                  <w:noWrap w:val="0"/>
                  <w:vAlign w:val="center"/>
                </w:tcPr>
                <w:p w14:paraId="04C360F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0</w:t>
                  </w:r>
                </w:p>
              </w:tc>
            </w:tr>
            <w:tr w14:paraId="411A01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9" w:type="pct"/>
                  <w:tcBorders>
                    <w:bottom w:val="single" w:color="auto" w:sz="12" w:space="0"/>
                  </w:tcBorders>
                </w:tcPr>
                <w:p w14:paraId="68CAE45D">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生活垃圾</w:t>
                  </w:r>
                </w:p>
              </w:tc>
              <w:tc>
                <w:tcPr>
                  <w:tcW w:w="859" w:type="pct"/>
                  <w:tcBorders>
                    <w:bottom w:val="single" w:color="auto" w:sz="12" w:space="0"/>
                  </w:tcBorders>
                  <w:vAlign w:val="center"/>
                </w:tcPr>
                <w:p w14:paraId="07277D7E">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宋体" w:eastAsia="宋体" w:cs="Times New Roman"/>
                      <w:color w:val="auto"/>
                      <w:kern w:val="2"/>
                      <w:sz w:val="21"/>
                      <w:szCs w:val="21"/>
                      <w:highlight w:val="none"/>
                      <w:lang w:val="en-US" w:eastAsia="zh-CN" w:bidi="ar-SA"/>
                    </w:rPr>
                  </w:pPr>
                  <w:r>
                    <w:rPr>
                      <w:rFonts w:hint="eastAsia" w:ascii="Times New Roman" w:hAnsi="Times New Roman" w:eastAsia="宋体" w:cs="Times New Roman"/>
                      <w:bCs/>
                      <w:snapToGrid w:val="0"/>
                      <w:color w:val="auto"/>
                      <w:kern w:val="21"/>
                      <w:sz w:val="21"/>
                      <w:szCs w:val="21"/>
                      <w:highlight w:val="none"/>
                      <w:lang w:val="en-US" w:eastAsia="zh-CN"/>
                    </w:rPr>
                    <w:t>生活垃圾</w:t>
                  </w:r>
                </w:p>
              </w:tc>
              <w:tc>
                <w:tcPr>
                  <w:tcW w:w="293" w:type="pct"/>
                  <w:tcBorders>
                    <w:bottom w:val="single" w:color="auto" w:sz="12" w:space="0"/>
                  </w:tcBorders>
                  <w:vAlign w:val="center"/>
                </w:tcPr>
                <w:p w14:paraId="3E4DB175">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t/a</w:t>
                  </w:r>
                </w:p>
              </w:tc>
              <w:tc>
                <w:tcPr>
                  <w:tcW w:w="750" w:type="pct"/>
                  <w:tcBorders>
                    <w:bottom w:val="single" w:color="auto" w:sz="12" w:space="0"/>
                  </w:tcBorders>
                  <w:vAlign w:val="center"/>
                </w:tcPr>
                <w:p w14:paraId="601F06E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45</w:t>
                  </w:r>
                </w:p>
              </w:tc>
              <w:tc>
                <w:tcPr>
                  <w:tcW w:w="784" w:type="pct"/>
                  <w:tcBorders>
                    <w:bottom w:val="single" w:color="auto" w:sz="12" w:space="0"/>
                  </w:tcBorders>
                  <w:vAlign w:val="center"/>
                </w:tcPr>
                <w:p w14:paraId="37B0397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4.5</w:t>
                  </w:r>
                </w:p>
              </w:tc>
              <w:tc>
                <w:tcPr>
                  <w:tcW w:w="436" w:type="pct"/>
                  <w:tcBorders>
                    <w:bottom w:val="single" w:color="auto" w:sz="12" w:space="0"/>
                  </w:tcBorders>
                  <w:vAlign w:val="center"/>
                </w:tcPr>
                <w:p w14:paraId="0FBBFE4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0</w:t>
                  </w:r>
                </w:p>
              </w:tc>
              <w:tc>
                <w:tcPr>
                  <w:tcW w:w="871" w:type="pct"/>
                  <w:tcBorders>
                    <w:bottom w:val="single" w:color="auto" w:sz="12" w:space="0"/>
                  </w:tcBorders>
                  <w:vAlign w:val="center"/>
                </w:tcPr>
                <w:p w14:paraId="55F442D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49.5</w:t>
                  </w:r>
                </w:p>
              </w:tc>
              <w:tc>
                <w:tcPr>
                  <w:tcW w:w="544" w:type="pct"/>
                  <w:tcBorders>
                    <w:bottom w:val="single" w:color="auto" w:sz="12" w:space="0"/>
                  </w:tcBorders>
                  <w:vAlign w:val="center"/>
                </w:tcPr>
                <w:p w14:paraId="54FC8FB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+4.5</w:t>
                  </w:r>
                </w:p>
              </w:tc>
            </w:tr>
          </w:tbl>
          <w:p w14:paraId="1D984C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color w:val="auto"/>
                <w:highlight w:val="none"/>
                <w:lang w:val="en-US" w:eastAsia="zh-CN"/>
              </w:rPr>
            </w:pPr>
          </w:p>
        </w:tc>
      </w:tr>
    </w:tbl>
    <w:p w14:paraId="2625B437">
      <w:pPr>
        <w:pStyle w:val="22"/>
        <w:jc w:val="center"/>
        <w:rPr>
          <w:rFonts w:hint="default" w:ascii="Times New Roman" w:hAnsi="Times New Roman" w:eastAsia="黑体" w:cs="Times New Roman"/>
          <w:snapToGrid w:val="0"/>
          <w:color w:val="auto"/>
          <w:sz w:val="36"/>
          <w:szCs w:val="36"/>
          <w:highlight w:val="none"/>
        </w:rPr>
        <w:sectPr>
          <w:footerReference r:id="rId10" w:type="default"/>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1514ABDC">
      <w:pPr>
        <w:pStyle w:val="22"/>
        <w:jc w:val="center"/>
        <w:outlineLvl w:val="0"/>
        <w:rPr>
          <w:rFonts w:hint="default" w:ascii="Times New Roman" w:hAnsi="Times New Roman" w:eastAsia="黑体" w:cs="Times New Roman"/>
          <w:snapToGrid w:val="0"/>
          <w:color w:val="auto"/>
          <w:sz w:val="30"/>
          <w:szCs w:val="30"/>
          <w:highlight w:val="none"/>
        </w:rPr>
      </w:pPr>
      <w:bookmarkStart w:id="17" w:name="_Toc13659"/>
      <w:r>
        <w:rPr>
          <w:rFonts w:hint="default" w:ascii="Times New Roman" w:hAnsi="Times New Roman" w:eastAsia="黑体" w:cs="Times New Roman"/>
          <w:snapToGrid w:val="0"/>
          <w:color w:val="auto"/>
          <w:sz w:val="30"/>
          <w:szCs w:val="30"/>
          <w:highlight w:val="none"/>
        </w:rPr>
        <w:t>三、区域环境质量现状、环境保护目标及评价标准</w:t>
      </w:r>
      <w:bookmarkEnd w:id="17"/>
    </w:p>
    <w:tbl>
      <w:tblPr>
        <w:tblStyle w:val="32"/>
        <w:tblW w:w="906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605"/>
      </w:tblGrid>
      <w:tr w14:paraId="6759D2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457" w:type="dxa"/>
            <w:vAlign w:val="center"/>
          </w:tcPr>
          <w:p w14:paraId="042AE6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区</w:t>
            </w:r>
          </w:p>
          <w:p w14:paraId="75F876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域</w:t>
            </w:r>
          </w:p>
          <w:p w14:paraId="34098B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环</w:t>
            </w:r>
          </w:p>
          <w:p w14:paraId="528EEA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境</w:t>
            </w:r>
          </w:p>
          <w:p w14:paraId="421B80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质</w:t>
            </w:r>
          </w:p>
          <w:p w14:paraId="1BD36F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量</w:t>
            </w:r>
          </w:p>
          <w:p w14:paraId="1127ABA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现</w:t>
            </w:r>
          </w:p>
          <w:p w14:paraId="47676C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状</w:t>
            </w:r>
          </w:p>
        </w:tc>
        <w:tc>
          <w:tcPr>
            <w:tcW w:w="8604" w:type="dxa"/>
            <w:vAlign w:val="center"/>
          </w:tcPr>
          <w:p w14:paraId="7E4951A6">
            <w:pPr>
              <w:keepNext w:val="0"/>
              <w:keepLines w:val="0"/>
              <w:suppressLineNumbers w:val="0"/>
              <w:bidi w:val="0"/>
              <w:spacing w:before="0" w:beforeAutospacing="0" w:after="0" w:afterAutospacing="0"/>
              <w:ind w:left="0" w:right="0"/>
              <w:rPr>
                <w:rFonts w:hint="default"/>
                <w:b/>
                <w:bCs/>
                <w:color w:val="auto"/>
                <w:highlight w:val="none"/>
              </w:rPr>
            </w:pPr>
            <w:r>
              <w:rPr>
                <w:rFonts w:hint="eastAsia"/>
                <w:b/>
                <w:bCs/>
                <w:color w:val="auto"/>
                <w:highlight w:val="none"/>
                <w:lang w:val="en-US" w:eastAsia="zh-CN"/>
              </w:rPr>
              <w:t>1</w:t>
            </w:r>
            <w:r>
              <w:rPr>
                <w:rFonts w:hint="default"/>
                <w:b/>
                <w:bCs/>
                <w:color w:val="auto"/>
                <w:highlight w:val="none"/>
              </w:rPr>
              <w:t>、</w:t>
            </w:r>
            <w:r>
              <w:rPr>
                <w:rFonts w:hint="default"/>
                <w:b/>
                <w:bCs/>
                <w:color w:val="auto"/>
                <w:highlight w:val="none"/>
                <w:lang w:eastAsia="zh-CN"/>
              </w:rPr>
              <w:t>环境空气质量现状</w:t>
            </w:r>
          </w:p>
          <w:p w14:paraId="206A2B5E">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lang w:eastAsia="zh-CN"/>
              </w:rPr>
              <w:t>根据《建设项目环境影响报告表编制技术指南（污染影响类）（试行）》，</w:t>
            </w:r>
            <w:r>
              <w:rPr>
                <w:rFonts w:hint="default"/>
                <w:color w:val="auto"/>
                <w:highlight w:val="none"/>
                <w:lang w:val="en-US" w:eastAsia="zh-CN"/>
              </w:rPr>
              <w:t>环境空气</w:t>
            </w:r>
            <w:r>
              <w:rPr>
                <w:rFonts w:hint="default"/>
                <w:color w:val="auto"/>
                <w:highlight w:val="none"/>
              </w:rPr>
              <w:t>常规污染物引用与建设项目距离近的有效数据，包括近3年的规划环境影响评价的监测数据，国家、地方环境空气质量监测网数据或生态环境主管部门公开发布的质量数据等。排放国家、地方环境空气质量标准中有标准限值要求的特征污染物时，引用建设项目周边5</w:t>
            </w:r>
            <w:r>
              <w:rPr>
                <w:rFonts w:hint="eastAsia"/>
                <w:color w:val="auto"/>
                <w:highlight w:val="none"/>
                <w:lang w:val="en-US" w:eastAsia="zh-CN"/>
              </w:rPr>
              <w:t>km</w:t>
            </w:r>
            <w:r>
              <w:rPr>
                <w:rFonts w:hint="default"/>
                <w:color w:val="auto"/>
                <w:highlight w:val="none"/>
              </w:rPr>
              <w:t>范围内近3年的现有监测数据，无相关数据的选择当季主导风向下风向1个点位补充不少于3天的监测数据。</w:t>
            </w:r>
          </w:p>
          <w:p w14:paraId="6DA5DC6A">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lang w:eastAsia="zh-CN"/>
              </w:rPr>
              <w:t>根据《环境影响评价技术导则 大气环境》（HJ2.2-2018）规定，需调查项目所在区域环境质量达标情况。为了解</w:t>
            </w:r>
            <w:r>
              <w:rPr>
                <w:rFonts w:hint="default"/>
                <w:color w:val="auto"/>
                <w:highlight w:val="none"/>
                <w:lang w:val="en-GB" w:eastAsia="zh-CN"/>
              </w:rPr>
              <w:t>项目</w:t>
            </w:r>
            <w:r>
              <w:rPr>
                <w:rFonts w:hint="default"/>
                <w:color w:val="auto"/>
                <w:highlight w:val="none"/>
                <w:lang w:eastAsia="zh-CN"/>
              </w:rPr>
              <w:t>所在区域环境空气质量现状，本次</w:t>
            </w:r>
            <w:r>
              <w:rPr>
                <w:rFonts w:hint="eastAsia"/>
                <w:color w:val="auto"/>
                <w:highlight w:val="none"/>
                <w:lang w:val="en-US" w:eastAsia="zh-CN"/>
              </w:rPr>
              <w:t>评价</w:t>
            </w:r>
            <w:r>
              <w:rPr>
                <w:rFonts w:hint="default"/>
                <w:color w:val="auto"/>
                <w:highlight w:val="none"/>
                <w:lang w:eastAsia="zh-CN"/>
              </w:rPr>
              <w:t>引用江西省环境监测中心站于江西省生态环境厅网站发布的</w:t>
            </w:r>
            <w:r>
              <w:rPr>
                <w:rFonts w:hint="eastAsia"/>
                <w:color w:val="auto"/>
                <w:highlight w:val="none"/>
                <w:lang w:eastAsia="zh-CN"/>
              </w:rPr>
              <w:t>“</w:t>
            </w:r>
            <w:r>
              <w:rPr>
                <w:rFonts w:hint="default"/>
                <w:color w:val="auto"/>
                <w:highlight w:val="none"/>
              </w:rPr>
              <w:t>20</w:t>
            </w:r>
            <w:r>
              <w:rPr>
                <w:rFonts w:hint="eastAsia"/>
                <w:color w:val="auto"/>
                <w:highlight w:val="none"/>
                <w:lang w:val="en-US" w:eastAsia="zh-CN"/>
              </w:rPr>
              <w:t>25</w:t>
            </w:r>
            <w:r>
              <w:rPr>
                <w:rFonts w:hint="default"/>
                <w:color w:val="auto"/>
                <w:highlight w:val="none"/>
              </w:rPr>
              <w:t>年江西省各县（市、区）六项污染物浓度年均值</w:t>
            </w:r>
            <w:r>
              <w:rPr>
                <w:rFonts w:hint="eastAsia"/>
                <w:color w:val="auto"/>
                <w:highlight w:val="none"/>
                <w:lang w:eastAsia="zh-CN"/>
              </w:rPr>
              <w:t>”</w:t>
            </w:r>
            <w:r>
              <w:rPr>
                <w:rFonts w:hint="default"/>
                <w:color w:val="auto"/>
                <w:highlight w:val="none"/>
                <w:lang w:eastAsia="zh-CN"/>
              </w:rPr>
              <w:t>中</w:t>
            </w:r>
            <w:r>
              <w:rPr>
                <w:rFonts w:hint="eastAsia"/>
                <w:color w:val="auto"/>
                <w:highlight w:val="none"/>
                <w:lang w:val="en-US" w:eastAsia="zh-CN"/>
              </w:rPr>
              <w:t>安义县</w:t>
            </w:r>
            <w:r>
              <w:rPr>
                <w:rFonts w:hint="default"/>
                <w:color w:val="auto"/>
                <w:highlight w:val="none"/>
                <w:lang w:eastAsia="zh-CN"/>
              </w:rPr>
              <w:t>数据对本项目区域达标性进行判定</w:t>
            </w:r>
            <w:r>
              <w:rPr>
                <w:rFonts w:hint="default"/>
                <w:color w:val="auto"/>
                <w:highlight w:val="none"/>
              </w:rPr>
              <w:t>，统计结果见表</w:t>
            </w:r>
            <w:r>
              <w:rPr>
                <w:rFonts w:hint="eastAsia"/>
                <w:color w:val="auto"/>
                <w:highlight w:val="none"/>
                <w:lang w:val="en-US" w:eastAsia="zh-CN"/>
              </w:rPr>
              <w:t>3</w:t>
            </w:r>
            <w:r>
              <w:rPr>
                <w:rFonts w:hint="default"/>
                <w:color w:val="auto"/>
                <w:highlight w:val="none"/>
                <w:lang w:val="en-US" w:eastAsia="zh-CN"/>
              </w:rPr>
              <w:t>-</w:t>
            </w:r>
            <w:r>
              <w:rPr>
                <w:rFonts w:hint="eastAsia"/>
                <w:color w:val="auto"/>
                <w:highlight w:val="none"/>
                <w:lang w:val="en-US" w:eastAsia="zh-CN"/>
              </w:rPr>
              <w:t>1</w:t>
            </w:r>
            <w:r>
              <w:rPr>
                <w:rFonts w:hint="default"/>
                <w:color w:val="auto"/>
                <w:highlight w:val="none"/>
              </w:rPr>
              <w:t>。</w:t>
            </w:r>
          </w:p>
          <w:p w14:paraId="37D33DAE">
            <w:pPr>
              <w:pStyle w:val="6"/>
              <w:keepNext w:val="0"/>
              <w:keepLines w:val="0"/>
              <w:suppressLineNumbers w:val="0"/>
              <w:bidi w:val="0"/>
              <w:spacing w:before="0" w:beforeAutospacing="0" w:after="0" w:afterAutospacing="0"/>
              <w:ind w:right="0"/>
              <w:jc w:val="center"/>
              <w:rPr>
                <w:rFonts w:hint="default"/>
                <w:b/>
                <w:bCs/>
                <w:color w:val="auto"/>
                <w:highlight w:val="none"/>
              </w:rPr>
            </w:pPr>
            <w:r>
              <w:rPr>
                <w:rFonts w:hint="default"/>
                <w:b/>
                <w:bCs/>
                <w:color w:val="auto"/>
                <w:highlight w:val="none"/>
              </w:rPr>
              <w:t>表</w:t>
            </w:r>
            <w:r>
              <w:rPr>
                <w:rFonts w:hint="eastAsia"/>
                <w:b/>
                <w:bCs/>
                <w:color w:val="auto"/>
                <w:highlight w:val="none"/>
                <w:lang w:val="en-US" w:eastAsia="zh-CN"/>
              </w:rPr>
              <w:t xml:space="preserve">3-1  </w:t>
            </w:r>
            <w:r>
              <w:rPr>
                <w:rFonts w:hint="default"/>
                <w:b/>
                <w:bCs/>
                <w:color w:val="auto"/>
                <w:highlight w:val="none"/>
              </w:rPr>
              <w:t xml:space="preserve"> 区域空气质量现状评价表</w:t>
            </w:r>
          </w:p>
          <w:tbl>
            <w:tblPr>
              <w:tblStyle w:val="32"/>
              <w:tblW w:w="838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3" w:type="dxa"/>
                <w:bottom w:w="0" w:type="dxa"/>
                <w:right w:w="23" w:type="dxa"/>
              </w:tblCellMar>
            </w:tblPr>
            <w:tblGrid>
              <w:gridCol w:w="554"/>
              <w:gridCol w:w="732"/>
              <w:gridCol w:w="1740"/>
              <w:gridCol w:w="1816"/>
              <w:gridCol w:w="1717"/>
              <w:gridCol w:w="878"/>
              <w:gridCol w:w="946"/>
            </w:tblGrid>
            <w:tr w14:paraId="74C5E3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cantSplit/>
                <w:trHeight w:val="369" w:hRule="atLeast"/>
                <w:jc w:val="center"/>
              </w:trPr>
              <w:tc>
                <w:tcPr>
                  <w:tcW w:w="554" w:type="dxa"/>
                  <w:tcBorders>
                    <w:bottom w:val="single" w:color="auto" w:sz="12" w:space="0"/>
                  </w:tcBorders>
                  <w:vAlign w:val="center"/>
                </w:tcPr>
                <w:p w14:paraId="4D2C3755">
                  <w:pPr>
                    <w:pStyle w:val="6"/>
                    <w:keepNext w:val="0"/>
                    <w:keepLines w:val="0"/>
                    <w:suppressLineNumbers w:val="0"/>
                    <w:bidi w:val="0"/>
                    <w:spacing w:before="0" w:beforeAutospacing="0" w:after="0" w:afterAutospacing="0"/>
                    <w:ind w:right="0"/>
                    <w:jc w:val="center"/>
                    <w:rPr>
                      <w:rFonts w:hint="default"/>
                      <w:b/>
                      <w:bCs/>
                      <w:color w:val="auto"/>
                      <w:highlight w:val="none"/>
                    </w:rPr>
                  </w:pPr>
                  <w:r>
                    <w:rPr>
                      <w:rFonts w:hint="default"/>
                      <w:b/>
                      <w:bCs/>
                      <w:color w:val="auto"/>
                      <w:highlight w:val="none"/>
                    </w:rPr>
                    <w:t>序号</w:t>
                  </w:r>
                </w:p>
              </w:tc>
              <w:tc>
                <w:tcPr>
                  <w:tcW w:w="732" w:type="dxa"/>
                  <w:tcBorders>
                    <w:bottom w:val="single" w:color="auto" w:sz="12" w:space="0"/>
                  </w:tcBorders>
                  <w:vAlign w:val="center"/>
                </w:tcPr>
                <w:p w14:paraId="7E821826">
                  <w:pPr>
                    <w:pStyle w:val="6"/>
                    <w:keepNext w:val="0"/>
                    <w:keepLines w:val="0"/>
                    <w:suppressLineNumbers w:val="0"/>
                    <w:bidi w:val="0"/>
                    <w:spacing w:before="0" w:beforeAutospacing="0" w:after="0" w:afterAutospacing="0"/>
                    <w:ind w:right="0"/>
                    <w:jc w:val="center"/>
                    <w:rPr>
                      <w:rFonts w:hint="default"/>
                      <w:b/>
                      <w:bCs/>
                      <w:color w:val="auto"/>
                      <w:highlight w:val="none"/>
                    </w:rPr>
                  </w:pPr>
                  <w:r>
                    <w:rPr>
                      <w:rFonts w:hint="default"/>
                      <w:b/>
                      <w:bCs/>
                      <w:color w:val="auto"/>
                      <w:highlight w:val="none"/>
                    </w:rPr>
                    <w:t>污染物</w:t>
                  </w:r>
                </w:p>
              </w:tc>
              <w:tc>
                <w:tcPr>
                  <w:tcW w:w="1740" w:type="dxa"/>
                  <w:tcBorders>
                    <w:bottom w:val="single" w:color="auto" w:sz="12" w:space="0"/>
                  </w:tcBorders>
                  <w:vAlign w:val="center"/>
                </w:tcPr>
                <w:p w14:paraId="7765787C">
                  <w:pPr>
                    <w:pStyle w:val="6"/>
                    <w:keepNext w:val="0"/>
                    <w:keepLines w:val="0"/>
                    <w:suppressLineNumbers w:val="0"/>
                    <w:bidi w:val="0"/>
                    <w:spacing w:before="0" w:beforeAutospacing="0" w:after="0" w:afterAutospacing="0"/>
                    <w:ind w:right="0"/>
                    <w:jc w:val="center"/>
                    <w:rPr>
                      <w:rFonts w:hint="default"/>
                      <w:b/>
                      <w:bCs/>
                      <w:color w:val="auto"/>
                      <w:highlight w:val="none"/>
                    </w:rPr>
                  </w:pPr>
                  <w:r>
                    <w:rPr>
                      <w:rFonts w:hint="default"/>
                      <w:b/>
                      <w:bCs/>
                      <w:color w:val="auto"/>
                      <w:highlight w:val="none"/>
                    </w:rPr>
                    <w:t>年评价指标</w:t>
                  </w:r>
                </w:p>
              </w:tc>
              <w:tc>
                <w:tcPr>
                  <w:tcW w:w="1816" w:type="dxa"/>
                  <w:tcBorders>
                    <w:bottom w:val="single" w:color="auto" w:sz="12" w:space="0"/>
                  </w:tcBorders>
                  <w:vAlign w:val="center"/>
                </w:tcPr>
                <w:p w14:paraId="03C995CA">
                  <w:pPr>
                    <w:pStyle w:val="6"/>
                    <w:keepNext w:val="0"/>
                    <w:keepLines w:val="0"/>
                    <w:suppressLineNumbers w:val="0"/>
                    <w:bidi w:val="0"/>
                    <w:spacing w:before="0" w:beforeAutospacing="0" w:after="0" w:afterAutospacing="0"/>
                    <w:ind w:right="0"/>
                    <w:jc w:val="center"/>
                    <w:rPr>
                      <w:rFonts w:hint="default"/>
                      <w:b/>
                      <w:bCs/>
                      <w:color w:val="auto"/>
                      <w:highlight w:val="none"/>
                    </w:rPr>
                  </w:pPr>
                  <w:r>
                    <w:rPr>
                      <w:rFonts w:hint="default"/>
                      <w:b/>
                      <w:bCs/>
                      <w:color w:val="auto"/>
                      <w:highlight w:val="none"/>
                    </w:rPr>
                    <w:t>现状浓度/（μg/m</w:t>
                  </w:r>
                  <w:r>
                    <w:rPr>
                      <w:rFonts w:hint="default"/>
                      <w:b/>
                      <w:bCs/>
                      <w:color w:val="auto"/>
                      <w:highlight w:val="none"/>
                      <w:vertAlign w:val="superscript"/>
                    </w:rPr>
                    <w:t>3</w:t>
                  </w:r>
                  <w:r>
                    <w:rPr>
                      <w:rFonts w:hint="default"/>
                      <w:b/>
                      <w:bCs/>
                      <w:color w:val="auto"/>
                      <w:highlight w:val="none"/>
                    </w:rPr>
                    <w:t>）</w:t>
                  </w:r>
                </w:p>
              </w:tc>
              <w:tc>
                <w:tcPr>
                  <w:tcW w:w="1717" w:type="dxa"/>
                  <w:tcBorders>
                    <w:bottom w:val="single" w:color="auto" w:sz="12" w:space="0"/>
                  </w:tcBorders>
                  <w:vAlign w:val="center"/>
                </w:tcPr>
                <w:p w14:paraId="207C935E">
                  <w:pPr>
                    <w:pStyle w:val="6"/>
                    <w:keepNext w:val="0"/>
                    <w:keepLines w:val="0"/>
                    <w:suppressLineNumbers w:val="0"/>
                    <w:bidi w:val="0"/>
                    <w:spacing w:before="0" w:beforeAutospacing="0" w:after="0" w:afterAutospacing="0"/>
                    <w:ind w:right="0"/>
                    <w:jc w:val="center"/>
                    <w:rPr>
                      <w:rFonts w:hint="default"/>
                      <w:b/>
                      <w:bCs/>
                      <w:color w:val="auto"/>
                      <w:highlight w:val="none"/>
                    </w:rPr>
                  </w:pPr>
                  <w:r>
                    <w:rPr>
                      <w:rFonts w:hint="eastAsia"/>
                      <w:b/>
                      <w:bCs/>
                      <w:color w:val="auto"/>
                      <w:highlight w:val="none"/>
                      <w:lang w:val="en-US" w:eastAsia="zh-CN"/>
                    </w:rPr>
                    <w:t>过渡阶段浓度限值</w:t>
                  </w:r>
                  <w:r>
                    <w:rPr>
                      <w:rFonts w:hint="default"/>
                      <w:b/>
                      <w:bCs/>
                      <w:color w:val="auto"/>
                      <w:highlight w:val="none"/>
                    </w:rPr>
                    <w:t>/（μg/m</w:t>
                  </w:r>
                  <w:r>
                    <w:rPr>
                      <w:rFonts w:hint="default"/>
                      <w:b/>
                      <w:bCs/>
                      <w:color w:val="auto"/>
                      <w:highlight w:val="none"/>
                      <w:vertAlign w:val="superscript"/>
                    </w:rPr>
                    <w:t>3</w:t>
                  </w:r>
                  <w:r>
                    <w:rPr>
                      <w:rFonts w:hint="default"/>
                      <w:b/>
                      <w:bCs/>
                      <w:color w:val="auto"/>
                      <w:highlight w:val="none"/>
                    </w:rPr>
                    <w:t>）</w:t>
                  </w:r>
                </w:p>
              </w:tc>
              <w:tc>
                <w:tcPr>
                  <w:tcW w:w="878" w:type="dxa"/>
                  <w:tcBorders>
                    <w:bottom w:val="single" w:color="auto" w:sz="12" w:space="0"/>
                  </w:tcBorders>
                  <w:vAlign w:val="center"/>
                </w:tcPr>
                <w:p w14:paraId="79E36CCC">
                  <w:pPr>
                    <w:pStyle w:val="6"/>
                    <w:keepNext w:val="0"/>
                    <w:keepLines w:val="0"/>
                    <w:suppressLineNumbers w:val="0"/>
                    <w:bidi w:val="0"/>
                    <w:spacing w:before="0" w:beforeAutospacing="0" w:after="0" w:afterAutospacing="0"/>
                    <w:ind w:right="0"/>
                    <w:jc w:val="center"/>
                    <w:rPr>
                      <w:rFonts w:hint="default"/>
                      <w:b/>
                      <w:bCs/>
                      <w:color w:val="auto"/>
                      <w:highlight w:val="none"/>
                    </w:rPr>
                  </w:pPr>
                  <w:r>
                    <w:rPr>
                      <w:rFonts w:hint="default"/>
                      <w:b/>
                      <w:bCs/>
                      <w:color w:val="auto"/>
                      <w:highlight w:val="none"/>
                    </w:rPr>
                    <w:t>占标率</w:t>
                  </w:r>
                </w:p>
                <w:p w14:paraId="482DDE84">
                  <w:pPr>
                    <w:pStyle w:val="6"/>
                    <w:keepNext w:val="0"/>
                    <w:keepLines w:val="0"/>
                    <w:suppressLineNumbers w:val="0"/>
                    <w:bidi w:val="0"/>
                    <w:spacing w:before="0" w:beforeAutospacing="0" w:after="0" w:afterAutospacing="0"/>
                    <w:ind w:right="0"/>
                    <w:jc w:val="center"/>
                    <w:rPr>
                      <w:rFonts w:hint="default"/>
                      <w:b/>
                      <w:bCs/>
                      <w:color w:val="auto"/>
                      <w:highlight w:val="none"/>
                    </w:rPr>
                  </w:pPr>
                  <w:r>
                    <w:rPr>
                      <w:rFonts w:hint="default"/>
                      <w:b/>
                      <w:bCs/>
                      <w:color w:val="auto"/>
                      <w:highlight w:val="none"/>
                    </w:rPr>
                    <w:t>/%</w:t>
                  </w:r>
                </w:p>
              </w:tc>
              <w:tc>
                <w:tcPr>
                  <w:tcW w:w="946" w:type="dxa"/>
                  <w:tcBorders>
                    <w:bottom w:val="single" w:color="auto" w:sz="12" w:space="0"/>
                  </w:tcBorders>
                  <w:vAlign w:val="center"/>
                </w:tcPr>
                <w:p w14:paraId="5C569C47">
                  <w:pPr>
                    <w:pStyle w:val="6"/>
                    <w:keepNext w:val="0"/>
                    <w:keepLines w:val="0"/>
                    <w:suppressLineNumbers w:val="0"/>
                    <w:bidi w:val="0"/>
                    <w:spacing w:before="0" w:beforeAutospacing="0" w:after="0" w:afterAutospacing="0"/>
                    <w:ind w:right="0"/>
                    <w:jc w:val="center"/>
                    <w:rPr>
                      <w:rFonts w:hint="default"/>
                      <w:b/>
                      <w:bCs/>
                      <w:color w:val="auto"/>
                      <w:highlight w:val="none"/>
                    </w:rPr>
                  </w:pPr>
                  <w:r>
                    <w:rPr>
                      <w:rFonts w:hint="default"/>
                      <w:b/>
                      <w:bCs/>
                      <w:color w:val="auto"/>
                      <w:highlight w:val="none"/>
                    </w:rPr>
                    <w:t>达标</w:t>
                  </w:r>
                </w:p>
                <w:p w14:paraId="5CF91222">
                  <w:pPr>
                    <w:pStyle w:val="6"/>
                    <w:keepNext w:val="0"/>
                    <w:keepLines w:val="0"/>
                    <w:suppressLineNumbers w:val="0"/>
                    <w:bidi w:val="0"/>
                    <w:spacing w:before="0" w:beforeAutospacing="0" w:after="0" w:afterAutospacing="0"/>
                    <w:ind w:right="0"/>
                    <w:jc w:val="center"/>
                    <w:rPr>
                      <w:rFonts w:hint="default"/>
                      <w:b/>
                      <w:bCs/>
                      <w:color w:val="auto"/>
                      <w:highlight w:val="none"/>
                    </w:rPr>
                  </w:pPr>
                  <w:r>
                    <w:rPr>
                      <w:rFonts w:hint="default"/>
                      <w:b/>
                      <w:bCs/>
                      <w:color w:val="auto"/>
                      <w:highlight w:val="none"/>
                    </w:rPr>
                    <w:t>情况</w:t>
                  </w:r>
                </w:p>
              </w:tc>
            </w:tr>
            <w:tr w14:paraId="1EB307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cantSplit/>
                <w:trHeight w:val="369" w:hRule="atLeast"/>
                <w:jc w:val="center"/>
              </w:trPr>
              <w:tc>
                <w:tcPr>
                  <w:tcW w:w="554" w:type="dxa"/>
                  <w:tcBorders>
                    <w:top w:val="single" w:color="auto" w:sz="12" w:space="0"/>
                  </w:tcBorders>
                  <w:vAlign w:val="center"/>
                </w:tcPr>
                <w:p w14:paraId="221A49B7">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rPr>
                    <w:t>1</w:t>
                  </w:r>
                </w:p>
              </w:tc>
              <w:tc>
                <w:tcPr>
                  <w:tcW w:w="732" w:type="dxa"/>
                  <w:tcBorders>
                    <w:top w:val="single" w:color="auto" w:sz="12" w:space="0"/>
                  </w:tcBorders>
                  <w:vAlign w:val="center"/>
                </w:tcPr>
                <w:p w14:paraId="3118EAF2">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rPr>
                    <w:t>SO</w:t>
                  </w:r>
                  <w:r>
                    <w:rPr>
                      <w:rFonts w:hint="default"/>
                      <w:color w:val="auto"/>
                      <w:highlight w:val="none"/>
                      <w:vertAlign w:val="subscript"/>
                    </w:rPr>
                    <w:t>2</w:t>
                  </w:r>
                </w:p>
              </w:tc>
              <w:tc>
                <w:tcPr>
                  <w:tcW w:w="1740" w:type="dxa"/>
                  <w:tcBorders>
                    <w:top w:val="single" w:color="auto" w:sz="12" w:space="0"/>
                  </w:tcBorders>
                  <w:vAlign w:val="center"/>
                </w:tcPr>
                <w:p w14:paraId="52BAB881">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rPr>
                    <w:t>年平均质量浓度</w:t>
                  </w:r>
                </w:p>
              </w:tc>
              <w:tc>
                <w:tcPr>
                  <w:tcW w:w="1816" w:type="dxa"/>
                  <w:tcBorders>
                    <w:top w:val="single" w:color="auto" w:sz="12" w:space="0"/>
                  </w:tcBorders>
                  <w:vAlign w:val="center"/>
                </w:tcPr>
                <w:p w14:paraId="5BF4FD11">
                  <w:pPr>
                    <w:pStyle w:val="6"/>
                    <w:keepNext w:val="0"/>
                    <w:keepLines w:val="0"/>
                    <w:suppressLineNumbers w:val="0"/>
                    <w:bidi w:val="0"/>
                    <w:spacing w:before="0" w:beforeAutospacing="0" w:after="0" w:afterAutospacing="0"/>
                    <w:ind w:left="0" w:leftChars="0" w:right="0" w:rightChars="0" w:firstLine="0" w:firstLineChars="0"/>
                    <w:rPr>
                      <w:rFonts w:hint="default" w:eastAsia="宋体"/>
                      <w:color w:val="auto"/>
                      <w:highlight w:val="none"/>
                      <w:lang w:val="en-US" w:eastAsia="zh-CN"/>
                    </w:rPr>
                  </w:pPr>
                  <w:r>
                    <w:rPr>
                      <w:rFonts w:hint="eastAsia"/>
                      <w:color w:val="auto"/>
                      <w:highlight w:val="none"/>
                      <w:lang w:val="en-US" w:eastAsia="zh-CN"/>
                    </w:rPr>
                    <w:t>8</w:t>
                  </w:r>
                </w:p>
              </w:tc>
              <w:tc>
                <w:tcPr>
                  <w:tcW w:w="1717" w:type="dxa"/>
                  <w:tcBorders>
                    <w:top w:val="single" w:color="auto" w:sz="12" w:space="0"/>
                  </w:tcBorders>
                  <w:vAlign w:val="center"/>
                </w:tcPr>
                <w:p w14:paraId="40ACE0FD">
                  <w:pPr>
                    <w:pStyle w:val="6"/>
                    <w:keepNext w:val="0"/>
                    <w:keepLines w:val="0"/>
                    <w:suppressLineNumbers w:val="0"/>
                    <w:bidi w:val="0"/>
                    <w:spacing w:before="0" w:beforeAutospacing="0" w:after="0" w:afterAutospacing="0"/>
                    <w:ind w:left="0" w:leftChars="0" w:right="0" w:rightChars="0" w:firstLine="0" w:firstLineChars="0"/>
                    <w:rPr>
                      <w:rFonts w:hint="default" w:eastAsia="宋体"/>
                      <w:color w:val="auto"/>
                      <w:highlight w:val="none"/>
                      <w:lang w:val="en-US" w:eastAsia="zh-CN"/>
                    </w:rPr>
                  </w:pPr>
                  <w:r>
                    <w:rPr>
                      <w:rFonts w:hint="eastAsia"/>
                      <w:color w:val="auto"/>
                      <w:highlight w:val="none"/>
                      <w:lang w:val="en-US" w:eastAsia="zh-CN"/>
                    </w:rPr>
                    <w:t>60</w:t>
                  </w:r>
                </w:p>
              </w:tc>
              <w:tc>
                <w:tcPr>
                  <w:tcW w:w="878" w:type="dxa"/>
                  <w:tcBorders>
                    <w:top w:val="single" w:color="auto" w:sz="12" w:space="0"/>
                  </w:tcBorders>
                  <w:vAlign w:val="center"/>
                </w:tcPr>
                <w:p w14:paraId="4779369D">
                  <w:pPr>
                    <w:pStyle w:val="6"/>
                    <w:keepNext w:val="0"/>
                    <w:keepLines w:val="0"/>
                    <w:suppressLineNumbers w:val="0"/>
                    <w:bidi w:val="0"/>
                    <w:spacing w:before="0" w:beforeAutospacing="0" w:after="0" w:afterAutospacing="0"/>
                    <w:ind w:left="0" w:leftChars="0" w:right="0" w:rightChars="0" w:firstLine="0" w:firstLineChars="0"/>
                    <w:rPr>
                      <w:rFonts w:hint="default" w:eastAsia="宋体"/>
                      <w:color w:val="auto"/>
                      <w:highlight w:val="none"/>
                      <w:lang w:val="en-US" w:eastAsia="zh-CN"/>
                    </w:rPr>
                  </w:pPr>
                  <w:r>
                    <w:rPr>
                      <w:rFonts w:hint="eastAsia"/>
                      <w:color w:val="auto"/>
                      <w:highlight w:val="none"/>
                      <w:lang w:val="en-US" w:eastAsia="zh-CN"/>
                    </w:rPr>
                    <w:t>13.3</w:t>
                  </w:r>
                </w:p>
              </w:tc>
              <w:tc>
                <w:tcPr>
                  <w:tcW w:w="946" w:type="dxa"/>
                  <w:tcBorders>
                    <w:top w:val="single" w:color="auto" w:sz="12" w:space="0"/>
                  </w:tcBorders>
                  <w:vAlign w:val="center"/>
                </w:tcPr>
                <w:p w14:paraId="6E6CFE15">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rPr>
                    <w:t>达标</w:t>
                  </w:r>
                </w:p>
              </w:tc>
            </w:tr>
            <w:tr w14:paraId="6AED71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cantSplit/>
                <w:trHeight w:val="369" w:hRule="atLeast"/>
                <w:jc w:val="center"/>
              </w:trPr>
              <w:tc>
                <w:tcPr>
                  <w:tcW w:w="554" w:type="dxa"/>
                  <w:vAlign w:val="center"/>
                </w:tcPr>
                <w:p w14:paraId="0D1A85F8">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rPr>
                    <w:t>2</w:t>
                  </w:r>
                </w:p>
              </w:tc>
              <w:tc>
                <w:tcPr>
                  <w:tcW w:w="732" w:type="dxa"/>
                  <w:vAlign w:val="center"/>
                </w:tcPr>
                <w:p w14:paraId="5B9CD95F">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rPr>
                    <w:t>NO</w:t>
                  </w:r>
                  <w:r>
                    <w:rPr>
                      <w:rFonts w:hint="default"/>
                      <w:color w:val="auto"/>
                      <w:highlight w:val="none"/>
                      <w:vertAlign w:val="subscript"/>
                    </w:rPr>
                    <w:t>2</w:t>
                  </w:r>
                </w:p>
              </w:tc>
              <w:tc>
                <w:tcPr>
                  <w:tcW w:w="1740" w:type="dxa"/>
                  <w:vAlign w:val="center"/>
                </w:tcPr>
                <w:p w14:paraId="62F1FFA1">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rPr>
                    <w:t>年平均质量浓度</w:t>
                  </w:r>
                </w:p>
              </w:tc>
              <w:tc>
                <w:tcPr>
                  <w:tcW w:w="1816" w:type="dxa"/>
                  <w:vAlign w:val="center"/>
                </w:tcPr>
                <w:p w14:paraId="2C426416">
                  <w:pPr>
                    <w:pStyle w:val="6"/>
                    <w:keepNext w:val="0"/>
                    <w:keepLines w:val="0"/>
                    <w:suppressLineNumbers w:val="0"/>
                    <w:bidi w:val="0"/>
                    <w:spacing w:before="0" w:beforeAutospacing="0" w:after="0" w:afterAutospacing="0"/>
                    <w:ind w:left="0" w:leftChars="0" w:right="0" w:rightChars="0" w:firstLine="0" w:firstLineChars="0"/>
                    <w:rPr>
                      <w:rFonts w:hint="default" w:eastAsia="宋体"/>
                      <w:color w:val="auto"/>
                      <w:highlight w:val="none"/>
                      <w:lang w:val="en-US" w:eastAsia="zh-CN"/>
                    </w:rPr>
                  </w:pPr>
                  <w:r>
                    <w:rPr>
                      <w:rFonts w:hint="eastAsia"/>
                      <w:color w:val="auto"/>
                      <w:highlight w:val="none"/>
                      <w:lang w:val="en-US" w:eastAsia="zh-CN"/>
                    </w:rPr>
                    <w:t>15</w:t>
                  </w:r>
                </w:p>
              </w:tc>
              <w:tc>
                <w:tcPr>
                  <w:tcW w:w="1717" w:type="dxa"/>
                  <w:vAlign w:val="center"/>
                </w:tcPr>
                <w:p w14:paraId="07861862">
                  <w:pPr>
                    <w:pStyle w:val="6"/>
                    <w:keepNext w:val="0"/>
                    <w:keepLines w:val="0"/>
                    <w:suppressLineNumbers w:val="0"/>
                    <w:bidi w:val="0"/>
                    <w:spacing w:before="0" w:beforeAutospacing="0" w:after="0" w:afterAutospacing="0"/>
                    <w:ind w:left="0" w:leftChars="0" w:right="0" w:rightChars="0" w:firstLine="0" w:firstLineChars="0"/>
                    <w:rPr>
                      <w:rFonts w:hint="default" w:eastAsia="宋体"/>
                      <w:color w:val="auto"/>
                      <w:highlight w:val="none"/>
                      <w:lang w:val="en-US" w:eastAsia="zh-CN"/>
                    </w:rPr>
                  </w:pPr>
                  <w:r>
                    <w:rPr>
                      <w:rFonts w:hint="eastAsia"/>
                      <w:color w:val="auto"/>
                      <w:highlight w:val="none"/>
                      <w:lang w:val="en-US" w:eastAsia="zh-CN"/>
                    </w:rPr>
                    <w:t>40</w:t>
                  </w:r>
                </w:p>
              </w:tc>
              <w:tc>
                <w:tcPr>
                  <w:tcW w:w="878" w:type="dxa"/>
                  <w:vAlign w:val="center"/>
                </w:tcPr>
                <w:p w14:paraId="545293B5">
                  <w:pPr>
                    <w:pStyle w:val="6"/>
                    <w:keepNext w:val="0"/>
                    <w:keepLines w:val="0"/>
                    <w:suppressLineNumbers w:val="0"/>
                    <w:bidi w:val="0"/>
                    <w:spacing w:before="0" w:beforeAutospacing="0" w:after="0" w:afterAutospacing="0"/>
                    <w:ind w:left="0" w:leftChars="0" w:right="0" w:rightChars="0" w:firstLine="0" w:firstLineChars="0"/>
                    <w:rPr>
                      <w:rFonts w:hint="default"/>
                      <w:color w:val="auto"/>
                      <w:highlight w:val="none"/>
                      <w:lang w:val="en-US" w:eastAsia="zh-CN"/>
                    </w:rPr>
                  </w:pPr>
                  <w:r>
                    <w:rPr>
                      <w:rFonts w:hint="eastAsia"/>
                      <w:color w:val="auto"/>
                      <w:highlight w:val="none"/>
                      <w:lang w:val="en-US" w:eastAsia="zh-CN"/>
                    </w:rPr>
                    <w:t>37.5</w:t>
                  </w:r>
                </w:p>
              </w:tc>
              <w:tc>
                <w:tcPr>
                  <w:tcW w:w="946" w:type="dxa"/>
                  <w:vAlign w:val="center"/>
                </w:tcPr>
                <w:p w14:paraId="77B8C4EA">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rPr>
                    <w:t>达标</w:t>
                  </w:r>
                </w:p>
              </w:tc>
            </w:tr>
            <w:tr w14:paraId="386144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cantSplit/>
                <w:trHeight w:val="369" w:hRule="atLeast"/>
                <w:jc w:val="center"/>
              </w:trPr>
              <w:tc>
                <w:tcPr>
                  <w:tcW w:w="554" w:type="dxa"/>
                  <w:vAlign w:val="center"/>
                </w:tcPr>
                <w:p w14:paraId="325DFD91">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rPr>
                    <w:t>3</w:t>
                  </w:r>
                </w:p>
              </w:tc>
              <w:tc>
                <w:tcPr>
                  <w:tcW w:w="732" w:type="dxa"/>
                  <w:vAlign w:val="center"/>
                </w:tcPr>
                <w:p w14:paraId="1B81165D">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rPr>
                    <w:t>PM</w:t>
                  </w:r>
                  <w:r>
                    <w:rPr>
                      <w:rFonts w:hint="default"/>
                      <w:color w:val="auto"/>
                      <w:highlight w:val="none"/>
                      <w:vertAlign w:val="subscript"/>
                    </w:rPr>
                    <w:t>10</w:t>
                  </w:r>
                </w:p>
              </w:tc>
              <w:tc>
                <w:tcPr>
                  <w:tcW w:w="1740" w:type="dxa"/>
                  <w:vAlign w:val="center"/>
                </w:tcPr>
                <w:p w14:paraId="1441421D">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rPr>
                    <w:t>年平均质量浓度</w:t>
                  </w:r>
                </w:p>
              </w:tc>
              <w:tc>
                <w:tcPr>
                  <w:tcW w:w="1816" w:type="dxa"/>
                  <w:vAlign w:val="center"/>
                </w:tcPr>
                <w:p w14:paraId="5119F7D6">
                  <w:pPr>
                    <w:pStyle w:val="6"/>
                    <w:keepNext w:val="0"/>
                    <w:keepLines w:val="0"/>
                    <w:suppressLineNumbers w:val="0"/>
                    <w:bidi w:val="0"/>
                    <w:spacing w:before="0" w:beforeAutospacing="0" w:after="0" w:afterAutospacing="0"/>
                    <w:ind w:left="0" w:leftChars="0" w:right="0" w:rightChars="0" w:firstLine="0" w:firstLineChars="0"/>
                    <w:rPr>
                      <w:rFonts w:hint="default"/>
                      <w:color w:val="auto"/>
                      <w:highlight w:val="none"/>
                      <w:lang w:val="en-US" w:eastAsia="zh-CN"/>
                    </w:rPr>
                  </w:pPr>
                  <w:r>
                    <w:rPr>
                      <w:rFonts w:hint="eastAsia"/>
                      <w:color w:val="auto"/>
                      <w:highlight w:val="none"/>
                      <w:lang w:val="en-US" w:eastAsia="zh-CN"/>
                    </w:rPr>
                    <w:t>28</w:t>
                  </w:r>
                </w:p>
              </w:tc>
              <w:tc>
                <w:tcPr>
                  <w:tcW w:w="1717" w:type="dxa"/>
                  <w:vAlign w:val="center"/>
                </w:tcPr>
                <w:p w14:paraId="2FB372EF">
                  <w:pPr>
                    <w:pStyle w:val="6"/>
                    <w:keepNext w:val="0"/>
                    <w:keepLines w:val="0"/>
                    <w:suppressLineNumbers w:val="0"/>
                    <w:bidi w:val="0"/>
                    <w:spacing w:before="0" w:beforeAutospacing="0" w:after="0" w:afterAutospacing="0"/>
                    <w:ind w:left="0" w:leftChars="0" w:right="0" w:rightChars="0" w:firstLine="0" w:firstLineChars="0"/>
                    <w:rPr>
                      <w:rFonts w:hint="default" w:eastAsia="宋体"/>
                      <w:color w:val="auto"/>
                      <w:highlight w:val="none"/>
                      <w:lang w:val="en-US" w:eastAsia="zh-CN"/>
                    </w:rPr>
                  </w:pPr>
                  <w:r>
                    <w:rPr>
                      <w:rFonts w:hint="eastAsia"/>
                      <w:color w:val="auto"/>
                      <w:highlight w:val="none"/>
                      <w:lang w:val="en-US" w:eastAsia="zh-CN"/>
                    </w:rPr>
                    <w:t>60</w:t>
                  </w:r>
                </w:p>
              </w:tc>
              <w:tc>
                <w:tcPr>
                  <w:tcW w:w="878" w:type="dxa"/>
                  <w:vAlign w:val="center"/>
                </w:tcPr>
                <w:p w14:paraId="4D64E328">
                  <w:pPr>
                    <w:pStyle w:val="6"/>
                    <w:keepNext w:val="0"/>
                    <w:keepLines w:val="0"/>
                    <w:suppressLineNumbers w:val="0"/>
                    <w:bidi w:val="0"/>
                    <w:spacing w:before="0" w:beforeAutospacing="0" w:after="0" w:afterAutospacing="0"/>
                    <w:ind w:left="0" w:leftChars="0" w:right="0" w:rightChars="0" w:firstLine="0" w:firstLineChars="0"/>
                    <w:rPr>
                      <w:rFonts w:hint="default"/>
                      <w:color w:val="auto"/>
                      <w:highlight w:val="none"/>
                      <w:lang w:val="en-US" w:eastAsia="zh-CN"/>
                    </w:rPr>
                  </w:pPr>
                  <w:r>
                    <w:rPr>
                      <w:rFonts w:hint="eastAsia"/>
                      <w:color w:val="auto"/>
                      <w:highlight w:val="none"/>
                      <w:lang w:val="en-US" w:eastAsia="zh-CN"/>
                    </w:rPr>
                    <w:t>46.7</w:t>
                  </w:r>
                </w:p>
              </w:tc>
              <w:tc>
                <w:tcPr>
                  <w:tcW w:w="946" w:type="dxa"/>
                  <w:vAlign w:val="center"/>
                </w:tcPr>
                <w:p w14:paraId="3713CE98">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rPr>
                    <w:t>达标</w:t>
                  </w:r>
                </w:p>
              </w:tc>
            </w:tr>
            <w:tr w14:paraId="74137E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cantSplit/>
                <w:trHeight w:val="369" w:hRule="atLeast"/>
                <w:jc w:val="center"/>
              </w:trPr>
              <w:tc>
                <w:tcPr>
                  <w:tcW w:w="554" w:type="dxa"/>
                  <w:vAlign w:val="center"/>
                </w:tcPr>
                <w:p w14:paraId="4514DA9B">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rPr>
                    <w:t>4</w:t>
                  </w:r>
                </w:p>
              </w:tc>
              <w:tc>
                <w:tcPr>
                  <w:tcW w:w="732" w:type="dxa"/>
                  <w:vAlign w:val="center"/>
                </w:tcPr>
                <w:p w14:paraId="4B14263B">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rPr>
                    <w:t>PM</w:t>
                  </w:r>
                  <w:r>
                    <w:rPr>
                      <w:rFonts w:hint="default"/>
                      <w:color w:val="auto"/>
                      <w:highlight w:val="none"/>
                      <w:vertAlign w:val="subscript"/>
                    </w:rPr>
                    <w:t>2.5</w:t>
                  </w:r>
                </w:p>
              </w:tc>
              <w:tc>
                <w:tcPr>
                  <w:tcW w:w="1740" w:type="dxa"/>
                  <w:vAlign w:val="center"/>
                </w:tcPr>
                <w:p w14:paraId="57C9830C">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rPr>
                    <w:t>年平均质量浓度</w:t>
                  </w:r>
                </w:p>
              </w:tc>
              <w:tc>
                <w:tcPr>
                  <w:tcW w:w="1816" w:type="dxa"/>
                  <w:vAlign w:val="center"/>
                </w:tcPr>
                <w:p w14:paraId="7484660F">
                  <w:pPr>
                    <w:pStyle w:val="6"/>
                    <w:keepNext w:val="0"/>
                    <w:keepLines w:val="0"/>
                    <w:suppressLineNumbers w:val="0"/>
                    <w:bidi w:val="0"/>
                    <w:spacing w:before="0" w:beforeAutospacing="0" w:after="0" w:afterAutospacing="0"/>
                    <w:ind w:left="0" w:leftChars="0" w:right="0" w:rightChars="0" w:firstLine="0" w:firstLineChars="0"/>
                    <w:rPr>
                      <w:rFonts w:hint="default"/>
                      <w:color w:val="auto"/>
                      <w:highlight w:val="none"/>
                      <w:lang w:val="en-US" w:eastAsia="zh-CN"/>
                    </w:rPr>
                  </w:pPr>
                  <w:r>
                    <w:rPr>
                      <w:rFonts w:hint="eastAsia"/>
                      <w:color w:val="auto"/>
                      <w:highlight w:val="none"/>
                      <w:lang w:val="en-US" w:eastAsia="zh-CN"/>
                    </w:rPr>
                    <w:t>15</w:t>
                  </w:r>
                </w:p>
              </w:tc>
              <w:tc>
                <w:tcPr>
                  <w:tcW w:w="1717" w:type="dxa"/>
                  <w:vAlign w:val="center"/>
                </w:tcPr>
                <w:p w14:paraId="67A3C1C1">
                  <w:pPr>
                    <w:pStyle w:val="6"/>
                    <w:keepNext w:val="0"/>
                    <w:keepLines w:val="0"/>
                    <w:suppressLineNumbers w:val="0"/>
                    <w:bidi w:val="0"/>
                    <w:spacing w:before="0" w:beforeAutospacing="0" w:after="0" w:afterAutospacing="0"/>
                    <w:ind w:left="0" w:leftChars="0" w:right="0" w:rightChars="0" w:firstLine="0" w:firstLineChars="0"/>
                    <w:rPr>
                      <w:rFonts w:hint="default" w:eastAsia="宋体"/>
                      <w:color w:val="auto"/>
                      <w:highlight w:val="none"/>
                      <w:lang w:val="en-US" w:eastAsia="zh-CN"/>
                    </w:rPr>
                  </w:pPr>
                  <w:r>
                    <w:rPr>
                      <w:rFonts w:hint="eastAsia"/>
                      <w:color w:val="auto"/>
                      <w:highlight w:val="none"/>
                      <w:lang w:val="en-US" w:eastAsia="zh-CN"/>
                    </w:rPr>
                    <w:t>30</w:t>
                  </w:r>
                </w:p>
              </w:tc>
              <w:tc>
                <w:tcPr>
                  <w:tcW w:w="878" w:type="dxa"/>
                  <w:vAlign w:val="center"/>
                </w:tcPr>
                <w:p w14:paraId="3C81EB5C">
                  <w:pPr>
                    <w:pStyle w:val="6"/>
                    <w:keepNext w:val="0"/>
                    <w:keepLines w:val="0"/>
                    <w:suppressLineNumbers w:val="0"/>
                    <w:bidi w:val="0"/>
                    <w:spacing w:before="0" w:beforeAutospacing="0" w:after="0" w:afterAutospacing="0"/>
                    <w:ind w:left="0" w:leftChars="0" w:right="0" w:rightChars="0" w:firstLine="0" w:firstLineChars="0"/>
                    <w:rPr>
                      <w:rFonts w:hint="default"/>
                      <w:color w:val="auto"/>
                      <w:highlight w:val="none"/>
                      <w:lang w:val="en-US" w:eastAsia="zh-CN"/>
                    </w:rPr>
                  </w:pPr>
                  <w:r>
                    <w:rPr>
                      <w:rFonts w:hint="eastAsia"/>
                      <w:color w:val="auto"/>
                      <w:highlight w:val="none"/>
                      <w:lang w:val="en-US" w:eastAsia="zh-CN"/>
                    </w:rPr>
                    <w:t>50.0</w:t>
                  </w:r>
                </w:p>
              </w:tc>
              <w:tc>
                <w:tcPr>
                  <w:tcW w:w="946" w:type="dxa"/>
                  <w:vAlign w:val="center"/>
                </w:tcPr>
                <w:p w14:paraId="675D3F36">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rPr>
                    <w:t>达标</w:t>
                  </w:r>
                </w:p>
              </w:tc>
            </w:tr>
            <w:tr w14:paraId="48D0D3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cantSplit/>
                <w:trHeight w:val="369" w:hRule="atLeast"/>
                <w:jc w:val="center"/>
              </w:trPr>
              <w:tc>
                <w:tcPr>
                  <w:tcW w:w="554" w:type="dxa"/>
                  <w:vAlign w:val="center"/>
                </w:tcPr>
                <w:p w14:paraId="337F76B2">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rPr>
                    <w:t>5</w:t>
                  </w:r>
                </w:p>
              </w:tc>
              <w:tc>
                <w:tcPr>
                  <w:tcW w:w="732" w:type="dxa"/>
                  <w:vAlign w:val="center"/>
                </w:tcPr>
                <w:p w14:paraId="16FE9E87">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rPr>
                    <w:t>CO</w:t>
                  </w:r>
                </w:p>
              </w:tc>
              <w:tc>
                <w:tcPr>
                  <w:tcW w:w="1740" w:type="dxa"/>
                  <w:vAlign w:val="center"/>
                </w:tcPr>
                <w:p w14:paraId="25D953FA">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rPr>
                    <w:t>日平均质量浓度95%位数值</w:t>
                  </w:r>
                </w:p>
              </w:tc>
              <w:tc>
                <w:tcPr>
                  <w:tcW w:w="1816" w:type="dxa"/>
                  <w:vAlign w:val="center"/>
                </w:tcPr>
                <w:p w14:paraId="2E422B73">
                  <w:pPr>
                    <w:pStyle w:val="6"/>
                    <w:keepNext w:val="0"/>
                    <w:keepLines w:val="0"/>
                    <w:suppressLineNumbers w:val="0"/>
                    <w:bidi w:val="0"/>
                    <w:spacing w:before="0" w:beforeAutospacing="0" w:after="0" w:afterAutospacing="0"/>
                    <w:ind w:left="0" w:leftChars="0" w:right="0" w:rightChars="0" w:firstLine="0" w:firstLineChars="0"/>
                    <w:rPr>
                      <w:rFonts w:hint="default" w:eastAsia="宋体"/>
                      <w:color w:val="auto"/>
                      <w:highlight w:val="none"/>
                      <w:lang w:val="en-US" w:eastAsia="zh-CN"/>
                    </w:rPr>
                  </w:pPr>
                  <w:r>
                    <w:rPr>
                      <w:rFonts w:hint="eastAsia"/>
                      <w:color w:val="auto"/>
                      <w:highlight w:val="none"/>
                      <w:lang w:val="en-US" w:eastAsia="zh-CN"/>
                    </w:rPr>
                    <w:t>1000</w:t>
                  </w:r>
                </w:p>
              </w:tc>
              <w:tc>
                <w:tcPr>
                  <w:tcW w:w="1717" w:type="dxa"/>
                  <w:vAlign w:val="center"/>
                </w:tcPr>
                <w:p w14:paraId="6ACDAB33">
                  <w:pPr>
                    <w:pStyle w:val="6"/>
                    <w:keepNext w:val="0"/>
                    <w:keepLines w:val="0"/>
                    <w:suppressLineNumbers w:val="0"/>
                    <w:bidi w:val="0"/>
                    <w:spacing w:before="0" w:beforeAutospacing="0" w:after="0" w:afterAutospacing="0"/>
                    <w:ind w:left="0" w:leftChars="0" w:right="0" w:rightChars="0" w:firstLine="0" w:firstLineChars="0"/>
                    <w:rPr>
                      <w:rFonts w:hint="default" w:eastAsia="宋体"/>
                      <w:color w:val="auto"/>
                      <w:highlight w:val="none"/>
                      <w:lang w:val="en-US" w:eastAsia="zh-CN"/>
                    </w:rPr>
                  </w:pPr>
                  <w:r>
                    <w:rPr>
                      <w:rFonts w:hint="eastAsia"/>
                      <w:color w:val="auto"/>
                      <w:highlight w:val="none"/>
                      <w:lang w:val="en-US" w:eastAsia="zh-CN"/>
                    </w:rPr>
                    <w:t>4000</w:t>
                  </w:r>
                </w:p>
              </w:tc>
              <w:tc>
                <w:tcPr>
                  <w:tcW w:w="878" w:type="dxa"/>
                  <w:vAlign w:val="center"/>
                </w:tcPr>
                <w:p w14:paraId="711AA2DE">
                  <w:pPr>
                    <w:pStyle w:val="6"/>
                    <w:keepNext w:val="0"/>
                    <w:keepLines w:val="0"/>
                    <w:suppressLineNumbers w:val="0"/>
                    <w:bidi w:val="0"/>
                    <w:spacing w:before="0" w:beforeAutospacing="0" w:after="0" w:afterAutospacing="0"/>
                    <w:ind w:left="0" w:leftChars="0" w:right="0" w:rightChars="0" w:firstLine="0" w:firstLineChars="0"/>
                    <w:rPr>
                      <w:rFonts w:hint="default"/>
                      <w:color w:val="auto"/>
                      <w:highlight w:val="none"/>
                      <w:lang w:val="en-US" w:eastAsia="zh-CN"/>
                    </w:rPr>
                  </w:pPr>
                  <w:r>
                    <w:rPr>
                      <w:rFonts w:hint="eastAsia"/>
                      <w:color w:val="auto"/>
                      <w:highlight w:val="none"/>
                      <w:lang w:val="en-US" w:eastAsia="zh-CN"/>
                    </w:rPr>
                    <w:t>25.0</w:t>
                  </w:r>
                </w:p>
              </w:tc>
              <w:tc>
                <w:tcPr>
                  <w:tcW w:w="946" w:type="dxa"/>
                  <w:vAlign w:val="center"/>
                </w:tcPr>
                <w:p w14:paraId="70193C2A">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rPr>
                    <w:t>达标</w:t>
                  </w:r>
                </w:p>
              </w:tc>
            </w:tr>
            <w:tr w14:paraId="062E73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cantSplit/>
                <w:trHeight w:val="369" w:hRule="atLeast"/>
                <w:jc w:val="center"/>
              </w:trPr>
              <w:tc>
                <w:tcPr>
                  <w:tcW w:w="554" w:type="dxa"/>
                  <w:vAlign w:val="center"/>
                </w:tcPr>
                <w:p w14:paraId="7C295521">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rPr>
                    <w:t>6</w:t>
                  </w:r>
                </w:p>
              </w:tc>
              <w:tc>
                <w:tcPr>
                  <w:tcW w:w="732" w:type="dxa"/>
                  <w:vAlign w:val="center"/>
                </w:tcPr>
                <w:p w14:paraId="2E06FA7E">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rPr>
                    <w:t>O</w:t>
                  </w:r>
                  <w:r>
                    <w:rPr>
                      <w:rFonts w:hint="default"/>
                      <w:color w:val="auto"/>
                      <w:highlight w:val="none"/>
                      <w:vertAlign w:val="subscript"/>
                    </w:rPr>
                    <w:t>3</w:t>
                  </w:r>
                </w:p>
              </w:tc>
              <w:tc>
                <w:tcPr>
                  <w:tcW w:w="1740" w:type="dxa"/>
                  <w:vAlign w:val="center"/>
                </w:tcPr>
                <w:p w14:paraId="0A32EF39">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rPr>
                    <w:t>日最大8h平均质量浓度90%位数值</w:t>
                  </w:r>
                </w:p>
              </w:tc>
              <w:tc>
                <w:tcPr>
                  <w:tcW w:w="1816" w:type="dxa"/>
                  <w:vAlign w:val="center"/>
                </w:tcPr>
                <w:p w14:paraId="644F1FED">
                  <w:pPr>
                    <w:pStyle w:val="6"/>
                    <w:keepNext w:val="0"/>
                    <w:keepLines w:val="0"/>
                    <w:suppressLineNumbers w:val="0"/>
                    <w:bidi w:val="0"/>
                    <w:spacing w:before="0" w:beforeAutospacing="0" w:after="0" w:afterAutospacing="0"/>
                    <w:ind w:left="0" w:leftChars="0" w:right="0" w:rightChars="0" w:firstLine="0" w:firstLineChars="0"/>
                    <w:rPr>
                      <w:rFonts w:hint="default"/>
                      <w:color w:val="auto"/>
                      <w:highlight w:val="none"/>
                      <w:lang w:val="en-US" w:eastAsia="zh-CN"/>
                    </w:rPr>
                  </w:pPr>
                  <w:r>
                    <w:rPr>
                      <w:rFonts w:hint="eastAsia"/>
                      <w:color w:val="auto"/>
                      <w:highlight w:val="none"/>
                      <w:lang w:val="en-US" w:eastAsia="zh-CN"/>
                    </w:rPr>
                    <w:t>134</w:t>
                  </w:r>
                </w:p>
              </w:tc>
              <w:tc>
                <w:tcPr>
                  <w:tcW w:w="1717" w:type="dxa"/>
                  <w:vAlign w:val="center"/>
                </w:tcPr>
                <w:p w14:paraId="410EE2AC">
                  <w:pPr>
                    <w:pStyle w:val="6"/>
                    <w:keepNext w:val="0"/>
                    <w:keepLines w:val="0"/>
                    <w:suppressLineNumbers w:val="0"/>
                    <w:bidi w:val="0"/>
                    <w:spacing w:before="0" w:beforeAutospacing="0" w:after="0" w:afterAutospacing="0"/>
                    <w:ind w:left="0" w:leftChars="0" w:right="0" w:rightChars="0" w:firstLine="0" w:firstLineChars="0"/>
                    <w:rPr>
                      <w:rFonts w:hint="default"/>
                      <w:color w:val="auto"/>
                      <w:highlight w:val="none"/>
                    </w:rPr>
                  </w:pPr>
                  <w:r>
                    <w:rPr>
                      <w:rFonts w:hint="default"/>
                      <w:color w:val="auto"/>
                      <w:highlight w:val="none"/>
                    </w:rPr>
                    <w:t>160</w:t>
                  </w:r>
                </w:p>
              </w:tc>
              <w:tc>
                <w:tcPr>
                  <w:tcW w:w="878" w:type="dxa"/>
                  <w:vAlign w:val="center"/>
                </w:tcPr>
                <w:p w14:paraId="442A3048">
                  <w:pPr>
                    <w:pStyle w:val="6"/>
                    <w:keepNext w:val="0"/>
                    <w:keepLines w:val="0"/>
                    <w:suppressLineNumbers w:val="0"/>
                    <w:bidi w:val="0"/>
                    <w:spacing w:before="0" w:beforeAutospacing="0" w:after="0" w:afterAutospacing="0"/>
                    <w:ind w:left="0" w:leftChars="0" w:right="0" w:rightChars="0" w:firstLine="0" w:firstLineChars="0"/>
                    <w:rPr>
                      <w:rFonts w:hint="default"/>
                      <w:color w:val="auto"/>
                      <w:highlight w:val="none"/>
                      <w:lang w:val="en-US" w:eastAsia="zh-CN"/>
                    </w:rPr>
                  </w:pPr>
                  <w:r>
                    <w:rPr>
                      <w:rFonts w:hint="eastAsia"/>
                      <w:color w:val="auto"/>
                      <w:highlight w:val="none"/>
                      <w:lang w:val="en-US" w:eastAsia="zh-CN"/>
                    </w:rPr>
                    <w:t>83.8</w:t>
                  </w:r>
                </w:p>
              </w:tc>
              <w:tc>
                <w:tcPr>
                  <w:tcW w:w="946" w:type="dxa"/>
                  <w:vAlign w:val="center"/>
                </w:tcPr>
                <w:p w14:paraId="055EA325">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rPr>
                    <w:t>达标</w:t>
                  </w:r>
                </w:p>
              </w:tc>
            </w:tr>
          </w:tbl>
          <w:p w14:paraId="46C360CE">
            <w:pPr>
              <w:keepNext w:val="0"/>
              <w:keepLines w:val="0"/>
              <w:widowControl/>
              <w:suppressLineNumbers w:val="0"/>
              <w:adjustRightInd w:val="0"/>
              <w:snapToGrid w:val="0"/>
              <w:spacing w:before="0" w:beforeAutospacing="0" w:after="0" w:afterAutospacing="0" w:line="360" w:lineRule="auto"/>
              <w:ind w:left="0" w:right="0" w:firstLine="480" w:firstLineChars="200"/>
              <w:jc w:val="left"/>
              <w:rPr>
                <w:rFonts w:hint="default"/>
                <w:color w:val="auto"/>
                <w:highlight w:val="none"/>
              </w:rPr>
            </w:pPr>
            <w:r>
              <w:rPr>
                <w:rFonts w:hint="eastAsia"/>
                <w:color w:val="auto"/>
                <w:highlight w:val="none"/>
                <w:lang w:val="en-US" w:eastAsia="zh-CN"/>
              </w:rPr>
              <w:t>从表3-1可以看出，项目所在地环境空气现状因子均可满足《环境空气质量标准》（GB3095-2026）过渡阶段浓度限值二级要求，环境空气质量现状良好。</w:t>
            </w:r>
          </w:p>
          <w:p w14:paraId="0C2C39EF">
            <w:pPr>
              <w:keepNext w:val="0"/>
              <w:keepLines w:val="0"/>
              <w:widowControl/>
              <w:suppressLineNumbers w:val="0"/>
              <w:adjustRightInd w:val="0"/>
              <w:snapToGrid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（2）特征因子补充监测</w:t>
            </w:r>
          </w:p>
          <w:p w14:paraId="3AE053CD">
            <w:pPr>
              <w:keepNext w:val="0"/>
              <w:keepLines w:val="0"/>
              <w:widowControl/>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根据</w:t>
            </w:r>
            <w:r>
              <w:rPr>
                <w:rFonts w:hint="eastAsia" w:ascii="Times New Roman" w:hAnsi="Times New Roman" w:eastAsia="宋体" w:cs="Times New Roman"/>
                <w:color w:val="auto"/>
                <w:highlight w:val="none"/>
                <w:lang w:val="en-US" w:eastAsia="zh-CN"/>
              </w:rPr>
              <w:t>《</w:t>
            </w:r>
            <w:r>
              <w:rPr>
                <w:rFonts w:hint="eastAsia" w:cs="Times New Roman"/>
                <w:color w:val="auto"/>
                <w:highlight w:val="none"/>
                <w:lang w:val="en-US" w:eastAsia="zh-CN"/>
              </w:rPr>
              <w:t>建设项目环境影响报告表编制技术指南（污染影响类）（试行）</w:t>
            </w:r>
            <w:r>
              <w:rPr>
                <w:rFonts w:hint="eastAsia" w:ascii="Times New Roman" w:hAnsi="Times New Roman" w:eastAsia="宋体" w:cs="Times New Roman"/>
                <w:color w:val="auto"/>
                <w:highlight w:val="none"/>
                <w:lang w:val="en-US" w:eastAsia="zh-CN"/>
              </w:rPr>
              <w:t>》</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排放国家、地方环境空气质量标准中有标准限值要求的特征污染物时，</w:t>
            </w:r>
            <w:r>
              <w:rPr>
                <w:rFonts w:hint="eastAsia" w:cs="Times New Roman"/>
                <w:color w:val="auto"/>
                <w:highlight w:val="none"/>
                <w:lang w:val="en-US" w:eastAsia="zh-CN"/>
              </w:rPr>
              <w:t>可以</w:t>
            </w:r>
            <w:r>
              <w:rPr>
                <w:rFonts w:hint="eastAsia" w:ascii="Times New Roman" w:hAnsi="Times New Roman" w:eastAsia="宋体" w:cs="Times New Roman"/>
                <w:color w:val="auto"/>
                <w:highlight w:val="none"/>
                <w:lang w:val="en-US" w:eastAsia="zh-CN"/>
              </w:rPr>
              <w:t>引用建设项目周边5千米范围内近3年的现有监测数据</w:t>
            </w:r>
            <w:r>
              <w:rPr>
                <w:rFonts w:hint="eastAsia" w:cs="Times New Roman"/>
                <w:color w:val="auto"/>
                <w:highlight w:val="none"/>
                <w:lang w:val="en-US" w:eastAsia="zh-CN"/>
              </w:rPr>
              <w:t>。”</w:t>
            </w:r>
            <w:r>
              <w:rPr>
                <w:rFonts w:hint="eastAsia" w:cs="Times New Roman"/>
                <w:color w:val="auto"/>
                <w:sz w:val="24"/>
                <w:szCs w:val="24"/>
                <w:highlight w:val="none"/>
                <w:lang w:val="en-US" w:eastAsia="zh-CN"/>
              </w:rPr>
              <w:t>本项目国家</w:t>
            </w:r>
            <w:r>
              <w:rPr>
                <w:rFonts w:hint="default" w:ascii="Times New Roman" w:hAnsi="Times New Roman" w:eastAsia="宋体" w:cs="Times New Roman"/>
                <w:color w:val="auto"/>
                <w:sz w:val="24"/>
                <w:szCs w:val="24"/>
                <w:highlight w:val="none"/>
                <w:lang w:val="en-GB" w:eastAsia="zh-CN"/>
              </w:rPr>
              <w:t>、地方环境空气质量标准</w:t>
            </w:r>
            <w:r>
              <w:rPr>
                <w:rFonts w:hint="eastAsia" w:cs="Times New Roman"/>
                <w:color w:val="auto"/>
                <w:sz w:val="24"/>
                <w:szCs w:val="24"/>
                <w:highlight w:val="none"/>
                <w:lang w:val="en-US" w:eastAsia="zh-CN"/>
              </w:rPr>
              <w:t>中</w:t>
            </w:r>
            <w:r>
              <w:rPr>
                <w:rFonts w:hint="default" w:ascii="Times New Roman" w:hAnsi="Times New Roman" w:eastAsia="宋体" w:cs="Times New Roman"/>
                <w:color w:val="auto"/>
                <w:sz w:val="24"/>
                <w:szCs w:val="24"/>
                <w:highlight w:val="none"/>
                <w:lang w:val="en-GB" w:eastAsia="zh-CN"/>
              </w:rPr>
              <w:t>标准限值要求的特征污染物</w:t>
            </w:r>
            <w:r>
              <w:rPr>
                <w:rFonts w:hint="eastAsia" w:cs="Times New Roman"/>
                <w:color w:val="auto"/>
                <w:sz w:val="24"/>
                <w:szCs w:val="24"/>
                <w:highlight w:val="none"/>
                <w:lang w:val="en-US" w:eastAsia="zh-CN"/>
              </w:rPr>
              <w:t>为</w:t>
            </w:r>
            <w:r>
              <w:rPr>
                <w:rFonts w:hint="eastAsia" w:cs="Times New Roman"/>
                <w:color w:val="auto"/>
                <w:sz w:val="24"/>
                <w:szCs w:val="24"/>
                <w:highlight w:val="none"/>
                <w:lang w:val="en-GB" w:eastAsia="zh-CN"/>
              </w:rPr>
              <w:t>NMHC与臭气浓度。本项目大气污染物均不在《环境空气质量标准》（GB3095-</w:t>
            </w:r>
            <w:r>
              <w:rPr>
                <w:rFonts w:hint="eastAsia" w:cs="Times New Roman"/>
                <w:color w:val="auto"/>
                <w:sz w:val="24"/>
                <w:szCs w:val="24"/>
                <w:highlight w:val="none"/>
                <w:lang w:val="en-US" w:eastAsia="zh-CN"/>
              </w:rPr>
              <w:t>2026</w:t>
            </w:r>
            <w:r>
              <w:rPr>
                <w:rFonts w:hint="eastAsia" w:cs="Times New Roman"/>
                <w:color w:val="auto"/>
                <w:sz w:val="24"/>
                <w:szCs w:val="24"/>
                <w:highlight w:val="none"/>
                <w:lang w:val="en-GB" w:eastAsia="zh-CN"/>
              </w:rPr>
              <w:t>）中，故可不引用或补充现状监测数据加以说明。</w:t>
            </w:r>
          </w:p>
          <w:p w14:paraId="0B095CC5">
            <w:pPr>
              <w:keepNext w:val="0"/>
              <w:keepLines w:val="0"/>
              <w:suppressLineNumbers w:val="0"/>
              <w:bidi w:val="0"/>
              <w:spacing w:before="0" w:beforeAutospacing="0" w:after="0" w:afterAutospacing="0"/>
              <w:ind w:left="0" w:right="0"/>
              <w:rPr>
                <w:rFonts w:hint="default"/>
                <w:b/>
                <w:bCs/>
                <w:color w:val="auto"/>
                <w:highlight w:val="none"/>
              </w:rPr>
            </w:pPr>
            <w:r>
              <w:rPr>
                <w:rFonts w:hint="eastAsia"/>
                <w:b/>
                <w:bCs/>
                <w:color w:val="auto"/>
                <w:highlight w:val="none"/>
                <w:lang w:val="en-US" w:eastAsia="zh-CN"/>
              </w:rPr>
              <w:t>2</w:t>
            </w:r>
            <w:r>
              <w:rPr>
                <w:rFonts w:hint="default"/>
                <w:b/>
                <w:bCs/>
                <w:color w:val="auto"/>
                <w:highlight w:val="none"/>
              </w:rPr>
              <w:t>、</w:t>
            </w:r>
            <w:r>
              <w:rPr>
                <w:rFonts w:hint="default"/>
                <w:b/>
                <w:bCs/>
                <w:color w:val="auto"/>
                <w:highlight w:val="none"/>
                <w:lang w:val="en-GB" w:eastAsia="zh-CN"/>
              </w:rPr>
              <w:t>地</w:t>
            </w:r>
            <w:r>
              <w:rPr>
                <w:rFonts w:hint="default"/>
                <w:b/>
                <w:bCs/>
                <w:color w:val="auto"/>
                <w:highlight w:val="none"/>
                <w:lang w:eastAsia="zh-CN"/>
              </w:rPr>
              <w:t>表</w:t>
            </w:r>
            <w:r>
              <w:rPr>
                <w:rFonts w:hint="default"/>
                <w:b/>
                <w:bCs/>
                <w:color w:val="auto"/>
                <w:highlight w:val="none"/>
                <w:lang w:val="en-GB" w:eastAsia="zh-CN"/>
              </w:rPr>
              <w:t>水环境质量现状</w:t>
            </w:r>
          </w:p>
          <w:p w14:paraId="2DAB640A">
            <w:pPr>
              <w:keepNext w:val="0"/>
              <w:keepLines w:val="0"/>
              <w:pageBreakBefore w:val="0"/>
              <w:widowControl w:val="0"/>
              <w:suppressLineNumbers w:val="0"/>
              <w:tabs>
                <w:tab w:val="left" w:pos="690"/>
              </w:tabs>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snapToGrid w:val="0"/>
                <w:color w:val="auto"/>
                <w:sz w:val="24"/>
              </w:rPr>
            </w:pPr>
            <w:r>
              <w:rPr>
                <w:rFonts w:hint="default"/>
                <w:color w:val="auto"/>
                <w:highlight w:val="none"/>
              </w:rPr>
              <w:t>项目所在区域受纳污水体为潦河</w:t>
            </w:r>
            <w:r>
              <w:rPr>
                <w:rFonts w:hint="eastAsia"/>
                <w:snapToGrid w:val="0"/>
                <w:color w:val="auto"/>
                <w:sz w:val="24"/>
                <w:lang w:val="en-US" w:eastAsia="zh-CN"/>
              </w:rPr>
              <w:t>，</w:t>
            </w:r>
            <w:r>
              <w:rPr>
                <w:rFonts w:hint="default"/>
                <w:snapToGrid w:val="0"/>
                <w:color w:val="auto"/>
                <w:sz w:val="24"/>
              </w:rPr>
              <w:t>为进一步了解项目所在区域的水质情况，</w:t>
            </w:r>
            <w:r>
              <w:rPr>
                <w:rFonts w:hint="default"/>
                <w:color w:val="auto"/>
                <w:sz w:val="24"/>
              </w:rPr>
              <w:t>本环评</w:t>
            </w:r>
            <w:r>
              <w:rPr>
                <w:rFonts w:hint="eastAsia"/>
                <w:snapToGrid w:val="0"/>
                <w:color w:val="auto"/>
                <w:sz w:val="24"/>
                <w:lang w:val="en-US" w:eastAsia="zh-CN"/>
              </w:rPr>
              <w:t>采用</w:t>
            </w:r>
            <w:r>
              <w:rPr>
                <w:rFonts w:hint="default" w:ascii="Times New Roman" w:hAnsi="Times New Roman" w:eastAsia="宋体" w:cs="Times New Roman"/>
                <w:color w:val="auto"/>
                <w:spacing w:val="0"/>
                <w:sz w:val="24"/>
                <w:szCs w:val="24"/>
                <w:highlight w:val="none"/>
                <w:lang w:val="en-US" w:eastAsia="zh-CN"/>
              </w:rPr>
              <w:t>南昌市生态环境局公示的2026年6月南昌市地表水水质状况报告</w:t>
            </w:r>
            <w:r>
              <w:rPr>
                <w:rFonts w:hint="eastAsia"/>
                <w:snapToGrid w:val="0"/>
                <w:color w:val="auto"/>
                <w:sz w:val="24"/>
                <w:lang w:val="en-US" w:eastAsia="zh-CN"/>
              </w:rPr>
              <w:t>中关于永修</w:t>
            </w:r>
            <w:r>
              <w:rPr>
                <w:rFonts w:hint="eastAsia"/>
                <w:color w:val="auto"/>
                <w:highlight w:val="none"/>
                <w:lang w:val="en-US" w:eastAsia="zh-CN"/>
              </w:rPr>
              <w:t>细房</w:t>
            </w:r>
            <w:r>
              <w:rPr>
                <w:rFonts w:hint="eastAsia"/>
                <w:snapToGrid w:val="0"/>
                <w:color w:val="auto"/>
                <w:sz w:val="24"/>
                <w:lang w:val="en-US" w:eastAsia="zh-CN"/>
              </w:rPr>
              <w:t>的监测数据了解项目所在区域的水环境现状，监测评价标准为《地表水环境质量标准》</w:t>
            </w:r>
            <w:r>
              <w:rPr>
                <w:rFonts w:hint="default"/>
                <w:snapToGrid w:val="0"/>
                <w:color w:val="auto"/>
                <w:sz w:val="24"/>
                <w:lang w:val="en-US" w:eastAsia="zh-CN"/>
              </w:rPr>
              <w:t>(GB3838-2002)</w:t>
            </w:r>
            <w:r>
              <w:rPr>
                <w:rFonts w:hint="eastAsia"/>
                <w:snapToGrid w:val="0"/>
                <w:color w:val="auto"/>
                <w:sz w:val="24"/>
                <w:lang w:val="en-US" w:eastAsia="zh-CN"/>
              </w:rPr>
              <w:t>。详见表</w:t>
            </w:r>
            <w:r>
              <w:rPr>
                <w:rFonts w:hint="default"/>
                <w:snapToGrid w:val="0"/>
                <w:color w:val="auto"/>
                <w:sz w:val="24"/>
                <w:lang w:val="en-US" w:eastAsia="zh-CN"/>
              </w:rPr>
              <w:t>3-</w:t>
            </w:r>
            <w:r>
              <w:rPr>
                <w:rFonts w:hint="eastAsia"/>
                <w:snapToGrid w:val="0"/>
                <w:color w:val="auto"/>
                <w:sz w:val="24"/>
                <w:lang w:val="en-US" w:eastAsia="zh-CN"/>
              </w:rPr>
              <w:t>2。</w:t>
            </w:r>
          </w:p>
          <w:p w14:paraId="140232F7">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cs="Times New Roman"/>
                <w:b/>
                <w:bCs/>
                <w:snapToGrid w:val="0"/>
                <w:color w:val="auto"/>
                <w:sz w:val="21"/>
                <w:szCs w:val="21"/>
                <w:vertAlign w:val="baseline"/>
                <w:lang w:val="en-US" w:eastAsia="zh-CN"/>
              </w:rPr>
            </w:pPr>
            <w:r>
              <w:rPr>
                <w:rFonts w:hint="eastAsia" w:cs="Times New Roman"/>
                <w:b/>
                <w:bCs/>
                <w:snapToGrid w:val="0"/>
                <w:color w:val="auto"/>
                <w:sz w:val="21"/>
                <w:szCs w:val="21"/>
                <w:lang w:val="en-US" w:eastAsia="zh-CN"/>
              </w:rPr>
              <w:t>表3-2  2026年6月南昌市地表水水质评价结果（摘录）</w:t>
            </w:r>
          </w:p>
          <w:tbl>
            <w:tblPr>
              <w:tblStyle w:val="33"/>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02"/>
              <w:gridCol w:w="1365"/>
              <w:gridCol w:w="1930"/>
              <w:gridCol w:w="1390"/>
              <w:gridCol w:w="1350"/>
              <w:gridCol w:w="1449"/>
            </w:tblGrid>
            <w:tr w14:paraId="575725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8" w:type="pct"/>
                  <w:tcBorders>
                    <w:bottom w:val="single" w:color="auto" w:sz="12" w:space="0"/>
                  </w:tcBorders>
                  <w:noWrap w:val="0"/>
                  <w:vAlign w:val="center"/>
                </w:tcPr>
                <w:p w14:paraId="64495286">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cs="Times New Roman"/>
                      <w:b/>
                      <w:bCs/>
                      <w:snapToGrid w:val="0"/>
                      <w:color w:val="auto"/>
                      <w:sz w:val="21"/>
                      <w:szCs w:val="21"/>
                      <w:vertAlign w:val="baseline"/>
                      <w:lang w:val="en-US" w:eastAsia="zh-CN"/>
                    </w:rPr>
                  </w:pPr>
                  <w:r>
                    <w:rPr>
                      <w:rFonts w:hint="default" w:ascii="Times New Roman" w:hAnsi="Times New Roman" w:cs="Times New Roman"/>
                      <w:b/>
                      <w:bCs/>
                      <w:snapToGrid w:val="0"/>
                      <w:color w:val="auto"/>
                      <w:sz w:val="21"/>
                      <w:szCs w:val="21"/>
                      <w:vertAlign w:val="baseline"/>
                      <w:lang w:val="en-US" w:eastAsia="zh-CN"/>
                    </w:rPr>
                    <w:t>序号</w:t>
                  </w:r>
                </w:p>
              </w:tc>
              <w:tc>
                <w:tcPr>
                  <w:tcW w:w="813" w:type="pct"/>
                  <w:tcBorders>
                    <w:bottom w:val="single" w:color="auto" w:sz="12" w:space="0"/>
                  </w:tcBorders>
                  <w:noWrap w:val="0"/>
                  <w:vAlign w:val="center"/>
                </w:tcPr>
                <w:p w14:paraId="15E3D6DE">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cs="Times New Roman"/>
                      <w:b/>
                      <w:bCs/>
                      <w:snapToGrid w:val="0"/>
                      <w:color w:val="auto"/>
                      <w:sz w:val="21"/>
                      <w:szCs w:val="21"/>
                      <w:vertAlign w:val="baseline"/>
                      <w:lang w:val="en-US" w:eastAsia="zh-CN"/>
                    </w:rPr>
                  </w:pPr>
                  <w:r>
                    <w:rPr>
                      <w:rFonts w:hint="default" w:ascii="Times New Roman" w:hAnsi="Times New Roman" w:cs="Times New Roman"/>
                      <w:b/>
                      <w:bCs/>
                      <w:snapToGrid w:val="0"/>
                      <w:color w:val="auto"/>
                      <w:sz w:val="21"/>
                      <w:szCs w:val="21"/>
                      <w:vertAlign w:val="baseline"/>
                      <w:lang w:val="en-US" w:eastAsia="zh-CN"/>
                    </w:rPr>
                    <w:t>断面名称</w:t>
                  </w:r>
                </w:p>
              </w:tc>
              <w:tc>
                <w:tcPr>
                  <w:tcW w:w="1150" w:type="pct"/>
                  <w:tcBorders>
                    <w:bottom w:val="single" w:color="auto" w:sz="12" w:space="0"/>
                  </w:tcBorders>
                  <w:noWrap w:val="0"/>
                  <w:vAlign w:val="center"/>
                </w:tcPr>
                <w:p w14:paraId="12809AA9">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cs="Times New Roman"/>
                      <w:b/>
                      <w:bCs/>
                      <w:snapToGrid w:val="0"/>
                      <w:color w:val="auto"/>
                      <w:sz w:val="21"/>
                      <w:szCs w:val="21"/>
                      <w:vertAlign w:val="baseline"/>
                      <w:lang w:val="en-US" w:eastAsia="zh-CN"/>
                    </w:rPr>
                  </w:pPr>
                  <w:r>
                    <w:rPr>
                      <w:rFonts w:hint="eastAsia" w:cs="Times New Roman"/>
                      <w:b/>
                      <w:bCs/>
                      <w:snapToGrid w:val="0"/>
                      <w:color w:val="auto"/>
                      <w:sz w:val="21"/>
                      <w:szCs w:val="21"/>
                      <w:vertAlign w:val="baseline"/>
                      <w:lang w:val="en-US" w:eastAsia="zh-CN"/>
                    </w:rPr>
                    <w:t>考核县区</w:t>
                  </w:r>
                </w:p>
              </w:tc>
              <w:tc>
                <w:tcPr>
                  <w:tcW w:w="828" w:type="pct"/>
                  <w:tcBorders>
                    <w:bottom w:val="single" w:color="auto" w:sz="12" w:space="0"/>
                  </w:tcBorders>
                  <w:noWrap w:val="0"/>
                  <w:vAlign w:val="center"/>
                </w:tcPr>
                <w:p w14:paraId="1C10F60D">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cs="Times New Roman"/>
                      <w:b/>
                      <w:bCs/>
                      <w:snapToGrid w:val="0"/>
                      <w:color w:val="auto"/>
                      <w:sz w:val="21"/>
                      <w:szCs w:val="21"/>
                      <w:vertAlign w:val="baseline"/>
                      <w:lang w:val="en-US" w:eastAsia="zh-CN"/>
                    </w:rPr>
                  </w:pPr>
                  <w:r>
                    <w:rPr>
                      <w:rFonts w:hint="default" w:ascii="Times New Roman" w:hAnsi="Times New Roman" w:cs="Times New Roman"/>
                      <w:b/>
                      <w:bCs/>
                      <w:snapToGrid w:val="0"/>
                      <w:color w:val="auto"/>
                      <w:sz w:val="21"/>
                      <w:szCs w:val="21"/>
                      <w:vertAlign w:val="baseline"/>
                      <w:lang w:val="en-US" w:eastAsia="zh-CN"/>
                    </w:rPr>
                    <w:t>执行类别</w:t>
                  </w:r>
                </w:p>
              </w:tc>
              <w:tc>
                <w:tcPr>
                  <w:tcW w:w="804" w:type="pct"/>
                  <w:tcBorders>
                    <w:bottom w:val="single" w:color="auto" w:sz="12" w:space="0"/>
                  </w:tcBorders>
                  <w:noWrap w:val="0"/>
                  <w:vAlign w:val="center"/>
                </w:tcPr>
                <w:p w14:paraId="02779988">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cs="Times New Roman"/>
                      <w:b/>
                      <w:bCs/>
                      <w:snapToGrid w:val="0"/>
                      <w:color w:val="auto"/>
                      <w:sz w:val="21"/>
                      <w:szCs w:val="21"/>
                      <w:vertAlign w:val="baseline"/>
                      <w:lang w:val="en-US" w:eastAsia="zh-CN"/>
                    </w:rPr>
                  </w:pPr>
                  <w:r>
                    <w:rPr>
                      <w:rFonts w:hint="default" w:ascii="Times New Roman" w:hAnsi="Times New Roman" w:cs="Times New Roman"/>
                      <w:b/>
                      <w:bCs/>
                      <w:snapToGrid w:val="0"/>
                      <w:color w:val="auto"/>
                      <w:sz w:val="21"/>
                      <w:szCs w:val="21"/>
                      <w:vertAlign w:val="baseline"/>
                      <w:lang w:val="en-US" w:eastAsia="zh-CN"/>
                    </w:rPr>
                    <w:t>水质类别</w:t>
                  </w:r>
                </w:p>
              </w:tc>
              <w:tc>
                <w:tcPr>
                  <w:tcW w:w="863" w:type="pct"/>
                  <w:tcBorders>
                    <w:bottom w:val="single" w:color="auto" w:sz="12" w:space="0"/>
                  </w:tcBorders>
                  <w:noWrap w:val="0"/>
                  <w:vAlign w:val="center"/>
                </w:tcPr>
                <w:p w14:paraId="15874213">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cs="Times New Roman"/>
                      <w:b/>
                      <w:bCs/>
                      <w:snapToGrid w:val="0"/>
                      <w:color w:val="auto"/>
                      <w:sz w:val="21"/>
                      <w:szCs w:val="21"/>
                      <w:vertAlign w:val="baseline"/>
                      <w:lang w:val="en-US" w:eastAsia="zh-CN"/>
                    </w:rPr>
                  </w:pPr>
                  <w:r>
                    <w:rPr>
                      <w:rFonts w:hint="default" w:ascii="Times New Roman" w:hAnsi="Times New Roman" w:cs="Times New Roman"/>
                      <w:b/>
                      <w:bCs/>
                      <w:snapToGrid w:val="0"/>
                      <w:color w:val="auto"/>
                      <w:sz w:val="21"/>
                      <w:szCs w:val="21"/>
                      <w:vertAlign w:val="baseline"/>
                      <w:lang w:val="en-US" w:eastAsia="zh-CN"/>
                    </w:rPr>
                    <w:t>超标因子</w:t>
                  </w:r>
                </w:p>
              </w:tc>
            </w:tr>
            <w:tr w14:paraId="363B6C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8" w:type="pct"/>
                  <w:tcBorders>
                    <w:top w:val="single" w:color="auto" w:sz="12" w:space="0"/>
                    <w:bottom w:val="single" w:color="auto" w:sz="12" w:space="0"/>
                  </w:tcBorders>
                  <w:noWrap w:val="0"/>
                  <w:vAlign w:val="center"/>
                </w:tcPr>
                <w:p w14:paraId="164F7FE8">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cs="Times New Roman"/>
                      <w:snapToGrid w:val="0"/>
                      <w:color w:val="auto"/>
                      <w:sz w:val="21"/>
                      <w:szCs w:val="21"/>
                      <w:vertAlign w:val="baseline"/>
                      <w:lang w:val="en-US" w:eastAsia="zh-CN"/>
                    </w:rPr>
                  </w:pPr>
                  <w:r>
                    <w:rPr>
                      <w:rFonts w:hint="default" w:ascii="Times New Roman" w:hAnsi="Times New Roman" w:cs="Times New Roman"/>
                      <w:snapToGrid w:val="0"/>
                      <w:color w:val="auto"/>
                      <w:sz w:val="21"/>
                      <w:szCs w:val="21"/>
                      <w:vertAlign w:val="baseline"/>
                      <w:lang w:val="en-US" w:eastAsia="zh-CN"/>
                    </w:rPr>
                    <w:t>1</w:t>
                  </w:r>
                </w:p>
              </w:tc>
              <w:tc>
                <w:tcPr>
                  <w:tcW w:w="813" w:type="pct"/>
                  <w:tcBorders>
                    <w:top w:val="single" w:color="auto" w:sz="12" w:space="0"/>
                    <w:bottom w:val="single" w:color="auto" w:sz="12" w:space="0"/>
                  </w:tcBorders>
                  <w:noWrap w:val="0"/>
                  <w:vAlign w:val="center"/>
                </w:tcPr>
                <w:p w14:paraId="6FA3512B">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cs="Times New Roman"/>
                      <w:snapToGrid w:val="0"/>
                      <w:color w:val="auto"/>
                      <w:sz w:val="21"/>
                      <w:szCs w:val="21"/>
                      <w:vertAlign w:val="baseline"/>
                      <w:lang w:val="en-US" w:eastAsia="zh-CN"/>
                    </w:rPr>
                  </w:pPr>
                  <w:r>
                    <w:rPr>
                      <w:rFonts w:hint="eastAsia" w:cs="Times New Roman"/>
                      <w:snapToGrid w:val="0"/>
                      <w:color w:val="auto"/>
                      <w:sz w:val="21"/>
                      <w:szCs w:val="21"/>
                      <w:vertAlign w:val="baseline"/>
                      <w:lang w:val="en-US" w:eastAsia="zh-CN"/>
                    </w:rPr>
                    <w:t>永修细房</w:t>
                  </w:r>
                </w:p>
              </w:tc>
              <w:tc>
                <w:tcPr>
                  <w:tcW w:w="1150" w:type="pct"/>
                  <w:tcBorders>
                    <w:top w:val="single" w:color="auto" w:sz="12" w:space="0"/>
                    <w:bottom w:val="single" w:color="auto" w:sz="12" w:space="0"/>
                  </w:tcBorders>
                  <w:noWrap w:val="0"/>
                  <w:vAlign w:val="center"/>
                </w:tcPr>
                <w:p w14:paraId="777BD792">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cs="Times New Roman"/>
                      <w:snapToGrid w:val="0"/>
                      <w:color w:val="auto"/>
                      <w:sz w:val="21"/>
                      <w:szCs w:val="21"/>
                      <w:vertAlign w:val="baseline"/>
                      <w:lang w:val="en-US" w:eastAsia="zh-CN"/>
                    </w:rPr>
                  </w:pPr>
                  <w:r>
                    <w:rPr>
                      <w:rFonts w:hint="eastAsia" w:cs="Times New Roman"/>
                      <w:snapToGrid w:val="0"/>
                      <w:color w:val="auto"/>
                      <w:sz w:val="21"/>
                      <w:szCs w:val="21"/>
                      <w:vertAlign w:val="baseline"/>
                      <w:lang w:val="en-US" w:eastAsia="zh-CN"/>
                    </w:rPr>
                    <w:t>安义县</w:t>
                  </w:r>
                </w:p>
              </w:tc>
              <w:tc>
                <w:tcPr>
                  <w:tcW w:w="828" w:type="pct"/>
                  <w:tcBorders>
                    <w:top w:val="single" w:color="auto" w:sz="12" w:space="0"/>
                    <w:bottom w:val="single" w:color="auto" w:sz="12" w:space="0"/>
                  </w:tcBorders>
                  <w:noWrap w:val="0"/>
                  <w:vAlign w:val="center"/>
                </w:tcPr>
                <w:p w14:paraId="7BBC20F8">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cs="Times New Roman"/>
                      <w:snapToGrid w:val="0"/>
                      <w:color w:val="auto"/>
                      <w:sz w:val="21"/>
                      <w:szCs w:val="21"/>
                      <w:vertAlign w:val="baseline"/>
                      <w:lang w:val="en-US" w:eastAsia="zh-CN"/>
                    </w:rPr>
                  </w:pPr>
                  <w:r>
                    <w:rPr>
                      <w:rFonts w:hint="default" w:ascii="Times New Roman" w:hAnsi="Times New Roman" w:eastAsia="宋体" w:cs="Times New Roman"/>
                      <w:snapToGrid w:val="0"/>
                      <w:color w:val="auto"/>
                      <w:sz w:val="21"/>
                      <w:szCs w:val="21"/>
                      <w:vertAlign w:val="baseline"/>
                      <w:lang w:val="en-US" w:eastAsia="zh-CN"/>
                    </w:rPr>
                    <w:t>Ⅲ</w:t>
                  </w:r>
                </w:p>
              </w:tc>
              <w:tc>
                <w:tcPr>
                  <w:tcW w:w="804" w:type="pct"/>
                  <w:tcBorders>
                    <w:top w:val="single" w:color="auto" w:sz="12" w:space="0"/>
                    <w:bottom w:val="single" w:color="auto" w:sz="12" w:space="0"/>
                  </w:tcBorders>
                  <w:noWrap w:val="0"/>
                  <w:vAlign w:val="center"/>
                </w:tcPr>
                <w:p w14:paraId="3470019A">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cs="Times New Roman"/>
                      <w:snapToGrid w:val="0"/>
                      <w:color w:val="auto"/>
                      <w:sz w:val="21"/>
                      <w:szCs w:val="21"/>
                      <w:vertAlign w:val="baseline"/>
                      <w:lang w:val="en-US" w:eastAsia="zh-CN"/>
                    </w:rPr>
                  </w:pPr>
                  <w:r>
                    <w:rPr>
                      <w:rFonts w:hint="default" w:ascii="Times New Roman" w:hAnsi="Times New Roman" w:eastAsia="宋体" w:cs="Times New Roman"/>
                      <w:snapToGrid w:val="0"/>
                      <w:color w:val="auto"/>
                      <w:sz w:val="21"/>
                      <w:szCs w:val="21"/>
                      <w:vertAlign w:val="baseline"/>
                      <w:lang w:val="en-US" w:eastAsia="zh-CN"/>
                    </w:rPr>
                    <w:t>Ⅱ</w:t>
                  </w:r>
                </w:p>
              </w:tc>
              <w:tc>
                <w:tcPr>
                  <w:tcW w:w="863" w:type="pct"/>
                  <w:tcBorders>
                    <w:top w:val="single" w:color="auto" w:sz="12" w:space="0"/>
                    <w:bottom w:val="single" w:color="auto" w:sz="12" w:space="0"/>
                  </w:tcBorders>
                  <w:noWrap w:val="0"/>
                  <w:vAlign w:val="center"/>
                </w:tcPr>
                <w:p w14:paraId="429C90F2">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cs="Times New Roman"/>
                      <w:snapToGrid w:val="0"/>
                      <w:color w:val="auto"/>
                      <w:sz w:val="21"/>
                      <w:szCs w:val="21"/>
                      <w:vertAlign w:val="baseline"/>
                      <w:lang w:val="en-US" w:eastAsia="zh-CN"/>
                    </w:rPr>
                  </w:pPr>
                  <w:r>
                    <w:rPr>
                      <w:rFonts w:hint="default" w:ascii="Times New Roman" w:hAnsi="Times New Roman" w:cs="Times New Roman"/>
                      <w:snapToGrid w:val="0"/>
                      <w:color w:val="auto"/>
                      <w:sz w:val="21"/>
                      <w:szCs w:val="21"/>
                      <w:vertAlign w:val="baseline"/>
                      <w:lang w:val="en-US" w:eastAsia="zh-CN"/>
                    </w:rPr>
                    <w:t>无</w:t>
                  </w:r>
                </w:p>
              </w:tc>
            </w:tr>
          </w:tbl>
          <w:p w14:paraId="554989BD">
            <w:pPr>
              <w:keepNext w:val="0"/>
              <w:keepLines w:val="0"/>
              <w:pageBreakBefore w:val="0"/>
              <w:widowControl w:val="0"/>
              <w:suppressLineNumbers w:val="0"/>
              <w:kinsoku/>
              <w:wordWrap/>
              <w:overflowPunct/>
              <w:topLinePunct w:val="0"/>
              <w:autoSpaceDE/>
              <w:autoSpaceDN/>
              <w:bidi w:val="0"/>
              <w:adjustRightInd/>
              <w:snapToGrid/>
              <w:spacing w:before="63" w:beforeLines="20" w:beforeAutospacing="0" w:after="0" w:afterAutospacing="0" w:line="240" w:lineRule="auto"/>
              <w:ind w:left="0" w:leftChars="0" w:right="0" w:firstLine="0" w:firstLineChars="0"/>
              <w:jc w:val="center"/>
              <w:textAlignment w:val="auto"/>
              <w:rPr>
                <w:rFonts w:hint="default"/>
                <w:color w:val="auto"/>
                <w:sz w:val="21"/>
                <w:szCs w:val="21"/>
              </w:rPr>
            </w:pPr>
            <w:r>
              <w:rPr>
                <w:rFonts w:hint="default"/>
                <w:color w:val="auto"/>
                <w:sz w:val="24"/>
              </w:rPr>
              <mc:AlternateContent>
                <mc:Choice Requires="wps">
                  <w:drawing>
                    <wp:anchor distT="0" distB="0" distL="114300" distR="114300" simplePos="0" relativeHeight="251660288" behindDoc="0" locked="0" layoutInCell="1" allowOverlap="1">
                      <wp:simplePos x="0" y="0"/>
                      <wp:positionH relativeFrom="column">
                        <wp:posOffset>793115</wp:posOffset>
                      </wp:positionH>
                      <wp:positionV relativeFrom="paragraph">
                        <wp:posOffset>2994025</wp:posOffset>
                      </wp:positionV>
                      <wp:extent cx="3094990" cy="5715"/>
                      <wp:effectExtent l="0" t="0" r="0" b="0"/>
                      <wp:wrapNone/>
                      <wp:docPr id="15" name="直接连接符 15"/>
                      <wp:cNvGraphicFramePr/>
                      <a:graphic xmlns:a="http://schemas.openxmlformats.org/drawingml/2006/main">
                        <a:graphicData uri="http://schemas.microsoft.com/office/word/2010/wordprocessingShape">
                          <wps:wsp>
                            <wps:cNvCnPr/>
                            <wps:spPr>
                              <a:xfrm flipV="1">
                                <a:off x="2634615" y="7395845"/>
                                <a:ext cx="3094990" cy="5715"/>
                              </a:xfrm>
                              <a:prstGeom prst="line">
                                <a:avLst/>
                              </a:prstGeom>
                              <a:ln w="19050">
                                <a:solidFill>
                                  <a:srgbClr val="FF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62.45pt;margin-top:235.75pt;height:0.45pt;width:243.7pt;z-index:251660288;mso-width-relative:page;mso-height-relative:page;" filled="f" stroked="t" coordsize="21600,21600" o:gfxdata="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hyC1IdoAAAALAQAADwAAAAAAAAABACAAAAAiAAAAZHJzL2Rvd25yZXYueG1sUEsB&#10;AhQAFAAAAAgAh07iQHk9yCPzAQAAtgMAAA4AAAAAAAAAAQAgAAAAKQEAAGRycy9lMm9Eb2MueG1s&#10;UEsFBgAAAAAGAAYAWQEAAI4FAAAAAA==&#10;">
                      <v:fill on="f" focussize="0,0"/>
                      <v:stroke weight="1.5pt" color="#FF0000 [3204]" joinstyle="round"/>
                      <v:imagedata o:title=""/>
                      <o:lock v:ext="edit" aspectratio="f"/>
                    </v:line>
                  </w:pict>
                </mc:Fallback>
              </mc:AlternateContent>
            </w:r>
            <w:r>
              <w:rPr>
                <w:rFonts w:hint="default"/>
                <w:color w:val="auto"/>
              </w:rPr>
              <w:drawing>
                <wp:inline distT="0" distB="0" distL="114300" distR="114300">
                  <wp:extent cx="5319395" cy="4276725"/>
                  <wp:effectExtent l="0" t="0" r="14605" b="9525"/>
                  <wp:docPr id="5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
                          <pic:cNvPicPr>
                            <a:picLocks noChangeAspect="1"/>
                          </pic:cNvPicPr>
                        </pic:nvPicPr>
                        <pic:blipFill>
                          <a:blip r:embed="rId23"/>
                          <a:stretch>
                            <a:fillRect/>
                          </a:stretch>
                        </pic:blipFill>
                        <pic:spPr>
                          <a:xfrm>
                            <a:off x="0" y="0"/>
                            <a:ext cx="5319395" cy="4276725"/>
                          </a:xfrm>
                          <a:prstGeom prst="rect">
                            <a:avLst/>
                          </a:prstGeom>
                          <a:noFill/>
                          <a:ln>
                            <a:noFill/>
                          </a:ln>
                        </pic:spPr>
                      </pic:pic>
                    </a:graphicData>
                  </a:graphic>
                </wp:inline>
              </w:drawing>
            </w:r>
          </w:p>
          <w:p w14:paraId="6581AC4C">
            <w:pPr>
              <w:pStyle w:val="42"/>
              <w:keepNext w:val="0"/>
              <w:keepLines w:val="0"/>
              <w:suppressLineNumbers w:val="0"/>
              <w:spacing w:before="0" w:beforeAutospacing="0" w:after="0" w:afterAutospacing="0" w:line="240" w:lineRule="auto"/>
              <w:ind w:left="0" w:leftChars="0" w:right="0" w:firstLine="0" w:firstLineChars="0"/>
              <w:jc w:val="center"/>
              <w:rPr>
                <w:rFonts w:hint="default"/>
                <w:b/>
                <w:bCs/>
                <w:color w:val="auto"/>
                <w:sz w:val="21"/>
                <w:szCs w:val="20"/>
              </w:rPr>
            </w:pPr>
            <w:r>
              <w:rPr>
                <w:rFonts w:hint="default"/>
                <w:b/>
                <w:bCs/>
                <w:color w:val="auto"/>
                <w:sz w:val="21"/>
                <w:szCs w:val="20"/>
                <w:lang w:val="en-US" w:eastAsia="zh-CN"/>
              </w:rPr>
              <w:t>图3-1   202</w:t>
            </w:r>
            <w:r>
              <w:rPr>
                <w:rFonts w:hint="eastAsia"/>
                <w:b/>
                <w:bCs/>
                <w:color w:val="auto"/>
                <w:sz w:val="21"/>
                <w:szCs w:val="20"/>
                <w:lang w:val="en-US" w:eastAsia="zh-CN"/>
              </w:rPr>
              <w:t>6</w:t>
            </w:r>
            <w:r>
              <w:rPr>
                <w:rFonts w:hint="default"/>
                <w:b/>
                <w:bCs/>
                <w:color w:val="auto"/>
                <w:sz w:val="21"/>
                <w:szCs w:val="20"/>
                <w:lang w:val="en-US" w:eastAsia="zh-CN"/>
              </w:rPr>
              <w:t>年</w:t>
            </w:r>
            <w:r>
              <w:rPr>
                <w:rFonts w:hint="eastAsia"/>
                <w:b/>
                <w:bCs/>
                <w:color w:val="auto"/>
                <w:sz w:val="21"/>
                <w:szCs w:val="20"/>
                <w:lang w:val="en-US" w:eastAsia="zh-CN"/>
              </w:rPr>
              <w:t>6</w:t>
            </w:r>
            <w:r>
              <w:rPr>
                <w:rFonts w:hint="default"/>
                <w:b/>
                <w:bCs/>
                <w:color w:val="auto"/>
                <w:sz w:val="21"/>
                <w:szCs w:val="20"/>
                <w:lang w:val="en-US" w:eastAsia="zh-CN"/>
              </w:rPr>
              <w:t>月</w:t>
            </w:r>
            <w:r>
              <w:rPr>
                <w:rFonts w:hint="eastAsia"/>
                <w:b/>
                <w:bCs/>
                <w:color w:val="auto"/>
                <w:sz w:val="21"/>
                <w:szCs w:val="20"/>
                <w:lang w:val="en-US" w:eastAsia="zh-CN"/>
              </w:rPr>
              <w:t>南昌</w:t>
            </w:r>
            <w:r>
              <w:rPr>
                <w:rFonts w:hint="default"/>
                <w:b/>
                <w:bCs/>
                <w:color w:val="auto"/>
                <w:sz w:val="21"/>
                <w:szCs w:val="20"/>
                <w:lang w:val="en-US" w:eastAsia="zh-CN"/>
              </w:rPr>
              <w:t>市环境质量月报截图</w:t>
            </w:r>
          </w:p>
          <w:p w14:paraId="3615B24D">
            <w:pPr>
              <w:keepNext w:val="0"/>
              <w:keepLines w:val="0"/>
              <w:suppressLineNumbers w:val="0"/>
              <w:spacing w:before="120" w:beforeLines="50" w:beforeAutospacing="0" w:after="0" w:afterAutospacing="0" w:line="360" w:lineRule="auto"/>
              <w:ind w:left="0" w:leftChars="0" w:right="0" w:firstLine="480" w:firstLineChars="200"/>
              <w:rPr>
                <w:rFonts w:hint="eastAsia"/>
                <w:color w:val="auto"/>
                <w:highlight w:val="none"/>
                <w:lang w:val="en-US" w:eastAsia="zh-CN"/>
              </w:rPr>
            </w:pPr>
            <w:r>
              <w:rPr>
                <w:rFonts w:hint="eastAsia"/>
                <w:snapToGrid w:val="0"/>
                <w:color w:val="auto"/>
                <w:sz w:val="24"/>
                <w:highlight w:val="none"/>
                <w:lang w:val="en-US" w:eastAsia="zh-CN"/>
              </w:rPr>
              <w:t>根据2026年6月</w:t>
            </w:r>
            <w:r>
              <w:rPr>
                <w:rFonts w:hint="default" w:ascii="Times New Roman" w:hAnsi="Times New Roman" w:eastAsia="宋体" w:cs="Times New Roman"/>
                <w:color w:val="auto"/>
                <w:spacing w:val="0"/>
                <w:sz w:val="24"/>
                <w:szCs w:val="24"/>
                <w:highlight w:val="none"/>
                <w:lang w:val="en-US" w:eastAsia="zh-CN"/>
              </w:rPr>
              <w:t>南昌市地表水水质状况报告</w:t>
            </w:r>
            <w:r>
              <w:rPr>
                <w:rFonts w:hint="default"/>
                <w:snapToGrid w:val="0"/>
                <w:color w:val="auto"/>
                <w:sz w:val="24"/>
                <w:highlight w:val="none"/>
              </w:rPr>
              <w:t>可知，</w:t>
            </w:r>
            <w:r>
              <w:rPr>
                <w:rFonts w:hint="eastAsia"/>
                <w:snapToGrid w:val="0"/>
                <w:color w:val="auto"/>
                <w:sz w:val="24"/>
                <w:highlight w:val="none"/>
                <w:lang w:val="en-US" w:eastAsia="zh-CN"/>
              </w:rPr>
              <w:t>永修细房断面</w:t>
            </w:r>
            <w:r>
              <w:rPr>
                <w:rFonts w:hint="default"/>
                <w:color w:val="auto"/>
                <w:kern w:val="18"/>
                <w:sz w:val="24"/>
                <w:highlight w:val="none"/>
              </w:rPr>
              <w:t>地表水环境质量</w:t>
            </w:r>
            <w:r>
              <w:rPr>
                <w:rFonts w:hint="eastAsia"/>
                <w:snapToGrid w:val="0"/>
                <w:color w:val="auto"/>
                <w:sz w:val="24"/>
                <w:highlight w:val="none"/>
                <w:lang w:val="en-US" w:eastAsia="zh-CN"/>
              </w:rPr>
              <w:t>良好，可</w:t>
            </w:r>
            <w:r>
              <w:rPr>
                <w:rFonts w:hint="default"/>
                <w:color w:val="auto"/>
                <w:kern w:val="18"/>
                <w:sz w:val="24"/>
                <w:highlight w:val="none"/>
              </w:rPr>
              <w:t>满足《地表水环境质量标准》（GB3838-2002）Ⅲ类标准要求</w:t>
            </w:r>
            <w:r>
              <w:rPr>
                <w:rFonts w:hint="default"/>
                <w:color w:val="auto"/>
                <w:sz w:val="24"/>
                <w:highlight w:val="none"/>
              </w:rPr>
              <w:t>。</w:t>
            </w:r>
          </w:p>
          <w:p w14:paraId="216277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2" w:firstLineChars="200"/>
              <w:textAlignment w:val="auto"/>
              <w:rPr>
                <w:rFonts w:hint="default"/>
                <w:b/>
                <w:bCs/>
                <w:color w:val="auto"/>
                <w:highlight w:val="none"/>
              </w:rPr>
            </w:pPr>
            <w:r>
              <w:rPr>
                <w:rFonts w:hint="eastAsia"/>
                <w:b/>
                <w:bCs/>
                <w:color w:val="auto"/>
                <w:highlight w:val="none"/>
                <w:lang w:val="en-US" w:eastAsia="zh-CN"/>
              </w:rPr>
              <w:t>3</w:t>
            </w:r>
            <w:r>
              <w:rPr>
                <w:rFonts w:hint="default"/>
                <w:b/>
                <w:bCs/>
                <w:color w:val="auto"/>
                <w:highlight w:val="none"/>
              </w:rPr>
              <w:t>、</w:t>
            </w:r>
            <w:r>
              <w:rPr>
                <w:rFonts w:hint="default"/>
                <w:b/>
                <w:bCs/>
                <w:color w:val="auto"/>
                <w:highlight w:val="none"/>
                <w:lang w:val="en-GB" w:eastAsia="zh-CN"/>
              </w:rPr>
              <w:t>声环境质量现状</w:t>
            </w:r>
          </w:p>
          <w:p w14:paraId="2F6FF998">
            <w:pPr>
              <w:keepNext w:val="0"/>
              <w:keepLines w:val="0"/>
              <w:widowControl/>
              <w:suppressLineNumbers w:val="0"/>
              <w:spacing w:before="0" w:beforeAutospacing="0" w:after="0" w:afterAutospacing="0"/>
              <w:ind w:left="0" w:right="0"/>
              <w:jc w:val="left"/>
              <w:rPr>
                <w:rFonts w:hint="eastAsia"/>
                <w:color w:val="auto"/>
                <w:highlight w:val="none"/>
                <w:lang w:val="en-US" w:eastAsia="zh-CN"/>
              </w:rPr>
            </w:pPr>
            <w:r>
              <w:rPr>
                <w:rFonts w:hint="default"/>
                <w:color w:val="auto"/>
                <w:highlight w:val="none"/>
              </w:rPr>
              <w:t>根据《建设项目环境影响报告表编制技术指南（污染影响类）（试行）》的相关规定：厂界外周边50</w:t>
            </w:r>
            <w:r>
              <w:rPr>
                <w:rFonts w:hint="eastAsia"/>
                <w:color w:val="auto"/>
                <w:highlight w:val="none"/>
              </w:rPr>
              <w:t>m</w:t>
            </w:r>
            <w:r>
              <w:rPr>
                <w:rFonts w:hint="default"/>
                <w:color w:val="auto"/>
                <w:highlight w:val="none"/>
              </w:rPr>
              <w:t>范围内存在声环境保护目标的建设</w:t>
            </w:r>
            <w:bookmarkStart w:id="39" w:name="_GoBack"/>
            <w:bookmarkEnd w:id="39"/>
            <w:r>
              <w:rPr>
                <w:rFonts w:hint="default"/>
                <w:color w:val="auto"/>
                <w:highlight w:val="none"/>
              </w:rPr>
              <w:t>项目，应监测保护目标声环境质量现状并评价达标情况。本项目</w:t>
            </w:r>
            <w:r>
              <w:rPr>
                <w:rFonts w:hint="eastAsia"/>
                <w:color w:val="auto"/>
                <w:highlight w:val="none"/>
                <w:lang w:val="en-US" w:eastAsia="zh-CN"/>
              </w:rPr>
              <w:t>厂界50m内无</w:t>
            </w:r>
            <w:r>
              <w:rPr>
                <w:rFonts w:hint="default"/>
                <w:color w:val="auto"/>
                <w:highlight w:val="none"/>
              </w:rPr>
              <w:t>声环境保护目标</w:t>
            </w:r>
            <w:r>
              <w:rPr>
                <w:rFonts w:hint="eastAsia" w:ascii="Times New Roman" w:hAnsi="Times New Roman" w:cs="Times New Roman"/>
                <w:snapToGrid w:val="0"/>
                <w:color w:val="auto"/>
                <w:sz w:val="24"/>
                <w:lang w:eastAsia="zh-CN"/>
              </w:rPr>
              <w:t>，因此本评价无需开展声环境质量现状达标情况评价</w:t>
            </w:r>
            <w:r>
              <w:rPr>
                <w:rFonts w:hint="eastAsia"/>
                <w:color w:val="auto"/>
                <w:highlight w:val="none"/>
                <w:lang w:val="en-US" w:eastAsia="zh-CN"/>
              </w:rPr>
              <w:t>。</w:t>
            </w:r>
          </w:p>
          <w:p w14:paraId="24F1AB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2" w:firstLineChars="200"/>
              <w:textAlignment w:val="auto"/>
              <w:rPr>
                <w:rFonts w:hint="eastAsia"/>
                <w:b/>
                <w:bCs/>
                <w:color w:val="auto"/>
                <w:highlight w:val="none"/>
                <w:lang w:val="en-US" w:eastAsia="zh-CN"/>
              </w:rPr>
            </w:pPr>
            <w:r>
              <w:rPr>
                <w:rFonts w:hint="eastAsia"/>
                <w:b/>
                <w:bCs/>
                <w:color w:val="auto"/>
                <w:highlight w:val="none"/>
                <w:lang w:val="en-US" w:eastAsia="zh-CN"/>
              </w:rPr>
              <w:t>4、地下水、土壤环境质量现状</w:t>
            </w:r>
          </w:p>
          <w:p w14:paraId="13A51CC6">
            <w:pPr>
              <w:keepNext w:val="0"/>
              <w:keepLines w:val="0"/>
              <w:suppressLineNumbers w:val="0"/>
              <w:bidi w:val="0"/>
              <w:adjustRightInd w:val="0"/>
              <w:snapToGrid w:val="0"/>
              <w:spacing w:before="0" w:beforeAutospacing="0" w:after="0" w:afterAutospacing="0" w:line="360" w:lineRule="auto"/>
              <w:ind w:left="0" w:right="0" w:firstLine="480" w:firstLineChars="200"/>
              <w:rPr>
                <w:rFonts w:hint="default"/>
                <w:color w:val="auto"/>
                <w:sz w:val="24"/>
                <w:highlight w:val="none"/>
              </w:rPr>
            </w:pPr>
            <w:r>
              <w:rPr>
                <w:rFonts w:hint="default"/>
                <w:color w:val="auto"/>
                <w:sz w:val="24"/>
                <w:highlight w:val="none"/>
                <w:lang w:val="en-US" w:eastAsia="zh-CN"/>
              </w:rPr>
              <w:t>本项目位于江西省南昌市安义县高新技术产业园区，地面硬化条件良好，本项目通过分区防渗措施，能够阻隔污染物渗入土壤。因此，依据《建设项目环境影响报告表编制技术指南（污染影响类）（试行）》相关内容及要求，本项目不开展地下水、土壤环境质量现状调查。</w:t>
            </w:r>
          </w:p>
          <w:p w14:paraId="20A06C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textAlignment w:val="auto"/>
              <w:rPr>
                <w:rFonts w:hint="default"/>
                <w:b/>
                <w:bCs/>
                <w:color w:val="auto"/>
                <w:sz w:val="24"/>
                <w:highlight w:val="none"/>
                <w:lang w:val="en-GB"/>
              </w:rPr>
            </w:pPr>
            <w:r>
              <w:rPr>
                <w:rFonts w:hint="eastAsia"/>
                <w:b/>
                <w:bCs/>
                <w:color w:val="auto"/>
                <w:sz w:val="24"/>
                <w:highlight w:val="none"/>
                <w:lang w:val="en-US" w:eastAsia="zh-CN"/>
              </w:rPr>
              <w:t>5</w:t>
            </w:r>
            <w:r>
              <w:rPr>
                <w:rFonts w:hint="default"/>
                <w:b/>
                <w:bCs/>
                <w:color w:val="auto"/>
                <w:sz w:val="24"/>
                <w:highlight w:val="none"/>
                <w:lang w:val="en-GB"/>
              </w:rPr>
              <w:t>、</w:t>
            </w:r>
            <w:r>
              <w:rPr>
                <w:rFonts w:hint="eastAsia"/>
                <w:b/>
                <w:bCs/>
                <w:color w:val="auto"/>
                <w:sz w:val="24"/>
                <w:highlight w:val="none"/>
              </w:rPr>
              <w:t>生态</w:t>
            </w:r>
            <w:r>
              <w:rPr>
                <w:rFonts w:hint="default"/>
                <w:b/>
                <w:bCs/>
                <w:color w:val="auto"/>
                <w:sz w:val="24"/>
                <w:highlight w:val="none"/>
                <w:lang w:val="en-GB"/>
              </w:rPr>
              <w:t>环境质量现状</w:t>
            </w:r>
          </w:p>
          <w:p w14:paraId="5B850C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color w:val="auto"/>
                <w:sz w:val="24"/>
                <w:highlight w:val="none"/>
              </w:rPr>
            </w:pPr>
            <w:r>
              <w:rPr>
                <w:rFonts w:hint="eastAsia"/>
                <w:color w:val="auto"/>
                <w:sz w:val="24"/>
                <w:highlight w:val="none"/>
              </w:rPr>
              <w:t>本项目</w:t>
            </w:r>
            <w:r>
              <w:rPr>
                <w:rFonts w:hint="default" w:ascii="宋体" w:hAnsi="宋体" w:cs="宋体"/>
                <w:color w:val="auto"/>
                <w:sz w:val="24"/>
                <w:highlight w:val="none"/>
              </w:rPr>
              <w:t>所在地为</w:t>
            </w:r>
            <w:r>
              <w:rPr>
                <w:rFonts w:hint="eastAsia" w:ascii="宋体" w:hAnsi="宋体" w:cs="宋体"/>
                <w:color w:val="auto"/>
                <w:sz w:val="24"/>
                <w:highlight w:val="none"/>
                <w:lang w:val="en-US" w:eastAsia="zh-CN"/>
              </w:rPr>
              <w:t>江西安义高新技术产业园区</w:t>
            </w:r>
            <w:r>
              <w:rPr>
                <w:rFonts w:hint="default" w:ascii="宋体" w:hAnsi="宋体" w:cs="宋体"/>
                <w:color w:val="auto"/>
                <w:sz w:val="24"/>
                <w:highlight w:val="none"/>
              </w:rPr>
              <w:t>，不涉及新增用地。</w:t>
            </w:r>
            <w:r>
              <w:rPr>
                <w:rFonts w:hint="eastAsia"/>
                <w:color w:val="auto"/>
                <w:sz w:val="24"/>
                <w:highlight w:val="none"/>
              </w:rPr>
              <w:t>环境敏感程度较低，评价范围不属于自然保护区、风景名胜区、农田保护区、水源保护区，无文物保护点，同时无探明的矿床和珍稀动、植物资源。</w:t>
            </w:r>
          </w:p>
          <w:p w14:paraId="22A4C80D">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kern w:val="0"/>
                <w:sz w:val="24"/>
                <w:highlight w:val="none"/>
              </w:rPr>
              <w:t>综上所述，项目周边环境空气质量、地表水环境质量、声环境质</w:t>
            </w:r>
            <w:r>
              <w:rPr>
                <w:rFonts w:hint="eastAsia"/>
                <w:color w:val="auto"/>
                <w:kern w:val="0"/>
                <w:sz w:val="24"/>
                <w:highlight w:val="none"/>
              </w:rPr>
              <w:t>量</w:t>
            </w:r>
            <w:r>
              <w:rPr>
                <w:rFonts w:hint="eastAsia"/>
                <w:color w:val="auto"/>
                <w:kern w:val="0"/>
                <w:sz w:val="24"/>
                <w:highlight w:val="none"/>
                <w:lang w:eastAsia="zh-CN"/>
              </w:rPr>
              <w:t>、</w:t>
            </w:r>
            <w:r>
              <w:rPr>
                <w:rFonts w:hint="eastAsia"/>
                <w:color w:val="auto"/>
                <w:kern w:val="0"/>
                <w:sz w:val="24"/>
                <w:highlight w:val="none"/>
                <w:lang w:val="en-US" w:eastAsia="zh-CN"/>
              </w:rPr>
              <w:t>地下水环境质量、土壤环境质量</w:t>
            </w:r>
            <w:r>
              <w:rPr>
                <w:rFonts w:hint="default"/>
                <w:color w:val="auto"/>
                <w:kern w:val="0"/>
                <w:sz w:val="24"/>
                <w:highlight w:val="none"/>
              </w:rPr>
              <w:t>以及生态环境</w:t>
            </w:r>
            <w:r>
              <w:rPr>
                <w:rFonts w:hint="eastAsia"/>
                <w:color w:val="auto"/>
                <w:kern w:val="0"/>
                <w:sz w:val="24"/>
                <w:highlight w:val="none"/>
              </w:rPr>
              <w:t>质量现状</w:t>
            </w:r>
            <w:r>
              <w:rPr>
                <w:rFonts w:hint="eastAsia"/>
                <w:color w:val="auto"/>
                <w:kern w:val="0"/>
                <w:sz w:val="24"/>
                <w:highlight w:val="none"/>
                <w:lang w:val="en-US" w:eastAsia="zh-CN"/>
              </w:rPr>
              <w:t>均</w:t>
            </w:r>
            <w:r>
              <w:rPr>
                <w:rFonts w:hint="default"/>
                <w:color w:val="auto"/>
                <w:kern w:val="0"/>
                <w:sz w:val="24"/>
                <w:highlight w:val="none"/>
              </w:rPr>
              <w:t>符合功能区划的要求。</w:t>
            </w:r>
          </w:p>
        </w:tc>
      </w:tr>
      <w:tr w14:paraId="5AB85F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7" w:type="dxa"/>
            <w:vAlign w:val="center"/>
          </w:tcPr>
          <w:p w14:paraId="22AD8F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环</w:t>
            </w:r>
          </w:p>
          <w:p w14:paraId="2C7DE5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境</w:t>
            </w:r>
          </w:p>
          <w:p w14:paraId="2A7B0CA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保</w:t>
            </w:r>
          </w:p>
          <w:p w14:paraId="79DBE7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护</w:t>
            </w:r>
          </w:p>
          <w:p w14:paraId="045ABD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目</w:t>
            </w:r>
          </w:p>
          <w:p w14:paraId="1E4B5B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标</w:t>
            </w:r>
          </w:p>
        </w:tc>
        <w:tc>
          <w:tcPr>
            <w:tcW w:w="8604" w:type="dxa"/>
            <w:vAlign w:val="center"/>
          </w:tcPr>
          <w:p w14:paraId="3A4931EF">
            <w:pPr>
              <w:keepNext w:val="0"/>
              <w:keepLines w:val="0"/>
              <w:suppressLineNumbers w:val="0"/>
              <w:bidi w:val="0"/>
              <w:spacing w:before="0" w:beforeAutospacing="0" w:after="0" w:afterAutospacing="0"/>
              <w:ind w:left="0" w:leftChars="0" w:right="0" w:firstLine="482" w:firstLineChars="200"/>
              <w:rPr>
                <w:rFonts w:hint="default" w:ascii="Times New Roman" w:hAnsi="Times New Roman" w:cs="Times New Roman"/>
                <w:b/>
                <w:bCs/>
                <w:color w:val="auto"/>
                <w:highlight w:val="none"/>
              </w:rPr>
            </w:pPr>
            <w:r>
              <w:rPr>
                <w:rFonts w:hint="eastAsia" w:cs="Times New Roman"/>
                <w:b/>
                <w:bCs/>
                <w:color w:val="auto"/>
                <w:highlight w:val="none"/>
                <w:lang w:val="en-US" w:eastAsia="zh-CN"/>
              </w:rPr>
              <w:t>1</w:t>
            </w:r>
            <w:r>
              <w:rPr>
                <w:rFonts w:hint="default" w:ascii="Times New Roman" w:hAnsi="Times New Roman" w:cs="Times New Roman"/>
                <w:b/>
                <w:bCs/>
                <w:color w:val="auto"/>
                <w:highlight w:val="none"/>
                <w:lang w:val="en-US" w:eastAsia="zh-CN"/>
              </w:rPr>
              <w:t>、</w:t>
            </w:r>
            <w:r>
              <w:rPr>
                <w:rFonts w:hint="default" w:ascii="Times New Roman" w:hAnsi="Times New Roman" w:cs="Times New Roman"/>
                <w:b/>
                <w:bCs/>
                <w:color w:val="auto"/>
                <w:highlight w:val="none"/>
              </w:rPr>
              <w:t>环境保护目标</w:t>
            </w:r>
          </w:p>
          <w:p w14:paraId="7887C796">
            <w:pPr>
              <w:keepNext w:val="0"/>
              <w:keepLines w:val="0"/>
              <w:suppressLineNumbers w:val="0"/>
              <w:adjustRightInd w:val="0"/>
              <w:snapToGrid w:val="0"/>
              <w:spacing w:before="0" w:beforeAutospacing="0" w:after="0" w:afterAutospacing="0"/>
              <w:ind w:left="0" w:right="0"/>
              <w:jc w:val="left"/>
              <w:rPr>
                <w:rFonts w:hint="default"/>
                <w:b/>
                <w:bCs/>
                <w:color w:val="auto"/>
                <w:highlight w:val="none"/>
              </w:rPr>
            </w:pPr>
            <w:r>
              <w:rPr>
                <w:rFonts w:hint="default" w:ascii="Times New Roman" w:hAnsi="Times New Roman" w:cs="Times New Roman"/>
                <w:color w:val="auto"/>
                <w:highlight w:val="none"/>
              </w:rPr>
              <w:t>本项目位于</w:t>
            </w:r>
            <w:r>
              <w:rPr>
                <w:rFonts w:hint="eastAsia"/>
                <w:color w:val="auto"/>
                <w:sz w:val="24"/>
                <w:highlight w:val="none"/>
                <w:lang w:val="en-US" w:eastAsia="zh-CN"/>
              </w:rPr>
              <w:t>江西</w:t>
            </w:r>
            <w:r>
              <w:rPr>
                <w:rFonts w:hint="eastAsia" w:ascii="Times New Roman" w:eastAsia="宋体"/>
                <w:color w:val="auto"/>
                <w:sz w:val="24"/>
                <w:highlight w:val="none"/>
                <w:lang w:val="en-US" w:eastAsia="zh-CN"/>
              </w:rPr>
              <w:t>安义</w:t>
            </w:r>
            <w:r>
              <w:rPr>
                <w:rFonts w:hint="eastAsia"/>
                <w:color w:val="auto"/>
                <w:sz w:val="24"/>
                <w:highlight w:val="none"/>
                <w:lang w:val="en-US" w:eastAsia="zh-CN"/>
              </w:rPr>
              <w:t>高新技术产业园区</w:t>
            </w:r>
            <w:r>
              <w:rPr>
                <w:rFonts w:hint="default" w:ascii="Times New Roman" w:hAnsi="Times New Roman" w:cs="Times New Roman"/>
                <w:color w:val="auto"/>
                <w:highlight w:val="none"/>
              </w:rPr>
              <w:t>。根据现场踏勘</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大气环境500</w:t>
            </w:r>
            <w:r>
              <w:rPr>
                <w:rFonts w:hint="eastAsia" w:cs="Times New Roman"/>
                <w:color w:val="auto"/>
                <w:highlight w:val="none"/>
                <w:lang w:val="en-US" w:eastAsia="zh-CN"/>
              </w:rPr>
              <w:t>m</w:t>
            </w:r>
            <w:r>
              <w:rPr>
                <w:rFonts w:hint="default" w:ascii="Times New Roman" w:hAnsi="Times New Roman" w:cs="Times New Roman"/>
                <w:color w:val="auto"/>
                <w:highlight w:val="none"/>
                <w:lang w:val="en-US" w:eastAsia="zh-CN"/>
              </w:rPr>
              <w:t>范围内无自然保护区、风景名胜区等特殊保护区；声环境厂界外50</w:t>
            </w:r>
            <w:r>
              <w:rPr>
                <w:rFonts w:hint="eastAsia" w:cs="Times New Roman"/>
                <w:color w:val="auto"/>
                <w:highlight w:val="none"/>
                <w:lang w:val="en-US" w:eastAsia="zh-CN"/>
              </w:rPr>
              <w:t>m</w:t>
            </w:r>
            <w:r>
              <w:rPr>
                <w:rFonts w:hint="default" w:ascii="Times New Roman" w:hAnsi="Times New Roman" w:cs="Times New Roman"/>
                <w:color w:val="auto"/>
                <w:highlight w:val="none"/>
                <w:lang w:val="en-US" w:eastAsia="zh-CN"/>
              </w:rPr>
              <w:t>范围内</w:t>
            </w:r>
            <w:r>
              <w:rPr>
                <w:rFonts w:hint="eastAsia" w:cs="Times New Roman"/>
                <w:color w:val="auto"/>
                <w:highlight w:val="none"/>
                <w:lang w:val="en-US" w:eastAsia="zh-CN"/>
              </w:rPr>
              <w:t>无</w:t>
            </w:r>
            <w:r>
              <w:rPr>
                <w:rFonts w:hint="default" w:ascii="Times New Roman" w:hAnsi="Times New Roman" w:cs="Times New Roman"/>
                <w:color w:val="auto"/>
                <w:highlight w:val="none"/>
                <w:lang w:val="en-US" w:eastAsia="zh-CN"/>
              </w:rPr>
              <w:t>声环境保护目标；地下水环境厂界外500</w:t>
            </w:r>
            <w:r>
              <w:rPr>
                <w:rFonts w:hint="eastAsia" w:cs="Times New Roman"/>
                <w:color w:val="auto"/>
                <w:highlight w:val="none"/>
                <w:lang w:val="en-US" w:eastAsia="zh-CN"/>
              </w:rPr>
              <w:t>m</w:t>
            </w:r>
            <w:r>
              <w:rPr>
                <w:rFonts w:hint="default" w:ascii="Times New Roman" w:hAnsi="Times New Roman" w:cs="Times New Roman"/>
                <w:color w:val="auto"/>
                <w:highlight w:val="none"/>
                <w:lang w:val="en-US" w:eastAsia="zh-CN"/>
              </w:rPr>
              <w:t>范围内无地下水集中式饮用水水源和热水、矿泉水、温泉等特殊地下水资源。</w:t>
            </w:r>
            <w:r>
              <w:rPr>
                <w:rFonts w:hint="default" w:ascii="Times New Roman" w:hAnsi="Times New Roman" w:cs="Times New Roman"/>
                <w:color w:val="auto"/>
                <w:highlight w:val="none"/>
              </w:rPr>
              <w:t>主要环境保护目标见表3-</w:t>
            </w:r>
            <w:r>
              <w:rPr>
                <w:rFonts w:hint="eastAsia" w:cs="Times New Roman"/>
                <w:color w:val="auto"/>
                <w:highlight w:val="none"/>
                <w:lang w:val="en-US" w:eastAsia="zh-CN"/>
              </w:rPr>
              <w:t>3</w:t>
            </w:r>
            <w:r>
              <w:rPr>
                <w:rFonts w:hint="default" w:ascii="Times New Roman" w:hAnsi="Times New Roman" w:cs="Times New Roman"/>
                <w:color w:val="auto"/>
                <w:highlight w:val="none"/>
              </w:rPr>
              <w:t>。</w:t>
            </w:r>
          </w:p>
          <w:p w14:paraId="07FF3EE8">
            <w:pPr>
              <w:pStyle w:val="7"/>
              <w:keepNext w:val="0"/>
              <w:keepLines w:val="0"/>
              <w:suppressLineNumbers w:val="0"/>
              <w:bidi w:val="0"/>
              <w:spacing w:before="0" w:beforeAutospacing="0" w:after="0" w:afterAutospacing="0"/>
              <w:ind w:left="0" w:right="0"/>
              <w:jc w:val="center"/>
              <w:rPr>
                <w:rFonts w:hint="eastAsia"/>
                <w:b/>
                <w:bCs/>
                <w:color w:val="auto"/>
                <w:highlight w:val="none"/>
                <w:lang w:val="en-US" w:eastAsia="zh-CN"/>
              </w:rPr>
            </w:pPr>
            <w:r>
              <w:rPr>
                <w:rFonts w:hint="default"/>
                <w:b/>
                <w:bCs/>
                <w:color w:val="auto"/>
                <w:highlight w:val="none"/>
              </w:rPr>
              <w:t>表3-</w:t>
            </w:r>
            <w:r>
              <w:rPr>
                <w:rFonts w:hint="eastAsia"/>
                <w:b/>
                <w:bCs/>
                <w:color w:val="auto"/>
                <w:highlight w:val="none"/>
                <w:lang w:val="en-US" w:eastAsia="zh-CN"/>
              </w:rPr>
              <w:t xml:space="preserve">3 </w:t>
            </w:r>
            <w:r>
              <w:rPr>
                <w:rFonts w:hint="default"/>
                <w:b/>
                <w:bCs/>
                <w:color w:val="auto"/>
                <w:highlight w:val="none"/>
              </w:rPr>
              <w:t xml:space="preserve">  项目主要环境保护目标</w:t>
            </w:r>
            <w:r>
              <w:rPr>
                <w:rFonts w:hint="eastAsia"/>
                <w:b/>
                <w:bCs/>
                <w:color w:val="auto"/>
                <w:highlight w:val="none"/>
                <w:lang w:val="en-US" w:eastAsia="zh-CN"/>
              </w:rPr>
              <w:t>一览表</w:t>
            </w:r>
          </w:p>
          <w:tbl>
            <w:tblPr>
              <w:tblStyle w:val="32"/>
              <w:tblW w:w="8412"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717"/>
              <w:gridCol w:w="1043"/>
              <w:gridCol w:w="663"/>
              <w:gridCol w:w="700"/>
              <w:gridCol w:w="887"/>
              <w:gridCol w:w="1088"/>
              <w:gridCol w:w="962"/>
              <w:gridCol w:w="888"/>
              <w:gridCol w:w="1464"/>
            </w:tblGrid>
            <w:tr w14:paraId="4E35BC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717" w:type="dxa"/>
                  <w:vMerge w:val="restart"/>
                  <w:tcBorders>
                    <w:bottom w:val="single" w:color="000000" w:sz="12" w:space="0"/>
                  </w:tcBorders>
                  <w:shd w:val="clear" w:color="auto" w:fill="auto"/>
                  <w:vAlign w:val="center"/>
                </w:tcPr>
                <w:p w14:paraId="1E4D30D3">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color w:val="auto"/>
                      <w:highlight w:val="none"/>
                      <w:lang w:eastAsia="zh-CN"/>
                    </w:rPr>
                  </w:pPr>
                  <w:r>
                    <w:rPr>
                      <w:rFonts w:hint="default" w:ascii="Times New Roman" w:hAnsi="Times New Roman" w:eastAsia="宋体" w:cs="Times New Roman"/>
                      <w:b/>
                      <w:bCs/>
                      <w:color w:val="auto"/>
                      <w:highlight w:val="none"/>
                      <w:lang w:eastAsia="zh-CN"/>
                    </w:rPr>
                    <w:t>环境要素</w:t>
                  </w:r>
                </w:p>
              </w:tc>
              <w:tc>
                <w:tcPr>
                  <w:tcW w:w="1043" w:type="dxa"/>
                  <w:vMerge w:val="restart"/>
                  <w:tcBorders>
                    <w:bottom w:val="single" w:color="000000" w:sz="12" w:space="0"/>
                  </w:tcBorders>
                  <w:shd w:val="clear" w:color="auto" w:fill="auto"/>
                  <w:vAlign w:val="center"/>
                </w:tcPr>
                <w:p w14:paraId="157B280E">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color w:val="auto"/>
                      <w:highlight w:val="none"/>
                      <w:lang w:eastAsia="zh-CN"/>
                    </w:rPr>
                  </w:pPr>
                  <w:r>
                    <w:rPr>
                      <w:rFonts w:hint="default" w:ascii="Times New Roman" w:hAnsi="Times New Roman" w:eastAsia="宋体" w:cs="Times New Roman"/>
                      <w:b/>
                      <w:bCs/>
                      <w:color w:val="auto"/>
                      <w:highlight w:val="none"/>
                      <w:lang w:eastAsia="zh-CN"/>
                    </w:rPr>
                    <w:t>名称</w:t>
                  </w:r>
                </w:p>
              </w:tc>
              <w:tc>
                <w:tcPr>
                  <w:tcW w:w="1363" w:type="dxa"/>
                  <w:gridSpan w:val="2"/>
                  <w:tcBorders>
                    <w:tl2br w:val="nil"/>
                    <w:tr2bl w:val="nil"/>
                  </w:tcBorders>
                  <w:shd w:val="clear" w:color="auto" w:fill="auto"/>
                  <w:vAlign w:val="center"/>
                </w:tcPr>
                <w:p w14:paraId="63015BEB">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eastAsia="zh-CN"/>
                    </w:rPr>
                    <w:t>坐标</w:t>
                  </w:r>
                  <w:r>
                    <w:rPr>
                      <w:rFonts w:hint="default" w:ascii="Times New Roman" w:hAnsi="Times New Roman" w:eastAsia="宋体" w:cs="Times New Roman"/>
                      <w:b/>
                      <w:bCs/>
                      <w:color w:val="auto"/>
                      <w:highlight w:val="none"/>
                      <w:lang w:val="en-US" w:eastAsia="zh-CN"/>
                    </w:rPr>
                    <w:t>/m</w:t>
                  </w:r>
                </w:p>
              </w:tc>
              <w:tc>
                <w:tcPr>
                  <w:tcW w:w="887" w:type="dxa"/>
                  <w:vMerge w:val="restart"/>
                  <w:tcBorders>
                    <w:tl2br w:val="nil"/>
                    <w:tr2bl w:val="nil"/>
                  </w:tcBorders>
                  <w:shd w:val="clear" w:color="auto" w:fill="auto"/>
                  <w:vAlign w:val="center"/>
                </w:tcPr>
                <w:p w14:paraId="6D3BC962">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color w:val="auto"/>
                      <w:highlight w:val="none"/>
                      <w:lang w:eastAsia="zh-CN"/>
                    </w:rPr>
                  </w:pPr>
                  <w:r>
                    <w:rPr>
                      <w:rFonts w:hint="default" w:ascii="Times New Roman" w:hAnsi="Times New Roman" w:eastAsia="宋体" w:cs="Times New Roman"/>
                      <w:b/>
                      <w:bCs/>
                      <w:color w:val="auto"/>
                      <w:highlight w:val="none"/>
                      <w:lang w:eastAsia="zh-CN"/>
                    </w:rPr>
                    <w:t>保护对象</w:t>
                  </w:r>
                </w:p>
              </w:tc>
              <w:tc>
                <w:tcPr>
                  <w:tcW w:w="1088" w:type="dxa"/>
                  <w:vMerge w:val="restart"/>
                  <w:tcBorders>
                    <w:tl2br w:val="nil"/>
                    <w:tr2bl w:val="nil"/>
                  </w:tcBorders>
                  <w:shd w:val="clear" w:color="auto" w:fill="auto"/>
                  <w:vAlign w:val="center"/>
                </w:tcPr>
                <w:p w14:paraId="052332CD">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color w:val="auto"/>
                      <w:highlight w:val="none"/>
                      <w:lang w:eastAsia="zh-CN"/>
                    </w:rPr>
                  </w:pPr>
                  <w:r>
                    <w:rPr>
                      <w:rFonts w:hint="default" w:ascii="Times New Roman" w:hAnsi="Times New Roman" w:eastAsia="宋体" w:cs="Times New Roman"/>
                      <w:b/>
                      <w:bCs/>
                      <w:color w:val="auto"/>
                      <w:highlight w:val="none"/>
                      <w:lang w:eastAsia="zh-CN"/>
                    </w:rPr>
                    <w:t>保护内容</w:t>
                  </w:r>
                </w:p>
              </w:tc>
              <w:tc>
                <w:tcPr>
                  <w:tcW w:w="962" w:type="dxa"/>
                  <w:vMerge w:val="restart"/>
                  <w:tcBorders>
                    <w:tl2br w:val="nil"/>
                    <w:tr2bl w:val="nil"/>
                  </w:tcBorders>
                  <w:shd w:val="clear" w:color="auto" w:fill="auto"/>
                  <w:vAlign w:val="center"/>
                </w:tcPr>
                <w:p w14:paraId="67E54F09">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color w:val="auto"/>
                      <w:highlight w:val="none"/>
                      <w:lang w:eastAsia="zh-CN"/>
                    </w:rPr>
                  </w:pPr>
                  <w:r>
                    <w:rPr>
                      <w:rFonts w:hint="default" w:ascii="Times New Roman" w:hAnsi="Times New Roman" w:eastAsia="宋体" w:cs="Times New Roman"/>
                      <w:b/>
                      <w:bCs/>
                      <w:color w:val="auto"/>
                      <w:highlight w:val="none"/>
                      <w:lang w:eastAsia="zh-CN"/>
                    </w:rPr>
                    <w:t>环境功能区</w:t>
                  </w:r>
                </w:p>
              </w:tc>
              <w:tc>
                <w:tcPr>
                  <w:tcW w:w="888" w:type="dxa"/>
                  <w:vMerge w:val="restart"/>
                  <w:tcBorders>
                    <w:tl2br w:val="nil"/>
                    <w:tr2bl w:val="nil"/>
                  </w:tcBorders>
                  <w:shd w:val="clear" w:color="auto" w:fill="auto"/>
                  <w:vAlign w:val="center"/>
                </w:tcPr>
                <w:p w14:paraId="5D8B6C06">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color w:val="auto"/>
                      <w:highlight w:val="none"/>
                      <w:lang w:eastAsia="zh-CN"/>
                    </w:rPr>
                  </w:pPr>
                  <w:r>
                    <w:rPr>
                      <w:rFonts w:hint="default" w:ascii="Times New Roman" w:hAnsi="Times New Roman" w:eastAsia="宋体" w:cs="Times New Roman"/>
                      <w:b/>
                      <w:bCs/>
                      <w:color w:val="auto"/>
                      <w:highlight w:val="none"/>
                      <w:lang w:eastAsia="zh-CN"/>
                    </w:rPr>
                    <w:t>相对厂址方位</w:t>
                  </w:r>
                </w:p>
              </w:tc>
              <w:tc>
                <w:tcPr>
                  <w:tcW w:w="1464" w:type="dxa"/>
                  <w:vMerge w:val="restart"/>
                  <w:tcBorders>
                    <w:tl2br w:val="nil"/>
                    <w:tr2bl w:val="nil"/>
                  </w:tcBorders>
                  <w:shd w:val="clear" w:color="auto" w:fill="auto"/>
                  <w:vAlign w:val="center"/>
                </w:tcPr>
                <w:p w14:paraId="4148DDEE">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color w:val="auto"/>
                      <w:highlight w:val="none"/>
                      <w:lang w:eastAsia="zh-CN"/>
                    </w:rPr>
                  </w:pPr>
                  <w:r>
                    <w:rPr>
                      <w:rFonts w:hint="default" w:ascii="Times New Roman" w:hAnsi="Times New Roman" w:eastAsia="宋体" w:cs="Times New Roman"/>
                      <w:b/>
                      <w:bCs/>
                      <w:color w:val="auto"/>
                      <w:highlight w:val="none"/>
                      <w:lang w:eastAsia="zh-CN"/>
                    </w:rPr>
                    <w:t>相对厂界距离</w:t>
                  </w:r>
                  <w:r>
                    <w:rPr>
                      <w:rFonts w:hint="default" w:ascii="Times New Roman" w:hAnsi="Times New Roman" w:eastAsia="宋体" w:cs="Times New Roman"/>
                      <w:b/>
                      <w:bCs/>
                      <w:color w:val="auto"/>
                      <w:highlight w:val="none"/>
                      <w:lang w:val="en-US" w:eastAsia="zh-CN"/>
                    </w:rPr>
                    <w:t>/</w:t>
                  </w:r>
                  <w:r>
                    <w:rPr>
                      <w:rFonts w:hint="default" w:ascii="Times New Roman" w:hAnsi="Times New Roman" w:eastAsia="宋体" w:cs="Times New Roman"/>
                      <w:b/>
                      <w:bCs/>
                      <w:color w:val="auto"/>
                      <w:highlight w:val="none"/>
                      <w:lang w:eastAsia="zh-CN"/>
                    </w:rPr>
                    <w:t>m</w:t>
                  </w:r>
                </w:p>
              </w:tc>
            </w:tr>
            <w:tr w14:paraId="5DF7C4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17" w:type="dxa"/>
                  <w:vMerge w:val="continue"/>
                  <w:tcBorders>
                    <w:top w:val="single" w:color="000000" w:sz="12" w:space="0"/>
                    <w:bottom w:val="single" w:color="000000" w:sz="12" w:space="0"/>
                    <w:tl2br w:val="nil"/>
                    <w:tr2bl w:val="nil"/>
                  </w:tcBorders>
                  <w:shd w:val="clear" w:color="auto" w:fill="auto"/>
                  <w:vAlign w:val="center"/>
                </w:tcPr>
                <w:p w14:paraId="65E3FD86">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lang w:eastAsia="zh-CN"/>
                    </w:rPr>
                  </w:pPr>
                </w:p>
              </w:tc>
              <w:tc>
                <w:tcPr>
                  <w:tcW w:w="1043" w:type="dxa"/>
                  <w:vMerge w:val="continue"/>
                  <w:tcBorders>
                    <w:top w:val="single" w:color="000000" w:sz="12" w:space="0"/>
                    <w:bottom w:val="single" w:color="000000" w:sz="12" w:space="0"/>
                    <w:tl2br w:val="nil"/>
                    <w:tr2bl w:val="nil"/>
                  </w:tcBorders>
                  <w:shd w:val="clear" w:color="auto" w:fill="auto"/>
                  <w:vAlign w:val="center"/>
                </w:tcPr>
                <w:p w14:paraId="776B1BC5">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lang w:eastAsia="zh-CN"/>
                    </w:rPr>
                  </w:pPr>
                </w:p>
              </w:tc>
              <w:tc>
                <w:tcPr>
                  <w:tcW w:w="663" w:type="dxa"/>
                  <w:tcBorders>
                    <w:bottom w:val="single" w:color="000000" w:sz="12" w:space="0"/>
                    <w:tl2br w:val="nil"/>
                    <w:tr2bl w:val="nil"/>
                  </w:tcBorders>
                  <w:shd w:val="clear" w:color="auto" w:fill="auto"/>
                  <w:vAlign w:val="center"/>
                </w:tcPr>
                <w:p w14:paraId="22997A8C">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X</w:t>
                  </w:r>
                </w:p>
              </w:tc>
              <w:tc>
                <w:tcPr>
                  <w:tcW w:w="700" w:type="dxa"/>
                  <w:tcBorders>
                    <w:bottom w:val="single" w:color="000000" w:sz="12" w:space="0"/>
                    <w:tl2br w:val="nil"/>
                    <w:tr2bl w:val="nil"/>
                  </w:tcBorders>
                  <w:shd w:val="clear" w:color="auto" w:fill="auto"/>
                  <w:vAlign w:val="center"/>
                </w:tcPr>
                <w:p w14:paraId="1762E178">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Y</w:t>
                  </w:r>
                </w:p>
              </w:tc>
              <w:tc>
                <w:tcPr>
                  <w:tcW w:w="887" w:type="dxa"/>
                  <w:vMerge w:val="continue"/>
                  <w:tcBorders>
                    <w:bottom w:val="single" w:color="000000" w:sz="12" w:space="0"/>
                    <w:tl2br w:val="nil"/>
                    <w:tr2bl w:val="nil"/>
                  </w:tcBorders>
                  <w:shd w:val="clear" w:color="auto" w:fill="auto"/>
                  <w:vAlign w:val="center"/>
                </w:tcPr>
                <w:p w14:paraId="1007B6E1">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lang w:eastAsia="zh-CN"/>
                    </w:rPr>
                  </w:pPr>
                </w:p>
              </w:tc>
              <w:tc>
                <w:tcPr>
                  <w:tcW w:w="1088" w:type="dxa"/>
                  <w:vMerge w:val="continue"/>
                  <w:tcBorders>
                    <w:bottom w:val="single" w:color="000000" w:sz="12" w:space="0"/>
                    <w:tl2br w:val="nil"/>
                    <w:tr2bl w:val="nil"/>
                  </w:tcBorders>
                  <w:shd w:val="clear" w:color="auto" w:fill="auto"/>
                  <w:vAlign w:val="center"/>
                </w:tcPr>
                <w:p w14:paraId="403BA780">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lang w:eastAsia="zh-CN"/>
                    </w:rPr>
                  </w:pPr>
                </w:p>
              </w:tc>
              <w:tc>
                <w:tcPr>
                  <w:tcW w:w="962" w:type="dxa"/>
                  <w:vMerge w:val="continue"/>
                  <w:tcBorders>
                    <w:bottom w:val="single" w:color="000000" w:sz="12" w:space="0"/>
                    <w:tl2br w:val="nil"/>
                    <w:tr2bl w:val="nil"/>
                  </w:tcBorders>
                  <w:shd w:val="clear" w:color="auto" w:fill="auto"/>
                  <w:vAlign w:val="center"/>
                </w:tcPr>
                <w:p w14:paraId="4D8EB310">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lang w:eastAsia="zh-CN"/>
                    </w:rPr>
                  </w:pPr>
                </w:p>
              </w:tc>
              <w:tc>
                <w:tcPr>
                  <w:tcW w:w="888" w:type="dxa"/>
                  <w:vMerge w:val="continue"/>
                  <w:tcBorders>
                    <w:bottom w:val="single" w:color="000000" w:sz="12" w:space="0"/>
                    <w:tl2br w:val="nil"/>
                    <w:tr2bl w:val="nil"/>
                  </w:tcBorders>
                  <w:shd w:val="clear" w:color="auto" w:fill="auto"/>
                  <w:vAlign w:val="center"/>
                </w:tcPr>
                <w:p w14:paraId="42FEAE4C">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lang w:eastAsia="zh-CN"/>
                    </w:rPr>
                  </w:pPr>
                </w:p>
              </w:tc>
              <w:tc>
                <w:tcPr>
                  <w:tcW w:w="1464" w:type="dxa"/>
                  <w:vMerge w:val="continue"/>
                  <w:tcBorders>
                    <w:bottom w:val="single" w:color="000000" w:sz="12" w:space="0"/>
                    <w:tl2br w:val="nil"/>
                    <w:tr2bl w:val="nil"/>
                  </w:tcBorders>
                  <w:shd w:val="clear" w:color="auto" w:fill="auto"/>
                  <w:vAlign w:val="center"/>
                </w:tcPr>
                <w:p w14:paraId="2DBBD12D">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lang w:eastAsia="zh-CN"/>
                    </w:rPr>
                  </w:pPr>
                </w:p>
              </w:tc>
            </w:tr>
            <w:tr w14:paraId="2BF52C0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6" w:hRule="atLeast"/>
                <w:jc w:val="center"/>
              </w:trPr>
              <w:tc>
                <w:tcPr>
                  <w:tcW w:w="717" w:type="dxa"/>
                  <w:vMerge w:val="restart"/>
                  <w:tcBorders>
                    <w:top w:val="single" w:color="000000" w:sz="12" w:space="0"/>
                    <w:tl2br w:val="nil"/>
                    <w:tr2bl w:val="nil"/>
                  </w:tcBorders>
                  <w:shd w:val="clear" w:color="auto" w:fill="auto"/>
                  <w:vAlign w:val="center"/>
                </w:tcPr>
                <w:p w14:paraId="2D7F71BD">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大气环境</w:t>
                  </w:r>
                </w:p>
              </w:tc>
              <w:tc>
                <w:tcPr>
                  <w:tcW w:w="1043" w:type="dxa"/>
                  <w:tcBorders>
                    <w:top w:val="single" w:color="000000" w:sz="12" w:space="0"/>
                    <w:tl2br w:val="nil"/>
                    <w:tr2bl w:val="nil"/>
                  </w:tcBorders>
                  <w:shd w:val="clear" w:color="auto" w:fill="auto"/>
                  <w:vAlign w:val="center"/>
                </w:tcPr>
                <w:p w14:paraId="044460B7">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石下</w:t>
                  </w:r>
                </w:p>
              </w:tc>
              <w:tc>
                <w:tcPr>
                  <w:tcW w:w="663" w:type="dxa"/>
                  <w:tcBorders>
                    <w:tl2br w:val="nil"/>
                    <w:tr2bl w:val="nil"/>
                  </w:tcBorders>
                  <w:shd w:val="clear" w:color="auto" w:fill="auto"/>
                  <w:vAlign w:val="center"/>
                </w:tcPr>
                <w:p w14:paraId="5DD36686">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24</w:t>
                  </w:r>
                </w:p>
              </w:tc>
              <w:tc>
                <w:tcPr>
                  <w:tcW w:w="700" w:type="dxa"/>
                  <w:tcBorders>
                    <w:tl2br w:val="nil"/>
                    <w:tr2bl w:val="nil"/>
                  </w:tcBorders>
                  <w:shd w:val="clear" w:color="auto" w:fill="auto"/>
                  <w:vAlign w:val="center"/>
                </w:tcPr>
                <w:p w14:paraId="524E1E07">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355</w:t>
                  </w:r>
                </w:p>
              </w:tc>
              <w:tc>
                <w:tcPr>
                  <w:tcW w:w="887" w:type="dxa"/>
                  <w:tcBorders>
                    <w:tl2br w:val="nil"/>
                    <w:tr2bl w:val="nil"/>
                  </w:tcBorders>
                  <w:shd w:val="clear" w:color="auto" w:fill="auto"/>
                  <w:vAlign w:val="center"/>
                </w:tcPr>
                <w:p w14:paraId="0D71189A">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居住区</w:t>
                  </w:r>
                </w:p>
              </w:tc>
              <w:tc>
                <w:tcPr>
                  <w:tcW w:w="1088" w:type="dxa"/>
                  <w:tcBorders>
                    <w:tl2br w:val="nil"/>
                    <w:tr2bl w:val="nil"/>
                  </w:tcBorders>
                  <w:shd w:val="clear" w:color="auto" w:fill="auto"/>
                  <w:vAlign w:val="center"/>
                </w:tcPr>
                <w:p w14:paraId="68C17054">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约</w:t>
                  </w:r>
                  <w:r>
                    <w:rPr>
                      <w:rFonts w:hint="eastAsia" w:cs="Times New Roman"/>
                      <w:color w:val="auto"/>
                      <w:highlight w:val="none"/>
                      <w:lang w:val="en-US" w:eastAsia="zh-CN"/>
                    </w:rPr>
                    <w:t>80</w:t>
                  </w:r>
                  <w:r>
                    <w:rPr>
                      <w:rFonts w:hint="default" w:ascii="Times New Roman" w:hAnsi="Times New Roman" w:eastAsia="宋体" w:cs="Times New Roman"/>
                      <w:color w:val="auto"/>
                      <w:highlight w:val="none"/>
                      <w:lang w:val="en-US" w:eastAsia="zh-CN"/>
                    </w:rPr>
                    <w:t>人</w:t>
                  </w:r>
                </w:p>
              </w:tc>
              <w:tc>
                <w:tcPr>
                  <w:tcW w:w="962" w:type="dxa"/>
                  <w:tcBorders>
                    <w:tl2br w:val="nil"/>
                    <w:tr2bl w:val="nil"/>
                  </w:tcBorders>
                  <w:shd w:val="clear" w:color="auto" w:fill="auto"/>
                  <w:vAlign w:val="center"/>
                </w:tcPr>
                <w:p w14:paraId="3BDB65D2">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二类区</w:t>
                  </w:r>
                </w:p>
              </w:tc>
              <w:tc>
                <w:tcPr>
                  <w:tcW w:w="888" w:type="dxa"/>
                  <w:tcBorders>
                    <w:tl2br w:val="nil"/>
                    <w:tr2bl w:val="nil"/>
                  </w:tcBorders>
                  <w:shd w:val="clear" w:color="auto" w:fill="auto"/>
                  <w:vAlign w:val="center"/>
                </w:tcPr>
                <w:p w14:paraId="5D12B087">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北侧</w:t>
                  </w:r>
                </w:p>
              </w:tc>
              <w:tc>
                <w:tcPr>
                  <w:tcW w:w="1464" w:type="dxa"/>
                  <w:tcBorders>
                    <w:tl2br w:val="nil"/>
                    <w:tr2bl w:val="nil"/>
                  </w:tcBorders>
                  <w:shd w:val="clear" w:color="auto" w:fill="auto"/>
                  <w:vAlign w:val="center"/>
                </w:tcPr>
                <w:p w14:paraId="1D886090">
                  <w:pPr>
                    <w:pStyle w:val="7"/>
                    <w:keepNext w:val="0"/>
                    <w:keepLines w:val="0"/>
                    <w:suppressLineNumbers w:val="0"/>
                    <w:bidi w:val="0"/>
                    <w:spacing w:before="0" w:beforeAutospacing="0" w:after="0" w:afterAutospacing="0"/>
                    <w:ind w:left="0" w:leftChars="0" w:right="0" w:rightChars="0" w:firstLine="0" w:firstLineChars="0"/>
                    <w:jc w:val="center"/>
                    <w:rPr>
                      <w:rFonts w:hint="default" w:cs="Times New Roman"/>
                      <w:color w:val="auto"/>
                      <w:highlight w:val="none"/>
                      <w:lang w:val="en-US" w:eastAsia="zh-CN"/>
                    </w:rPr>
                  </w:pPr>
                  <w:r>
                    <w:rPr>
                      <w:rFonts w:hint="eastAsia" w:cs="Times New Roman"/>
                      <w:color w:val="auto"/>
                      <w:highlight w:val="none"/>
                      <w:lang w:val="en-US" w:eastAsia="zh-CN"/>
                    </w:rPr>
                    <w:t>245</w:t>
                  </w:r>
                </w:p>
              </w:tc>
            </w:tr>
            <w:tr w14:paraId="47D52BF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75" w:hRule="atLeast"/>
                <w:jc w:val="center"/>
              </w:trPr>
              <w:tc>
                <w:tcPr>
                  <w:tcW w:w="717" w:type="dxa"/>
                  <w:vMerge w:val="continue"/>
                  <w:tcBorders>
                    <w:tl2br w:val="nil"/>
                    <w:tr2bl w:val="nil"/>
                  </w:tcBorders>
                  <w:shd w:val="clear" w:color="auto" w:fill="auto"/>
                  <w:vAlign w:val="center"/>
                </w:tcPr>
                <w:p w14:paraId="28875791">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p>
              </w:tc>
              <w:tc>
                <w:tcPr>
                  <w:tcW w:w="1043" w:type="dxa"/>
                  <w:tcBorders>
                    <w:tl2br w:val="nil"/>
                    <w:tr2bl w:val="nil"/>
                  </w:tcBorders>
                  <w:shd w:val="clear" w:color="auto" w:fill="auto"/>
                  <w:vAlign w:val="center"/>
                </w:tcPr>
                <w:p w14:paraId="15AED2E9">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战坪村</w:t>
                  </w:r>
                </w:p>
              </w:tc>
              <w:tc>
                <w:tcPr>
                  <w:tcW w:w="663" w:type="dxa"/>
                  <w:tcBorders>
                    <w:tl2br w:val="nil"/>
                    <w:tr2bl w:val="nil"/>
                  </w:tcBorders>
                  <w:shd w:val="clear" w:color="auto" w:fill="auto"/>
                  <w:vAlign w:val="center"/>
                </w:tcPr>
                <w:p w14:paraId="5CC7D5AC">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388</w:t>
                  </w:r>
                </w:p>
              </w:tc>
              <w:tc>
                <w:tcPr>
                  <w:tcW w:w="700" w:type="dxa"/>
                  <w:tcBorders>
                    <w:tl2br w:val="nil"/>
                    <w:tr2bl w:val="nil"/>
                  </w:tcBorders>
                  <w:shd w:val="clear" w:color="auto" w:fill="auto"/>
                  <w:vAlign w:val="center"/>
                </w:tcPr>
                <w:p w14:paraId="15F08ACC">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344</w:t>
                  </w:r>
                </w:p>
              </w:tc>
              <w:tc>
                <w:tcPr>
                  <w:tcW w:w="887" w:type="dxa"/>
                  <w:tcBorders>
                    <w:tl2br w:val="nil"/>
                    <w:tr2bl w:val="nil"/>
                  </w:tcBorders>
                  <w:shd w:val="clear" w:color="auto" w:fill="auto"/>
                  <w:vAlign w:val="center"/>
                </w:tcPr>
                <w:p w14:paraId="3135E0C8">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居住区</w:t>
                  </w:r>
                </w:p>
              </w:tc>
              <w:tc>
                <w:tcPr>
                  <w:tcW w:w="1088" w:type="dxa"/>
                  <w:tcBorders>
                    <w:tl2br w:val="nil"/>
                    <w:tr2bl w:val="nil"/>
                  </w:tcBorders>
                  <w:shd w:val="clear" w:color="auto" w:fill="auto"/>
                  <w:vAlign w:val="center"/>
                </w:tcPr>
                <w:p w14:paraId="0AD06C9F">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约</w:t>
                  </w:r>
                  <w:r>
                    <w:rPr>
                      <w:rFonts w:hint="eastAsia" w:cs="Times New Roman"/>
                      <w:color w:val="auto"/>
                      <w:highlight w:val="none"/>
                      <w:lang w:val="en-US" w:eastAsia="zh-CN"/>
                    </w:rPr>
                    <w:t>150</w:t>
                  </w:r>
                  <w:r>
                    <w:rPr>
                      <w:rFonts w:hint="default" w:ascii="Times New Roman" w:hAnsi="Times New Roman" w:eastAsia="宋体" w:cs="Times New Roman"/>
                      <w:color w:val="auto"/>
                      <w:highlight w:val="none"/>
                      <w:lang w:val="en-US" w:eastAsia="zh-CN"/>
                    </w:rPr>
                    <w:t>人</w:t>
                  </w:r>
                </w:p>
              </w:tc>
              <w:tc>
                <w:tcPr>
                  <w:tcW w:w="962" w:type="dxa"/>
                  <w:tcBorders>
                    <w:tl2br w:val="nil"/>
                    <w:tr2bl w:val="nil"/>
                  </w:tcBorders>
                  <w:shd w:val="clear" w:color="auto" w:fill="auto"/>
                  <w:vAlign w:val="center"/>
                </w:tcPr>
                <w:p w14:paraId="7122FFFA">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二类区</w:t>
                  </w:r>
                </w:p>
              </w:tc>
              <w:tc>
                <w:tcPr>
                  <w:tcW w:w="888" w:type="dxa"/>
                  <w:tcBorders>
                    <w:tl2br w:val="nil"/>
                    <w:tr2bl w:val="nil"/>
                  </w:tcBorders>
                  <w:shd w:val="clear" w:color="auto" w:fill="auto"/>
                  <w:vAlign w:val="center"/>
                </w:tcPr>
                <w:p w14:paraId="126C94BB">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东北</w:t>
                  </w:r>
                </w:p>
              </w:tc>
              <w:tc>
                <w:tcPr>
                  <w:tcW w:w="1464" w:type="dxa"/>
                  <w:tcBorders>
                    <w:tl2br w:val="nil"/>
                    <w:tr2bl w:val="nil"/>
                  </w:tcBorders>
                  <w:shd w:val="clear" w:color="auto" w:fill="auto"/>
                  <w:vAlign w:val="center"/>
                </w:tcPr>
                <w:p w14:paraId="0FB422DD">
                  <w:pPr>
                    <w:pStyle w:val="7"/>
                    <w:keepNext w:val="0"/>
                    <w:keepLines w:val="0"/>
                    <w:suppressLineNumbers w:val="0"/>
                    <w:bidi w:val="0"/>
                    <w:spacing w:before="0" w:beforeAutospacing="0" w:after="0" w:afterAutospacing="0"/>
                    <w:ind w:left="0" w:leftChars="0" w:right="0" w:rightChars="0" w:firstLine="0" w:firstLineChars="0"/>
                    <w:jc w:val="center"/>
                    <w:rPr>
                      <w:rFonts w:hint="default" w:cs="Times New Roman"/>
                      <w:color w:val="auto"/>
                      <w:highlight w:val="none"/>
                      <w:lang w:val="en-US" w:eastAsia="zh-CN"/>
                    </w:rPr>
                  </w:pPr>
                  <w:r>
                    <w:rPr>
                      <w:rFonts w:hint="eastAsia" w:cs="Times New Roman"/>
                      <w:color w:val="auto"/>
                      <w:highlight w:val="none"/>
                      <w:lang w:val="en-US" w:eastAsia="zh-CN"/>
                    </w:rPr>
                    <w:t>360</w:t>
                  </w:r>
                </w:p>
              </w:tc>
            </w:tr>
            <w:tr w14:paraId="29E0D06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75" w:hRule="atLeast"/>
                <w:jc w:val="center"/>
              </w:trPr>
              <w:tc>
                <w:tcPr>
                  <w:tcW w:w="717" w:type="dxa"/>
                  <w:vMerge w:val="continue"/>
                  <w:tcBorders>
                    <w:tl2br w:val="nil"/>
                    <w:tr2bl w:val="nil"/>
                  </w:tcBorders>
                  <w:shd w:val="clear" w:color="auto" w:fill="auto"/>
                  <w:vAlign w:val="center"/>
                </w:tcPr>
                <w:p w14:paraId="334F27CC">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p>
              </w:tc>
              <w:tc>
                <w:tcPr>
                  <w:tcW w:w="1043" w:type="dxa"/>
                  <w:tcBorders>
                    <w:tl2br w:val="nil"/>
                    <w:tr2bl w:val="nil"/>
                  </w:tcBorders>
                  <w:shd w:val="clear" w:color="auto" w:fill="auto"/>
                  <w:vAlign w:val="center"/>
                </w:tcPr>
                <w:p w14:paraId="265D1D05">
                  <w:pPr>
                    <w:pStyle w:val="7"/>
                    <w:keepNext w:val="0"/>
                    <w:keepLines w:val="0"/>
                    <w:suppressLineNumbers w:val="0"/>
                    <w:bidi w:val="0"/>
                    <w:spacing w:before="0" w:beforeAutospacing="0" w:after="0" w:afterAutospacing="0"/>
                    <w:ind w:left="0" w:right="0"/>
                    <w:jc w:val="center"/>
                    <w:rPr>
                      <w:rFonts w:hint="default" w:cs="Times New Roman"/>
                      <w:color w:val="auto"/>
                      <w:highlight w:val="none"/>
                      <w:lang w:val="en-US" w:eastAsia="zh-CN"/>
                    </w:rPr>
                  </w:pPr>
                  <w:r>
                    <w:rPr>
                      <w:rFonts w:hint="eastAsia" w:cs="Times New Roman"/>
                      <w:color w:val="auto"/>
                      <w:highlight w:val="none"/>
                      <w:lang w:val="en-US" w:eastAsia="zh-CN"/>
                    </w:rPr>
                    <w:t>上山背</w:t>
                  </w:r>
                </w:p>
              </w:tc>
              <w:tc>
                <w:tcPr>
                  <w:tcW w:w="663" w:type="dxa"/>
                  <w:tcBorders>
                    <w:tl2br w:val="nil"/>
                    <w:tr2bl w:val="nil"/>
                  </w:tcBorders>
                  <w:shd w:val="clear" w:color="auto" w:fill="auto"/>
                  <w:vAlign w:val="center"/>
                </w:tcPr>
                <w:p w14:paraId="0E672BB9">
                  <w:pPr>
                    <w:pStyle w:val="7"/>
                    <w:keepNext w:val="0"/>
                    <w:keepLines w:val="0"/>
                    <w:suppressLineNumbers w:val="0"/>
                    <w:bidi w:val="0"/>
                    <w:spacing w:before="0" w:beforeAutospacing="0" w:after="0" w:afterAutospacing="0"/>
                    <w:ind w:left="0" w:right="0"/>
                    <w:jc w:val="center"/>
                    <w:rPr>
                      <w:rFonts w:hint="default" w:cs="Times New Roman"/>
                      <w:color w:val="auto"/>
                      <w:highlight w:val="none"/>
                      <w:lang w:val="en-US" w:eastAsia="zh-CN"/>
                    </w:rPr>
                  </w:pPr>
                  <w:r>
                    <w:rPr>
                      <w:rFonts w:hint="eastAsia" w:cs="Times New Roman"/>
                      <w:color w:val="auto"/>
                      <w:highlight w:val="none"/>
                      <w:lang w:val="en-US" w:eastAsia="zh-CN"/>
                    </w:rPr>
                    <w:t>171</w:t>
                  </w:r>
                </w:p>
              </w:tc>
              <w:tc>
                <w:tcPr>
                  <w:tcW w:w="700" w:type="dxa"/>
                  <w:tcBorders>
                    <w:tl2br w:val="nil"/>
                    <w:tr2bl w:val="nil"/>
                  </w:tcBorders>
                  <w:shd w:val="clear" w:color="auto" w:fill="auto"/>
                  <w:vAlign w:val="center"/>
                </w:tcPr>
                <w:p w14:paraId="1D22867E">
                  <w:pPr>
                    <w:pStyle w:val="7"/>
                    <w:keepNext w:val="0"/>
                    <w:keepLines w:val="0"/>
                    <w:suppressLineNumbers w:val="0"/>
                    <w:bidi w:val="0"/>
                    <w:spacing w:before="0" w:beforeAutospacing="0" w:after="0" w:afterAutospacing="0"/>
                    <w:ind w:left="0" w:right="0"/>
                    <w:jc w:val="center"/>
                    <w:rPr>
                      <w:rFonts w:hint="default" w:cs="Times New Roman"/>
                      <w:color w:val="auto"/>
                      <w:highlight w:val="none"/>
                      <w:lang w:val="en-US" w:eastAsia="zh-CN"/>
                    </w:rPr>
                  </w:pPr>
                  <w:r>
                    <w:rPr>
                      <w:rFonts w:hint="eastAsia" w:cs="Times New Roman"/>
                      <w:color w:val="auto"/>
                      <w:highlight w:val="none"/>
                      <w:lang w:val="en-US" w:eastAsia="zh-CN"/>
                    </w:rPr>
                    <w:t>-564</w:t>
                  </w:r>
                </w:p>
              </w:tc>
              <w:tc>
                <w:tcPr>
                  <w:tcW w:w="887" w:type="dxa"/>
                  <w:tcBorders>
                    <w:tl2br w:val="nil"/>
                    <w:tr2bl w:val="nil"/>
                  </w:tcBorders>
                  <w:shd w:val="clear" w:color="auto" w:fill="auto"/>
                  <w:vAlign w:val="center"/>
                </w:tcPr>
                <w:p w14:paraId="53036CD2">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b/>
                      <w:bCs/>
                      <w:color w:val="auto"/>
                      <w:highlight w:val="none"/>
                      <w:lang w:val="en-US" w:eastAsia="zh-CN"/>
                    </w:rPr>
                  </w:pPr>
                  <w:r>
                    <w:rPr>
                      <w:rFonts w:hint="eastAsia" w:cs="Times New Roman"/>
                      <w:color w:val="auto"/>
                      <w:highlight w:val="none"/>
                      <w:lang w:val="en-US" w:eastAsia="zh-CN"/>
                    </w:rPr>
                    <w:t>居住区</w:t>
                  </w:r>
                </w:p>
              </w:tc>
              <w:tc>
                <w:tcPr>
                  <w:tcW w:w="1088" w:type="dxa"/>
                  <w:tcBorders>
                    <w:tl2br w:val="nil"/>
                    <w:tr2bl w:val="nil"/>
                  </w:tcBorders>
                  <w:shd w:val="clear" w:color="auto" w:fill="auto"/>
                  <w:vAlign w:val="center"/>
                </w:tcPr>
                <w:p w14:paraId="7A0352FF">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color w:val="auto"/>
                      <w:highlight w:val="none"/>
                      <w:lang w:val="en-US" w:eastAsia="zh-CN"/>
                    </w:rPr>
                    <w:t>约</w:t>
                  </w:r>
                  <w:r>
                    <w:rPr>
                      <w:rFonts w:hint="eastAsia" w:cs="Times New Roman"/>
                      <w:color w:val="auto"/>
                      <w:highlight w:val="none"/>
                      <w:lang w:val="en-US" w:eastAsia="zh-CN"/>
                    </w:rPr>
                    <w:t>70</w:t>
                  </w:r>
                  <w:r>
                    <w:rPr>
                      <w:rFonts w:hint="default" w:ascii="Times New Roman" w:hAnsi="Times New Roman" w:eastAsia="宋体" w:cs="Times New Roman"/>
                      <w:color w:val="auto"/>
                      <w:highlight w:val="none"/>
                      <w:lang w:val="en-US" w:eastAsia="zh-CN"/>
                    </w:rPr>
                    <w:t>人</w:t>
                  </w:r>
                </w:p>
              </w:tc>
              <w:tc>
                <w:tcPr>
                  <w:tcW w:w="962" w:type="dxa"/>
                  <w:tcBorders>
                    <w:tl2br w:val="nil"/>
                    <w:tr2bl w:val="nil"/>
                  </w:tcBorders>
                  <w:shd w:val="clear" w:color="auto" w:fill="auto"/>
                  <w:vAlign w:val="center"/>
                </w:tcPr>
                <w:p w14:paraId="07E65560">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color w:val="auto"/>
                      <w:highlight w:val="none"/>
                      <w:lang w:val="en-US" w:eastAsia="zh-CN"/>
                    </w:rPr>
                    <w:t>二类区</w:t>
                  </w:r>
                </w:p>
              </w:tc>
              <w:tc>
                <w:tcPr>
                  <w:tcW w:w="888" w:type="dxa"/>
                  <w:tcBorders>
                    <w:tl2br w:val="nil"/>
                    <w:tr2bl w:val="nil"/>
                  </w:tcBorders>
                  <w:shd w:val="clear" w:color="auto" w:fill="auto"/>
                  <w:vAlign w:val="center"/>
                </w:tcPr>
                <w:p w14:paraId="7D65E109">
                  <w:pPr>
                    <w:pStyle w:val="7"/>
                    <w:keepNext w:val="0"/>
                    <w:keepLines w:val="0"/>
                    <w:suppressLineNumbers w:val="0"/>
                    <w:bidi w:val="0"/>
                    <w:spacing w:before="0" w:beforeAutospacing="0" w:after="0" w:afterAutospacing="0"/>
                    <w:ind w:left="0" w:leftChars="0" w:right="0" w:rightChars="0" w:firstLine="0" w:firstLineChars="0"/>
                    <w:jc w:val="center"/>
                    <w:rPr>
                      <w:rFonts w:hint="eastAsia" w:cs="Times New Roman"/>
                      <w:b/>
                      <w:bCs/>
                      <w:color w:val="auto"/>
                      <w:highlight w:val="none"/>
                      <w:lang w:val="en-US" w:eastAsia="zh-CN"/>
                    </w:rPr>
                  </w:pPr>
                  <w:r>
                    <w:rPr>
                      <w:rFonts w:hint="eastAsia" w:cs="Times New Roman"/>
                      <w:color w:val="auto"/>
                      <w:highlight w:val="none"/>
                      <w:lang w:val="en-US" w:eastAsia="zh-CN"/>
                    </w:rPr>
                    <w:t>东南</w:t>
                  </w:r>
                </w:p>
              </w:tc>
              <w:tc>
                <w:tcPr>
                  <w:tcW w:w="1464" w:type="dxa"/>
                  <w:tcBorders>
                    <w:tl2br w:val="nil"/>
                    <w:tr2bl w:val="nil"/>
                  </w:tcBorders>
                  <w:shd w:val="clear" w:color="auto" w:fill="auto"/>
                  <w:vAlign w:val="center"/>
                </w:tcPr>
                <w:p w14:paraId="514D04D8">
                  <w:pPr>
                    <w:pStyle w:val="7"/>
                    <w:keepNext w:val="0"/>
                    <w:keepLines w:val="0"/>
                    <w:suppressLineNumbers w:val="0"/>
                    <w:bidi w:val="0"/>
                    <w:spacing w:before="0" w:beforeAutospacing="0" w:after="0" w:afterAutospacing="0"/>
                    <w:ind w:left="0" w:leftChars="0" w:right="0" w:rightChars="0" w:firstLine="0" w:firstLineChars="0"/>
                    <w:jc w:val="center"/>
                    <w:rPr>
                      <w:rFonts w:hint="default" w:cs="Times New Roman"/>
                      <w:color w:val="auto"/>
                      <w:highlight w:val="none"/>
                      <w:lang w:val="en-US" w:eastAsia="zh-CN"/>
                    </w:rPr>
                  </w:pPr>
                  <w:r>
                    <w:rPr>
                      <w:rFonts w:hint="eastAsia" w:cs="Times New Roman"/>
                      <w:color w:val="auto"/>
                      <w:highlight w:val="none"/>
                      <w:lang w:val="en-US" w:eastAsia="zh-CN"/>
                    </w:rPr>
                    <w:t>345</w:t>
                  </w:r>
                </w:p>
              </w:tc>
            </w:tr>
            <w:tr w14:paraId="6ACC4AE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3" w:hRule="atLeast"/>
                <w:jc w:val="center"/>
              </w:trPr>
              <w:tc>
                <w:tcPr>
                  <w:tcW w:w="717" w:type="dxa"/>
                  <w:vMerge w:val="restart"/>
                  <w:tcBorders>
                    <w:tl2br w:val="nil"/>
                    <w:tr2bl w:val="nil"/>
                  </w:tcBorders>
                  <w:shd w:val="clear" w:color="auto" w:fill="auto"/>
                  <w:vAlign w:val="center"/>
                </w:tcPr>
                <w:p w14:paraId="6F114555">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水环境</w:t>
                  </w:r>
                </w:p>
              </w:tc>
              <w:tc>
                <w:tcPr>
                  <w:tcW w:w="1043" w:type="dxa"/>
                  <w:tcBorders>
                    <w:tl2br w:val="nil"/>
                    <w:tr2bl w:val="nil"/>
                  </w:tcBorders>
                  <w:shd w:val="clear" w:color="auto" w:fill="auto"/>
                  <w:vAlign w:val="center"/>
                </w:tcPr>
                <w:p w14:paraId="3BDB0CDE">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潦河</w:t>
                  </w:r>
                </w:p>
              </w:tc>
              <w:tc>
                <w:tcPr>
                  <w:tcW w:w="663" w:type="dxa"/>
                  <w:tcBorders>
                    <w:tl2br w:val="nil"/>
                    <w:tr2bl w:val="nil"/>
                  </w:tcBorders>
                  <w:shd w:val="clear" w:color="auto" w:fill="auto"/>
                  <w:vAlign w:val="center"/>
                </w:tcPr>
                <w:p w14:paraId="5CCA2F13">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p>
              </w:tc>
              <w:tc>
                <w:tcPr>
                  <w:tcW w:w="700" w:type="dxa"/>
                  <w:tcBorders>
                    <w:tl2br w:val="nil"/>
                    <w:tr2bl w:val="nil"/>
                  </w:tcBorders>
                  <w:shd w:val="clear" w:color="auto" w:fill="auto"/>
                  <w:vAlign w:val="center"/>
                </w:tcPr>
                <w:p w14:paraId="60950DE0">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p>
              </w:tc>
              <w:tc>
                <w:tcPr>
                  <w:tcW w:w="887" w:type="dxa"/>
                  <w:tcBorders>
                    <w:tl2br w:val="nil"/>
                    <w:tr2bl w:val="nil"/>
                  </w:tcBorders>
                  <w:shd w:val="clear" w:color="auto" w:fill="auto"/>
                  <w:vAlign w:val="center"/>
                </w:tcPr>
                <w:p w14:paraId="3AACD53E">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河流</w:t>
                  </w:r>
                </w:p>
              </w:tc>
              <w:tc>
                <w:tcPr>
                  <w:tcW w:w="1088" w:type="dxa"/>
                  <w:tcBorders>
                    <w:tl2br w:val="nil"/>
                    <w:tr2bl w:val="nil"/>
                  </w:tcBorders>
                  <w:shd w:val="clear" w:color="auto" w:fill="auto"/>
                  <w:vAlign w:val="center"/>
                </w:tcPr>
                <w:p w14:paraId="2B13A2E8">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水资源</w:t>
                  </w:r>
                </w:p>
              </w:tc>
              <w:tc>
                <w:tcPr>
                  <w:tcW w:w="962" w:type="dxa"/>
                  <w:tcBorders>
                    <w:tl2br w:val="nil"/>
                    <w:tr2bl w:val="nil"/>
                  </w:tcBorders>
                  <w:shd w:val="clear" w:color="auto" w:fill="auto"/>
                  <w:vAlign w:val="center"/>
                </w:tcPr>
                <w:p w14:paraId="49E7586B">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Ⅲ类</w:t>
                  </w:r>
                </w:p>
              </w:tc>
              <w:tc>
                <w:tcPr>
                  <w:tcW w:w="888" w:type="dxa"/>
                  <w:tcBorders>
                    <w:tl2br w:val="nil"/>
                    <w:tr2bl w:val="nil"/>
                  </w:tcBorders>
                  <w:shd w:val="clear" w:color="auto" w:fill="auto"/>
                  <w:vAlign w:val="center"/>
                </w:tcPr>
                <w:p w14:paraId="74AEF792">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南</w:t>
                  </w:r>
                  <w:r>
                    <w:rPr>
                      <w:rFonts w:hint="eastAsia" w:cs="Times New Roman"/>
                      <w:color w:val="auto"/>
                      <w:highlight w:val="none"/>
                      <w:lang w:val="en-US" w:eastAsia="zh-CN"/>
                    </w:rPr>
                    <w:t>侧</w:t>
                  </w:r>
                </w:p>
              </w:tc>
              <w:tc>
                <w:tcPr>
                  <w:tcW w:w="1464" w:type="dxa"/>
                  <w:tcBorders>
                    <w:tl2br w:val="nil"/>
                    <w:tr2bl w:val="nil"/>
                  </w:tcBorders>
                  <w:shd w:val="clear" w:color="auto" w:fill="auto"/>
                  <w:vAlign w:val="center"/>
                </w:tcPr>
                <w:p w14:paraId="1429E770">
                  <w:pPr>
                    <w:pStyle w:val="7"/>
                    <w:keepNext w:val="0"/>
                    <w:keepLines w:val="0"/>
                    <w:suppressLineNumbers w:val="0"/>
                    <w:bidi w:val="0"/>
                    <w:spacing w:before="0" w:beforeAutospacing="0" w:after="0" w:afterAutospacing="0"/>
                    <w:ind w:left="0" w:right="0"/>
                    <w:jc w:val="center"/>
                    <w:rPr>
                      <w:rFonts w:hint="default" w:cs="Times New Roman"/>
                      <w:color w:val="auto"/>
                      <w:highlight w:val="none"/>
                      <w:lang w:val="en-US" w:eastAsia="zh-CN"/>
                    </w:rPr>
                  </w:pPr>
                  <w:r>
                    <w:rPr>
                      <w:rFonts w:hint="eastAsia" w:cs="Times New Roman"/>
                      <w:color w:val="auto"/>
                      <w:highlight w:val="none"/>
                      <w:lang w:val="en-US" w:eastAsia="zh-CN"/>
                    </w:rPr>
                    <w:t>3715</w:t>
                  </w:r>
                </w:p>
              </w:tc>
            </w:tr>
            <w:tr w14:paraId="42C6BEA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3" w:hRule="atLeast"/>
                <w:jc w:val="center"/>
              </w:trPr>
              <w:tc>
                <w:tcPr>
                  <w:tcW w:w="717" w:type="dxa"/>
                  <w:vMerge w:val="continue"/>
                  <w:tcBorders>
                    <w:tl2br w:val="nil"/>
                    <w:tr2bl w:val="nil"/>
                  </w:tcBorders>
                  <w:shd w:val="clear" w:color="auto" w:fill="auto"/>
                  <w:vAlign w:val="center"/>
                </w:tcPr>
                <w:p w14:paraId="06C7FDD0">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p>
              </w:tc>
              <w:tc>
                <w:tcPr>
                  <w:tcW w:w="5343" w:type="dxa"/>
                  <w:gridSpan w:val="6"/>
                  <w:tcBorders>
                    <w:tl2br w:val="nil"/>
                    <w:tr2bl w:val="nil"/>
                  </w:tcBorders>
                  <w:shd w:val="clear" w:color="auto" w:fill="auto"/>
                  <w:vAlign w:val="center"/>
                </w:tcPr>
                <w:p w14:paraId="2AC779BE">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永修县涂埠镇自来水厂取水口</w:t>
                  </w:r>
                  <w:r>
                    <w:rPr>
                      <w:rFonts w:hint="eastAsia"/>
                      <w:color w:val="auto"/>
                      <w:highlight w:val="none"/>
                      <w:lang w:eastAsia="zh-CN"/>
                    </w:rPr>
                    <w:t>，</w:t>
                  </w:r>
                  <w:r>
                    <w:rPr>
                      <w:rFonts w:hint="default" w:ascii="Times New Roman" w:hAnsi="Times New Roman" w:cs="Times New Roman"/>
                      <w:color w:val="auto"/>
                      <w:highlight w:val="none"/>
                      <w:lang w:val="en-US" w:eastAsia="zh-CN"/>
                    </w:rPr>
                    <w:t>取水口</w:t>
                  </w:r>
                  <w:r>
                    <w:rPr>
                      <w:rFonts w:hint="eastAsia" w:ascii="Times New Roman" w:hAnsi="Times New Roman" w:cs="Times New Roman"/>
                      <w:color w:val="auto"/>
                      <w:highlight w:val="none"/>
                      <w:lang w:val="en-US" w:eastAsia="zh-CN"/>
                    </w:rPr>
                    <w:t>坐标</w:t>
                  </w:r>
                  <w:r>
                    <w:rPr>
                      <w:rFonts w:hint="default" w:ascii="Times New Roman" w:hAnsi="Times New Roman" w:cs="Times New Roman"/>
                      <w:color w:val="auto"/>
                      <w:highlight w:val="none"/>
                      <w:lang w:val="en-US" w:eastAsia="zh-CN"/>
                    </w:rPr>
                    <w:t>E115°35′39.002″，N28°52′26.996″</w:t>
                  </w:r>
                  <w:r>
                    <w:rPr>
                      <w:rFonts w:hint="eastAsia"/>
                      <w:color w:val="auto"/>
                      <w:highlight w:val="none"/>
                      <w:lang w:val="en-US" w:eastAsia="zh-CN"/>
                    </w:rPr>
                    <w:t>，取水规模4万m</w:t>
                  </w:r>
                  <w:r>
                    <w:rPr>
                      <w:rFonts w:hint="eastAsia"/>
                      <w:color w:val="auto"/>
                      <w:highlight w:val="none"/>
                      <w:vertAlign w:val="superscript"/>
                      <w:lang w:val="en-US" w:eastAsia="zh-CN"/>
                    </w:rPr>
                    <w:t>3</w:t>
                  </w:r>
                  <w:r>
                    <w:rPr>
                      <w:rFonts w:hint="eastAsia"/>
                      <w:color w:val="auto"/>
                      <w:highlight w:val="none"/>
                      <w:lang w:val="en-US" w:eastAsia="zh-CN"/>
                    </w:rPr>
                    <w:t>/d</w:t>
                  </w:r>
                </w:p>
              </w:tc>
              <w:tc>
                <w:tcPr>
                  <w:tcW w:w="888" w:type="dxa"/>
                  <w:tcBorders>
                    <w:tl2br w:val="nil"/>
                    <w:tr2bl w:val="nil"/>
                  </w:tcBorders>
                  <w:shd w:val="clear" w:color="auto" w:fill="auto"/>
                  <w:vAlign w:val="center"/>
                </w:tcPr>
                <w:p w14:paraId="6A603A84">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东北</w:t>
                  </w:r>
                </w:p>
              </w:tc>
              <w:tc>
                <w:tcPr>
                  <w:tcW w:w="1464" w:type="dxa"/>
                  <w:tcBorders>
                    <w:tl2br w:val="nil"/>
                    <w:tr2bl w:val="nil"/>
                  </w:tcBorders>
                  <w:shd w:val="clear" w:color="auto" w:fill="auto"/>
                  <w:vAlign w:val="center"/>
                </w:tcPr>
                <w:p w14:paraId="2E7FD727">
                  <w:pPr>
                    <w:pStyle w:val="7"/>
                    <w:keepNext w:val="0"/>
                    <w:keepLines w:val="0"/>
                    <w:suppressLineNumbers w:val="0"/>
                    <w:bidi w:val="0"/>
                    <w:spacing w:before="0" w:beforeAutospacing="0" w:after="0" w:afterAutospacing="0"/>
                    <w:ind w:left="0" w:right="0"/>
                    <w:jc w:val="center"/>
                    <w:rPr>
                      <w:rFonts w:hint="default" w:cs="Times New Roman"/>
                      <w:color w:val="auto"/>
                      <w:highlight w:val="none"/>
                      <w:lang w:val="en-US" w:eastAsia="zh-CN"/>
                    </w:rPr>
                  </w:pPr>
                  <w:r>
                    <w:rPr>
                      <w:rFonts w:hint="eastAsia" w:cs="Times New Roman"/>
                      <w:color w:val="auto"/>
                      <w:highlight w:val="none"/>
                      <w:lang w:val="en-US" w:eastAsia="zh-CN"/>
                    </w:rPr>
                    <w:t>40000</w:t>
                  </w:r>
                </w:p>
              </w:tc>
            </w:tr>
            <w:tr w14:paraId="413B3A5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29" w:hRule="atLeast"/>
                <w:jc w:val="center"/>
              </w:trPr>
              <w:tc>
                <w:tcPr>
                  <w:tcW w:w="717" w:type="dxa"/>
                  <w:tcBorders>
                    <w:tl2br w:val="nil"/>
                    <w:tr2bl w:val="nil"/>
                  </w:tcBorders>
                  <w:shd w:val="clear" w:color="auto" w:fill="auto"/>
                  <w:vAlign w:val="center"/>
                </w:tcPr>
                <w:p w14:paraId="6DE7415A">
                  <w:pPr>
                    <w:pStyle w:val="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声环境</w:t>
                  </w:r>
                </w:p>
              </w:tc>
              <w:tc>
                <w:tcPr>
                  <w:tcW w:w="7695" w:type="dxa"/>
                  <w:gridSpan w:val="8"/>
                  <w:tcBorders>
                    <w:tl2br w:val="nil"/>
                    <w:tr2bl w:val="nil"/>
                  </w:tcBorders>
                  <w:shd w:val="clear" w:color="auto" w:fill="auto"/>
                  <w:vAlign w:val="center"/>
                </w:tcPr>
                <w:p w14:paraId="50CDD1C9">
                  <w:pPr>
                    <w:pStyle w:val="7"/>
                    <w:keepNext w:val="0"/>
                    <w:keepLines w:val="0"/>
                    <w:suppressLineNumbers w:val="0"/>
                    <w:bidi w:val="0"/>
                    <w:spacing w:before="0" w:beforeAutospacing="0" w:after="0" w:afterAutospacing="0"/>
                    <w:ind w:left="0" w:leftChars="0" w:right="0" w:rightChars="0" w:firstLine="0" w:firstLineChars="0"/>
                    <w:jc w:val="center"/>
                    <w:rPr>
                      <w:rFonts w:hint="default" w:cs="Times New Roman"/>
                      <w:color w:val="auto"/>
                      <w:highlight w:val="none"/>
                      <w:lang w:val="en-US" w:eastAsia="zh-CN"/>
                    </w:rPr>
                  </w:pPr>
                  <w:r>
                    <w:rPr>
                      <w:rFonts w:hint="eastAsia" w:cs="Times New Roman"/>
                      <w:color w:val="auto"/>
                      <w:highlight w:val="none"/>
                      <w:lang w:val="en-US" w:eastAsia="zh-CN"/>
                    </w:rPr>
                    <w:t>本项目50m范围内无声环境保护目标</w:t>
                  </w:r>
                </w:p>
              </w:tc>
            </w:tr>
          </w:tbl>
          <w:p w14:paraId="50299B69">
            <w:pPr>
              <w:pStyle w:val="66"/>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240" w:lineRule="auto"/>
              <w:ind w:left="0" w:leftChars="0" w:right="0" w:firstLine="420" w:firstLineChars="200"/>
              <w:textAlignment w:val="auto"/>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注：本次评价以厂区西南角为原点坐标（0，0），正东X轴为正方向，正北Y轴为正方向建立直角坐标系给出大气环境对应坐标。</w:t>
            </w:r>
          </w:p>
          <w:p w14:paraId="1165121D">
            <w:pPr>
              <w:pStyle w:val="66"/>
              <w:keepNext w:val="0"/>
              <w:keepLines w:val="0"/>
              <w:suppressLineNumbers w:val="0"/>
              <w:spacing w:before="156" w:beforeAutospacing="0" w:after="0" w:afterAutospacing="0"/>
              <w:ind w:left="0" w:leftChars="0" w:right="0" w:firstLine="482" w:firstLineChars="200"/>
              <w:rPr>
                <w:rFonts w:hint="default" w:ascii="Times New Roman" w:hAnsi="Times New Roman" w:cs="Times New Roman"/>
                <w:b/>
                <w:bCs/>
                <w:color w:val="auto"/>
                <w:highlight w:val="none"/>
                <w:lang w:eastAsia="zh-CN"/>
              </w:rPr>
            </w:pPr>
            <w:r>
              <w:rPr>
                <w:rFonts w:hint="eastAsia" w:cs="Times New Roman"/>
                <w:b/>
                <w:bCs/>
                <w:color w:val="auto"/>
                <w:highlight w:val="none"/>
                <w:lang w:val="en-US" w:eastAsia="zh-CN"/>
              </w:rPr>
              <w:t>2</w:t>
            </w:r>
            <w:r>
              <w:rPr>
                <w:rFonts w:hint="default" w:ascii="Times New Roman" w:hAnsi="Times New Roman" w:cs="Times New Roman"/>
                <w:b/>
                <w:bCs/>
                <w:color w:val="auto"/>
                <w:highlight w:val="none"/>
                <w:lang w:eastAsia="zh-CN"/>
              </w:rPr>
              <w:t>、控制目标</w:t>
            </w:r>
          </w:p>
          <w:p w14:paraId="0EE04F24">
            <w:pPr>
              <w:keepNext w:val="0"/>
              <w:keepLines w:val="0"/>
              <w:suppressLineNumbers w:val="0"/>
              <w:spacing w:before="0" w:beforeAutospacing="0" w:after="0" w:afterAutospacing="0"/>
              <w:ind w:left="0" w:right="0" w:firstLine="48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本项目主要环境</w:t>
            </w:r>
            <w:r>
              <w:rPr>
                <w:rFonts w:hint="eastAsia" w:cs="Times New Roman"/>
                <w:color w:val="auto"/>
                <w:highlight w:val="none"/>
                <w:lang w:val="en-US" w:eastAsia="zh-CN"/>
              </w:rPr>
              <w:t>控制</w:t>
            </w:r>
            <w:r>
              <w:rPr>
                <w:rFonts w:hint="default" w:ascii="Times New Roman" w:hAnsi="Times New Roman" w:cs="Times New Roman"/>
                <w:color w:val="auto"/>
                <w:highlight w:val="none"/>
                <w:lang w:eastAsia="zh-CN"/>
              </w:rPr>
              <w:t>目标如下：</w:t>
            </w:r>
          </w:p>
          <w:p w14:paraId="14FC46D5">
            <w:pPr>
              <w:keepNext w:val="0"/>
              <w:keepLines w:val="0"/>
              <w:suppressLineNumbers w:val="0"/>
              <w:spacing w:before="0" w:beforeAutospacing="0" w:after="0" w:afterAutospacing="0"/>
              <w:ind w:left="0" w:right="0" w:firstLine="480"/>
              <w:rPr>
                <w:rFonts w:hint="default" w:ascii="Times New Roman" w:hAnsi="Times New Roman" w:cs="Times New Roman"/>
                <w:color w:val="auto"/>
                <w:highlight w:val="none"/>
                <w:lang w:eastAsia="zh-CN"/>
              </w:rPr>
            </w:pPr>
            <w:r>
              <w:rPr>
                <w:rFonts w:hint="eastAsia" w:cs="Times New Roman"/>
                <w:color w:val="auto"/>
                <w:highlight w:val="none"/>
                <w:lang w:eastAsia="zh-CN"/>
              </w:rPr>
              <w:t>（</w:t>
            </w:r>
            <w:r>
              <w:rPr>
                <w:rFonts w:hint="eastAsia" w:cs="Times New Roman"/>
                <w:color w:val="auto"/>
                <w:highlight w:val="none"/>
                <w:lang w:val="en-US" w:eastAsia="zh-CN"/>
              </w:rPr>
              <w:t>1</w:t>
            </w:r>
            <w:r>
              <w:rPr>
                <w:rFonts w:hint="eastAsia" w:cs="Times New Roman"/>
                <w:color w:val="auto"/>
                <w:highlight w:val="none"/>
                <w:lang w:eastAsia="zh-CN"/>
              </w:rPr>
              <w:t>）</w:t>
            </w:r>
            <w:r>
              <w:rPr>
                <w:rFonts w:hint="default" w:ascii="Times New Roman" w:hAnsi="Times New Roman" w:cs="Times New Roman"/>
                <w:color w:val="auto"/>
                <w:highlight w:val="none"/>
                <w:lang w:eastAsia="zh-CN"/>
              </w:rPr>
              <w:t>环境空气：区域大气环境质量</w:t>
            </w:r>
            <w:r>
              <w:rPr>
                <w:rFonts w:hint="eastAsia" w:cs="Times New Roman"/>
                <w:color w:val="auto"/>
                <w:highlight w:val="none"/>
                <w:lang w:val="en-US" w:eastAsia="zh-CN"/>
              </w:rPr>
              <w:t>达到</w:t>
            </w:r>
            <w:r>
              <w:rPr>
                <w:rFonts w:hint="default" w:ascii="Times New Roman" w:hAnsi="Times New Roman" w:cs="Times New Roman"/>
                <w:color w:val="auto"/>
                <w:highlight w:val="none"/>
                <w:lang w:eastAsia="zh-CN"/>
              </w:rPr>
              <w:t>《环境空气质量标准》（GB3095-2</w:t>
            </w:r>
            <w:r>
              <w:rPr>
                <w:rFonts w:hint="eastAsia" w:cs="Times New Roman"/>
                <w:color w:val="auto"/>
                <w:highlight w:val="none"/>
                <w:lang w:val="en-US" w:eastAsia="zh-CN"/>
              </w:rPr>
              <w:t>026</w:t>
            </w:r>
            <w:r>
              <w:rPr>
                <w:rFonts w:hint="default" w:ascii="Times New Roman" w:hAnsi="Times New Roman" w:cs="Times New Roman"/>
                <w:color w:val="auto"/>
                <w:highlight w:val="none"/>
                <w:lang w:eastAsia="zh-CN"/>
              </w:rPr>
              <w:t>）</w:t>
            </w:r>
            <w:r>
              <w:rPr>
                <w:rFonts w:hint="eastAsia"/>
                <w:color w:val="auto"/>
                <w:highlight w:val="none"/>
                <w:lang w:val="en-US" w:eastAsia="zh-CN"/>
              </w:rPr>
              <w:t>过渡阶段二级浓度限值</w:t>
            </w:r>
            <w:r>
              <w:rPr>
                <w:rFonts w:hint="eastAsia" w:cs="Times New Roman"/>
                <w:color w:val="auto"/>
                <w:highlight w:val="none"/>
                <w:lang w:eastAsia="zh-CN"/>
              </w:rPr>
              <w:t>；</w:t>
            </w:r>
          </w:p>
          <w:p w14:paraId="0BDF08C9">
            <w:pPr>
              <w:keepNext w:val="0"/>
              <w:keepLines w:val="0"/>
              <w:suppressLineNumbers w:val="0"/>
              <w:spacing w:before="0" w:beforeAutospacing="0" w:after="0" w:afterAutospacing="0"/>
              <w:ind w:left="0" w:right="0" w:firstLine="480"/>
              <w:rPr>
                <w:rFonts w:hint="default" w:ascii="Times New Roman" w:hAnsi="Times New Roman" w:cs="Times New Roman"/>
                <w:color w:val="auto"/>
                <w:highlight w:val="none"/>
                <w:lang w:eastAsia="zh-CN"/>
              </w:rPr>
            </w:pPr>
            <w:r>
              <w:rPr>
                <w:rFonts w:hint="eastAsia" w:cs="Times New Roman"/>
                <w:color w:val="auto"/>
                <w:highlight w:val="none"/>
                <w:lang w:eastAsia="zh-CN"/>
              </w:rPr>
              <w:t>（</w:t>
            </w:r>
            <w:r>
              <w:rPr>
                <w:rFonts w:hint="eastAsia" w:cs="Times New Roman"/>
                <w:color w:val="auto"/>
                <w:highlight w:val="none"/>
                <w:lang w:val="en-US" w:eastAsia="zh-CN"/>
              </w:rPr>
              <w:t>2</w:t>
            </w:r>
            <w:r>
              <w:rPr>
                <w:rFonts w:hint="eastAsia" w:cs="Times New Roman"/>
                <w:color w:val="auto"/>
                <w:highlight w:val="none"/>
                <w:lang w:eastAsia="zh-CN"/>
              </w:rPr>
              <w:t>）</w:t>
            </w:r>
            <w:r>
              <w:rPr>
                <w:rFonts w:hint="default" w:ascii="Times New Roman" w:hAnsi="Times New Roman" w:cs="Times New Roman"/>
                <w:color w:val="auto"/>
                <w:highlight w:val="none"/>
                <w:lang w:eastAsia="zh-CN"/>
              </w:rPr>
              <w:t>地表水：</w:t>
            </w:r>
            <w:r>
              <w:rPr>
                <w:rFonts w:hint="eastAsia" w:cs="Times New Roman"/>
                <w:color w:val="auto"/>
                <w:highlight w:val="none"/>
                <w:lang w:val="en-US" w:eastAsia="zh-CN"/>
              </w:rPr>
              <w:t>地表水</w:t>
            </w:r>
            <w:r>
              <w:rPr>
                <w:rFonts w:hint="default" w:ascii="Times New Roman" w:hAnsi="Times New Roman" w:cs="Times New Roman"/>
                <w:color w:val="auto"/>
                <w:highlight w:val="none"/>
                <w:lang w:eastAsia="zh-CN"/>
              </w:rPr>
              <w:t>环境</w:t>
            </w:r>
            <w:r>
              <w:rPr>
                <w:rFonts w:hint="eastAsia" w:cs="Times New Roman"/>
                <w:color w:val="auto"/>
                <w:highlight w:val="none"/>
                <w:lang w:val="en-US" w:eastAsia="zh-CN"/>
              </w:rPr>
              <w:t>质量达到</w:t>
            </w:r>
            <w:r>
              <w:rPr>
                <w:rFonts w:hint="default" w:ascii="Times New Roman" w:hAnsi="Times New Roman" w:cs="Times New Roman"/>
                <w:color w:val="auto"/>
                <w:highlight w:val="none"/>
                <w:lang w:eastAsia="zh-CN"/>
              </w:rPr>
              <w:t>《地表水环境质量标准》（GB3838-2002）</w:t>
            </w:r>
            <w:r>
              <w:rPr>
                <w:rFonts w:hint="default" w:ascii="Times New Roman" w:hAnsi="Times New Roman" w:cs="Times New Roman"/>
                <w:color w:val="auto"/>
                <w:kern w:val="21"/>
                <w:sz w:val="24"/>
                <w:highlight w:val="none"/>
              </w:rPr>
              <w:t>Ⅲ</w:t>
            </w:r>
            <w:r>
              <w:rPr>
                <w:rFonts w:hint="default" w:ascii="Times New Roman" w:hAnsi="Times New Roman" w:cs="Times New Roman"/>
                <w:color w:val="auto"/>
                <w:highlight w:val="none"/>
                <w:lang w:eastAsia="zh-CN"/>
              </w:rPr>
              <w:t>类标准</w:t>
            </w:r>
            <w:r>
              <w:rPr>
                <w:rFonts w:hint="eastAsia" w:cs="Times New Roman"/>
                <w:color w:val="auto"/>
                <w:highlight w:val="none"/>
                <w:lang w:eastAsia="zh-CN"/>
              </w:rPr>
              <w:t>；</w:t>
            </w:r>
          </w:p>
          <w:p w14:paraId="19E9CD79">
            <w:pPr>
              <w:keepNext w:val="0"/>
              <w:keepLines w:val="0"/>
              <w:suppressLineNumbers w:val="0"/>
              <w:spacing w:before="0" w:beforeAutospacing="0" w:after="0" w:afterAutospacing="0"/>
              <w:ind w:left="0" w:right="0" w:firstLine="480"/>
              <w:rPr>
                <w:rFonts w:hint="eastAsia" w:eastAsia="宋体"/>
                <w:color w:val="auto"/>
                <w:kern w:val="21"/>
                <w:sz w:val="24"/>
                <w:highlight w:val="none"/>
                <w:lang w:eastAsia="zh-CN"/>
              </w:rPr>
            </w:pPr>
            <w:r>
              <w:rPr>
                <w:rFonts w:hint="eastAsia" w:cs="Times New Roman"/>
                <w:color w:val="auto"/>
                <w:highlight w:val="none"/>
                <w:lang w:eastAsia="zh-CN"/>
              </w:rPr>
              <w:t>（</w:t>
            </w:r>
            <w:r>
              <w:rPr>
                <w:rFonts w:hint="eastAsia" w:cs="Times New Roman"/>
                <w:color w:val="auto"/>
                <w:highlight w:val="none"/>
                <w:lang w:val="en-US" w:eastAsia="zh-CN"/>
              </w:rPr>
              <w:t>3</w:t>
            </w:r>
            <w:r>
              <w:rPr>
                <w:rFonts w:hint="eastAsia" w:cs="Times New Roman"/>
                <w:color w:val="auto"/>
                <w:highlight w:val="none"/>
                <w:lang w:eastAsia="zh-CN"/>
              </w:rPr>
              <w:t>）</w:t>
            </w:r>
            <w:r>
              <w:rPr>
                <w:rFonts w:hint="default" w:ascii="Times New Roman" w:hAnsi="Times New Roman" w:cs="Times New Roman"/>
                <w:color w:val="auto"/>
                <w:highlight w:val="none"/>
                <w:lang w:eastAsia="zh-CN"/>
              </w:rPr>
              <w:t>声环境：厂界声环境质量满足《声环境质量标准》</w:t>
            </w:r>
            <w:r>
              <w:rPr>
                <w:rFonts w:hint="eastAsia" w:cs="Times New Roman"/>
                <w:color w:val="auto"/>
                <w:highlight w:val="none"/>
                <w:lang w:eastAsia="zh-CN"/>
              </w:rPr>
              <w:t>（</w:t>
            </w:r>
            <w:r>
              <w:rPr>
                <w:rFonts w:hint="default" w:ascii="Times New Roman" w:hAnsi="Times New Roman" w:cs="Times New Roman"/>
                <w:color w:val="auto"/>
                <w:highlight w:val="none"/>
                <w:lang w:eastAsia="zh-CN"/>
              </w:rPr>
              <w:t>GB3096-2008</w:t>
            </w:r>
            <w:r>
              <w:rPr>
                <w:rFonts w:hint="eastAsia" w:cs="Times New Roman"/>
                <w:color w:val="auto"/>
                <w:highlight w:val="none"/>
                <w:lang w:eastAsia="zh-CN"/>
              </w:rPr>
              <w:t>）</w:t>
            </w:r>
            <w:r>
              <w:rPr>
                <w:rFonts w:hint="eastAsia"/>
                <w:color w:val="auto"/>
                <w:highlight w:val="none"/>
                <w:lang w:val="en-US" w:eastAsia="zh-CN"/>
              </w:rPr>
              <w:t>3类</w:t>
            </w:r>
            <w:r>
              <w:rPr>
                <w:rFonts w:hint="default" w:ascii="Times New Roman" w:hAnsi="Times New Roman" w:cs="Times New Roman"/>
                <w:color w:val="auto"/>
                <w:highlight w:val="none"/>
                <w:lang w:eastAsia="zh-CN"/>
              </w:rPr>
              <w:t>标准</w:t>
            </w:r>
            <w:r>
              <w:rPr>
                <w:rFonts w:hint="eastAsia" w:cs="Times New Roman"/>
                <w:color w:val="auto"/>
                <w:highlight w:val="none"/>
                <w:lang w:val="en-US" w:eastAsia="zh-CN"/>
              </w:rPr>
              <w:t>要求</w:t>
            </w:r>
            <w:r>
              <w:rPr>
                <w:rFonts w:hint="eastAsia" w:cs="Times New Roman"/>
                <w:color w:val="auto"/>
                <w:highlight w:val="none"/>
                <w:lang w:eastAsia="zh-CN"/>
              </w:rPr>
              <w:t>；</w:t>
            </w:r>
          </w:p>
          <w:p w14:paraId="29362CC5">
            <w:pPr>
              <w:keepNext w:val="0"/>
              <w:keepLines w:val="0"/>
              <w:suppressLineNumbers w:val="0"/>
              <w:bidi w:val="0"/>
              <w:spacing w:before="0" w:beforeAutospacing="0" w:after="0" w:afterAutospacing="0"/>
              <w:ind w:left="0" w:leftChars="0" w:right="0" w:rightChars="0" w:firstLine="480" w:firstLineChars="200"/>
              <w:rPr>
                <w:rFonts w:hint="default" w:ascii="Times New Roman" w:hAnsi="Times New Roman" w:cs="Times New Roman"/>
                <w:color w:val="auto"/>
                <w:highlight w:val="none"/>
                <w:lang w:val="en-GB" w:eastAsia="zh-CN"/>
              </w:rPr>
            </w:pPr>
            <w:r>
              <w:rPr>
                <w:rFonts w:hint="eastAsia" w:cs="Times New Roman"/>
                <w:color w:val="auto"/>
                <w:highlight w:val="none"/>
                <w:lang w:eastAsia="zh-CN"/>
              </w:rPr>
              <w:t>（</w:t>
            </w:r>
            <w:r>
              <w:rPr>
                <w:rFonts w:hint="eastAsia" w:cs="Times New Roman"/>
                <w:color w:val="auto"/>
                <w:highlight w:val="none"/>
                <w:lang w:val="en-US" w:eastAsia="zh-CN"/>
              </w:rPr>
              <w:t>4</w:t>
            </w:r>
            <w:r>
              <w:rPr>
                <w:rFonts w:hint="eastAsia" w:cs="Times New Roman"/>
                <w:color w:val="auto"/>
                <w:highlight w:val="none"/>
                <w:lang w:eastAsia="zh-CN"/>
              </w:rPr>
              <w:t>）</w:t>
            </w:r>
            <w:r>
              <w:rPr>
                <w:rFonts w:hint="default" w:ascii="Times New Roman" w:hAnsi="Times New Roman" w:cs="Times New Roman"/>
                <w:color w:val="auto"/>
                <w:highlight w:val="none"/>
                <w:lang w:eastAsia="zh-CN"/>
              </w:rPr>
              <w:t>固体废物：妥善处理固体废物，防止二次污染。</w:t>
            </w:r>
          </w:p>
        </w:tc>
      </w:tr>
      <w:tr w14:paraId="5A6306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457" w:type="dxa"/>
            <w:tcMar>
              <w:left w:w="28" w:type="dxa"/>
              <w:right w:w="28" w:type="dxa"/>
            </w:tcMar>
            <w:vAlign w:val="center"/>
          </w:tcPr>
          <w:p w14:paraId="35A15E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污</w:t>
            </w:r>
          </w:p>
          <w:p w14:paraId="31C9A1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染</w:t>
            </w:r>
          </w:p>
          <w:p w14:paraId="4B2124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物</w:t>
            </w:r>
          </w:p>
          <w:p w14:paraId="2408960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排</w:t>
            </w:r>
          </w:p>
          <w:p w14:paraId="382F31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放</w:t>
            </w:r>
          </w:p>
          <w:p w14:paraId="113C55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控</w:t>
            </w:r>
          </w:p>
          <w:p w14:paraId="4F5D01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制</w:t>
            </w:r>
          </w:p>
          <w:p w14:paraId="5F7113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标</w:t>
            </w:r>
          </w:p>
          <w:p w14:paraId="320A7C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准</w:t>
            </w:r>
          </w:p>
        </w:tc>
        <w:tc>
          <w:tcPr>
            <w:tcW w:w="8604" w:type="dxa"/>
            <w:vAlign w:val="center"/>
          </w:tcPr>
          <w:p w14:paraId="6736FC2F">
            <w:pPr>
              <w:keepNext w:val="0"/>
              <w:keepLines w:val="0"/>
              <w:suppressLineNumbers w:val="0"/>
              <w:spacing w:before="0" w:beforeLines="50" w:beforeAutospacing="0" w:after="0" w:afterAutospacing="0" w:line="360" w:lineRule="auto"/>
              <w:ind w:left="0" w:right="0" w:firstLine="482" w:firstLineChars="200"/>
              <w:rPr>
                <w:rFonts w:hint="default"/>
                <w:b/>
                <w:bCs/>
                <w:color w:val="auto"/>
                <w:sz w:val="24"/>
                <w:highlight w:val="none"/>
              </w:rPr>
            </w:pPr>
            <w:r>
              <w:rPr>
                <w:rFonts w:hint="eastAsia"/>
                <w:b/>
                <w:bCs/>
                <w:color w:val="auto"/>
                <w:sz w:val="24"/>
                <w:highlight w:val="none"/>
              </w:rPr>
              <w:t>1</w:t>
            </w:r>
            <w:r>
              <w:rPr>
                <w:rFonts w:hint="default"/>
                <w:b/>
                <w:bCs/>
                <w:color w:val="auto"/>
                <w:sz w:val="24"/>
                <w:highlight w:val="none"/>
              </w:rPr>
              <w:t>、废气排放标准</w:t>
            </w:r>
          </w:p>
          <w:p w14:paraId="58D5733E">
            <w:pPr>
              <w:keepNext w:val="0"/>
              <w:keepLines w:val="0"/>
              <w:widowControl/>
              <w:suppressLineNumbers w:val="0"/>
              <w:spacing w:before="0" w:beforeAutospacing="0" w:after="0" w:afterAutospacing="0" w:line="360" w:lineRule="auto"/>
              <w:ind w:left="0" w:right="0" w:firstLine="480" w:firstLineChars="200"/>
              <w:jc w:val="both"/>
              <w:rPr>
                <w:rFonts w:hint="eastAsia" w:ascii="Times New Roman" w:hAnsi="Times New Roman" w:cs="Times New Roman"/>
                <w:color w:val="auto"/>
                <w:sz w:val="24"/>
                <w:highlight w:val="none"/>
              </w:rPr>
            </w:pPr>
            <w:r>
              <w:rPr>
                <w:rFonts w:hint="eastAsia" w:cs="Times New Roman"/>
                <w:color w:val="auto"/>
                <w:sz w:val="24"/>
                <w:highlight w:val="none"/>
                <w:lang w:val="en-US" w:eastAsia="zh-CN"/>
              </w:rPr>
              <w:t>项目</w:t>
            </w:r>
            <w:r>
              <w:rPr>
                <w:rFonts w:hint="default" w:ascii="Times New Roman" w:hAnsi="Times New Roman" w:cs="Times New Roman"/>
                <w:color w:val="auto"/>
                <w:sz w:val="24"/>
                <w:highlight w:val="none"/>
                <w:lang w:val="en-US" w:eastAsia="zh-CN"/>
              </w:rPr>
              <w:t>运营期产生的有机废气（以非甲烷总烃计）有组织排放执行江西省地方标准《挥发性有机物排放标准第4部分：塑料制品业》（DB36/1101.4-2019）中表1和表2限值和《合成树脂工业污染物排放标准》</w:t>
            </w:r>
            <w:r>
              <w:rPr>
                <w:rFonts w:hint="eastAsia" w:cs="Times New Roman"/>
                <w:color w:val="auto"/>
                <w:sz w:val="24"/>
                <w:highlight w:val="none"/>
                <w:lang w:val="en-US" w:eastAsia="zh-CN"/>
              </w:rPr>
              <w:t>（GB 3157-2015，含2024年修改单）标准</w:t>
            </w:r>
            <w:r>
              <w:rPr>
                <w:rFonts w:hint="default" w:ascii="Times New Roman" w:hAnsi="Times New Roman" w:cs="Times New Roman"/>
                <w:color w:val="auto"/>
                <w:sz w:val="24"/>
                <w:highlight w:val="none"/>
                <w:lang w:val="en-US" w:eastAsia="zh-CN"/>
              </w:rPr>
              <w:t>；单位产品非甲烷总烃排放量执行《合成树脂工业污染物排放标准》（GB 3157-2015，含 2024 年修改单）中表4标准限值；无组织非甲烷总烃执行《挥发性有机物排放标准第4部分：塑料制品业》（DB36/1101.4-2019）；厂区内非甲烷总烃执行《挥发性有机物综合排放控制标准（试行）》（DB36/2186-2025）</w:t>
            </w:r>
            <w:r>
              <w:rPr>
                <w:rFonts w:hint="eastAsia" w:cs="Times New Roman"/>
                <w:color w:val="auto"/>
                <w:sz w:val="24"/>
                <w:highlight w:val="none"/>
                <w:lang w:val="en-US" w:eastAsia="zh-CN"/>
              </w:rPr>
              <w:t>；氨有组织排放执行</w:t>
            </w:r>
            <w:bookmarkStart w:id="18" w:name="_Hlk216859663"/>
            <w:r>
              <w:rPr>
                <w:rFonts w:hint="eastAsia" w:cs="Times New Roman"/>
                <w:color w:val="auto"/>
                <w:sz w:val="24"/>
                <w:highlight w:val="none"/>
                <w:lang w:val="en-US" w:eastAsia="zh-CN"/>
              </w:rPr>
              <w:t>《合成树脂工业污染物排放标准》（GB 3157-2015，含2024年修改单）中表4标准限值</w:t>
            </w:r>
            <w:bookmarkEnd w:id="18"/>
            <w:r>
              <w:rPr>
                <w:rFonts w:hint="eastAsia" w:cs="Times New Roman"/>
                <w:color w:val="auto"/>
                <w:sz w:val="24"/>
                <w:highlight w:val="none"/>
                <w:lang w:val="en-US" w:eastAsia="zh-CN"/>
              </w:rPr>
              <w:t>；氨无组织排放执行</w:t>
            </w:r>
            <w:bookmarkStart w:id="19" w:name="_Hlk216859675"/>
            <w:r>
              <w:rPr>
                <w:rFonts w:hint="eastAsia" w:cs="Times New Roman"/>
                <w:color w:val="auto"/>
                <w:sz w:val="24"/>
                <w:highlight w:val="none"/>
                <w:lang w:val="en-US" w:eastAsia="zh-CN"/>
              </w:rPr>
              <w:t>《恶臭污染物排放标准》（GB14554-93）</w:t>
            </w:r>
            <w:bookmarkEnd w:id="19"/>
            <w:r>
              <w:rPr>
                <w:rFonts w:hint="eastAsia" w:cs="Times New Roman"/>
                <w:color w:val="auto"/>
                <w:sz w:val="24"/>
                <w:highlight w:val="none"/>
                <w:lang w:val="en-US" w:eastAsia="zh-CN"/>
              </w:rPr>
              <w:t>中表1标准限值；臭气浓度排放执行《恶臭污染物排放标准》（GB14554-93）中表1、表2标准限值。</w:t>
            </w:r>
            <w:r>
              <w:rPr>
                <w:rFonts w:hint="default" w:ascii="Times New Roman" w:hAnsi="Times New Roman" w:cs="Times New Roman"/>
                <w:color w:val="auto"/>
                <w:spacing w:val="6"/>
                <w:sz w:val="24"/>
                <w:szCs w:val="24"/>
                <w:highlight w:val="none"/>
                <w:shd w:val="clear" w:color="auto" w:fill="auto"/>
              </w:rPr>
              <w:t>项目大气污染物排放指标限值详见表</w:t>
            </w:r>
            <w:r>
              <w:rPr>
                <w:rFonts w:hint="eastAsia" w:ascii="Times New Roman" w:hAnsi="Times New Roman" w:cs="Times New Roman"/>
                <w:color w:val="auto"/>
                <w:spacing w:val="6"/>
                <w:sz w:val="24"/>
                <w:szCs w:val="24"/>
                <w:highlight w:val="none"/>
                <w:shd w:val="clear" w:color="auto" w:fill="auto"/>
                <w:lang w:val="en-US" w:eastAsia="zh-CN"/>
              </w:rPr>
              <w:t>3-</w:t>
            </w:r>
            <w:r>
              <w:rPr>
                <w:rFonts w:hint="eastAsia" w:cs="Times New Roman"/>
                <w:color w:val="auto"/>
                <w:spacing w:val="6"/>
                <w:sz w:val="24"/>
                <w:szCs w:val="24"/>
                <w:highlight w:val="none"/>
                <w:shd w:val="clear" w:color="auto" w:fill="auto"/>
                <w:lang w:val="en-US" w:eastAsia="zh-CN"/>
              </w:rPr>
              <w:t>4</w:t>
            </w:r>
            <w:r>
              <w:rPr>
                <w:rFonts w:hint="eastAsia" w:ascii="Times New Roman" w:hAnsi="Times New Roman" w:cs="Times New Roman"/>
                <w:color w:val="auto"/>
                <w:sz w:val="24"/>
                <w:highlight w:val="none"/>
              </w:rPr>
              <w:t>。</w:t>
            </w:r>
          </w:p>
          <w:p w14:paraId="63BF50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bCs/>
                <w:color w:val="auto"/>
                <w:spacing w:val="0"/>
                <w:kern w:val="2"/>
                <w:position w:val="6"/>
                <w:sz w:val="21"/>
                <w:szCs w:val="21"/>
                <w:highlight w:val="yellow"/>
                <w:lang w:val="en-US" w:eastAsia="zh-CN" w:bidi="ar-SA"/>
              </w:rPr>
            </w:pPr>
            <w:r>
              <w:rPr>
                <w:rFonts w:hint="default" w:ascii="Times New Roman" w:hAnsi="Times New Roman" w:eastAsia="宋体" w:cs="Times New Roman"/>
                <w:b/>
                <w:bCs/>
                <w:color w:val="auto"/>
                <w:spacing w:val="0"/>
                <w:kern w:val="2"/>
                <w:sz w:val="21"/>
                <w:szCs w:val="21"/>
                <w:highlight w:val="none"/>
                <w:lang w:val="en-US" w:eastAsia="en-US" w:bidi="ar-SA"/>
              </w:rPr>
              <w:t>表3-</w:t>
            </w:r>
            <w:r>
              <w:rPr>
                <w:rFonts w:hint="eastAsia" w:cs="Times New Roman"/>
                <w:b/>
                <w:bCs/>
                <w:color w:val="auto"/>
                <w:spacing w:val="0"/>
                <w:kern w:val="2"/>
                <w:sz w:val="21"/>
                <w:szCs w:val="21"/>
                <w:highlight w:val="none"/>
                <w:lang w:val="en-US" w:eastAsia="zh-CN" w:bidi="ar-SA"/>
              </w:rPr>
              <w:t>4</w:t>
            </w:r>
            <w:r>
              <w:rPr>
                <w:rFonts w:hint="default" w:ascii="Times New Roman" w:hAnsi="Times New Roman" w:eastAsia="宋体" w:cs="Times New Roman"/>
                <w:b/>
                <w:bCs/>
                <w:color w:val="auto"/>
                <w:spacing w:val="0"/>
                <w:kern w:val="2"/>
                <w:sz w:val="21"/>
                <w:szCs w:val="21"/>
                <w:highlight w:val="none"/>
                <w:lang w:val="en-US" w:eastAsia="en-US" w:bidi="ar-SA"/>
              </w:rPr>
              <w:t xml:space="preserve">  大气污染物排放标准  单位：mg/m</w:t>
            </w:r>
            <w:r>
              <w:rPr>
                <w:rFonts w:hint="eastAsia" w:ascii="Times New Roman" w:hAnsi="Times New Roman" w:eastAsia="宋体" w:cs="Times New Roman"/>
                <w:b/>
                <w:bCs/>
                <w:color w:val="auto"/>
                <w:spacing w:val="0"/>
                <w:kern w:val="2"/>
                <w:sz w:val="21"/>
                <w:szCs w:val="21"/>
                <w:highlight w:val="none"/>
                <w:vertAlign w:val="superscript"/>
                <w:lang w:val="en-US" w:eastAsia="zh-CN" w:bidi="ar-SA"/>
              </w:rPr>
              <w:t>3</w:t>
            </w:r>
            <w:r>
              <w:rPr>
                <w:rFonts w:hint="eastAsia" w:cs="Times New Roman"/>
                <w:b/>
                <w:bCs/>
                <w:color w:val="auto"/>
                <w:spacing w:val="0"/>
                <w:kern w:val="2"/>
                <w:sz w:val="21"/>
                <w:szCs w:val="21"/>
                <w:highlight w:val="none"/>
                <w:lang w:val="en-US" w:eastAsia="zh-CN" w:bidi="ar-SA"/>
              </w:rPr>
              <w:t>（臭气浓度为无量纲）</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7"/>
              <w:gridCol w:w="680"/>
              <w:gridCol w:w="2778"/>
              <w:gridCol w:w="1171"/>
              <w:gridCol w:w="724"/>
              <w:gridCol w:w="1180"/>
              <w:gridCol w:w="1396"/>
            </w:tblGrid>
            <w:tr w14:paraId="316B4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3" w:type="pct"/>
                  <w:gridSpan w:val="2"/>
                  <w:vMerge w:val="restart"/>
                  <w:tcBorders>
                    <w:top w:val="single" w:color="auto" w:sz="12" w:space="0"/>
                    <w:left w:val="nil"/>
                  </w:tcBorders>
                  <w:noWrap w:val="0"/>
                  <w:vAlign w:val="center"/>
                </w:tcPr>
                <w:p w14:paraId="78BDBB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b/>
                      <w:bCs/>
                      <w:color w:val="auto"/>
                      <w:spacing w:val="0"/>
                      <w:kern w:val="2"/>
                      <w:sz w:val="21"/>
                      <w:szCs w:val="21"/>
                      <w:highlight w:val="none"/>
                      <w:lang w:val="en-US" w:eastAsia="zh-CN" w:bidi="ar-SA"/>
                    </w:rPr>
                    <w:t>排放方式</w:t>
                  </w:r>
                </w:p>
              </w:tc>
              <w:tc>
                <w:tcPr>
                  <w:tcW w:w="1658" w:type="pct"/>
                  <w:vMerge w:val="restart"/>
                  <w:tcBorders>
                    <w:top w:val="single" w:color="auto" w:sz="12" w:space="0"/>
                  </w:tcBorders>
                  <w:noWrap w:val="0"/>
                  <w:vAlign w:val="center"/>
                </w:tcPr>
                <w:p w14:paraId="15DDEE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b/>
                      <w:bCs/>
                      <w:color w:val="auto"/>
                      <w:spacing w:val="0"/>
                      <w:kern w:val="2"/>
                      <w:sz w:val="21"/>
                      <w:szCs w:val="21"/>
                      <w:highlight w:val="none"/>
                      <w:lang w:val="en-US" w:eastAsia="zh-CN" w:bidi="ar-SA"/>
                    </w:rPr>
                    <w:t>标准名称</w:t>
                  </w:r>
                </w:p>
              </w:tc>
              <w:tc>
                <w:tcPr>
                  <w:tcW w:w="699" w:type="pct"/>
                  <w:vMerge w:val="restart"/>
                  <w:tcBorders>
                    <w:top w:val="single" w:color="auto" w:sz="12" w:space="0"/>
                  </w:tcBorders>
                  <w:noWrap w:val="0"/>
                  <w:vAlign w:val="center"/>
                </w:tcPr>
                <w:p w14:paraId="5D0BA5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b/>
                      <w:bCs/>
                      <w:color w:val="auto"/>
                      <w:spacing w:val="0"/>
                      <w:kern w:val="2"/>
                      <w:sz w:val="21"/>
                      <w:szCs w:val="21"/>
                      <w:highlight w:val="none"/>
                      <w:lang w:val="en-US" w:eastAsia="zh-CN" w:bidi="ar-SA"/>
                    </w:rPr>
                    <w:t>污染物项目</w:t>
                  </w:r>
                </w:p>
              </w:tc>
              <w:tc>
                <w:tcPr>
                  <w:tcW w:w="1968" w:type="pct"/>
                  <w:gridSpan w:val="3"/>
                  <w:tcBorders>
                    <w:top w:val="single" w:color="auto" w:sz="12" w:space="0"/>
                    <w:right w:val="nil"/>
                  </w:tcBorders>
                  <w:noWrap w:val="0"/>
                  <w:vAlign w:val="center"/>
                </w:tcPr>
                <w:p w14:paraId="01A1CE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bCs/>
                      <w:color w:val="auto"/>
                      <w:spacing w:val="0"/>
                      <w:kern w:val="2"/>
                      <w:sz w:val="21"/>
                      <w:szCs w:val="24"/>
                      <w:highlight w:val="none"/>
                      <w:lang w:val="en-US" w:eastAsia="zh-CN" w:bidi="ar-SA"/>
                    </w:rPr>
                  </w:pPr>
                  <w:r>
                    <w:rPr>
                      <w:rFonts w:hint="eastAsia" w:ascii="Times New Roman" w:hAnsi="Times New Roman" w:eastAsia="宋体" w:cs="Times New Roman"/>
                      <w:b/>
                      <w:bCs/>
                      <w:color w:val="auto"/>
                      <w:spacing w:val="0"/>
                      <w:kern w:val="2"/>
                      <w:sz w:val="21"/>
                      <w:szCs w:val="21"/>
                      <w:highlight w:val="none"/>
                      <w:lang w:val="en-US" w:eastAsia="zh-CN" w:bidi="ar-SA"/>
                    </w:rPr>
                    <w:t>标准限值</w:t>
                  </w:r>
                </w:p>
              </w:tc>
            </w:tr>
            <w:tr w14:paraId="01152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3" w:type="pct"/>
                  <w:gridSpan w:val="2"/>
                  <w:vMerge w:val="continue"/>
                  <w:tcBorders>
                    <w:left w:val="nil"/>
                    <w:bottom w:val="single" w:color="auto" w:sz="12" w:space="0"/>
                  </w:tcBorders>
                  <w:noWrap w:val="0"/>
                  <w:vAlign w:val="center"/>
                </w:tcPr>
                <w:p w14:paraId="14D831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p>
              </w:tc>
              <w:tc>
                <w:tcPr>
                  <w:tcW w:w="1658" w:type="pct"/>
                  <w:vMerge w:val="continue"/>
                  <w:tcBorders>
                    <w:bottom w:val="single" w:color="auto" w:sz="12" w:space="0"/>
                  </w:tcBorders>
                  <w:noWrap w:val="0"/>
                  <w:vAlign w:val="center"/>
                </w:tcPr>
                <w:p w14:paraId="59D6E9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p>
              </w:tc>
              <w:tc>
                <w:tcPr>
                  <w:tcW w:w="699" w:type="pct"/>
                  <w:vMerge w:val="continue"/>
                  <w:tcBorders>
                    <w:bottom w:val="single" w:color="auto" w:sz="12" w:space="0"/>
                  </w:tcBorders>
                  <w:noWrap w:val="0"/>
                  <w:vAlign w:val="center"/>
                </w:tcPr>
                <w:p w14:paraId="669C90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p>
              </w:tc>
              <w:tc>
                <w:tcPr>
                  <w:tcW w:w="432" w:type="pct"/>
                  <w:tcBorders>
                    <w:bottom w:val="single" w:color="auto" w:sz="12" w:space="0"/>
                  </w:tcBorders>
                  <w:noWrap w:val="0"/>
                  <w:vAlign w:val="center"/>
                </w:tcPr>
                <w:p w14:paraId="22A206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kern w:val="2"/>
                      <w:sz w:val="21"/>
                      <w:szCs w:val="21"/>
                      <w:highlight w:val="none"/>
                      <w:lang w:val="en-US" w:eastAsia="zh-CN" w:bidi="ar-SA"/>
                    </w:rPr>
                  </w:pPr>
                  <w:r>
                    <w:rPr>
                      <w:rFonts w:hint="default" w:ascii="Times New Roman" w:hAnsi="Times New Roman" w:eastAsia="宋体" w:cs="Times New Roman"/>
                      <w:b/>
                      <w:bCs/>
                      <w:color w:val="auto"/>
                      <w:spacing w:val="0"/>
                      <w:kern w:val="2"/>
                      <w:sz w:val="21"/>
                      <w:szCs w:val="21"/>
                      <w:highlight w:val="none"/>
                      <w:lang w:val="en-US" w:eastAsia="zh-CN" w:bidi="ar-SA"/>
                    </w:rPr>
                    <w:t>排放浓度</w:t>
                  </w:r>
                </w:p>
              </w:tc>
              <w:tc>
                <w:tcPr>
                  <w:tcW w:w="704" w:type="pct"/>
                  <w:tcBorders>
                    <w:bottom w:val="single" w:color="auto" w:sz="12" w:space="0"/>
                  </w:tcBorders>
                  <w:noWrap w:val="0"/>
                  <w:vAlign w:val="center"/>
                </w:tcPr>
                <w:p w14:paraId="21DCC4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bCs/>
                      <w:color w:val="auto"/>
                      <w:spacing w:val="0"/>
                      <w:kern w:val="2"/>
                      <w:sz w:val="21"/>
                      <w:szCs w:val="24"/>
                      <w:highlight w:val="none"/>
                      <w:lang w:val="en-US" w:eastAsia="zh-CN" w:bidi="ar-SA"/>
                    </w:rPr>
                  </w:pPr>
                  <w:r>
                    <w:rPr>
                      <w:rFonts w:hint="eastAsia" w:ascii="Times New Roman" w:hAnsi="Times New Roman" w:eastAsia="宋体" w:cs="Times New Roman"/>
                      <w:b/>
                      <w:bCs/>
                      <w:color w:val="auto"/>
                      <w:spacing w:val="0"/>
                      <w:kern w:val="2"/>
                      <w:sz w:val="21"/>
                      <w:szCs w:val="24"/>
                      <w:highlight w:val="none"/>
                      <w:lang w:val="en-US" w:eastAsia="zh-CN" w:bidi="ar-SA"/>
                    </w:rPr>
                    <w:t>排放速率</w:t>
                  </w:r>
                </w:p>
              </w:tc>
              <w:tc>
                <w:tcPr>
                  <w:tcW w:w="831" w:type="pct"/>
                  <w:tcBorders>
                    <w:bottom w:val="single" w:color="auto" w:sz="12" w:space="0"/>
                    <w:right w:val="nil"/>
                  </w:tcBorders>
                  <w:noWrap w:val="0"/>
                  <w:vAlign w:val="center"/>
                </w:tcPr>
                <w:p w14:paraId="559D87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bCs/>
                      <w:color w:val="auto"/>
                      <w:spacing w:val="0"/>
                      <w:kern w:val="2"/>
                      <w:sz w:val="21"/>
                      <w:szCs w:val="24"/>
                      <w:highlight w:val="none"/>
                      <w:lang w:val="en-US" w:eastAsia="zh-CN" w:bidi="ar-SA"/>
                    </w:rPr>
                  </w:pPr>
                  <w:r>
                    <w:rPr>
                      <w:rFonts w:hint="eastAsia" w:ascii="Times New Roman" w:hAnsi="Times New Roman" w:eastAsia="宋体" w:cs="Times New Roman"/>
                      <w:b/>
                      <w:bCs/>
                      <w:color w:val="auto"/>
                      <w:spacing w:val="0"/>
                      <w:kern w:val="2"/>
                      <w:sz w:val="21"/>
                      <w:szCs w:val="24"/>
                      <w:highlight w:val="none"/>
                      <w:lang w:val="en-US" w:eastAsia="zh-CN" w:bidi="ar-SA"/>
                    </w:rPr>
                    <w:t>污染物</w:t>
                  </w:r>
                  <w:r>
                    <w:rPr>
                      <w:rFonts w:hint="default" w:ascii="Times New Roman" w:hAnsi="Times New Roman" w:eastAsia="宋体" w:cs="Times New Roman"/>
                      <w:b/>
                      <w:bCs/>
                      <w:color w:val="auto"/>
                      <w:spacing w:val="0"/>
                      <w:kern w:val="2"/>
                      <w:sz w:val="21"/>
                      <w:szCs w:val="24"/>
                      <w:highlight w:val="none"/>
                      <w:lang w:val="en-US" w:eastAsia="zh-CN" w:bidi="ar-SA"/>
                    </w:rPr>
                    <w:t>排放监控位置</w:t>
                  </w:r>
                </w:p>
              </w:tc>
            </w:tr>
            <w:tr w14:paraId="70C3C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3" w:type="pct"/>
                  <w:gridSpan w:val="2"/>
                  <w:vMerge w:val="restart"/>
                  <w:tcBorders>
                    <w:top w:val="single" w:color="auto" w:sz="12" w:space="0"/>
                    <w:left w:val="nil"/>
                    <w:right w:val="single" w:color="auto" w:sz="4" w:space="0"/>
                  </w:tcBorders>
                  <w:noWrap w:val="0"/>
                  <w:vAlign w:val="center"/>
                </w:tcPr>
                <w:p w14:paraId="2D781D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有组织</w:t>
                  </w:r>
                </w:p>
              </w:tc>
              <w:tc>
                <w:tcPr>
                  <w:tcW w:w="1658" w:type="pct"/>
                  <w:tcBorders>
                    <w:top w:val="single" w:color="auto" w:sz="12" w:space="0"/>
                    <w:left w:val="single" w:color="auto" w:sz="4" w:space="0"/>
                    <w:bottom w:val="single" w:color="auto" w:sz="4" w:space="0"/>
                    <w:right w:val="single" w:color="auto" w:sz="4" w:space="0"/>
                  </w:tcBorders>
                  <w:noWrap w:val="0"/>
                  <w:vAlign w:val="center"/>
                </w:tcPr>
                <w:p w14:paraId="245437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《挥发性有机物排放标准第4部分：塑料制品业》（DB36/1101.4-2019）</w:t>
                  </w:r>
                  <w:r>
                    <w:rPr>
                      <w:rFonts w:hint="eastAsia" w:cs="Times New Roman"/>
                      <w:color w:val="auto"/>
                      <w:spacing w:val="0"/>
                      <w:kern w:val="2"/>
                      <w:sz w:val="21"/>
                      <w:szCs w:val="21"/>
                      <w:highlight w:val="none"/>
                      <w:lang w:val="en-US" w:eastAsia="zh-CN" w:bidi="ar-SA"/>
                    </w:rPr>
                    <w:t>、《合成树脂工业污染物排放标准》（GB 3157-2015，含2024年修改单）</w:t>
                  </w:r>
                </w:p>
              </w:tc>
              <w:tc>
                <w:tcPr>
                  <w:tcW w:w="699" w:type="pct"/>
                  <w:tcBorders>
                    <w:top w:val="single" w:color="auto" w:sz="12" w:space="0"/>
                    <w:left w:val="single" w:color="auto" w:sz="4" w:space="0"/>
                    <w:bottom w:val="single" w:color="auto" w:sz="4" w:space="0"/>
                    <w:right w:val="single" w:color="auto" w:sz="4" w:space="0"/>
                  </w:tcBorders>
                  <w:noWrap w:val="0"/>
                  <w:vAlign w:val="center"/>
                </w:tcPr>
                <w:p w14:paraId="6C04E7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4"/>
                      <w:lang w:val="en-US" w:eastAsia="zh-CN" w:bidi="ar-SA"/>
                    </w:rPr>
                  </w:pPr>
                  <w:r>
                    <w:rPr>
                      <w:rFonts w:hint="eastAsia" w:ascii="Times New Roman" w:hAnsi="Times New Roman" w:eastAsia="宋体" w:cs="Times New Roman"/>
                      <w:color w:val="auto"/>
                      <w:spacing w:val="0"/>
                      <w:kern w:val="2"/>
                      <w:sz w:val="21"/>
                      <w:szCs w:val="24"/>
                      <w:lang w:val="en-US" w:eastAsia="zh-CN" w:bidi="ar-SA"/>
                    </w:rPr>
                    <w:t>非甲烷总烃</w:t>
                  </w:r>
                </w:p>
              </w:tc>
              <w:tc>
                <w:tcPr>
                  <w:tcW w:w="432" w:type="pct"/>
                  <w:tcBorders>
                    <w:top w:val="single" w:color="auto" w:sz="12" w:space="0"/>
                    <w:left w:val="single" w:color="auto" w:sz="4" w:space="0"/>
                    <w:bottom w:val="single" w:color="auto" w:sz="4" w:space="0"/>
                    <w:right w:val="single" w:color="auto" w:sz="4" w:space="0"/>
                  </w:tcBorders>
                  <w:noWrap w:val="0"/>
                  <w:vAlign w:val="center"/>
                </w:tcPr>
                <w:p w14:paraId="32FE9F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cs="Times New Roman"/>
                      <w:color w:val="auto"/>
                      <w:spacing w:val="0"/>
                      <w:kern w:val="2"/>
                      <w:sz w:val="21"/>
                      <w:szCs w:val="21"/>
                      <w:highlight w:val="none"/>
                      <w:lang w:val="en-US" w:eastAsia="zh-CN" w:bidi="ar-SA"/>
                    </w:rPr>
                    <w:t>80</w:t>
                  </w:r>
                </w:p>
              </w:tc>
              <w:tc>
                <w:tcPr>
                  <w:tcW w:w="704" w:type="pct"/>
                  <w:tcBorders>
                    <w:top w:val="single" w:color="auto" w:sz="12" w:space="0"/>
                    <w:left w:val="single" w:color="auto" w:sz="4" w:space="0"/>
                    <w:bottom w:val="single" w:color="auto" w:sz="4" w:space="0"/>
                    <w:right w:val="single" w:color="auto" w:sz="4" w:space="0"/>
                  </w:tcBorders>
                  <w:noWrap w:val="0"/>
                  <w:vAlign w:val="center"/>
                </w:tcPr>
                <w:p w14:paraId="45F39F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w:t>
                  </w:r>
                </w:p>
              </w:tc>
              <w:tc>
                <w:tcPr>
                  <w:tcW w:w="831" w:type="pct"/>
                  <w:tcBorders>
                    <w:top w:val="single" w:color="auto" w:sz="12" w:space="0"/>
                    <w:left w:val="single" w:color="auto" w:sz="4" w:space="0"/>
                    <w:bottom w:val="single" w:color="auto" w:sz="4" w:space="0"/>
                    <w:right w:val="nil"/>
                  </w:tcBorders>
                  <w:noWrap w:val="0"/>
                  <w:vAlign w:val="center"/>
                </w:tcPr>
                <w:p w14:paraId="133181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cs="Times New Roman"/>
                      <w:color w:val="auto"/>
                      <w:spacing w:val="0"/>
                      <w:kern w:val="2"/>
                      <w:sz w:val="21"/>
                      <w:szCs w:val="21"/>
                      <w:highlight w:val="none"/>
                      <w:lang w:val="en-US" w:eastAsia="zh-CN" w:bidi="ar-SA"/>
                    </w:rPr>
                    <w:t>车间或</w:t>
                  </w:r>
                  <w:r>
                    <w:rPr>
                      <w:rFonts w:hint="eastAsia" w:ascii="Times New Roman" w:hAnsi="Times New Roman" w:eastAsia="宋体" w:cs="Times New Roman"/>
                      <w:color w:val="auto"/>
                      <w:spacing w:val="0"/>
                      <w:kern w:val="2"/>
                      <w:sz w:val="21"/>
                      <w:szCs w:val="21"/>
                      <w:highlight w:val="none"/>
                      <w:lang w:val="en-US" w:eastAsia="zh-CN" w:bidi="ar-SA"/>
                    </w:rPr>
                    <w:t>生产设施排气筒</w:t>
                  </w:r>
                </w:p>
              </w:tc>
            </w:tr>
            <w:tr w14:paraId="21CFC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3" w:type="pct"/>
                  <w:gridSpan w:val="2"/>
                  <w:vMerge w:val="continue"/>
                  <w:tcBorders>
                    <w:left w:val="nil"/>
                    <w:right w:val="single" w:color="auto" w:sz="4" w:space="0"/>
                  </w:tcBorders>
                  <w:noWrap w:val="0"/>
                  <w:vAlign w:val="center"/>
                </w:tcPr>
                <w:p w14:paraId="76B731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p>
              </w:tc>
              <w:tc>
                <w:tcPr>
                  <w:tcW w:w="1658" w:type="pct"/>
                  <w:tcBorders>
                    <w:top w:val="single" w:color="auto" w:sz="4" w:space="0"/>
                    <w:left w:val="single" w:color="auto" w:sz="4" w:space="0"/>
                    <w:bottom w:val="single" w:color="auto" w:sz="4" w:space="0"/>
                    <w:right w:val="single" w:color="auto" w:sz="4" w:space="0"/>
                  </w:tcBorders>
                  <w:noWrap w:val="0"/>
                  <w:vAlign w:val="center"/>
                </w:tcPr>
                <w:p w14:paraId="7326F7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4"/>
                      <w:lang w:val="en-US" w:eastAsia="zh-CN" w:bidi="ar-SA"/>
                    </w:rPr>
                    <w:t>《恶臭污染物排放标准》（GB14554-93）</w:t>
                  </w:r>
                </w:p>
              </w:tc>
              <w:tc>
                <w:tcPr>
                  <w:tcW w:w="699" w:type="pct"/>
                  <w:tcBorders>
                    <w:top w:val="single" w:color="auto" w:sz="4" w:space="0"/>
                    <w:left w:val="single" w:color="auto" w:sz="4" w:space="0"/>
                    <w:bottom w:val="single" w:color="auto" w:sz="4" w:space="0"/>
                    <w:right w:val="single" w:color="auto" w:sz="4" w:space="0"/>
                  </w:tcBorders>
                  <w:noWrap w:val="0"/>
                  <w:vAlign w:val="center"/>
                </w:tcPr>
                <w:p w14:paraId="3964C0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color w:val="auto"/>
                      <w:spacing w:val="0"/>
                      <w:kern w:val="2"/>
                      <w:sz w:val="21"/>
                      <w:szCs w:val="24"/>
                      <w:lang w:val="en-US" w:eastAsia="zh-CN" w:bidi="ar-SA"/>
                    </w:rPr>
                  </w:pPr>
                  <w:r>
                    <w:rPr>
                      <w:rFonts w:hint="eastAsia" w:cs="Times New Roman"/>
                      <w:color w:val="auto"/>
                      <w:spacing w:val="0"/>
                      <w:kern w:val="2"/>
                      <w:sz w:val="21"/>
                      <w:szCs w:val="24"/>
                      <w:lang w:val="en-US" w:eastAsia="zh-CN" w:bidi="ar-SA"/>
                    </w:rPr>
                    <w:t>臭气浓度</w:t>
                  </w:r>
                </w:p>
              </w:tc>
              <w:tc>
                <w:tcPr>
                  <w:tcW w:w="432" w:type="pct"/>
                  <w:tcBorders>
                    <w:top w:val="single" w:color="auto" w:sz="4" w:space="0"/>
                    <w:left w:val="single" w:color="auto" w:sz="4" w:space="0"/>
                    <w:bottom w:val="single" w:color="auto" w:sz="4" w:space="0"/>
                    <w:right w:val="single" w:color="auto" w:sz="4" w:space="0"/>
                  </w:tcBorders>
                  <w:noWrap w:val="0"/>
                  <w:vAlign w:val="center"/>
                </w:tcPr>
                <w:p w14:paraId="65A8D4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2000</w:t>
                  </w:r>
                </w:p>
              </w:tc>
              <w:tc>
                <w:tcPr>
                  <w:tcW w:w="704" w:type="pct"/>
                  <w:tcBorders>
                    <w:top w:val="single" w:color="auto" w:sz="4" w:space="0"/>
                    <w:left w:val="single" w:color="auto" w:sz="4" w:space="0"/>
                    <w:bottom w:val="single" w:color="auto" w:sz="4" w:space="0"/>
                    <w:right w:val="single" w:color="auto" w:sz="4" w:space="0"/>
                  </w:tcBorders>
                  <w:noWrap w:val="0"/>
                  <w:vAlign w:val="center"/>
                </w:tcPr>
                <w:p w14:paraId="623258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w:t>
                  </w:r>
                </w:p>
              </w:tc>
              <w:tc>
                <w:tcPr>
                  <w:tcW w:w="831" w:type="pct"/>
                  <w:tcBorders>
                    <w:top w:val="single" w:color="auto" w:sz="4" w:space="0"/>
                    <w:left w:val="single" w:color="auto" w:sz="4" w:space="0"/>
                    <w:bottom w:val="single" w:color="auto" w:sz="4" w:space="0"/>
                    <w:right w:val="nil"/>
                  </w:tcBorders>
                  <w:noWrap w:val="0"/>
                  <w:vAlign w:val="center"/>
                </w:tcPr>
                <w:p w14:paraId="2A5999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auto"/>
                      <w:spacing w:val="0"/>
                      <w:kern w:val="2"/>
                      <w:sz w:val="21"/>
                      <w:szCs w:val="21"/>
                      <w:highlight w:val="none"/>
                      <w:lang w:val="en-US" w:eastAsia="zh-CN" w:bidi="ar-SA"/>
                    </w:rPr>
                  </w:pPr>
                  <w:r>
                    <w:rPr>
                      <w:rFonts w:hint="eastAsia" w:ascii="Times New Roman" w:hAnsi="Times New Roman" w:cs="Times New Roman"/>
                      <w:color w:val="auto"/>
                      <w:spacing w:val="0"/>
                      <w:kern w:val="2"/>
                      <w:sz w:val="21"/>
                      <w:szCs w:val="21"/>
                      <w:highlight w:val="none"/>
                      <w:lang w:val="en-US" w:eastAsia="zh-CN" w:bidi="ar-SA"/>
                    </w:rPr>
                    <w:t>车间或</w:t>
                  </w:r>
                  <w:r>
                    <w:rPr>
                      <w:rFonts w:hint="eastAsia" w:ascii="Times New Roman" w:hAnsi="Times New Roman" w:eastAsia="宋体" w:cs="Times New Roman"/>
                      <w:color w:val="auto"/>
                      <w:spacing w:val="0"/>
                      <w:kern w:val="2"/>
                      <w:sz w:val="21"/>
                      <w:szCs w:val="21"/>
                      <w:highlight w:val="none"/>
                      <w:lang w:val="en-US" w:eastAsia="zh-CN" w:bidi="ar-SA"/>
                    </w:rPr>
                    <w:t>生产设施排气筒</w:t>
                  </w:r>
                </w:p>
              </w:tc>
            </w:tr>
            <w:tr w14:paraId="31359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3" w:type="pct"/>
                  <w:gridSpan w:val="2"/>
                  <w:vMerge w:val="continue"/>
                  <w:tcBorders>
                    <w:left w:val="nil"/>
                    <w:bottom w:val="single" w:color="auto" w:sz="4" w:space="0"/>
                    <w:right w:val="single" w:color="auto" w:sz="4" w:space="0"/>
                  </w:tcBorders>
                  <w:noWrap w:val="0"/>
                  <w:vAlign w:val="center"/>
                </w:tcPr>
                <w:p w14:paraId="29BEC3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p>
              </w:tc>
              <w:tc>
                <w:tcPr>
                  <w:tcW w:w="1658" w:type="pct"/>
                  <w:tcBorders>
                    <w:top w:val="single" w:color="auto" w:sz="4" w:space="0"/>
                    <w:left w:val="single" w:color="auto" w:sz="4" w:space="0"/>
                    <w:bottom w:val="single" w:color="auto" w:sz="4" w:space="0"/>
                    <w:right w:val="single" w:color="auto" w:sz="4" w:space="0"/>
                  </w:tcBorders>
                  <w:noWrap w:val="0"/>
                  <w:vAlign w:val="center"/>
                </w:tcPr>
                <w:p w14:paraId="0D0130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4"/>
                      <w:lang w:val="en-US" w:eastAsia="zh-CN" w:bidi="ar-SA"/>
                    </w:rPr>
                  </w:pPr>
                  <w:r>
                    <w:rPr>
                      <w:rFonts w:hint="eastAsia" w:cs="Times New Roman"/>
                      <w:color w:val="auto"/>
                      <w:spacing w:val="0"/>
                      <w:kern w:val="2"/>
                      <w:sz w:val="21"/>
                      <w:szCs w:val="21"/>
                      <w:highlight w:val="none"/>
                      <w:lang w:val="en-US" w:eastAsia="zh-CN" w:bidi="ar-SA"/>
                    </w:rPr>
                    <w:t>《合成树脂工业污染物排放标准》（GB 3157-2015，含2024年修改单）</w:t>
                  </w:r>
                </w:p>
              </w:tc>
              <w:tc>
                <w:tcPr>
                  <w:tcW w:w="699" w:type="pct"/>
                  <w:tcBorders>
                    <w:top w:val="single" w:color="auto" w:sz="4" w:space="0"/>
                    <w:left w:val="single" w:color="auto" w:sz="4" w:space="0"/>
                    <w:bottom w:val="single" w:color="auto" w:sz="4" w:space="0"/>
                    <w:right w:val="single" w:color="auto" w:sz="4" w:space="0"/>
                  </w:tcBorders>
                  <w:noWrap w:val="0"/>
                  <w:vAlign w:val="center"/>
                </w:tcPr>
                <w:p w14:paraId="21ECB4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color w:val="auto"/>
                      <w:spacing w:val="0"/>
                      <w:kern w:val="2"/>
                      <w:sz w:val="21"/>
                      <w:szCs w:val="24"/>
                      <w:lang w:val="en-US" w:eastAsia="zh-CN" w:bidi="ar-SA"/>
                    </w:rPr>
                  </w:pPr>
                  <w:r>
                    <w:rPr>
                      <w:rFonts w:hint="eastAsia" w:cs="Times New Roman"/>
                      <w:color w:val="auto"/>
                      <w:spacing w:val="0"/>
                      <w:kern w:val="2"/>
                      <w:sz w:val="21"/>
                      <w:szCs w:val="24"/>
                      <w:lang w:val="en-US" w:eastAsia="zh-CN" w:bidi="ar-SA"/>
                    </w:rPr>
                    <w:t>氨</w:t>
                  </w:r>
                </w:p>
              </w:tc>
              <w:tc>
                <w:tcPr>
                  <w:tcW w:w="432" w:type="pct"/>
                  <w:tcBorders>
                    <w:top w:val="single" w:color="auto" w:sz="4" w:space="0"/>
                    <w:left w:val="single" w:color="auto" w:sz="4" w:space="0"/>
                    <w:bottom w:val="single" w:color="auto" w:sz="4" w:space="0"/>
                    <w:right w:val="single" w:color="auto" w:sz="4" w:space="0"/>
                  </w:tcBorders>
                  <w:noWrap w:val="0"/>
                  <w:vAlign w:val="center"/>
                </w:tcPr>
                <w:p w14:paraId="552790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30</w:t>
                  </w:r>
                </w:p>
              </w:tc>
              <w:tc>
                <w:tcPr>
                  <w:tcW w:w="704" w:type="pct"/>
                  <w:tcBorders>
                    <w:top w:val="single" w:color="auto" w:sz="4" w:space="0"/>
                    <w:left w:val="single" w:color="auto" w:sz="4" w:space="0"/>
                    <w:bottom w:val="single" w:color="auto" w:sz="4" w:space="0"/>
                    <w:right w:val="single" w:color="auto" w:sz="4" w:space="0"/>
                  </w:tcBorders>
                  <w:noWrap w:val="0"/>
                  <w:vAlign w:val="center"/>
                </w:tcPr>
                <w:p w14:paraId="24E7B9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w:t>
                  </w:r>
                </w:p>
              </w:tc>
              <w:tc>
                <w:tcPr>
                  <w:tcW w:w="831" w:type="pct"/>
                  <w:tcBorders>
                    <w:top w:val="single" w:color="auto" w:sz="4" w:space="0"/>
                    <w:left w:val="single" w:color="auto" w:sz="4" w:space="0"/>
                    <w:bottom w:val="single" w:color="auto" w:sz="4" w:space="0"/>
                    <w:right w:val="nil"/>
                  </w:tcBorders>
                  <w:noWrap w:val="0"/>
                  <w:vAlign w:val="center"/>
                </w:tcPr>
                <w:p w14:paraId="177F47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auto"/>
                      <w:spacing w:val="0"/>
                      <w:kern w:val="2"/>
                      <w:sz w:val="21"/>
                      <w:szCs w:val="21"/>
                      <w:highlight w:val="none"/>
                      <w:lang w:val="en-US" w:eastAsia="zh-CN" w:bidi="ar-SA"/>
                    </w:rPr>
                  </w:pPr>
                  <w:r>
                    <w:rPr>
                      <w:rFonts w:hint="eastAsia" w:ascii="Times New Roman" w:hAnsi="Times New Roman" w:cs="Times New Roman"/>
                      <w:color w:val="auto"/>
                      <w:spacing w:val="0"/>
                      <w:kern w:val="2"/>
                      <w:sz w:val="21"/>
                      <w:szCs w:val="21"/>
                      <w:highlight w:val="none"/>
                      <w:lang w:val="en-US" w:eastAsia="zh-CN" w:bidi="ar-SA"/>
                    </w:rPr>
                    <w:t>车间或</w:t>
                  </w:r>
                  <w:r>
                    <w:rPr>
                      <w:rFonts w:hint="eastAsia" w:ascii="Times New Roman" w:hAnsi="Times New Roman" w:eastAsia="宋体" w:cs="Times New Roman"/>
                      <w:color w:val="auto"/>
                      <w:spacing w:val="0"/>
                      <w:kern w:val="2"/>
                      <w:sz w:val="21"/>
                      <w:szCs w:val="21"/>
                      <w:highlight w:val="none"/>
                      <w:lang w:val="en-US" w:eastAsia="zh-CN" w:bidi="ar-SA"/>
                    </w:rPr>
                    <w:t>生产设施排气筒</w:t>
                  </w:r>
                </w:p>
              </w:tc>
            </w:tr>
            <w:tr w14:paraId="6B6D1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7" w:type="pct"/>
                  <w:vMerge w:val="restart"/>
                  <w:tcBorders>
                    <w:top w:val="single" w:color="auto" w:sz="4" w:space="0"/>
                    <w:left w:val="nil"/>
                    <w:right w:val="single" w:color="auto" w:sz="4" w:space="0"/>
                  </w:tcBorders>
                  <w:noWrap w:val="0"/>
                  <w:vAlign w:val="center"/>
                </w:tcPr>
                <w:p w14:paraId="0A13A3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kern w:val="2"/>
                      <w:sz w:val="21"/>
                      <w:szCs w:val="24"/>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无组织</w:t>
                  </w:r>
                </w:p>
              </w:tc>
              <w:tc>
                <w:tcPr>
                  <w:tcW w:w="405" w:type="pct"/>
                  <w:vMerge w:val="restart"/>
                  <w:tcBorders>
                    <w:top w:val="single" w:color="auto" w:sz="4" w:space="0"/>
                    <w:left w:val="single" w:color="auto" w:sz="4" w:space="0"/>
                    <w:right w:val="single" w:color="auto" w:sz="4" w:space="0"/>
                  </w:tcBorders>
                  <w:shd w:val="clear" w:color="auto" w:fill="auto"/>
                  <w:noWrap w:val="0"/>
                  <w:vAlign w:val="center"/>
                </w:tcPr>
                <w:p w14:paraId="43751E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4"/>
                      <w:lang w:val="en-US" w:eastAsia="zh-CN" w:bidi="ar-SA"/>
                    </w:rPr>
                  </w:pPr>
                  <w:r>
                    <w:rPr>
                      <w:rFonts w:hint="eastAsia" w:cs="Times New Roman"/>
                      <w:color w:val="auto"/>
                      <w:spacing w:val="0"/>
                      <w:kern w:val="2"/>
                      <w:sz w:val="21"/>
                      <w:szCs w:val="24"/>
                      <w:lang w:val="en-US" w:eastAsia="zh-CN" w:bidi="ar-SA"/>
                    </w:rPr>
                    <w:t>厂界</w:t>
                  </w:r>
                </w:p>
              </w:tc>
              <w:tc>
                <w:tcPr>
                  <w:tcW w:w="1658"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432EA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4"/>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《挥发性有机物排放标准第4部分：塑料制品业》（DB36/1101.4-2019）</w:t>
                  </w:r>
                </w:p>
              </w:tc>
              <w:tc>
                <w:tcPr>
                  <w:tcW w:w="699" w:type="pct"/>
                  <w:tcBorders>
                    <w:top w:val="single" w:color="auto" w:sz="4" w:space="0"/>
                    <w:left w:val="single" w:color="auto" w:sz="4" w:space="0"/>
                    <w:bottom w:val="single" w:color="auto" w:sz="4" w:space="0"/>
                    <w:right w:val="single" w:color="auto" w:sz="4" w:space="0"/>
                  </w:tcBorders>
                  <w:noWrap w:val="0"/>
                  <w:vAlign w:val="center"/>
                </w:tcPr>
                <w:p w14:paraId="304F78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4"/>
                      <w:lang w:val="en-US" w:eastAsia="zh-CN" w:bidi="ar-SA"/>
                    </w:rPr>
                  </w:pPr>
                  <w:r>
                    <w:rPr>
                      <w:rFonts w:hint="default" w:ascii="Times New Roman" w:hAnsi="Times New Roman" w:eastAsia="宋体" w:cs="Times New Roman"/>
                      <w:color w:val="auto"/>
                      <w:spacing w:val="0"/>
                      <w:kern w:val="2"/>
                      <w:sz w:val="21"/>
                      <w:szCs w:val="24"/>
                      <w:lang w:val="en-US" w:eastAsia="zh-CN" w:bidi="ar-SA"/>
                    </w:rPr>
                    <w:t>非甲烷总烃</w:t>
                  </w:r>
                </w:p>
              </w:tc>
              <w:tc>
                <w:tcPr>
                  <w:tcW w:w="43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AEC44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4"/>
                      <w:highlight w:val="none"/>
                      <w:lang w:val="en-US" w:eastAsia="zh-CN" w:bidi="ar-SA"/>
                    </w:rPr>
                  </w:pPr>
                  <w:r>
                    <w:rPr>
                      <w:rFonts w:hint="eastAsia" w:cs="Times New Roman"/>
                      <w:color w:val="auto"/>
                      <w:spacing w:val="0"/>
                      <w:kern w:val="2"/>
                      <w:sz w:val="21"/>
                      <w:szCs w:val="24"/>
                      <w:highlight w:val="none"/>
                      <w:lang w:val="en-US" w:eastAsia="zh-CN" w:bidi="ar-SA"/>
                    </w:rPr>
                    <w:t>1.5</w:t>
                  </w:r>
                </w:p>
              </w:tc>
              <w:tc>
                <w:tcPr>
                  <w:tcW w:w="70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9A23B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4"/>
                      <w:highlight w:val="none"/>
                      <w:lang w:val="en-US" w:eastAsia="zh-CN" w:bidi="ar-SA"/>
                    </w:rPr>
                  </w:pPr>
                  <w:r>
                    <w:rPr>
                      <w:rFonts w:hint="eastAsia" w:ascii="Times New Roman" w:hAnsi="Times New Roman" w:eastAsia="宋体" w:cs="Times New Roman"/>
                      <w:color w:val="auto"/>
                      <w:spacing w:val="0"/>
                      <w:kern w:val="2"/>
                      <w:sz w:val="21"/>
                      <w:szCs w:val="24"/>
                      <w:highlight w:val="none"/>
                      <w:lang w:val="en-US" w:eastAsia="zh-CN" w:bidi="ar-SA"/>
                    </w:rPr>
                    <w:t>/</w:t>
                  </w:r>
                </w:p>
              </w:tc>
              <w:tc>
                <w:tcPr>
                  <w:tcW w:w="831" w:type="pct"/>
                  <w:tcBorders>
                    <w:top w:val="single" w:color="auto" w:sz="4" w:space="0"/>
                    <w:left w:val="single" w:color="auto" w:sz="4" w:space="0"/>
                    <w:bottom w:val="single" w:color="auto" w:sz="4" w:space="0"/>
                    <w:right w:val="nil"/>
                  </w:tcBorders>
                  <w:shd w:val="clear" w:color="auto" w:fill="auto"/>
                  <w:noWrap w:val="0"/>
                  <w:vAlign w:val="center"/>
                </w:tcPr>
                <w:p w14:paraId="26DDC6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周界外浓度最高点</w:t>
                  </w:r>
                </w:p>
              </w:tc>
            </w:tr>
            <w:tr w14:paraId="3DE04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7" w:type="pct"/>
                  <w:vMerge w:val="continue"/>
                  <w:tcBorders>
                    <w:left w:val="nil"/>
                    <w:right w:val="single" w:color="auto" w:sz="4" w:space="0"/>
                  </w:tcBorders>
                  <w:noWrap w:val="0"/>
                  <w:vAlign w:val="center"/>
                </w:tcPr>
                <w:p w14:paraId="476085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kern w:val="2"/>
                      <w:sz w:val="21"/>
                      <w:szCs w:val="24"/>
                      <w:lang w:val="en-US" w:eastAsia="zh-CN" w:bidi="ar-SA"/>
                    </w:rPr>
                  </w:pPr>
                </w:p>
              </w:tc>
              <w:tc>
                <w:tcPr>
                  <w:tcW w:w="405" w:type="pct"/>
                  <w:vMerge w:val="continue"/>
                  <w:tcBorders>
                    <w:left w:val="single" w:color="auto" w:sz="4" w:space="0"/>
                    <w:right w:val="single" w:color="auto" w:sz="4" w:space="0"/>
                  </w:tcBorders>
                  <w:noWrap w:val="0"/>
                  <w:vAlign w:val="center"/>
                </w:tcPr>
                <w:p w14:paraId="225E4C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kern w:val="2"/>
                      <w:sz w:val="21"/>
                      <w:szCs w:val="24"/>
                      <w:lang w:val="en-US" w:eastAsia="zh-CN" w:bidi="ar-SA"/>
                    </w:rPr>
                  </w:pPr>
                </w:p>
              </w:tc>
              <w:tc>
                <w:tcPr>
                  <w:tcW w:w="1658" w:type="pct"/>
                  <w:vMerge w:val="restart"/>
                  <w:tcBorders>
                    <w:top w:val="single" w:color="auto" w:sz="4" w:space="0"/>
                    <w:left w:val="single" w:color="auto" w:sz="4" w:space="0"/>
                    <w:right w:val="single" w:color="auto" w:sz="4" w:space="0"/>
                  </w:tcBorders>
                  <w:noWrap w:val="0"/>
                  <w:vAlign w:val="center"/>
                </w:tcPr>
                <w:p w14:paraId="5634DE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kern w:val="2"/>
                      <w:sz w:val="21"/>
                      <w:szCs w:val="24"/>
                      <w:lang w:val="en-US" w:eastAsia="zh-CN" w:bidi="ar-SA"/>
                    </w:rPr>
                  </w:pPr>
                  <w:r>
                    <w:rPr>
                      <w:rFonts w:hint="default" w:ascii="Times New Roman" w:hAnsi="Times New Roman" w:eastAsia="宋体" w:cs="Times New Roman"/>
                      <w:color w:val="auto"/>
                      <w:spacing w:val="0"/>
                      <w:kern w:val="2"/>
                      <w:sz w:val="21"/>
                      <w:szCs w:val="24"/>
                      <w:lang w:val="en-US" w:eastAsia="zh-CN" w:bidi="ar-SA"/>
                    </w:rPr>
                    <w:t>《恶臭污染物排放标准》（GB14554-93）</w:t>
                  </w:r>
                </w:p>
              </w:tc>
              <w:tc>
                <w:tcPr>
                  <w:tcW w:w="699" w:type="pct"/>
                  <w:tcBorders>
                    <w:top w:val="single" w:color="auto" w:sz="4" w:space="0"/>
                    <w:left w:val="single" w:color="auto" w:sz="4" w:space="0"/>
                    <w:bottom w:val="single" w:color="auto" w:sz="4" w:space="0"/>
                    <w:right w:val="single" w:color="auto" w:sz="4" w:space="0"/>
                  </w:tcBorders>
                  <w:noWrap w:val="0"/>
                  <w:vAlign w:val="center"/>
                </w:tcPr>
                <w:p w14:paraId="6204A0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4"/>
                      <w:lang w:val="en-US" w:eastAsia="zh-CN" w:bidi="ar-SA"/>
                    </w:rPr>
                  </w:pPr>
                  <w:r>
                    <w:rPr>
                      <w:rFonts w:hint="eastAsia" w:cs="Times New Roman"/>
                      <w:color w:val="auto"/>
                      <w:spacing w:val="0"/>
                      <w:kern w:val="2"/>
                      <w:sz w:val="21"/>
                      <w:szCs w:val="24"/>
                      <w:lang w:val="en-US" w:eastAsia="zh-CN" w:bidi="ar-SA"/>
                    </w:rPr>
                    <w:t>臭气浓度</w:t>
                  </w:r>
                </w:p>
              </w:tc>
              <w:tc>
                <w:tcPr>
                  <w:tcW w:w="432" w:type="pct"/>
                  <w:tcBorders>
                    <w:top w:val="single" w:color="auto" w:sz="4" w:space="0"/>
                    <w:left w:val="single" w:color="auto" w:sz="4" w:space="0"/>
                    <w:bottom w:val="single" w:color="auto" w:sz="4" w:space="0"/>
                    <w:right w:val="single" w:color="auto" w:sz="4" w:space="0"/>
                  </w:tcBorders>
                  <w:noWrap w:val="0"/>
                  <w:vAlign w:val="center"/>
                </w:tcPr>
                <w:p w14:paraId="2F043E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kern w:val="2"/>
                      <w:sz w:val="21"/>
                      <w:szCs w:val="24"/>
                      <w:highlight w:val="none"/>
                      <w:lang w:val="en-US" w:eastAsia="zh-CN" w:bidi="ar-SA"/>
                    </w:rPr>
                  </w:pPr>
                  <w:r>
                    <w:rPr>
                      <w:rFonts w:hint="eastAsia" w:cs="Times New Roman"/>
                      <w:color w:val="auto"/>
                      <w:spacing w:val="0"/>
                      <w:kern w:val="2"/>
                      <w:sz w:val="21"/>
                      <w:szCs w:val="24"/>
                      <w:highlight w:val="none"/>
                      <w:lang w:val="en-US" w:eastAsia="zh-CN" w:bidi="ar-SA"/>
                    </w:rPr>
                    <w:t>20</w:t>
                  </w:r>
                </w:p>
              </w:tc>
              <w:tc>
                <w:tcPr>
                  <w:tcW w:w="704" w:type="pct"/>
                  <w:tcBorders>
                    <w:top w:val="single" w:color="auto" w:sz="4" w:space="0"/>
                    <w:left w:val="single" w:color="auto" w:sz="4" w:space="0"/>
                    <w:bottom w:val="single" w:color="auto" w:sz="4" w:space="0"/>
                    <w:right w:val="single" w:color="auto" w:sz="4" w:space="0"/>
                  </w:tcBorders>
                  <w:noWrap w:val="0"/>
                  <w:vAlign w:val="center"/>
                </w:tcPr>
                <w:p w14:paraId="2FA41A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4"/>
                      <w:highlight w:val="none"/>
                      <w:lang w:val="en-US" w:eastAsia="zh-CN" w:bidi="ar-SA"/>
                    </w:rPr>
                  </w:pPr>
                  <w:r>
                    <w:rPr>
                      <w:rFonts w:hint="eastAsia" w:cs="Times New Roman"/>
                      <w:color w:val="auto"/>
                      <w:spacing w:val="0"/>
                      <w:kern w:val="2"/>
                      <w:sz w:val="21"/>
                      <w:szCs w:val="24"/>
                      <w:highlight w:val="none"/>
                      <w:lang w:val="en-US" w:eastAsia="zh-CN" w:bidi="ar-SA"/>
                    </w:rPr>
                    <w:t>/</w:t>
                  </w:r>
                </w:p>
              </w:tc>
              <w:tc>
                <w:tcPr>
                  <w:tcW w:w="831" w:type="pct"/>
                  <w:tcBorders>
                    <w:top w:val="single" w:color="auto" w:sz="4" w:space="0"/>
                    <w:left w:val="single" w:color="auto" w:sz="4" w:space="0"/>
                    <w:bottom w:val="single" w:color="auto" w:sz="4" w:space="0"/>
                    <w:right w:val="nil"/>
                  </w:tcBorders>
                  <w:noWrap w:val="0"/>
                  <w:vAlign w:val="center"/>
                </w:tcPr>
                <w:p w14:paraId="00436B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cs="Times New Roman"/>
                      <w:color w:val="auto"/>
                      <w:spacing w:val="0"/>
                      <w:kern w:val="2"/>
                      <w:sz w:val="21"/>
                      <w:szCs w:val="21"/>
                      <w:highlight w:val="none"/>
                      <w:lang w:val="en-US" w:eastAsia="zh-CN" w:bidi="ar-SA"/>
                    </w:rPr>
                    <w:t>厂界</w:t>
                  </w:r>
                </w:p>
              </w:tc>
            </w:tr>
            <w:tr w14:paraId="5C95E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7" w:type="pct"/>
                  <w:vMerge w:val="continue"/>
                  <w:tcBorders>
                    <w:left w:val="nil"/>
                    <w:right w:val="single" w:color="auto" w:sz="4" w:space="0"/>
                  </w:tcBorders>
                  <w:noWrap w:val="0"/>
                  <w:vAlign w:val="center"/>
                </w:tcPr>
                <w:p w14:paraId="570266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kern w:val="2"/>
                      <w:sz w:val="21"/>
                      <w:szCs w:val="24"/>
                      <w:lang w:val="en-US" w:eastAsia="zh-CN" w:bidi="ar-SA"/>
                    </w:rPr>
                  </w:pPr>
                </w:p>
              </w:tc>
              <w:tc>
                <w:tcPr>
                  <w:tcW w:w="405" w:type="pct"/>
                  <w:vMerge w:val="continue"/>
                  <w:tcBorders>
                    <w:left w:val="single" w:color="auto" w:sz="4" w:space="0"/>
                    <w:right w:val="single" w:color="auto" w:sz="4" w:space="0"/>
                  </w:tcBorders>
                  <w:noWrap w:val="0"/>
                  <w:vAlign w:val="center"/>
                </w:tcPr>
                <w:p w14:paraId="03BCB0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kern w:val="2"/>
                      <w:sz w:val="21"/>
                      <w:szCs w:val="24"/>
                      <w:lang w:val="en-US" w:eastAsia="zh-CN" w:bidi="ar-SA"/>
                    </w:rPr>
                  </w:pPr>
                </w:p>
              </w:tc>
              <w:tc>
                <w:tcPr>
                  <w:tcW w:w="1658" w:type="pct"/>
                  <w:vMerge w:val="continue"/>
                  <w:tcBorders>
                    <w:left w:val="single" w:color="auto" w:sz="4" w:space="0"/>
                    <w:bottom w:val="single" w:color="auto" w:sz="4" w:space="0"/>
                    <w:right w:val="single" w:color="auto" w:sz="4" w:space="0"/>
                  </w:tcBorders>
                  <w:noWrap w:val="0"/>
                  <w:vAlign w:val="center"/>
                </w:tcPr>
                <w:p w14:paraId="0F92DC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kern w:val="2"/>
                      <w:sz w:val="21"/>
                      <w:szCs w:val="24"/>
                      <w:lang w:val="en-US" w:eastAsia="zh-CN" w:bidi="ar-SA"/>
                    </w:rPr>
                  </w:pPr>
                </w:p>
              </w:tc>
              <w:tc>
                <w:tcPr>
                  <w:tcW w:w="699" w:type="pct"/>
                  <w:tcBorders>
                    <w:top w:val="single" w:color="auto" w:sz="4" w:space="0"/>
                    <w:left w:val="single" w:color="auto" w:sz="4" w:space="0"/>
                    <w:bottom w:val="single" w:color="auto" w:sz="4" w:space="0"/>
                    <w:right w:val="single" w:color="auto" w:sz="4" w:space="0"/>
                  </w:tcBorders>
                  <w:noWrap w:val="0"/>
                  <w:vAlign w:val="center"/>
                </w:tcPr>
                <w:p w14:paraId="1D2F0E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color w:val="auto"/>
                      <w:spacing w:val="0"/>
                      <w:kern w:val="2"/>
                      <w:sz w:val="21"/>
                      <w:szCs w:val="24"/>
                      <w:lang w:val="en-US" w:eastAsia="zh-CN" w:bidi="ar-SA"/>
                    </w:rPr>
                  </w:pPr>
                  <w:r>
                    <w:rPr>
                      <w:rFonts w:hint="eastAsia" w:cs="Times New Roman"/>
                      <w:color w:val="auto"/>
                      <w:spacing w:val="0"/>
                      <w:kern w:val="2"/>
                      <w:sz w:val="21"/>
                      <w:szCs w:val="24"/>
                      <w:lang w:val="en-US" w:eastAsia="zh-CN" w:bidi="ar-SA"/>
                    </w:rPr>
                    <w:t>氨</w:t>
                  </w:r>
                </w:p>
              </w:tc>
              <w:tc>
                <w:tcPr>
                  <w:tcW w:w="432" w:type="pct"/>
                  <w:tcBorders>
                    <w:top w:val="single" w:color="auto" w:sz="4" w:space="0"/>
                    <w:left w:val="single" w:color="auto" w:sz="4" w:space="0"/>
                    <w:bottom w:val="single" w:color="auto" w:sz="4" w:space="0"/>
                    <w:right w:val="single" w:color="auto" w:sz="4" w:space="0"/>
                  </w:tcBorders>
                  <w:noWrap w:val="0"/>
                  <w:vAlign w:val="center"/>
                </w:tcPr>
                <w:p w14:paraId="65A6E4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color w:val="auto"/>
                      <w:spacing w:val="0"/>
                      <w:kern w:val="2"/>
                      <w:sz w:val="21"/>
                      <w:szCs w:val="24"/>
                      <w:highlight w:val="none"/>
                      <w:lang w:val="en-US" w:eastAsia="zh-CN" w:bidi="ar-SA"/>
                    </w:rPr>
                  </w:pPr>
                  <w:r>
                    <w:rPr>
                      <w:rFonts w:hint="eastAsia" w:cs="Times New Roman"/>
                      <w:color w:val="auto"/>
                      <w:spacing w:val="0"/>
                      <w:kern w:val="2"/>
                      <w:sz w:val="21"/>
                      <w:szCs w:val="24"/>
                      <w:highlight w:val="none"/>
                      <w:lang w:val="en-US" w:eastAsia="zh-CN" w:bidi="ar-SA"/>
                    </w:rPr>
                    <w:t>/</w:t>
                  </w:r>
                </w:p>
              </w:tc>
              <w:tc>
                <w:tcPr>
                  <w:tcW w:w="704" w:type="pct"/>
                  <w:tcBorders>
                    <w:top w:val="single" w:color="auto" w:sz="4" w:space="0"/>
                    <w:left w:val="single" w:color="auto" w:sz="4" w:space="0"/>
                    <w:bottom w:val="single" w:color="auto" w:sz="4" w:space="0"/>
                    <w:right w:val="single" w:color="auto" w:sz="4" w:space="0"/>
                  </w:tcBorders>
                  <w:noWrap w:val="0"/>
                  <w:vAlign w:val="center"/>
                </w:tcPr>
                <w:p w14:paraId="60F82C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color w:val="auto"/>
                      <w:spacing w:val="0"/>
                      <w:kern w:val="2"/>
                      <w:sz w:val="21"/>
                      <w:szCs w:val="24"/>
                      <w:highlight w:val="none"/>
                      <w:lang w:val="en-US" w:eastAsia="zh-CN" w:bidi="ar-SA"/>
                    </w:rPr>
                  </w:pPr>
                  <w:r>
                    <w:rPr>
                      <w:rFonts w:hint="eastAsia" w:cs="Times New Roman"/>
                      <w:color w:val="auto"/>
                      <w:spacing w:val="0"/>
                      <w:kern w:val="2"/>
                      <w:sz w:val="21"/>
                      <w:szCs w:val="24"/>
                      <w:highlight w:val="none"/>
                      <w:lang w:val="en-US" w:eastAsia="zh-CN" w:bidi="ar-SA"/>
                    </w:rPr>
                    <w:t>4.9</w:t>
                  </w:r>
                </w:p>
              </w:tc>
              <w:tc>
                <w:tcPr>
                  <w:tcW w:w="831" w:type="pct"/>
                  <w:tcBorders>
                    <w:top w:val="single" w:color="auto" w:sz="4" w:space="0"/>
                    <w:left w:val="single" w:color="auto" w:sz="4" w:space="0"/>
                    <w:bottom w:val="single" w:color="auto" w:sz="4" w:space="0"/>
                    <w:right w:val="nil"/>
                  </w:tcBorders>
                  <w:noWrap w:val="0"/>
                  <w:vAlign w:val="center"/>
                </w:tcPr>
                <w:p w14:paraId="0A9D4A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auto"/>
                      <w:spacing w:val="0"/>
                      <w:kern w:val="2"/>
                      <w:sz w:val="21"/>
                      <w:szCs w:val="21"/>
                      <w:highlight w:val="none"/>
                      <w:lang w:val="en-US" w:eastAsia="zh-CN" w:bidi="ar-SA"/>
                    </w:rPr>
                  </w:pPr>
                  <w:r>
                    <w:rPr>
                      <w:rFonts w:hint="eastAsia" w:ascii="Times New Roman" w:hAnsi="Times New Roman" w:cs="Times New Roman"/>
                      <w:color w:val="auto"/>
                      <w:spacing w:val="0"/>
                      <w:kern w:val="2"/>
                      <w:sz w:val="21"/>
                      <w:szCs w:val="21"/>
                      <w:highlight w:val="none"/>
                      <w:lang w:val="en-US" w:eastAsia="zh-CN" w:bidi="ar-SA"/>
                    </w:rPr>
                    <w:t>厂界</w:t>
                  </w:r>
                </w:p>
              </w:tc>
            </w:tr>
            <w:tr w14:paraId="068D9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7" w:type="pct"/>
                  <w:vMerge w:val="continue"/>
                  <w:tcBorders>
                    <w:left w:val="nil"/>
                    <w:right w:val="single" w:color="auto" w:sz="4" w:space="0"/>
                  </w:tcBorders>
                  <w:noWrap w:val="0"/>
                  <w:vAlign w:val="center"/>
                </w:tcPr>
                <w:p w14:paraId="0A7695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kern w:val="2"/>
                      <w:sz w:val="21"/>
                      <w:szCs w:val="24"/>
                      <w:lang w:val="en-US" w:eastAsia="zh-CN" w:bidi="ar-SA"/>
                    </w:rPr>
                  </w:pPr>
                </w:p>
              </w:tc>
              <w:tc>
                <w:tcPr>
                  <w:tcW w:w="405" w:type="pct"/>
                  <w:tcBorders>
                    <w:left w:val="single" w:color="auto" w:sz="4" w:space="0"/>
                    <w:right w:val="single" w:color="auto" w:sz="4" w:space="0"/>
                  </w:tcBorders>
                  <w:noWrap w:val="0"/>
                  <w:vAlign w:val="center"/>
                </w:tcPr>
                <w:p w14:paraId="2F02B8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kern w:val="2"/>
                      <w:sz w:val="21"/>
                      <w:szCs w:val="24"/>
                      <w:lang w:val="en-US" w:eastAsia="zh-CN" w:bidi="ar-SA"/>
                    </w:rPr>
                  </w:pPr>
                  <w:r>
                    <w:rPr>
                      <w:rFonts w:hint="eastAsia" w:cs="Times New Roman"/>
                      <w:color w:val="auto"/>
                      <w:spacing w:val="0"/>
                      <w:kern w:val="2"/>
                      <w:sz w:val="21"/>
                      <w:szCs w:val="24"/>
                      <w:lang w:val="en-US" w:eastAsia="zh-CN" w:bidi="ar-SA"/>
                    </w:rPr>
                    <w:t>厂区内</w:t>
                  </w:r>
                </w:p>
              </w:tc>
              <w:tc>
                <w:tcPr>
                  <w:tcW w:w="1658" w:type="pct"/>
                  <w:tcBorders>
                    <w:top w:val="single" w:color="auto" w:sz="4" w:space="0"/>
                    <w:left w:val="single" w:color="auto" w:sz="4" w:space="0"/>
                    <w:bottom w:val="single" w:color="auto" w:sz="4" w:space="0"/>
                    <w:right w:val="single" w:color="auto" w:sz="4" w:space="0"/>
                  </w:tcBorders>
                  <w:noWrap w:val="0"/>
                  <w:vAlign w:val="center"/>
                </w:tcPr>
                <w:p w14:paraId="71957B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kern w:val="2"/>
                      <w:sz w:val="21"/>
                      <w:szCs w:val="24"/>
                      <w:lang w:val="en-US" w:eastAsia="zh-CN" w:bidi="ar-SA"/>
                    </w:rPr>
                  </w:pPr>
                  <w:r>
                    <w:rPr>
                      <w:rFonts w:hint="eastAsia" w:cs="Times New Roman"/>
                      <w:color w:val="auto"/>
                      <w:spacing w:val="0"/>
                      <w:kern w:val="2"/>
                      <w:sz w:val="21"/>
                      <w:szCs w:val="24"/>
                      <w:lang w:val="en-US" w:eastAsia="zh-CN" w:bidi="ar-SA"/>
                    </w:rPr>
                    <w:t>《</w:t>
                  </w:r>
                  <w:r>
                    <w:rPr>
                      <w:rFonts w:hint="default" w:ascii="Times New Roman" w:hAnsi="Times New Roman" w:eastAsia="宋体" w:cs="Times New Roman"/>
                      <w:color w:val="auto"/>
                      <w:spacing w:val="0"/>
                      <w:kern w:val="2"/>
                      <w:sz w:val="21"/>
                      <w:szCs w:val="24"/>
                      <w:lang w:val="en-US" w:eastAsia="zh-CN" w:bidi="ar-SA"/>
                    </w:rPr>
                    <w:t>挥发性有机物综合排放控制标准</w:t>
                  </w:r>
                  <w:r>
                    <w:rPr>
                      <w:rFonts w:hint="eastAsia" w:cs="Times New Roman"/>
                      <w:color w:val="auto"/>
                      <w:spacing w:val="0"/>
                      <w:kern w:val="2"/>
                      <w:sz w:val="21"/>
                      <w:szCs w:val="24"/>
                      <w:lang w:val="en-US" w:eastAsia="zh-CN" w:bidi="ar-SA"/>
                    </w:rPr>
                    <w:t>（</w:t>
                  </w:r>
                  <w:r>
                    <w:rPr>
                      <w:rFonts w:hint="default" w:ascii="Times New Roman" w:hAnsi="Times New Roman" w:eastAsia="宋体" w:cs="Times New Roman"/>
                      <w:color w:val="auto"/>
                      <w:spacing w:val="0"/>
                      <w:kern w:val="2"/>
                      <w:sz w:val="21"/>
                      <w:szCs w:val="24"/>
                      <w:lang w:val="en-US" w:eastAsia="zh-CN" w:bidi="ar-SA"/>
                    </w:rPr>
                    <w:t>试行</w:t>
                  </w:r>
                  <w:r>
                    <w:rPr>
                      <w:rFonts w:hint="eastAsia" w:cs="Times New Roman"/>
                      <w:color w:val="auto"/>
                      <w:spacing w:val="0"/>
                      <w:kern w:val="2"/>
                      <w:sz w:val="21"/>
                      <w:szCs w:val="24"/>
                      <w:lang w:val="en-US" w:eastAsia="zh-CN" w:bidi="ar-SA"/>
                    </w:rPr>
                    <w:t>）》（</w:t>
                  </w:r>
                  <w:r>
                    <w:rPr>
                      <w:rFonts w:hint="default" w:ascii="Times New Roman" w:hAnsi="Times New Roman" w:eastAsia="宋体" w:cs="Times New Roman"/>
                      <w:color w:val="auto"/>
                      <w:spacing w:val="0"/>
                      <w:kern w:val="2"/>
                      <w:sz w:val="21"/>
                      <w:szCs w:val="24"/>
                      <w:lang w:val="en-US" w:eastAsia="zh-CN" w:bidi="ar-SA"/>
                    </w:rPr>
                    <w:t>DB36</w:t>
                  </w:r>
                  <w:r>
                    <w:rPr>
                      <w:rFonts w:hint="eastAsia" w:cs="Times New Roman"/>
                      <w:color w:val="auto"/>
                      <w:spacing w:val="0"/>
                      <w:kern w:val="2"/>
                      <w:sz w:val="21"/>
                      <w:szCs w:val="24"/>
                      <w:lang w:val="en-US" w:eastAsia="zh-CN" w:bidi="ar-SA"/>
                    </w:rPr>
                    <w:t>/</w:t>
                  </w:r>
                  <w:r>
                    <w:rPr>
                      <w:rFonts w:hint="default" w:ascii="Times New Roman" w:hAnsi="Times New Roman" w:eastAsia="宋体" w:cs="Times New Roman"/>
                      <w:color w:val="auto"/>
                      <w:spacing w:val="0"/>
                      <w:kern w:val="2"/>
                      <w:sz w:val="21"/>
                      <w:szCs w:val="24"/>
                      <w:lang w:val="en-US" w:eastAsia="zh-CN" w:bidi="ar-SA"/>
                    </w:rPr>
                    <w:t>2186-2025</w:t>
                  </w:r>
                  <w:r>
                    <w:rPr>
                      <w:rFonts w:hint="eastAsia" w:cs="Times New Roman"/>
                      <w:color w:val="auto"/>
                      <w:spacing w:val="0"/>
                      <w:kern w:val="2"/>
                      <w:sz w:val="21"/>
                      <w:szCs w:val="24"/>
                      <w:lang w:val="en-US" w:eastAsia="zh-CN" w:bidi="ar-SA"/>
                    </w:rPr>
                    <w:t>）</w:t>
                  </w:r>
                </w:p>
              </w:tc>
              <w:tc>
                <w:tcPr>
                  <w:tcW w:w="699" w:type="pct"/>
                  <w:tcBorders>
                    <w:top w:val="single" w:color="auto" w:sz="4" w:space="0"/>
                    <w:left w:val="single" w:color="auto" w:sz="4" w:space="0"/>
                    <w:bottom w:val="single" w:color="auto" w:sz="4" w:space="0"/>
                    <w:right w:val="single" w:color="auto" w:sz="4" w:space="0"/>
                  </w:tcBorders>
                  <w:noWrap w:val="0"/>
                  <w:vAlign w:val="center"/>
                </w:tcPr>
                <w:p w14:paraId="02E063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color w:val="auto"/>
                      <w:spacing w:val="0"/>
                      <w:kern w:val="2"/>
                      <w:sz w:val="21"/>
                      <w:szCs w:val="24"/>
                      <w:lang w:val="en-US" w:eastAsia="zh-CN" w:bidi="ar-SA"/>
                    </w:rPr>
                  </w:pPr>
                  <w:r>
                    <w:rPr>
                      <w:rFonts w:hint="default" w:ascii="Times New Roman" w:hAnsi="Times New Roman" w:eastAsia="宋体" w:cs="Times New Roman"/>
                      <w:color w:val="auto"/>
                      <w:spacing w:val="0"/>
                      <w:kern w:val="2"/>
                      <w:sz w:val="21"/>
                      <w:szCs w:val="24"/>
                      <w:lang w:val="en-US" w:eastAsia="zh-CN" w:bidi="ar-SA"/>
                    </w:rPr>
                    <w:t>非甲烷总烃</w:t>
                  </w:r>
                </w:p>
              </w:tc>
              <w:tc>
                <w:tcPr>
                  <w:tcW w:w="432" w:type="pct"/>
                  <w:tcBorders>
                    <w:top w:val="single" w:color="auto" w:sz="4" w:space="0"/>
                    <w:left w:val="single" w:color="auto" w:sz="4" w:space="0"/>
                    <w:bottom w:val="single" w:color="auto" w:sz="4" w:space="0"/>
                    <w:right w:val="single" w:color="auto" w:sz="4" w:space="0"/>
                  </w:tcBorders>
                  <w:noWrap w:val="0"/>
                  <w:vAlign w:val="center"/>
                </w:tcPr>
                <w:p w14:paraId="3A1DBA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color w:val="auto"/>
                      <w:spacing w:val="0"/>
                      <w:kern w:val="2"/>
                      <w:sz w:val="21"/>
                      <w:szCs w:val="24"/>
                      <w:highlight w:val="none"/>
                      <w:lang w:val="en-US" w:eastAsia="zh-CN" w:bidi="ar-SA"/>
                    </w:rPr>
                  </w:pPr>
                  <w:r>
                    <w:rPr>
                      <w:rFonts w:hint="eastAsia" w:cs="Times New Roman"/>
                      <w:color w:val="auto"/>
                      <w:spacing w:val="0"/>
                      <w:kern w:val="2"/>
                      <w:sz w:val="21"/>
                      <w:szCs w:val="24"/>
                      <w:highlight w:val="none"/>
                      <w:lang w:val="en-US" w:eastAsia="zh-CN" w:bidi="ar-SA"/>
                    </w:rPr>
                    <w:t>30</w:t>
                  </w:r>
                </w:p>
              </w:tc>
              <w:tc>
                <w:tcPr>
                  <w:tcW w:w="704" w:type="pct"/>
                  <w:tcBorders>
                    <w:top w:val="single" w:color="auto" w:sz="4" w:space="0"/>
                    <w:left w:val="single" w:color="auto" w:sz="4" w:space="0"/>
                    <w:bottom w:val="single" w:color="auto" w:sz="4" w:space="0"/>
                    <w:right w:val="single" w:color="auto" w:sz="4" w:space="0"/>
                  </w:tcBorders>
                  <w:noWrap w:val="0"/>
                  <w:vAlign w:val="center"/>
                </w:tcPr>
                <w:p w14:paraId="436D53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color w:val="auto"/>
                      <w:spacing w:val="0"/>
                      <w:kern w:val="2"/>
                      <w:sz w:val="21"/>
                      <w:szCs w:val="24"/>
                      <w:highlight w:val="none"/>
                      <w:lang w:val="en-US" w:eastAsia="zh-CN" w:bidi="ar-SA"/>
                    </w:rPr>
                  </w:pPr>
                  <w:r>
                    <w:rPr>
                      <w:rFonts w:hint="eastAsia" w:cs="Times New Roman"/>
                      <w:color w:val="auto"/>
                      <w:spacing w:val="0"/>
                      <w:kern w:val="2"/>
                      <w:sz w:val="21"/>
                      <w:szCs w:val="24"/>
                      <w:highlight w:val="none"/>
                      <w:lang w:val="en-US" w:eastAsia="zh-CN" w:bidi="ar-SA"/>
                    </w:rPr>
                    <w:t>/</w:t>
                  </w:r>
                </w:p>
              </w:tc>
              <w:tc>
                <w:tcPr>
                  <w:tcW w:w="831" w:type="pct"/>
                  <w:tcBorders>
                    <w:top w:val="single" w:color="auto" w:sz="4" w:space="0"/>
                    <w:left w:val="single" w:color="auto" w:sz="4" w:space="0"/>
                    <w:bottom w:val="single" w:color="auto" w:sz="4" w:space="0"/>
                    <w:right w:val="nil"/>
                  </w:tcBorders>
                  <w:noWrap w:val="0"/>
                  <w:vAlign w:val="center"/>
                </w:tcPr>
                <w:p w14:paraId="5C8224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auto"/>
                      <w:spacing w:val="0"/>
                      <w:kern w:val="2"/>
                      <w:sz w:val="21"/>
                      <w:szCs w:val="21"/>
                      <w:highlight w:val="none"/>
                      <w:lang w:val="en-US" w:eastAsia="zh-CN" w:bidi="ar-SA"/>
                    </w:rPr>
                  </w:pPr>
                  <w:r>
                    <w:rPr>
                      <w:rFonts w:hint="eastAsia" w:ascii="Times New Roman" w:hAnsi="Times New Roman" w:cs="Times New Roman"/>
                      <w:color w:val="auto"/>
                      <w:spacing w:val="0"/>
                      <w:kern w:val="2"/>
                      <w:sz w:val="21"/>
                      <w:szCs w:val="21"/>
                      <w:highlight w:val="none"/>
                      <w:lang w:val="en-US" w:eastAsia="zh-CN" w:bidi="ar-SA"/>
                    </w:rPr>
                    <w:t>在厂房外设置监控点</w:t>
                  </w:r>
                </w:p>
              </w:tc>
            </w:tr>
            <w:tr w14:paraId="4FE60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3" w:type="pct"/>
                  <w:gridSpan w:val="2"/>
                  <w:tcBorders>
                    <w:left w:val="nil"/>
                    <w:bottom w:val="single" w:color="auto" w:sz="12" w:space="0"/>
                    <w:right w:val="single" w:color="auto" w:sz="4" w:space="0"/>
                  </w:tcBorders>
                  <w:noWrap w:val="0"/>
                  <w:vAlign w:val="center"/>
                </w:tcPr>
                <w:p w14:paraId="62EA01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color w:val="auto"/>
                      <w:spacing w:val="0"/>
                      <w:kern w:val="2"/>
                      <w:sz w:val="21"/>
                      <w:szCs w:val="24"/>
                      <w:lang w:val="en-US" w:eastAsia="zh-CN" w:bidi="ar-SA"/>
                    </w:rPr>
                  </w:pPr>
                  <w:r>
                    <w:rPr>
                      <w:rFonts w:hint="eastAsia" w:cs="Times New Roman"/>
                      <w:color w:val="auto"/>
                      <w:spacing w:val="0"/>
                      <w:kern w:val="2"/>
                      <w:sz w:val="21"/>
                      <w:szCs w:val="24"/>
                      <w:lang w:val="en-US" w:eastAsia="zh-CN" w:bidi="ar-SA"/>
                    </w:rPr>
                    <w:t>单位产品非甲烷总烃排放量</w:t>
                  </w:r>
                </w:p>
              </w:tc>
              <w:tc>
                <w:tcPr>
                  <w:tcW w:w="1658" w:type="pct"/>
                  <w:tcBorders>
                    <w:top w:val="single" w:color="auto" w:sz="4" w:space="0"/>
                    <w:left w:val="single" w:color="auto" w:sz="4" w:space="0"/>
                    <w:bottom w:val="single" w:color="auto" w:sz="12" w:space="0"/>
                    <w:right w:val="single" w:color="auto" w:sz="4" w:space="0"/>
                  </w:tcBorders>
                  <w:noWrap w:val="0"/>
                  <w:vAlign w:val="center"/>
                </w:tcPr>
                <w:p w14:paraId="42173E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color w:val="auto"/>
                      <w:spacing w:val="0"/>
                      <w:kern w:val="2"/>
                      <w:sz w:val="21"/>
                      <w:szCs w:val="24"/>
                      <w:lang w:val="en-US" w:eastAsia="zh-CN" w:bidi="ar-SA"/>
                    </w:rPr>
                  </w:pPr>
                  <w:r>
                    <w:rPr>
                      <w:rFonts w:hint="eastAsia" w:cs="Times New Roman"/>
                      <w:color w:val="auto"/>
                      <w:spacing w:val="0"/>
                      <w:kern w:val="2"/>
                      <w:sz w:val="21"/>
                      <w:szCs w:val="21"/>
                      <w:highlight w:val="none"/>
                      <w:lang w:val="en-US" w:eastAsia="zh-CN" w:bidi="ar-SA"/>
                    </w:rPr>
                    <w:t>《合成树脂工业污染物排放标准》（GB 3157-2015，含2024年修改单）</w:t>
                  </w:r>
                </w:p>
              </w:tc>
              <w:tc>
                <w:tcPr>
                  <w:tcW w:w="2668" w:type="pct"/>
                  <w:gridSpan w:val="4"/>
                  <w:tcBorders>
                    <w:top w:val="single" w:color="auto" w:sz="4" w:space="0"/>
                    <w:left w:val="single" w:color="auto" w:sz="4" w:space="0"/>
                    <w:bottom w:val="single" w:color="auto" w:sz="12" w:space="0"/>
                    <w:right w:val="nil"/>
                  </w:tcBorders>
                  <w:noWrap w:val="0"/>
                  <w:vAlign w:val="center"/>
                </w:tcPr>
                <w:p w14:paraId="0429F4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auto"/>
                      <w:spacing w:val="0"/>
                      <w:kern w:val="2"/>
                      <w:sz w:val="21"/>
                      <w:szCs w:val="21"/>
                      <w:highlight w:val="none"/>
                      <w:lang w:val="en-US" w:eastAsia="zh-CN" w:bidi="ar-SA"/>
                    </w:rPr>
                  </w:pPr>
                  <w:r>
                    <w:rPr>
                      <w:rFonts w:hint="eastAsia" w:cs="Times New Roman"/>
                      <w:color w:val="auto"/>
                      <w:spacing w:val="0"/>
                      <w:kern w:val="2"/>
                      <w:sz w:val="21"/>
                      <w:szCs w:val="24"/>
                      <w:lang w:val="en-US" w:eastAsia="zh-CN" w:bidi="ar-SA"/>
                    </w:rPr>
                    <w:t>0.5kg/t产品</w:t>
                  </w:r>
                </w:p>
              </w:tc>
            </w:tr>
          </w:tbl>
          <w:p w14:paraId="78DB0F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
                <w:bCs/>
                <w:color w:val="auto"/>
                <w:highlight w:val="none"/>
              </w:rPr>
            </w:pPr>
            <w:r>
              <w:rPr>
                <w:rFonts w:hint="eastAsia"/>
                <w:b/>
                <w:bCs/>
                <w:color w:val="auto"/>
                <w:highlight w:val="none"/>
              </w:rPr>
              <w:t>2</w:t>
            </w:r>
            <w:r>
              <w:rPr>
                <w:rFonts w:hint="default"/>
                <w:b/>
                <w:bCs/>
                <w:color w:val="auto"/>
                <w:highlight w:val="none"/>
              </w:rPr>
              <w:t>、废水排放标准</w:t>
            </w:r>
          </w:p>
          <w:p w14:paraId="1518FA5E">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本项目</w:t>
            </w:r>
            <w:r>
              <w:rPr>
                <w:rFonts w:hint="eastAsia"/>
                <w:color w:val="auto"/>
                <w:highlight w:val="none"/>
                <w:lang w:eastAsia="zh-CN"/>
              </w:rPr>
              <w:t>运营期</w:t>
            </w:r>
            <w:r>
              <w:rPr>
                <w:rFonts w:hint="default"/>
                <w:color w:val="auto"/>
                <w:highlight w:val="none"/>
              </w:rPr>
              <w:t>产生的废水</w:t>
            </w:r>
            <w:r>
              <w:rPr>
                <w:rFonts w:hint="eastAsia"/>
                <w:color w:val="auto"/>
                <w:highlight w:val="none"/>
                <w:lang w:val="en-US" w:eastAsia="zh-CN"/>
              </w:rPr>
              <w:t>主要是生活</w:t>
            </w:r>
            <w:r>
              <w:rPr>
                <w:rFonts w:hint="eastAsia"/>
                <w:color w:val="000000" w:themeColor="text1"/>
                <w:highlight w:val="none"/>
                <w:lang w:val="en-US" w:eastAsia="zh-CN"/>
                <w14:textFill>
                  <w14:solidFill>
                    <w14:schemeClr w14:val="tx1"/>
                  </w14:solidFill>
                </w14:textFill>
              </w:rPr>
              <w:t>污水和冷却水定排水，生活污水</w:t>
            </w:r>
            <w:r>
              <w:rPr>
                <w:rFonts w:hint="default"/>
                <w:color w:val="000000" w:themeColor="text1"/>
                <w:highlight w:val="none"/>
                <w14:textFill>
                  <w14:solidFill>
                    <w14:schemeClr w14:val="tx1"/>
                  </w14:solidFill>
                </w14:textFill>
              </w:rPr>
              <w:t>经</w:t>
            </w:r>
            <w:r>
              <w:rPr>
                <w:rFonts w:hint="eastAsia"/>
                <w:color w:val="000000" w:themeColor="text1"/>
                <w:highlight w:val="none"/>
                <w:lang w:val="en-US" w:eastAsia="zh-CN"/>
                <w14:textFill>
                  <w14:solidFill>
                    <w14:schemeClr w14:val="tx1"/>
                  </w14:solidFill>
                </w14:textFill>
              </w:rPr>
              <w:t>隔油池+化粪池</w:t>
            </w:r>
            <w:r>
              <w:rPr>
                <w:rFonts w:hint="default"/>
                <w:color w:val="000000" w:themeColor="text1"/>
                <w:highlight w:val="none"/>
                <w14:textFill>
                  <w14:solidFill>
                    <w14:schemeClr w14:val="tx1"/>
                  </w14:solidFill>
                </w14:textFill>
              </w:rPr>
              <w:t>预处理</w:t>
            </w:r>
            <w:r>
              <w:rPr>
                <w:rFonts w:hint="eastAsia"/>
                <w:color w:val="000000" w:themeColor="text1"/>
                <w:highlight w:val="none"/>
                <w:lang w:val="en-US" w:eastAsia="zh-CN"/>
                <w14:textFill>
                  <w14:solidFill>
                    <w14:schemeClr w14:val="tx1"/>
                  </w14:solidFill>
                </w14:textFill>
              </w:rPr>
              <w:t>与冷却水定排水一同</w:t>
            </w:r>
            <w:r>
              <w:rPr>
                <w:rFonts w:hint="default"/>
                <w:color w:val="000000" w:themeColor="text1"/>
                <w:highlight w:val="none"/>
                <w14:textFill>
                  <w14:solidFill>
                    <w14:schemeClr w14:val="tx1"/>
                  </w14:solidFill>
                </w14:textFill>
              </w:rPr>
              <w:t>达到《污水综合排放标准》(GB8978-1996)表4中三级标准及</w:t>
            </w:r>
            <w:r>
              <w:rPr>
                <w:rFonts w:hint="default"/>
                <w:color w:val="000000" w:themeColor="text1"/>
                <w:highlight w:val="none"/>
                <w:lang w:val="en-US" w:eastAsia="zh-CN"/>
                <w14:textFill>
                  <w14:solidFill>
                    <w14:schemeClr w14:val="tx1"/>
                  </w14:solidFill>
                </w14:textFill>
              </w:rPr>
              <w:t>江西安义高新技术产业园区</w:t>
            </w:r>
            <w:r>
              <w:rPr>
                <w:rFonts w:hint="eastAsia"/>
                <w:color w:val="000000" w:themeColor="text1"/>
                <w:highlight w:val="none"/>
                <w:lang w:val="en-US" w:eastAsia="zh-CN"/>
                <w14:textFill>
                  <w14:solidFill>
                    <w14:schemeClr w14:val="tx1"/>
                  </w14:solidFill>
                </w14:textFill>
              </w:rPr>
              <w:t>污水处理厂</w:t>
            </w:r>
            <w:r>
              <w:rPr>
                <w:rFonts w:hint="default"/>
                <w:color w:val="000000" w:themeColor="text1"/>
                <w:highlight w:val="none"/>
                <w14:textFill>
                  <w14:solidFill>
                    <w14:schemeClr w14:val="tx1"/>
                  </w14:solidFill>
                </w14:textFill>
              </w:rPr>
              <w:t>接管标准后排入</w:t>
            </w:r>
            <w:r>
              <w:rPr>
                <w:rFonts w:hint="default"/>
                <w:color w:val="000000" w:themeColor="text1"/>
                <w:highlight w:val="none"/>
                <w:lang w:val="en-US" w:eastAsia="zh-CN"/>
                <w14:textFill>
                  <w14:solidFill>
                    <w14:schemeClr w14:val="tx1"/>
                  </w14:solidFill>
                </w14:textFill>
              </w:rPr>
              <w:t>江西安义高新技术产业园区</w:t>
            </w:r>
            <w:r>
              <w:rPr>
                <w:rFonts w:hint="default"/>
                <w:color w:val="000000" w:themeColor="text1"/>
                <w:highlight w:val="none"/>
                <w14:textFill>
                  <w14:solidFill>
                    <w14:schemeClr w14:val="tx1"/>
                  </w14:solidFill>
                </w14:textFill>
              </w:rPr>
              <w:t>进一步处理，达《城</w:t>
            </w:r>
            <w:r>
              <w:rPr>
                <w:rFonts w:hint="default"/>
                <w:color w:val="auto"/>
                <w:highlight w:val="none"/>
              </w:rPr>
              <w:t>镇污水处理厂污染物排放标准》（GB18918-2002</w:t>
            </w:r>
            <w:r>
              <w:rPr>
                <w:rFonts w:hint="eastAsia"/>
                <w:color w:val="auto"/>
                <w:highlight w:val="none"/>
                <w:lang w:eastAsia="zh-CN"/>
              </w:rPr>
              <w:t>，</w:t>
            </w:r>
            <w:r>
              <w:rPr>
                <w:rFonts w:hint="eastAsia"/>
                <w:color w:val="auto"/>
                <w:highlight w:val="none"/>
                <w:lang w:val="en-US" w:eastAsia="zh-CN"/>
              </w:rPr>
              <w:t>含2025年修改单</w:t>
            </w:r>
            <w:r>
              <w:rPr>
                <w:rFonts w:hint="default"/>
                <w:color w:val="auto"/>
                <w:highlight w:val="none"/>
              </w:rPr>
              <w:t>）一级</w:t>
            </w:r>
            <w:r>
              <w:rPr>
                <w:rFonts w:hint="eastAsia"/>
                <w:color w:val="auto"/>
                <w:highlight w:val="none"/>
                <w:lang w:val="en-US" w:eastAsia="zh-CN"/>
              </w:rPr>
              <w:t>A</w:t>
            </w:r>
            <w:r>
              <w:rPr>
                <w:rFonts w:hint="default"/>
                <w:color w:val="auto"/>
                <w:highlight w:val="none"/>
              </w:rPr>
              <w:t>标准后排入潦河，废水执行标准见表</w:t>
            </w:r>
            <w:r>
              <w:rPr>
                <w:rFonts w:hint="eastAsia"/>
                <w:color w:val="auto"/>
                <w:highlight w:val="none"/>
              </w:rPr>
              <w:t>3-</w:t>
            </w:r>
            <w:r>
              <w:rPr>
                <w:rFonts w:hint="eastAsia"/>
                <w:color w:val="auto"/>
                <w:highlight w:val="none"/>
                <w:lang w:val="en-US" w:eastAsia="zh-CN"/>
              </w:rPr>
              <w:t>5</w:t>
            </w:r>
            <w:r>
              <w:rPr>
                <w:rFonts w:hint="default"/>
                <w:color w:val="auto"/>
                <w:highlight w:val="none"/>
              </w:rPr>
              <w:t>。</w:t>
            </w:r>
          </w:p>
          <w:p w14:paraId="0FD45838">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default"/>
                <w:b/>
                <w:bCs/>
                <w:color w:val="auto"/>
                <w:highlight w:val="none"/>
                <w:lang w:val="zh-CN" w:eastAsia="zh-CN"/>
              </w:rPr>
              <w:t>表</w:t>
            </w:r>
            <w:r>
              <w:rPr>
                <w:rFonts w:hint="eastAsia"/>
                <w:b/>
                <w:bCs/>
                <w:color w:val="auto"/>
                <w:highlight w:val="none"/>
                <w:lang w:val="zh-CN" w:eastAsia="zh-CN"/>
              </w:rPr>
              <w:t>3-</w:t>
            </w:r>
            <w:r>
              <w:rPr>
                <w:rFonts w:hint="eastAsia"/>
                <w:b/>
                <w:bCs/>
                <w:color w:val="auto"/>
                <w:highlight w:val="none"/>
                <w:lang w:val="en-US" w:eastAsia="zh-CN"/>
              </w:rPr>
              <w:t>5</w:t>
            </w:r>
            <w:r>
              <w:rPr>
                <w:rFonts w:hint="default"/>
                <w:b/>
                <w:bCs/>
                <w:color w:val="auto"/>
                <w:highlight w:val="none"/>
                <w:lang w:val="zh-CN" w:eastAsia="zh-CN"/>
              </w:rPr>
              <w:t xml:space="preserve"> </w:t>
            </w:r>
            <w:r>
              <w:rPr>
                <w:rFonts w:hint="eastAsia"/>
                <w:b/>
                <w:bCs/>
                <w:color w:val="auto"/>
                <w:highlight w:val="none"/>
                <w:lang w:val="en-US" w:eastAsia="zh-CN"/>
              </w:rPr>
              <w:t xml:space="preserve">  </w:t>
            </w:r>
            <w:r>
              <w:rPr>
                <w:rFonts w:hint="default"/>
                <w:b/>
                <w:bCs/>
                <w:color w:val="auto"/>
                <w:highlight w:val="none"/>
                <w:lang w:val="zh-CN" w:eastAsia="zh-CN"/>
              </w:rPr>
              <w:t>水污染物排放标准</w:t>
            </w:r>
            <w:r>
              <w:rPr>
                <w:rFonts w:hint="eastAsia"/>
                <w:b/>
                <w:bCs/>
                <w:color w:val="auto"/>
                <w:highlight w:val="none"/>
                <w:lang w:val="en-US" w:eastAsia="zh-CN"/>
              </w:rPr>
              <w:t xml:space="preserve">   </w:t>
            </w:r>
            <w:r>
              <w:rPr>
                <w:rFonts w:hint="default"/>
                <w:b/>
                <w:bCs/>
                <w:color w:val="auto"/>
                <w:highlight w:val="none"/>
                <w:lang w:val="zh-CN" w:eastAsia="zh-CN"/>
              </w:rPr>
              <w:t>单位：mg/</w:t>
            </w:r>
            <w:r>
              <w:rPr>
                <w:rFonts w:hint="eastAsia"/>
                <w:b/>
                <w:bCs/>
                <w:color w:val="auto"/>
                <w:highlight w:val="none"/>
                <w:lang w:val="en-US" w:eastAsia="zh-CN"/>
              </w:rPr>
              <w:t>L</w:t>
            </w:r>
          </w:p>
          <w:tbl>
            <w:tblPr>
              <w:tblStyle w:val="32"/>
              <w:tblW w:w="4997" w:type="pct"/>
              <w:jc w:val="center"/>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Layout w:type="autofit"/>
              <w:tblCellMar>
                <w:top w:w="0" w:type="dxa"/>
                <w:left w:w="0" w:type="dxa"/>
                <w:bottom w:w="0" w:type="dxa"/>
                <w:right w:w="0" w:type="dxa"/>
              </w:tblCellMar>
            </w:tblPr>
            <w:tblGrid>
              <w:gridCol w:w="2783"/>
              <w:gridCol w:w="463"/>
              <w:gridCol w:w="728"/>
              <w:gridCol w:w="777"/>
              <w:gridCol w:w="611"/>
              <w:gridCol w:w="760"/>
              <w:gridCol w:w="460"/>
              <w:gridCol w:w="530"/>
              <w:gridCol w:w="636"/>
              <w:gridCol w:w="636"/>
            </w:tblGrid>
            <w:tr w14:paraId="0613B3D1">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0" w:type="dxa"/>
                  <w:bottom w:w="0" w:type="dxa"/>
                  <w:right w:w="0" w:type="dxa"/>
                </w:tblCellMar>
              </w:tblPrEx>
              <w:trPr>
                <w:trHeight w:val="0" w:hRule="atLeast"/>
                <w:tblHeader/>
                <w:jc w:val="center"/>
              </w:trPr>
              <w:tc>
                <w:tcPr>
                  <w:tcW w:w="1659" w:type="pct"/>
                  <w:tcBorders>
                    <w:tl2br w:val="nil"/>
                    <w:tr2bl w:val="nil"/>
                  </w:tcBorders>
                  <w:vAlign w:val="center"/>
                </w:tcPr>
                <w:p w14:paraId="568C0976">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default"/>
                      <w:b/>
                      <w:bCs/>
                      <w:color w:val="auto"/>
                      <w:highlight w:val="none"/>
                      <w:lang w:val="en-US" w:eastAsia="zh-CN"/>
                    </w:rPr>
                    <w:t>标准</w:t>
                  </w:r>
                </w:p>
              </w:tc>
              <w:tc>
                <w:tcPr>
                  <w:tcW w:w="276" w:type="pct"/>
                  <w:tcBorders>
                    <w:tl2br w:val="nil"/>
                    <w:tr2bl w:val="nil"/>
                  </w:tcBorders>
                  <w:vAlign w:val="center"/>
                </w:tcPr>
                <w:p w14:paraId="7DCDB7DD">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default"/>
                      <w:b/>
                      <w:bCs/>
                      <w:color w:val="auto"/>
                      <w:highlight w:val="none"/>
                      <w:lang w:val="en-US" w:eastAsia="zh-CN"/>
                    </w:rPr>
                    <w:t>pH</w:t>
                  </w:r>
                </w:p>
              </w:tc>
              <w:tc>
                <w:tcPr>
                  <w:tcW w:w="434" w:type="pct"/>
                  <w:tcBorders>
                    <w:tl2br w:val="nil"/>
                    <w:tr2bl w:val="nil"/>
                  </w:tcBorders>
                  <w:vAlign w:val="center"/>
                </w:tcPr>
                <w:p w14:paraId="74C546C1">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default"/>
                      <w:b/>
                      <w:bCs/>
                      <w:color w:val="auto"/>
                      <w:highlight w:val="none"/>
                      <w:lang w:val="en-US" w:eastAsia="zh-CN"/>
                    </w:rPr>
                    <w:t>COD</w:t>
                  </w:r>
                  <w:r>
                    <w:rPr>
                      <w:rFonts w:hint="eastAsia"/>
                      <w:b/>
                      <w:bCs/>
                      <w:color w:val="auto"/>
                      <w:highlight w:val="none"/>
                      <w:vertAlign w:val="subscript"/>
                      <w:lang w:val="en-US" w:eastAsia="zh-CN"/>
                    </w:rPr>
                    <w:t>Cr</w:t>
                  </w:r>
                </w:p>
              </w:tc>
              <w:tc>
                <w:tcPr>
                  <w:tcW w:w="463" w:type="pct"/>
                  <w:tcBorders>
                    <w:tl2br w:val="nil"/>
                    <w:tr2bl w:val="nil"/>
                  </w:tcBorders>
                  <w:vAlign w:val="center"/>
                </w:tcPr>
                <w:p w14:paraId="1A91FE92">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default"/>
                      <w:b/>
                      <w:bCs/>
                      <w:color w:val="auto"/>
                      <w:highlight w:val="none"/>
                      <w:lang w:val="en-US" w:eastAsia="zh-CN"/>
                    </w:rPr>
                    <w:t>BOD</w:t>
                  </w:r>
                  <w:r>
                    <w:rPr>
                      <w:rFonts w:hint="default"/>
                      <w:b/>
                      <w:bCs/>
                      <w:color w:val="auto"/>
                      <w:highlight w:val="none"/>
                      <w:vertAlign w:val="subscript"/>
                      <w:lang w:val="en-US" w:eastAsia="zh-CN"/>
                    </w:rPr>
                    <w:t>5</w:t>
                  </w:r>
                </w:p>
              </w:tc>
              <w:tc>
                <w:tcPr>
                  <w:tcW w:w="364" w:type="pct"/>
                  <w:tcBorders>
                    <w:tl2br w:val="nil"/>
                    <w:tr2bl w:val="nil"/>
                  </w:tcBorders>
                  <w:vAlign w:val="center"/>
                </w:tcPr>
                <w:p w14:paraId="4A5FC2BA">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default"/>
                      <w:b/>
                      <w:bCs/>
                      <w:color w:val="auto"/>
                      <w:highlight w:val="none"/>
                      <w:lang w:val="en-US" w:eastAsia="zh-CN"/>
                    </w:rPr>
                    <w:t>SS</w:t>
                  </w:r>
                </w:p>
              </w:tc>
              <w:tc>
                <w:tcPr>
                  <w:tcW w:w="453" w:type="pct"/>
                  <w:tcBorders>
                    <w:tl2br w:val="nil"/>
                    <w:tr2bl w:val="nil"/>
                  </w:tcBorders>
                  <w:vAlign w:val="center"/>
                </w:tcPr>
                <w:p w14:paraId="6FEBCB19">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default"/>
                      <w:b/>
                      <w:bCs/>
                      <w:color w:val="auto"/>
                      <w:highlight w:val="none"/>
                      <w:lang w:val="en-US" w:eastAsia="zh-CN"/>
                    </w:rPr>
                    <w:t>NH</w:t>
                  </w:r>
                  <w:r>
                    <w:rPr>
                      <w:rFonts w:hint="default"/>
                      <w:b/>
                      <w:bCs/>
                      <w:color w:val="auto"/>
                      <w:highlight w:val="none"/>
                      <w:vertAlign w:val="subscript"/>
                      <w:lang w:val="en-US" w:eastAsia="zh-CN"/>
                    </w:rPr>
                    <w:t>3</w:t>
                  </w:r>
                  <w:r>
                    <w:rPr>
                      <w:rFonts w:hint="default"/>
                      <w:b/>
                      <w:bCs/>
                      <w:color w:val="auto"/>
                      <w:highlight w:val="none"/>
                      <w:lang w:val="en-US" w:eastAsia="zh-CN"/>
                    </w:rPr>
                    <w:t>-N</w:t>
                  </w:r>
                </w:p>
              </w:tc>
              <w:tc>
                <w:tcPr>
                  <w:tcW w:w="274" w:type="pct"/>
                  <w:tcBorders>
                    <w:tl2br w:val="nil"/>
                    <w:tr2bl w:val="nil"/>
                  </w:tcBorders>
                  <w:vAlign w:val="center"/>
                </w:tcPr>
                <w:p w14:paraId="4660B09A">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eastAsia"/>
                      <w:b/>
                      <w:bCs/>
                      <w:color w:val="auto"/>
                      <w:highlight w:val="none"/>
                      <w:lang w:val="en-US" w:eastAsia="zh-CN"/>
                    </w:rPr>
                    <w:t>TP</w:t>
                  </w:r>
                </w:p>
              </w:tc>
              <w:tc>
                <w:tcPr>
                  <w:tcW w:w="316" w:type="pct"/>
                  <w:tcBorders>
                    <w:tl2br w:val="nil"/>
                    <w:tr2bl w:val="nil"/>
                  </w:tcBorders>
                  <w:vAlign w:val="center"/>
                </w:tcPr>
                <w:p w14:paraId="06DF8C54">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eastAsia"/>
                      <w:b/>
                      <w:bCs/>
                      <w:color w:val="auto"/>
                      <w:highlight w:val="none"/>
                      <w:lang w:val="en-US" w:eastAsia="zh-CN"/>
                    </w:rPr>
                    <w:t>总氮</w:t>
                  </w:r>
                </w:p>
              </w:tc>
              <w:tc>
                <w:tcPr>
                  <w:tcW w:w="379" w:type="pct"/>
                  <w:tcBorders>
                    <w:tl2br w:val="nil"/>
                    <w:tr2bl w:val="nil"/>
                  </w:tcBorders>
                  <w:vAlign w:val="center"/>
                </w:tcPr>
                <w:p w14:paraId="69BD3170">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eastAsia"/>
                      <w:b/>
                      <w:bCs/>
                      <w:color w:val="auto"/>
                      <w:highlight w:val="none"/>
                      <w:lang w:val="en-US" w:eastAsia="zh-CN"/>
                    </w:rPr>
                    <w:t>动植物油</w:t>
                  </w:r>
                </w:p>
              </w:tc>
              <w:tc>
                <w:tcPr>
                  <w:tcW w:w="379" w:type="pct"/>
                  <w:tcBorders>
                    <w:tl2br w:val="nil"/>
                    <w:tr2bl w:val="nil"/>
                  </w:tcBorders>
                  <w:vAlign w:val="center"/>
                </w:tcPr>
                <w:p w14:paraId="1DAFA0AC">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eastAsia"/>
                      <w:b/>
                      <w:bCs/>
                      <w:color w:val="auto"/>
                      <w:highlight w:val="none"/>
                      <w:lang w:val="en-US" w:eastAsia="zh-CN"/>
                    </w:rPr>
                    <w:t>石油类</w:t>
                  </w:r>
                </w:p>
              </w:tc>
            </w:tr>
            <w:tr w14:paraId="54AF0352">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0" w:type="dxa"/>
                  <w:bottom w:w="0" w:type="dxa"/>
                  <w:right w:w="0" w:type="dxa"/>
                </w:tblCellMar>
              </w:tblPrEx>
              <w:trPr>
                <w:trHeight w:val="0" w:hRule="atLeast"/>
                <w:jc w:val="center"/>
              </w:trPr>
              <w:tc>
                <w:tcPr>
                  <w:tcW w:w="1659" w:type="pct"/>
                  <w:tcBorders>
                    <w:bottom w:val="single" w:color="auto" w:sz="4" w:space="0"/>
                  </w:tcBorders>
                  <w:vAlign w:val="center"/>
                </w:tcPr>
                <w:p w14:paraId="6887E2C3">
                  <w:pPr>
                    <w:pStyle w:val="6"/>
                    <w:keepNext w:val="0"/>
                    <w:keepLines w:val="0"/>
                    <w:suppressLineNumbers w:val="0"/>
                    <w:bidi w:val="0"/>
                    <w:spacing w:before="0" w:beforeAutospacing="0" w:after="0" w:afterAutospacing="0"/>
                    <w:ind w:right="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《污水综合排放标准》(GB8978-1996)表4中三级标准</w:t>
                  </w:r>
                </w:p>
              </w:tc>
              <w:tc>
                <w:tcPr>
                  <w:tcW w:w="276" w:type="pct"/>
                  <w:tcBorders>
                    <w:bottom w:val="single" w:color="auto" w:sz="4" w:space="0"/>
                  </w:tcBorders>
                  <w:vAlign w:val="center"/>
                </w:tcPr>
                <w:p w14:paraId="58067593">
                  <w:pPr>
                    <w:pStyle w:val="6"/>
                    <w:keepNext w:val="0"/>
                    <w:keepLines w:val="0"/>
                    <w:suppressLineNumbers w:val="0"/>
                    <w:bidi w:val="0"/>
                    <w:spacing w:before="0" w:beforeAutospacing="0" w:after="0" w:afterAutospacing="0"/>
                    <w:ind w:right="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6~9</w:t>
                  </w:r>
                </w:p>
              </w:tc>
              <w:tc>
                <w:tcPr>
                  <w:tcW w:w="434" w:type="pct"/>
                  <w:tcBorders>
                    <w:bottom w:val="single" w:color="auto" w:sz="4" w:space="0"/>
                  </w:tcBorders>
                  <w:vAlign w:val="center"/>
                </w:tcPr>
                <w:p w14:paraId="2479AEF5">
                  <w:pPr>
                    <w:pStyle w:val="6"/>
                    <w:keepNext w:val="0"/>
                    <w:keepLines w:val="0"/>
                    <w:suppressLineNumbers w:val="0"/>
                    <w:bidi w:val="0"/>
                    <w:spacing w:before="0" w:beforeAutospacing="0" w:after="0" w:afterAutospacing="0"/>
                    <w:ind w:right="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500</w:t>
                  </w:r>
                </w:p>
              </w:tc>
              <w:tc>
                <w:tcPr>
                  <w:tcW w:w="463" w:type="pct"/>
                  <w:tcBorders>
                    <w:bottom w:val="single" w:color="auto" w:sz="4" w:space="0"/>
                  </w:tcBorders>
                  <w:vAlign w:val="center"/>
                </w:tcPr>
                <w:p w14:paraId="13828369">
                  <w:pPr>
                    <w:pStyle w:val="6"/>
                    <w:keepNext w:val="0"/>
                    <w:keepLines w:val="0"/>
                    <w:suppressLineNumbers w:val="0"/>
                    <w:bidi w:val="0"/>
                    <w:spacing w:before="0" w:beforeAutospacing="0" w:after="0" w:afterAutospacing="0"/>
                    <w:ind w:right="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300</w:t>
                  </w:r>
                </w:p>
              </w:tc>
              <w:tc>
                <w:tcPr>
                  <w:tcW w:w="364" w:type="pct"/>
                  <w:tcBorders>
                    <w:bottom w:val="single" w:color="auto" w:sz="4" w:space="0"/>
                  </w:tcBorders>
                  <w:vAlign w:val="center"/>
                </w:tcPr>
                <w:p w14:paraId="0EE131A1">
                  <w:pPr>
                    <w:pStyle w:val="6"/>
                    <w:keepNext w:val="0"/>
                    <w:keepLines w:val="0"/>
                    <w:suppressLineNumbers w:val="0"/>
                    <w:bidi w:val="0"/>
                    <w:spacing w:before="0" w:beforeAutospacing="0" w:after="0" w:afterAutospacing="0"/>
                    <w:ind w:right="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00</w:t>
                  </w:r>
                </w:p>
              </w:tc>
              <w:tc>
                <w:tcPr>
                  <w:tcW w:w="453" w:type="pct"/>
                  <w:tcBorders>
                    <w:bottom w:val="single" w:color="auto" w:sz="4" w:space="0"/>
                  </w:tcBorders>
                  <w:vAlign w:val="center"/>
                </w:tcPr>
                <w:p w14:paraId="514250D9">
                  <w:pPr>
                    <w:pStyle w:val="6"/>
                    <w:keepNext w:val="0"/>
                    <w:keepLines w:val="0"/>
                    <w:suppressLineNumbers w:val="0"/>
                    <w:bidi w:val="0"/>
                    <w:spacing w:before="0" w:beforeAutospacing="0" w:after="0" w:afterAutospacing="0"/>
                    <w:ind w:right="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274" w:type="pct"/>
                  <w:tcBorders>
                    <w:bottom w:val="single" w:color="auto" w:sz="4" w:space="0"/>
                  </w:tcBorders>
                  <w:vAlign w:val="center"/>
                </w:tcPr>
                <w:p w14:paraId="0A320184">
                  <w:pPr>
                    <w:pStyle w:val="6"/>
                    <w:keepNext w:val="0"/>
                    <w:keepLines w:val="0"/>
                    <w:suppressLineNumbers w:val="0"/>
                    <w:bidi w:val="0"/>
                    <w:spacing w:before="0" w:beforeAutospacing="0" w:after="0" w:afterAutospacing="0"/>
                    <w:ind w:right="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316" w:type="pct"/>
                  <w:tcBorders>
                    <w:bottom w:val="single" w:color="auto" w:sz="4" w:space="0"/>
                  </w:tcBorders>
                  <w:vAlign w:val="center"/>
                </w:tcPr>
                <w:p w14:paraId="29E5B4A8">
                  <w:pPr>
                    <w:pStyle w:val="6"/>
                    <w:keepNext w:val="0"/>
                    <w:keepLines w:val="0"/>
                    <w:suppressLineNumbers w:val="0"/>
                    <w:bidi w:val="0"/>
                    <w:spacing w:before="0" w:beforeAutospacing="0" w:after="0" w:afterAutospacing="0"/>
                    <w:ind w:right="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379" w:type="pct"/>
                  <w:tcBorders>
                    <w:bottom w:val="single" w:color="auto" w:sz="4" w:space="0"/>
                  </w:tcBorders>
                  <w:vAlign w:val="center"/>
                </w:tcPr>
                <w:p w14:paraId="7A194820">
                  <w:pPr>
                    <w:pStyle w:val="6"/>
                    <w:keepNext w:val="0"/>
                    <w:keepLines w:val="0"/>
                    <w:suppressLineNumbers w:val="0"/>
                    <w:bidi w:val="0"/>
                    <w:spacing w:before="0" w:beforeAutospacing="0" w:after="0" w:afterAutospacing="0"/>
                    <w:ind w:right="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100</w:t>
                  </w:r>
                </w:p>
              </w:tc>
              <w:tc>
                <w:tcPr>
                  <w:tcW w:w="379" w:type="pct"/>
                  <w:tcBorders>
                    <w:bottom w:val="single" w:color="auto" w:sz="4" w:space="0"/>
                  </w:tcBorders>
                  <w:vAlign w:val="center"/>
                </w:tcPr>
                <w:p w14:paraId="2B7AE2A1">
                  <w:pPr>
                    <w:pStyle w:val="6"/>
                    <w:keepNext w:val="0"/>
                    <w:keepLines w:val="0"/>
                    <w:suppressLineNumbers w:val="0"/>
                    <w:bidi w:val="0"/>
                    <w:spacing w:before="0" w:beforeAutospacing="0" w:after="0" w:afterAutospacing="0"/>
                    <w:ind w:right="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w:t>
                  </w:r>
                </w:p>
              </w:tc>
            </w:tr>
            <w:tr w14:paraId="7FFD1204">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0" w:type="dxa"/>
                  <w:bottom w:w="0" w:type="dxa"/>
                  <w:right w:w="0" w:type="dxa"/>
                </w:tblCellMar>
              </w:tblPrEx>
              <w:trPr>
                <w:trHeight w:val="0" w:hRule="atLeast"/>
                <w:jc w:val="center"/>
              </w:trPr>
              <w:tc>
                <w:tcPr>
                  <w:tcW w:w="1659" w:type="pct"/>
                  <w:tcBorders>
                    <w:top w:val="single" w:color="auto" w:sz="4" w:space="0"/>
                    <w:bottom w:val="single" w:color="auto" w:sz="4" w:space="0"/>
                  </w:tcBorders>
                  <w:vAlign w:val="center"/>
                </w:tcPr>
                <w:p w14:paraId="347E6DFF">
                  <w:pPr>
                    <w:pStyle w:val="6"/>
                    <w:keepNext w:val="0"/>
                    <w:keepLines w:val="0"/>
                    <w:suppressLineNumbers w:val="0"/>
                    <w:bidi w:val="0"/>
                    <w:spacing w:before="0" w:beforeAutospacing="0" w:after="0" w:afterAutospacing="0"/>
                    <w:ind w:right="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江西安义高新技术产业园区污水处理厂</w:t>
                  </w:r>
                  <w:r>
                    <w:rPr>
                      <w:rFonts w:hint="default"/>
                      <w:color w:val="000000" w:themeColor="text1"/>
                      <w:highlight w:val="none"/>
                      <w14:textFill>
                        <w14:solidFill>
                          <w14:schemeClr w14:val="tx1"/>
                        </w14:solidFill>
                      </w14:textFill>
                    </w:rPr>
                    <w:t>接管标准</w:t>
                  </w:r>
                </w:p>
              </w:tc>
              <w:tc>
                <w:tcPr>
                  <w:tcW w:w="276" w:type="pct"/>
                  <w:tcBorders>
                    <w:top w:val="single" w:color="auto" w:sz="4" w:space="0"/>
                    <w:bottom w:val="single" w:color="auto" w:sz="4" w:space="0"/>
                  </w:tcBorders>
                  <w:vAlign w:val="center"/>
                </w:tcPr>
                <w:p w14:paraId="3706E93C">
                  <w:pPr>
                    <w:pStyle w:val="6"/>
                    <w:keepNext w:val="0"/>
                    <w:keepLines w:val="0"/>
                    <w:suppressLineNumbers w:val="0"/>
                    <w:bidi w:val="0"/>
                    <w:spacing w:before="0" w:beforeAutospacing="0" w:after="0" w:afterAutospacing="0"/>
                    <w:ind w:left="0" w:leftChars="0" w:right="0" w:rightChars="0" w:firstLine="0" w:firstLineChars="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6~9</w:t>
                  </w:r>
                </w:p>
              </w:tc>
              <w:tc>
                <w:tcPr>
                  <w:tcW w:w="434" w:type="pct"/>
                  <w:tcBorders>
                    <w:top w:val="single" w:color="auto" w:sz="4" w:space="0"/>
                    <w:bottom w:val="single" w:color="auto" w:sz="4" w:space="0"/>
                  </w:tcBorders>
                  <w:vAlign w:val="center"/>
                </w:tcPr>
                <w:p w14:paraId="75E914D7">
                  <w:pPr>
                    <w:pStyle w:val="6"/>
                    <w:keepNext w:val="0"/>
                    <w:keepLines w:val="0"/>
                    <w:suppressLineNumbers w:val="0"/>
                    <w:bidi w:val="0"/>
                    <w:spacing w:before="0" w:beforeAutospacing="0" w:after="0" w:afterAutospacing="0"/>
                    <w:ind w:left="0" w:leftChars="0" w:right="0" w:rightChars="0" w:firstLine="0" w:firstLineChars="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500</w:t>
                  </w:r>
                </w:p>
              </w:tc>
              <w:tc>
                <w:tcPr>
                  <w:tcW w:w="463" w:type="pct"/>
                  <w:tcBorders>
                    <w:top w:val="single" w:color="auto" w:sz="4" w:space="0"/>
                    <w:bottom w:val="single" w:color="auto" w:sz="4" w:space="0"/>
                  </w:tcBorders>
                  <w:vAlign w:val="center"/>
                </w:tcPr>
                <w:p w14:paraId="4A7633D4">
                  <w:pPr>
                    <w:pStyle w:val="6"/>
                    <w:keepNext w:val="0"/>
                    <w:keepLines w:val="0"/>
                    <w:suppressLineNumbers w:val="0"/>
                    <w:bidi w:val="0"/>
                    <w:spacing w:before="0" w:beforeAutospacing="0" w:after="0" w:afterAutospacing="0"/>
                    <w:ind w:left="0" w:leftChars="0" w:right="0" w:rightChars="0" w:firstLine="0" w:firstLineChars="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300</w:t>
                  </w:r>
                </w:p>
              </w:tc>
              <w:tc>
                <w:tcPr>
                  <w:tcW w:w="364" w:type="pct"/>
                  <w:tcBorders>
                    <w:top w:val="single" w:color="auto" w:sz="4" w:space="0"/>
                    <w:bottom w:val="single" w:color="auto" w:sz="4" w:space="0"/>
                  </w:tcBorders>
                  <w:vAlign w:val="center"/>
                </w:tcPr>
                <w:p w14:paraId="34BC2FEA">
                  <w:pPr>
                    <w:pStyle w:val="6"/>
                    <w:keepNext w:val="0"/>
                    <w:keepLines w:val="0"/>
                    <w:suppressLineNumbers w:val="0"/>
                    <w:bidi w:val="0"/>
                    <w:spacing w:before="0" w:beforeAutospacing="0" w:after="0" w:afterAutospacing="0"/>
                    <w:ind w:left="0" w:leftChars="0" w:right="0" w:rightChars="0"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00</w:t>
                  </w:r>
                </w:p>
              </w:tc>
              <w:tc>
                <w:tcPr>
                  <w:tcW w:w="453" w:type="pct"/>
                  <w:tcBorders>
                    <w:top w:val="single" w:color="auto" w:sz="4" w:space="0"/>
                    <w:bottom w:val="single" w:color="auto" w:sz="4" w:space="0"/>
                  </w:tcBorders>
                  <w:vAlign w:val="center"/>
                </w:tcPr>
                <w:p w14:paraId="269F3869">
                  <w:pPr>
                    <w:pStyle w:val="6"/>
                    <w:keepNext w:val="0"/>
                    <w:keepLines w:val="0"/>
                    <w:suppressLineNumbers w:val="0"/>
                    <w:bidi w:val="0"/>
                    <w:spacing w:before="0" w:beforeAutospacing="0" w:after="0" w:afterAutospacing="0"/>
                    <w:ind w:left="0" w:leftChars="0" w:right="0" w:rightChars="0"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w:t>
                  </w:r>
                </w:p>
              </w:tc>
              <w:tc>
                <w:tcPr>
                  <w:tcW w:w="274" w:type="pct"/>
                  <w:tcBorders>
                    <w:top w:val="single" w:color="auto" w:sz="4" w:space="0"/>
                    <w:bottom w:val="single" w:color="auto" w:sz="4" w:space="0"/>
                  </w:tcBorders>
                  <w:vAlign w:val="center"/>
                </w:tcPr>
                <w:p w14:paraId="28D93707">
                  <w:pPr>
                    <w:pStyle w:val="6"/>
                    <w:keepNext w:val="0"/>
                    <w:keepLines w:val="0"/>
                    <w:suppressLineNumbers w:val="0"/>
                    <w:bidi w:val="0"/>
                    <w:spacing w:before="0" w:beforeAutospacing="0" w:after="0" w:afterAutospacing="0"/>
                    <w:ind w:left="0" w:leftChars="0" w:right="0" w:rightChars="0"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p>
              </w:tc>
              <w:tc>
                <w:tcPr>
                  <w:tcW w:w="316" w:type="pct"/>
                  <w:tcBorders>
                    <w:top w:val="single" w:color="auto" w:sz="4" w:space="0"/>
                    <w:bottom w:val="single" w:color="auto" w:sz="4" w:space="0"/>
                  </w:tcBorders>
                  <w:vAlign w:val="center"/>
                </w:tcPr>
                <w:p w14:paraId="6539FB65">
                  <w:pPr>
                    <w:pStyle w:val="6"/>
                    <w:keepNext w:val="0"/>
                    <w:keepLines w:val="0"/>
                    <w:suppressLineNumbers w:val="0"/>
                    <w:bidi w:val="0"/>
                    <w:spacing w:before="0" w:beforeAutospacing="0" w:after="0" w:afterAutospacing="0"/>
                    <w:ind w:left="0" w:leftChars="0" w:right="0" w:rightChars="0"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w:t>
                  </w:r>
                </w:p>
              </w:tc>
              <w:tc>
                <w:tcPr>
                  <w:tcW w:w="379" w:type="pct"/>
                  <w:tcBorders>
                    <w:top w:val="single" w:color="auto" w:sz="4" w:space="0"/>
                    <w:bottom w:val="single" w:color="auto" w:sz="4" w:space="0"/>
                  </w:tcBorders>
                  <w:vAlign w:val="center"/>
                </w:tcPr>
                <w:p w14:paraId="79F80FEC">
                  <w:pPr>
                    <w:pStyle w:val="6"/>
                    <w:keepNext w:val="0"/>
                    <w:keepLines w:val="0"/>
                    <w:suppressLineNumbers w:val="0"/>
                    <w:bidi w:val="0"/>
                    <w:spacing w:before="0" w:beforeAutospacing="0" w:after="0" w:afterAutospacing="0"/>
                    <w:ind w:left="0" w:leftChars="0" w:right="0" w:rightChars="0" w:firstLine="0" w:firstLineChars="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w:t>
                  </w:r>
                </w:p>
              </w:tc>
              <w:tc>
                <w:tcPr>
                  <w:tcW w:w="379" w:type="pct"/>
                  <w:tcBorders>
                    <w:top w:val="single" w:color="auto" w:sz="4" w:space="0"/>
                    <w:bottom w:val="single" w:color="auto" w:sz="4" w:space="0"/>
                  </w:tcBorders>
                  <w:vAlign w:val="center"/>
                </w:tcPr>
                <w:p w14:paraId="7C2C2303">
                  <w:pPr>
                    <w:pStyle w:val="6"/>
                    <w:keepNext w:val="0"/>
                    <w:keepLines w:val="0"/>
                    <w:suppressLineNumbers w:val="0"/>
                    <w:bidi w:val="0"/>
                    <w:spacing w:before="0" w:beforeAutospacing="0" w:after="0" w:afterAutospacing="0"/>
                    <w:ind w:left="0" w:leftChars="0" w:right="0" w:rightChars="0" w:firstLine="0" w:firstLineChars="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w:t>
                  </w:r>
                </w:p>
              </w:tc>
            </w:tr>
            <w:tr w14:paraId="170B95AB">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0" w:type="dxa"/>
                  <w:bottom w:w="0" w:type="dxa"/>
                  <w:right w:w="0" w:type="dxa"/>
                </w:tblCellMar>
              </w:tblPrEx>
              <w:trPr>
                <w:trHeight w:val="0" w:hRule="atLeast"/>
                <w:jc w:val="center"/>
              </w:trPr>
              <w:tc>
                <w:tcPr>
                  <w:tcW w:w="1659" w:type="pct"/>
                  <w:tcBorders>
                    <w:top w:val="single" w:color="auto" w:sz="4" w:space="0"/>
                    <w:bottom w:val="single" w:color="auto" w:sz="4" w:space="0"/>
                  </w:tcBorders>
                  <w:vAlign w:val="center"/>
                </w:tcPr>
                <w:p w14:paraId="2AA0C7A0">
                  <w:pPr>
                    <w:pStyle w:val="6"/>
                    <w:keepNext w:val="0"/>
                    <w:keepLines w:val="0"/>
                    <w:suppressLineNumbers w:val="0"/>
                    <w:bidi w:val="0"/>
                    <w:spacing w:before="0" w:beforeAutospacing="0" w:after="0" w:afterAutospacing="0"/>
                    <w:ind w:right="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本项目执行标准</w:t>
                  </w:r>
                </w:p>
              </w:tc>
              <w:tc>
                <w:tcPr>
                  <w:tcW w:w="276" w:type="pct"/>
                  <w:tcBorders>
                    <w:top w:val="single" w:color="auto" w:sz="4" w:space="0"/>
                    <w:bottom w:val="single" w:color="auto" w:sz="4" w:space="0"/>
                  </w:tcBorders>
                  <w:vAlign w:val="center"/>
                </w:tcPr>
                <w:p w14:paraId="19D21D8D">
                  <w:pPr>
                    <w:pStyle w:val="6"/>
                    <w:keepNext w:val="0"/>
                    <w:keepLines w:val="0"/>
                    <w:suppressLineNumbers w:val="0"/>
                    <w:bidi w:val="0"/>
                    <w:spacing w:before="0" w:beforeAutospacing="0" w:after="0" w:afterAutospacing="0"/>
                    <w:ind w:left="0" w:leftChars="0" w:right="0" w:rightChars="0" w:firstLine="0" w:firstLineChars="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6~9</w:t>
                  </w:r>
                </w:p>
              </w:tc>
              <w:tc>
                <w:tcPr>
                  <w:tcW w:w="434" w:type="pct"/>
                  <w:tcBorders>
                    <w:top w:val="single" w:color="auto" w:sz="4" w:space="0"/>
                    <w:bottom w:val="single" w:color="auto" w:sz="4" w:space="0"/>
                  </w:tcBorders>
                  <w:vAlign w:val="center"/>
                </w:tcPr>
                <w:p w14:paraId="377760A4">
                  <w:pPr>
                    <w:pStyle w:val="6"/>
                    <w:keepNext w:val="0"/>
                    <w:keepLines w:val="0"/>
                    <w:suppressLineNumbers w:val="0"/>
                    <w:bidi w:val="0"/>
                    <w:spacing w:before="0" w:beforeAutospacing="0" w:after="0" w:afterAutospacing="0"/>
                    <w:ind w:left="0" w:leftChars="0" w:right="0" w:rightChars="0" w:firstLine="0" w:firstLineChars="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500</w:t>
                  </w:r>
                </w:p>
              </w:tc>
              <w:tc>
                <w:tcPr>
                  <w:tcW w:w="463" w:type="pct"/>
                  <w:tcBorders>
                    <w:top w:val="single" w:color="auto" w:sz="4" w:space="0"/>
                    <w:bottom w:val="single" w:color="auto" w:sz="4" w:space="0"/>
                  </w:tcBorders>
                  <w:vAlign w:val="center"/>
                </w:tcPr>
                <w:p w14:paraId="28D2674E">
                  <w:pPr>
                    <w:pStyle w:val="6"/>
                    <w:keepNext w:val="0"/>
                    <w:keepLines w:val="0"/>
                    <w:suppressLineNumbers w:val="0"/>
                    <w:bidi w:val="0"/>
                    <w:spacing w:before="0" w:beforeAutospacing="0" w:after="0" w:afterAutospacing="0"/>
                    <w:ind w:left="0" w:leftChars="0" w:right="0" w:rightChars="0" w:firstLine="0" w:firstLineChars="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300</w:t>
                  </w:r>
                </w:p>
              </w:tc>
              <w:tc>
                <w:tcPr>
                  <w:tcW w:w="364" w:type="pct"/>
                  <w:tcBorders>
                    <w:top w:val="single" w:color="auto" w:sz="4" w:space="0"/>
                    <w:bottom w:val="single" w:color="auto" w:sz="4" w:space="0"/>
                  </w:tcBorders>
                  <w:vAlign w:val="center"/>
                </w:tcPr>
                <w:p w14:paraId="59F31034">
                  <w:pPr>
                    <w:pStyle w:val="6"/>
                    <w:keepNext w:val="0"/>
                    <w:keepLines w:val="0"/>
                    <w:suppressLineNumbers w:val="0"/>
                    <w:bidi w:val="0"/>
                    <w:spacing w:before="0" w:beforeAutospacing="0" w:after="0" w:afterAutospacing="0"/>
                    <w:ind w:left="0" w:leftChars="0" w:right="0" w:rightChars="0"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00</w:t>
                  </w:r>
                </w:p>
              </w:tc>
              <w:tc>
                <w:tcPr>
                  <w:tcW w:w="453" w:type="pct"/>
                  <w:tcBorders>
                    <w:top w:val="single" w:color="auto" w:sz="4" w:space="0"/>
                    <w:bottom w:val="single" w:color="auto" w:sz="4" w:space="0"/>
                  </w:tcBorders>
                  <w:vAlign w:val="center"/>
                </w:tcPr>
                <w:p w14:paraId="5C51C512">
                  <w:pPr>
                    <w:pStyle w:val="6"/>
                    <w:keepNext w:val="0"/>
                    <w:keepLines w:val="0"/>
                    <w:suppressLineNumbers w:val="0"/>
                    <w:bidi w:val="0"/>
                    <w:spacing w:before="0" w:beforeAutospacing="0" w:after="0" w:afterAutospacing="0"/>
                    <w:ind w:left="0" w:leftChars="0" w:right="0" w:rightChars="0"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w:t>
                  </w:r>
                </w:p>
              </w:tc>
              <w:tc>
                <w:tcPr>
                  <w:tcW w:w="274" w:type="pct"/>
                  <w:tcBorders>
                    <w:top w:val="single" w:color="auto" w:sz="4" w:space="0"/>
                    <w:bottom w:val="single" w:color="auto" w:sz="4" w:space="0"/>
                  </w:tcBorders>
                  <w:vAlign w:val="center"/>
                </w:tcPr>
                <w:p w14:paraId="2E58864C">
                  <w:pPr>
                    <w:pStyle w:val="6"/>
                    <w:keepNext w:val="0"/>
                    <w:keepLines w:val="0"/>
                    <w:suppressLineNumbers w:val="0"/>
                    <w:bidi w:val="0"/>
                    <w:spacing w:before="0" w:beforeAutospacing="0" w:after="0" w:afterAutospacing="0"/>
                    <w:ind w:left="0" w:leftChars="0" w:right="0" w:rightChars="0"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p>
              </w:tc>
              <w:tc>
                <w:tcPr>
                  <w:tcW w:w="316" w:type="pct"/>
                  <w:tcBorders>
                    <w:top w:val="single" w:color="auto" w:sz="4" w:space="0"/>
                    <w:bottom w:val="single" w:color="auto" w:sz="4" w:space="0"/>
                  </w:tcBorders>
                  <w:vAlign w:val="center"/>
                </w:tcPr>
                <w:p w14:paraId="3042B00D">
                  <w:pPr>
                    <w:pStyle w:val="6"/>
                    <w:keepNext w:val="0"/>
                    <w:keepLines w:val="0"/>
                    <w:suppressLineNumbers w:val="0"/>
                    <w:bidi w:val="0"/>
                    <w:spacing w:before="0" w:beforeAutospacing="0" w:after="0" w:afterAutospacing="0"/>
                    <w:ind w:left="0" w:leftChars="0" w:right="0" w:rightChars="0"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w:t>
                  </w:r>
                </w:p>
              </w:tc>
              <w:tc>
                <w:tcPr>
                  <w:tcW w:w="379" w:type="pct"/>
                  <w:tcBorders>
                    <w:top w:val="single" w:color="auto" w:sz="4" w:space="0"/>
                    <w:bottom w:val="single" w:color="auto" w:sz="4" w:space="0"/>
                  </w:tcBorders>
                  <w:vAlign w:val="center"/>
                </w:tcPr>
                <w:p w14:paraId="60EBA78B">
                  <w:pPr>
                    <w:pStyle w:val="6"/>
                    <w:keepNext w:val="0"/>
                    <w:keepLines w:val="0"/>
                    <w:suppressLineNumbers w:val="0"/>
                    <w:bidi w:val="0"/>
                    <w:spacing w:before="0" w:beforeAutospacing="0" w:after="0" w:afterAutospacing="0"/>
                    <w:ind w:left="0" w:leftChars="0" w:right="0" w:rightChars="0"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100</w:t>
                  </w:r>
                </w:p>
              </w:tc>
              <w:tc>
                <w:tcPr>
                  <w:tcW w:w="379" w:type="pct"/>
                  <w:tcBorders>
                    <w:top w:val="single" w:color="auto" w:sz="4" w:space="0"/>
                    <w:bottom w:val="single" w:color="auto" w:sz="4" w:space="0"/>
                  </w:tcBorders>
                  <w:vAlign w:val="center"/>
                </w:tcPr>
                <w:p w14:paraId="25ADA978">
                  <w:pPr>
                    <w:pStyle w:val="6"/>
                    <w:keepNext w:val="0"/>
                    <w:keepLines w:val="0"/>
                    <w:suppressLineNumbers w:val="0"/>
                    <w:bidi w:val="0"/>
                    <w:spacing w:before="0" w:beforeAutospacing="0" w:after="0" w:afterAutospacing="0"/>
                    <w:ind w:left="0" w:leftChars="0" w:right="0" w:rightChars="0"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w:t>
                  </w:r>
                </w:p>
              </w:tc>
            </w:tr>
            <w:tr w14:paraId="3D708CCF">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0" w:type="dxa"/>
                  <w:bottom w:w="0" w:type="dxa"/>
                  <w:right w:w="0" w:type="dxa"/>
                </w:tblCellMar>
              </w:tblPrEx>
              <w:trPr>
                <w:trHeight w:val="0" w:hRule="atLeast"/>
                <w:jc w:val="center"/>
              </w:trPr>
              <w:tc>
                <w:tcPr>
                  <w:tcW w:w="1659" w:type="pct"/>
                  <w:tcBorders>
                    <w:top w:val="single" w:color="auto" w:sz="4" w:space="0"/>
                  </w:tcBorders>
                  <w:vAlign w:val="center"/>
                </w:tcPr>
                <w:p w14:paraId="0FCA30FB">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《城镇污水处理厂污染物排放标准》（GB18918-2002</w:t>
                  </w:r>
                  <w:r>
                    <w:rPr>
                      <w:rFonts w:hint="eastAsia"/>
                      <w:color w:val="auto"/>
                      <w:highlight w:val="none"/>
                      <w:lang w:val="en-US" w:eastAsia="zh-CN"/>
                    </w:rPr>
                    <w:t>，含2025年</w:t>
                  </w:r>
                  <w:r>
                    <w:rPr>
                      <w:rFonts w:hint="default"/>
                      <w:color w:val="auto"/>
                      <w:highlight w:val="none"/>
                      <w:lang w:val="en-US" w:eastAsia="zh-CN"/>
                    </w:rPr>
                    <w:t>修改单）一级</w:t>
                  </w:r>
                  <w:r>
                    <w:rPr>
                      <w:rFonts w:hint="eastAsia"/>
                      <w:color w:val="auto"/>
                      <w:highlight w:val="none"/>
                      <w:lang w:val="en-US" w:eastAsia="zh-CN"/>
                    </w:rPr>
                    <w:t>A</w:t>
                  </w:r>
                  <w:r>
                    <w:rPr>
                      <w:rFonts w:hint="default"/>
                      <w:color w:val="auto"/>
                      <w:highlight w:val="none"/>
                      <w:lang w:val="en-US" w:eastAsia="zh-CN"/>
                    </w:rPr>
                    <w:t>标准</w:t>
                  </w:r>
                </w:p>
              </w:tc>
              <w:tc>
                <w:tcPr>
                  <w:tcW w:w="276" w:type="pct"/>
                  <w:tcBorders>
                    <w:top w:val="single" w:color="auto" w:sz="4" w:space="0"/>
                  </w:tcBorders>
                  <w:vAlign w:val="center"/>
                </w:tcPr>
                <w:p w14:paraId="382DB07A">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6~9</w:t>
                  </w:r>
                </w:p>
              </w:tc>
              <w:tc>
                <w:tcPr>
                  <w:tcW w:w="434" w:type="pct"/>
                  <w:tcBorders>
                    <w:top w:val="single" w:color="auto" w:sz="4" w:space="0"/>
                  </w:tcBorders>
                  <w:vAlign w:val="center"/>
                </w:tcPr>
                <w:p w14:paraId="5FE73D7D">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5</w:t>
                  </w:r>
                  <w:r>
                    <w:rPr>
                      <w:rFonts w:hint="default"/>
                      <w:color w:val="auto"/>
                      <w:highlight w:val="none"/>
                      <w:lang w:val="en-US" w:eastAsia="zh-CN"/>
                    </w:rPr>
                    <w:t>0</w:t>
                  </w:r>
                </w:p>
              </w:tc>
              <w:tc>
                <w:tcPr>
                  <w:tcW w:w="463" w:type="pct"/>
                  <w:tcBorders>
                    <w:top w:val="single" w:color="auto" w:sz="4" w:space="0"/>
                  </w:tcBorders>
                  <w:vAlign w:val="center"/>
                </w:tcPr>
                <w:p w14:paraId="3AF48184">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1</w:t>
                  </w:r>
                  <w:r>
                    <w:rPr>
                      <w:rFonts w:hint="default"/>
                      <w:color w:val="auto"/>
                      <w:highlight w:val="none"/>
                      <w:lang w:val="en-US" w:eastAsia="zh-CN"/>
                    </w:rPr>
                    <w:t>0</w:t>
                  </w:r>
                </w:p>
              </w:tc>
              <w:tc>
                <w:tcPr>
                  <w:tcW w:w="364" w:type="pct"/>
                  <w:tcBorders>
                    <w:top w:val="single" w:color="auto" w:sz="4" w:space="0"/>
                  </w:tcBorders>
                  <w:vAlign w:val="center"/>
                </w:tcPr>
                <w:p w14:paraId="50906F05">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1</w:t>
                  </w:r>
                  <w:r>
                    <w:rPr>
                      <w:rFonts w:hint="default"/>
                      <w:color w:val="auto"/>
                      <w:highlight w:val="none"/>
                      <w:lang w:val="en-US" w:eastAsia="zh-CN"/>
                    </w:rPr>
                    <w:t>0</w:t>
                  </w:r>
                </w:p>
              </w:tc>
              <w:tc>
                <w:tcPr>
                  <w:tcW w:w="453" w:type="pct"/>
                  <w:tcBorders>
                    <w:top w:val="single" w:color="auto" w:sz="4" w:space="0"/>
                  </w:tcBorders>
                  <w:vAlign w:val="center"/>
                </w:tcPr>
                <w:p w14:paraId="12C6F62E">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5</w:t>
                  </w:r>
                  <w:r>
                    <w:rPr>
                      <w:rFonts w:hint="default"/>
                      <w:color w:val="auto"/>
                      <w:highlight w:val="none"/>
                      <w:lang w:val="en-US" w:eastAsia="zh-CN"/>
                    </w:rPr>
                    <w:t>（</w:t>
                  </w:r>
                  <w:r>
                    <w:rPr>
                      <w:rFonts w:hint="eastAsia"/>
                      <w:color w:val="auto"/>
                      <w:highlight w:val="none"/>
                      <w:lang w:val="en-US" w:eastAsia="zh-CN"/>
                    </w:rPr>
                    <w:t>8</w:t>
                  </w:r>
                  <w:r>
                    <w:rPr>
                      <w:rFonts w:hint="default"/>
                      <w:color w:val="auto"/>
                      <w:highlight w:val="none"/>
                      <w:lang w:val="en-US" w:eastAsia="zh-CN"/>
                    </w:rPr>
                    <w:t>）</w:t>
                  </w:r>
                </w:p>
              </w:tc>
              <w:tc>
                <w:tcPr>
                  <w:tcW w:w="274" w:type="pct"/>
                  <w:tcBorders>
                    <w:top w:val="single" w:color="auto" w:sz="4" w:space="0"/>
                  </w:tcBorders>
                  <w:vAlign w:val="center"/>
                </w:tcPr>
                <w:p w14:paraId="716AFCAF">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0.5</w:t>
                  </w:r>
                </w:p>
              </w:tc>
              <w:tc>
                <w:tcPr>
                  <w:tcW w:w="316" w:type="pct"/>
                  <w:tcBorders>
                    <w:top w:val="single" w:color="auto" w:sz="4" w:space="0"/>
                  </w:tcBorders>
                  <w:vAlign w:val="center"/>
                </w:tcPr>
                <w:p w14:paraId="5D0E9CC5">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15</w:t>
                  </w:r>
                </w:p>
              </w:tc>
              <w:tc>
                <w:tcPr>
                  <w:tcW w:w="379" w:type="pct"/>
                  <w:tcBorders>
                    <w:top w:val="single" w:color="auto" w:sz="4" w:space="0"/>
                  </w:tcBorders>
                  <w:vAlign w:val="center"/>
                </w:tcPr>
                <w:p w14:paraId="63A7C3FE">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1</w:t>
                  </w:r>
                </w:p>
              </w:tc>
              <w:tc>
                <w:tcPr>
                  <w:tcW w:w="379" w:type="pct"/>
                  <w:tcBorders>
                    <w:top w:val="single" w:color="auto" w:sz="4" w:space="0"/>
                  </w:tcBorders>
                  <w:vAlign w:val="center"/>
                </w:tcPr>
                <w:p w14:paraId="4500A109">
                  <w:pPr>
                    <w:pStyle w:val="6"/>
                    <w:keepNext w:val="0"/>
                    <w:keepLines w:val="0"/>
                    <w:suppressLineNumbers w:val="0"/>
                    <w:bidi w:val="0"/>
                    <w:spacing w:before="0" w:beforeAutospacing="0" w:after="0" w:afterAutospacing="0"/>
                    <w:ind w:right="0"/>
                    <w:rPr>
                      <w:rFonts w:hint="eastAsia"/>
                      <w:color w:val="auto"/>
                      <w:highlight w:val="none"/>
                      <w:lang w:val="en-US" w:eastAsia="zh-CN"/>
                    </w:rPr>
                  </w:pPr>
                  <w:r>
                    <w:rPr>
                      <w:rFonts w:hint="eastAsia"/>
                      <w:color w:val="auto"/>
                      <w:highlight w:val="none"/>
                      <w:lang w:val="en-US" w:eastAsia="zh-CN"/>
                    </w:rPr>
                    <w:t>1</w:t>
                  </w:r>
                </w:p>
              </w:tc>
            </w:tr>
          </w:tbl>
          <w:p w14:paraId="4EF8A12D">
            <w:pPr>
              <w:keepNext w:val="0"/>
              <w:keepLines w:val="0"/>
              <w:suppressLineNumbers w:val="0"/>
              <w:bidi w:val="0"/>
              <w:spacing w:before="0" w:beforeAutospacing="0" w:after="0" w:afterAutospacing="0"/>
              <w:ind w:left="0" w:right="0"/>
              <w:rPr>
                <w:rFonts w:hint="default"/>
                <w:b/>
                <w:bCs/>
                <w:color w:val="auto"/>
                <w:highlight w:val="none"/>
              </w:rPr>
            </w:pPr>
            <w:r>
              <w:rPr>
                <w:rFonts w:hint="eastAsia"/>
                <w:b/>
                <w:bCs/>
                <w:color w:val="auto"/>
                <w:highlight w:val="none"/>
              </w:rPr>
              <w:t>3</w:t>
            </w:r>
            <w:r>
              <w:rPr>
                <w:rFonts w:hint="default"/>
                <w:b/>
                <w:bCs/>
                <w:color w:val="auto"/>
                <w:highlight w:val="none"/>
              </w:rPr>
              <w:t>、噪声排放标准</w:t>
            </w:r>
          </w:p>
          <w:p w14:paraId="30C532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color w:val="auto"/>
                <w:highlight w:val="none"/>
                <w:lang w:val="en-GB"/>
              </w:rPr>
            </w:pPr>
            <w:r>
              <w:rPr>
                <w:rFonts w:hint="default"/>
                <w:color w:val="auto"/>
                <w:highlight w:val="none"/>
                <w:lang w:val="en-GB"/>
              </w:rPr>
              <w:t>本项目运营期厂界</w:t>
            </w:r>
            <w:r>
              <w:rPr>
                <w:rFonts w:hint="eastAsia"/>
                <w:color w:val="auto"/>
                <w:highlight w:val="none"/>
                <w:lang w:val="en-US" w:eastAsia="zh-CN"/>
              </w:rPr>
              <w:t>噪声执行《工业企业厂界环境噪声排放标准》（GB12348-2008）3类标准</w:t>
            </w:r>
            <w:r>
              <w:rPr>
                <w:rFonts w:hint="eastAsia"/>
                <w:color w:val="auto"/>
                <w:highlight w:val="none"/>
              </w:rPr>
              <w:t>。</w:t>
            </w:r>
            <w:r>
              <w:rPr>
                <w:rFonts w:hint="default"/>
                <w:color w:val="auto"/>
                <w:highlight w:val="none"/>
                <w:lang w:val="en-GB"/>
              </w:rPr>
              <w:t>具体限值见表</w:t>
            </w:r>
            <w:r>
              <w:rPr>
                <w:rFonts w:hint="eastAsia"/>
                <w:color w:val="auto"/>
                <w:highlight w:val="none"/>
              </w:rPr>
              <w:t>3</w:t>
            </w:r>
            <w:r>
              <w:rPr>
                <w:rFonts w:hint="default"/>
                <w:color w:val="auto"/>
                <w:highlight w:val="none"/>
                <w:lang w:val="en-GB"/>
              </w:rPr>
              <w:t>-</w:t>
            </w:r>
            <w:r>
              <w:rPr>
                <w:rFonts w:hint="eastAsia"/>
                <w:color w:val="auto"/>
                <w:highlight w:val="none"/>
                <w:lang w:val="en-US" w:eastAsia="zh-CN"/>
              </w:rPr>
              <w:t>6</w:t>
            </w:r>
            <w:r>
              <w:rPr>
                <w:rFonts w:hint="default"/>
                <w:color w:val="auto"/>
                <w:highlight w:val="none"/>
                <w:lang w:val="en-GB"/>
              </w:rPr>
              <w:t>。</w:t>
            </w:r>
          </w:p>
          <w:p w14:paraId="7755F3ED">
            <w:pPr>
              <w:pStyle w:val="6"/>
              <w:keepNext w:val="0"/>
              <w:keepLines w:val="0"/>
              <w:suppressLineNumbers w:val="0"/>
              <w:bidi w:val="0"/>
              <w:spacing w:before="0" w:beforeAutospacing="0" w:after="0" w:afterAutospacing="0"/>
              <w:ind w:right="0"/>
              <w:rPr>
                <w:rFonts w:hint="default"/>
                <w:b/>
                <w:bCs/>
                <w:color w:val="auto"/>
                <w:highlight w:val="none"/>
                <w:lang w:val="zh-CN" w:eastAsia="zh-CN"/>
              </w:rPr>
            </w:pPr>
            <w:r>
              <w:rPr>
                <w:rFonts w:hint="eastAsia"/>
                <w:b/>
                <w:bCs/>
                <w:color w:val="auto"/>
                <w:highlight w:val="none"/>
                <w:lang w:val="zh-CN" w:eastAsia="zh-CN"/>
              </w:rPr>
              <w:t>表3-</w:t>
            </w:r>
            <w:r>
              <w:rPr>
                <w:rFonts w:hint="eastAsia"/>
                <w:b/>
                <w:bCs/>
                <w:color w:val="auto"/>
                <w:highlight w:val="none"/>
                <w:lang w:val="en-US" w:eastAsia="zh-CN"/>
              </w:rPr>
              <w:t xml:space="preserve">6  </w:t>
            </w:r>
            <w:r>
              <w:rPr>
                <w:rFonts w:hint="eastAsia"/>
                <w:b/>
                <w:bCs/>
                <w:color w:val="auto"/>
                <w:highlight w:val="none"/>
                <w:lang w:val="zh-CN" w:eastAsia="zh-CN"/>
              </w:rPr>
              <w:t xml:space="preserve"> 工业企业厂界环境噪声排放标准</w:t>
            </w:r>
          </w:p>
          <w:tbl>
            <w:tblPr>
              <w:tblStyle w:val="33"/>
              <w:tblW w:w="83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7"/>
              <w:gridCol w:w="1006"/>
              <w:gridCol w:w="1142"/>
              <w:gridCol w:w="4001"/>
            </w:tblGrid>
            <w:tr w14:paraId="132AC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7" w:type="dxa"/>
                  <w:tcBorders>
                    <w:top w:val="single" w:color="auto" w:sz="12" w:space="0"/>
                    <w:left w:val="nil"/>
                    <w:bottom w:val="single" w:color="auto" w:sz="12" w:space="0"/>
                  </w:tcBorders>
                  <w:vAlign w:val="center"/>
                </w:tcPr>
                <w:p w14:paraId="6E98682C">
                  <w:pPr>
                    <w:pStyle w:val="6"/>
                    <w:keepNext w:val="0"/>
                    <w:keepLines w:val="0"/>
                    <w:suppressLineNumbers w:val="0"/>
                    <w:bidi w:val="0"/>
                    <w:spacing w:before="0" w:beforeAutospacing="0" w:after="0" w:afterAutospacing="0"/>
                    <w:ind w:right="0"/>
                    <w:rPr>
                      <w:rFonts w:hint="eastAsia" w:eastAsia="宋体"/>
                      <w:b/>
                      <w:bCs/>
                      <w:color w:val="auto"/>
                      <w:highlight w:val="none"/>
                      <w:lang w:eastAsia="zh-CN"/>
                    </w:rPr>
                  </w:pPr>
                  <w:r>
                    <w:rPr>
                      <w:rFonts w:hint="eastAsia"/>
                      <w:b/>
                      <w:bCs/>
                      <w:color w:val="auto"/>
                      <w:highlight w:val="none"/>
                      <w:lang w:val="en-US" w:eastAsia="zh-CN"/>
                    </w:rPr>
                    <w:t>位置</w:t>
                  </w:r>
                </w:p>
              </w:tc>
              <w:tc>
                <w:tcPr>
                  <w:tcW w:w="1006" w:type="dxa"/>
                  <w:tcBorders>
                    <w:top w:val="single" w:color="auto" w:sz="12" w:space="0"/>
                    <w:bottom w:val="single" w:color="auto" w:sz="12" w:space="0"/>
                  </w:tcBorders>
                  <w:vAlign w:val="center"/>
                </w:tcPr>
                <w:p w14:paraId="6EC6D11D">
                  <w:pPr>
                    <w:pStyle w:val="6"/>
                    <w:keepNext w:val="0"/>
                    <w:keepLines w:val="0"/>
                    <w:suppressLineNumbers w:val="0"/>
                    <w:bidi w:val="0"/>
                    <w:spacing w:before="0" w:beforeAutospacing="0" w:after="0" w:afterAutospacing="0"/>
                    <w:ind w:right="0"/>
                    <w:rPr>
                      <w:rFonts w:hint="default"/>
                      <w:b/>
                      <w:bCs/>
                      <w:color w:val="auto"/>
                      <w:highlight w:val="none"/>
                    </w:rPr>
                  </w:pPr>
                  <w:r>
                    <w:rPr>
                      <w:rFonts w:hint="default"/>
                      <w:b/>
                      <w:bCs/>
                      <w:color w:val="auto"/>
                      <w:highlight w:val="none"/>
                    </w:rPr>
                    <w:t>昼间</w:t>
                  </w:r>
                </w:p>
              </w:tc>
              <w:tc>
                <w:tcPr>
                  <w:tcW w:w="1142" w:type="dxa"/>
                  <w:tcBorders>
                    <w:top w:val="single" w:color="auto" w:sz="12" w:space="0"/>
                    <w:bottom w:val="single" w:color="auto" w:sz="12" w:space="0"/>
                  </w:tcBorders>
                  <w:vAlign w:val="center"/>
                </w:tcPr>
                <w:p w14:paraId="0472D865">
                  <w:pPr>
                    <w:pStyle w:val="6"/>
                    <w:keepNext w:val="0"/>
                    <w:keepLines w:val="0"/>
                    <w:suppressLineNumbers w:val="0"/>
                    <w:bidi w:val="0"/>
                    <w:spacing w:before="0" w:beforeAutospacing="0" w:after="0" w:afterAutospacing="0"/>
                    <w:ind w:right="0"/>
                    <w:rPr>
                      <w:rFonts w:hint="default"/>
                      <w:b/>
                      <w:bCs/>
                      <w:color w:val="auto"/>
                      <w:highlight w:val="none"/>
                    </w:rPr>
                  </w:pPr>
                  <w:r>
                    <w:rPr>
                      <w:rFonts w:hint="default"/>
                      <w:b/>
                      <w:bCs/>
                      <w:color w:val="auto"/>
                      <w:highlight w:val="none"/>
                    </w:rPr>
                    <w:t>夜间</w:t>
                  </w:r>
                </w:p>
              </w:tc>
              <w:tc>
                <w:tcPr>
                  <w:tcW w:w="4001" w:type="dxa"/>
                  <w:tcBorders>
                    <w:top w:val="single" w:color="auto" w:sz="12" w:space="0"/>
                    <w:bottom w:val="single" w:color="auto" w:sz="12" w:space="0"/>
                    <w:right w:val="nil"/>
                  </w:tcBorders>
                  <w:vAlign w:val="center"/>
                </w:tcPr>
                <w:p w14:paraId="6DB2C1CD">
                  <w:pPr>
                    <w:pStyle w:val="6"/>
                    <w:keepNext w:val="0"/>
                    <w:keepLines w:val="0"/>
                    <w:suppressLineNumbers w:val="0"/>
                    <w:bidi w:val="0"/>
                    <w:spacing w:before="0" w:beforeAutospacing="0" w:after="0" w:afterAutospacing="0"/>
                    <w:ind w:right="0"/>
                    <w:rPr>
                      <w:rFonts w:hint="default"/>
                      <w:b/>
                      <w:bCs/>
                      <w:color w:val="auto"/>
                      <w:highlight w:val="none"/>
                    </w:rPr>
                  </w:pPr>
                  <w:r>
                    <w:rPr>
                      <w:rFonts w:hint="default"/>
                      <w:b/>
                      <w:bCs/>
                      <w:color w:val="auto"/>
                      <w:highlight w:val="none"/>
                    </w:rPr>
                    <w:t>采用标准</w:t>
                  </w:r>
                </w:p>
              </w:tc>
            </w:tr>
            <w:tr w14:paraId="33630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2227" w:type="dxa"/>
                  <w:tcBorders>
                    <w:top w:val="single" w:color="auto" w:sz="12" w:space="0"/>
                    <w:left w:val="nil"/>
                    <w:bottom w:val="single" w:color="auto" w:sz="12" w:space="0"/>
                  </w:tcBorders>
                  <w:vAlign w:val="center"/>
                </w:tcPr>
                <w:p w14:paraId="431D3C01">
                  <w:pPr>
                    <w:pStyle w:val="6"/>
                    <w:keepNext w:val="0"/>
                    <w:keepLines w:val="0"/>
                    <w:suppressLineNumbers w:val="0"/>
                    <w:bidi w:val="0"/>
                    <w:spacing w:before="0" w:beforeAutospacing="0" w:after="0" w:afterAutospacing="0"/>
                    <w:ind w:right="0"/>
                    <w:rPr>
                      <w:rFonts w:hint="default" w:eastAsia="宋体"/>
                      <w:color w:val="auto"/>
                      <w:highlight w:val="none"/>
                      <w:lang w:val="en-US" w:eastAsia="zh-CN"/>
                    </w:rPr>
                  </w:pPr>
                  <w:r>
                    <w:rPr>
                      <w:rFonts w:hint="eastAsia"/>
                      <w:color w:val="auto"/>
                      <w:highlight w:val="none"/>
                      <w:lang w:val="en-US" w:eastAsia="zh-CN"/>
                    </w:rPr>
                    <w:t>厂界四周</w:t>
                  </w:r>
                </w:p>
              </w:tc>
              <w:tc>
                <w:tcPr>
                  <w:tcW w:w="1006" w:type="dxa"/>
                  <w:tcBorders>
                    <w:top w:val="single" w:color="auto" w:sz="12" w:space="0"/>
                    <w:bottom w:val="single" w:color="auto" w:sz="12" w:space="0"/>
                  </w:tcBorders>
                  <w:vAlign w:val="center"/>
                </w:tcPr>
                <w:p w14:paraId="53728A72">
                  <w:pPr>
                    <w:pStyle w:val="6"/>
                    <w:keepNext w:val="0"/>
                    <w:keepLines w:val="0"/>
                    <w:suppressLineNumbers w:val="0"/>
                    <w:bidi w:val="0"/>
                    <w:spacing w:before="0" w:beforeAutospacing="0" w:after="0" w:afterAutospacing="0"/>
                    <w:ind w:right="0"/>
                    <w:rPr>
                      <w:rFonts w:hint="default"/>
                      <w:color w:val="auto"/>
                      <w:highlight w:val="none"/>
                    </w:rPr>
                  </w:pPr>
                  <w:r>
                    <w:rPr>
                      <w:rFonts w:hint="default"/>
                      <w:color w:val="auto"/>
                      <w:highlight w:val="none"/>
                    </w:rPr>
                    <w:t>6</w:t>
                  </w:r>
                  <w:r>
                    <w:rPr>
                      <w:rFonts w:hint="eastAsia"/>
                      <w:color w:val="auto"/>
                      <w:highlight w:val="none"/>
                    </w:rPr>
                    <w:t>5</w:t>
                  </w:r>
                </w:p>
              </w:tc>
              <w:tc>
                <w:tcPr>
                  <w:tcW w:w="1142" w:type="dxa"/>
                  <w:tcBorders>
                    <w:top w:val="single" w:color="auto" w:sz="12" w:space="0"/>
                    <w:bottom w:val="single" w:color="auto" w:sz="12" w:space="0"/>
                  </w:tcBorders>
                  <w:vAlign w:val="center"/>
                </w:tcPr>
                <w:p w14:paraId="70C17DF8">
                  <w:pPr>
                    <w:pStyle w:val="6"/>
                    <w:keepNext w:val="0"/>
                    <w:keepLines w:val="0"/>
                    <w:suppressLineNumbers w:val="0"/>
                    <w:bidi w:val="0"/>
                    <w:spacing w:before="0" w:beforeAutospacing="0" w:after="0" w:afterAutospacing="0"/>
                    <w:ind w:right="0"/>
                    <w:rPr>
                      <w:rFonts w:hint="default"/>
                      <w:color w:val="auto"/>
                      <w:highlight w:val="none"/>
                    </w:rPr>
                  </w:pPr>
                  <w:r>
                    <w:rPr>
                      <w:rFonts w:hint="default"/>
                      <w:color w:val="auto"/>
                      <w:highlight w:val="none"/>
                    </w:rPr>
                    <w:t>5</w:t>
                  </w:r>
                  <w:r>
                    <w:rPr>
                      <w:rFonts w:hint="eastAsia"/>
                      <w:color w:val="auto"/>
                      <w:highlight w:val="none"/>
                    </w:rPr>
                    <w:t>5</w:t>
                  </w:r>
                </w:p>
              </w:tc>
              <w:tc>
                <w:tcPr>
                  <w:tcW w:w="4001" w:type="dxa"/>
                  <w:tcBorders>
                    <w:top w:val="single" w:color="auto" w:sz="12" w:space="0"/>
                    <w:bottom w:val="single" w:color="auto" w:sz="12" w:space="0"/>
                    <w:right w:val="nil"/>
                  </w:tcBorders>
                  <w:vAlign w:val="center"/>
                </w:tcPr>
                <w:p w14:paraId="4F864138">
                  <w:pPr>
                    <w:pStyle w:val="6"/>
                    <w:keepNext w:val="0"/>
                    <w:keepLines w:val="0"/>
                    <w:suppressLineNumbers w:val="0"/>
                    <w:bidi w:val="0"/>
                    <w:spacing w:before="0" w:beforeAutospacing="0" w:after="0" w:afterAutospacing="0"/>
                    <w:ind w:right="0"/>
                    <w:rPr>
                      <w:rFonts w:hint="default"/>
                      <w:color w:val="auto"/>
                      <w:highlight w:val="none"/>
                    </w:rPr>
                  </w:pPr>
                  <w:r>
                    <w:rPr>
                      <w:rFonts w:hint="default"/>
                      <w:color w:val="auto"/>
                      <w:highlight w:val="none"/>
                    </w:rPr>
                    <w:t>《工业企业厂界环境噪声排放标准》</w:t>
                  </w:r>
                  <w:r>
                    <w:rPr>
                      <w:rFonts w:hint="eastAsia"/>
                      <w:color w:val="auto"/>
                      <w:highlight w:val="none"/>
                      <w:lang w:eastAsia="zh-CN"/>
                    </w:rPr>
                    <w:t>（</w:t>
                  </w:r>
                  <w:r>
                    <w:rPr>
                      <w:rFonts w:hint="default"/>
                      <w:color w:val="auto"/>
                      <w:highlight w:val="none"/>
                    </w:rPr>
                    <w:t>GB12348-2008</w:t>
                  </w:r>
                  <w:r>
                    <w:rPr>
                      <w:rFonts w:hint="eastAsia"/>
                      <w:color w:val="auto"/>
                      <w:highlight w:val="none"/>
                      <w:lang w:eastAsia="zh-CN"/>
                    </w:rPr>
                    <w:t>）</w:t>
                  </w:r>
                  <w:r>
                    <w:rPr>
                      <w:rFonts w:hint="eastAsia"/>
                      <w:color w:val="auto"/>
                      <w:highlight w:val="none"/>
                    </w:rPr>
                    <w:t>3</w:t>
                  </w:r>
                  <w:r>
                    <w:rPr>
                      <w:rFonts w:hint="default"/>
                      <w:color w:val="auto"/>
                      <w:highlight w:val="none"/>
                    </w:rPr>
                    <w:t>类区标准</w:t>
                  </w:r>
                </w:p>
              </w:tc>
            </w:tr>
          </w:tbl>
          <w:p w14:paraId="53BA559F">
            <w:pPr>
              <w:keepNext w:val="0"/>
              <w:keepLines w:val="0"/>
              <w:suppressLineNumbers w:val="0"/>
              <w:bidi w:val="0"/>
              <w:spacing w:before="0" w:beforeAutospacing="0" w:after="0" w:afterAutospacing="0"/>
              <w:ind w:left="0" w:leftChars="0" w:right="0" w:firstLine="482" w:firstLineChars="200"/>
              <w:rPr>
                <w:rFonts w:hint="default"/>
                <w:b/>
                <w:bCs/>
                <w:color w:val="auto"/>
                <w:highlight w:val="none"/>
              </w:rPr>
            </w:pPr>
            <w:r>
              <w:rPr>
                <w:rFonts w:hint="eastAsia"/>
                <w:b/>
                <w:bCs/>
                <w:color w:val="auto"/>
                <w:highlight w:val="none"/>
              </w:rPr>
              <w:t>4</w:t>
            </w:r>
            <w:r>
              <w:rPr>
                <w:rFonts w:hint="default"/>
                <w:b/>
                <w:bCs/>
                <w:color w:val="auto"/>
                <w:highlight w:val="none"/>
              </w:rPr>
              <w:t>、固体废物</w:t>
            </w:r>
          </w:p>
          <w:p w14:paraId="3C95E799">
            <w:pPr>
              <w:keepNext w:val="0"/>
              <w:keepLines w:val="0"/>
              <w:suppressLineNumbers w:val="0"/>
              <w:bidi w:val="0"/>
              <w:spacing w:before="0" w:beforeAutospacing="0" w:after="0" w:afterAutospacing="0"/>
              <w:ind w:left="0" w:right="0"/>
              <w:rPr>
                <w:rFonts w:hint="default" w:ascii="Times New Roman" w:hAnsi="Times New Roman" w:cs="Times New Roman"/>
                <w:color w:val="auto"/>
                <w:highlight w:val="none"/>
              </w:rPr>
            </w:pPr>
            <w:r>
              <w:rPr>
                <w:rFonts w:hint="default"/>
                <w:color w:val="auto"/>
                <w:highlight w:val="none"/>
                <w:lang w:val="zh-CN" w:eastAsia="zh-CN"/>
              </w:rPr>
              <w:t>一般</w:t>
            </w:r>
            <w:r>
              <w:rPr>
                <w:rFonts w:hint="eastAsia"/>
                <w:color w:val="auto"/>
                <w:highlight w:val="none"/>
                <w:lang w:val="zh-CN" w:eastAsia="zh-CN"/>
              </w:rPr>
              <w:t>工业</w:t>
            </w:r>
            <w:r>
              <w:rPr>
                <w:rFonts w:hint="default"/>
                <w:color w:val="auto"/>
                <w:highlight w:val="none"/>
                <w:lang w:val="zh-CN" w:eastAsia="zh-CN"/>
              </w:rPr>
              <w:t>固体废物贮存过程满足相应防渗漏、防雨淋、防扬尘等环境保护要求</w:t>
            </w:r>
            <w:r>
              <w:rPr>
                <w:rFonts w:hint="default"/>
                <w:color w:val="auto"/>
                <w:highlight w:val="none"/>
                <w:lang w:val="en-US" w:eastAsia="zh-CN"/>
              </w:rPr>
              <w:t>；</w:t>
            </w:r>
            <w:r>
              <w:rPr>
                <w:rFonts w:hint="default"/>
                <w:color w:val="auto"/>
                <w:highlight w:val="none"/>
                <w:lang w:val="zh-CN" w:eastAsia="zh-CN"/>
              </w:rPr>
              <w:t>危险废物暂存执行《危险废物贮存污染控制标准》（GB18597-20</w:t>
            </w:r>
            <w:r>
              <w:rPr>
                <w:rFonts w:hint="eastAsia"/>
                <w:color w:val="auto"/>
                <w:highlight w:val="none"/>
                <w:lang w:val="en-US" w:eastAsia="zh-CN"/>
              </w:rPr>
              <w:t>23</w:t>
            </w:r>
            <w:r>
              <w:rPr>
                <w:rFonts w:hint="default"/>
                <w:color w:val="auto"/>
                <w:highlight w:val="none"/>
                <w:lang w:val="zh-CN" w:eastAsia="zh-CN"/>
              </w:rPr>
              <w:t>）</w:t>
            </w:r>
            <w:r>
              <w:rPr>
                <w:rFonts w:hint="eastAsia"/>
                <w:color w:val="auto"/>
                <w:highlight w:val="none"/>
                <w:lang w:val="en-US" w:eastAsia="zh-CN"/>
              </w:rPr>
              <w:t>相关标准</w:t>
            </w:r>
            <w:r>
              <w:rPr>
                <w:rFonts w:hint="default"/>
                <w:color w:val="auto"/>
                <w:highlight w:val="none"/>
                <w:lang w:val="zh-CN" w:eastAsia="zh-CN"/>
              </w:rPr>
              <w:t>。</w:t>
            </w:r>
          </w:p>
        </w:tc>
      </w:tr>
      <w:tr w14:paraId="1D7474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7" w:type="dxa"/>
            <w:vAlign w:val="center"/>
          </w:tcPr>
          <w:p w14:paraId="5B274C9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总</w:t>
            </w:r>
          </w:p>
          <w:p w14:paraId="57970F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量</w:t>
            </w:r>
          </w:p>
          <w:p w14:paraId="68DDF7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控</w:t>
            </w:r>
          </w:p>
          <w:p w14:paraId="1D7A651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制</w:t>
            </w:r>
          </w:p>
          <w:p w14:paraId="688249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指</w:t>
            </w:r>
          </w:p>
          <w:p w14:paraId="70095BB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标</w:t>
            </w:r>
          </w:p>
        </w:tc>
        <w:tc>
          <w:tcPr>
            <w:tcW w:w="8604" w:type="dxa"/>
            <w:vAlign w:val="center"/>
          </w:tcPr>
          <w:p w14:paraId="4B6CF1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szCs w:val="24"/>
                <w:highlight w:val="none"/>
                <w:lang w:val="en-US" w:eastAsia="zh-CN"/>
              </w:rPr>
              <w:t>根据中华人民共和国生态环境部办公厅关于印发《“十五五”污染减排工作方案编制技术指南》的通知（环办综合函〔2025〕184号）及</w:t>
            </w:r>
            <w:r>
              <w:rPr>
                <w:rFonts w:hint="eastAsia" w:ascii="Times New Roman" w:hAnsi="Times New Roman" w:cs="Times New Roman"/>
                <w:color w:val="auto"/>
                <w:sz w:val="24"/>
                <w:szCs w:val="24"/>
                <w:highlight w:val="none"/>
                <w:lang w:val="en-US" w:eastAsia="zh-CN"/>
              </w:rPr>
              <w:t>南昌</w:t>
            </w:r>
            <w:r>
              <w:rPr>
                <w:rFonts w:hint="default" w:ascii="Times New Roman" w:hAnsi="Times New Roman" w:eastAsia="宋体" w:cs="Times New Roman"/>
                <w:color w:val="auto"/>
                <w:sz w:val="24"/>
                <w:szCs w:val="24"/>
                <w:highlight w:val="none"/>
                <w:lang w:val="en-US" w:eastAsia="zh-CN"/>
              </w:rPr>
              <w:t>市生态环境局有关规定，</w:t>
            </w:r>
            <w:r>
              <w:rPr>
                <w:rFonts w:hint="default" w:ascii="Times New Roman" w:hAnsi="Times New Roman" w:eastAsia="宋体" w:cs="Times New Roman"/>
                <w:color w:val="auto"/>
                <w:sz w:val="24"/>
                <w:highlight w:val="none"/>
              </w:rPr>
              <w:t>本项目运营期总量控制指标有</w:t>
            </w:r>
            <w:r>
              <w:rPr>
                <w:rFonts w:hint="eastAsia" w:ascii="Times New Roman" w:hAnsi="Times New Roman" w:cs="Times New Roman"/>
                <w:color w:val="auto"/>
                <w:sz w:val="24"/>
                <w:highlight w:val="none"/>
                <w:lang w:val="en-US" w:eastAsia="zh-CN"/>
              </w:rPr>
              <w:t>COD、</w:t>
            </w:r>
            <w:r>
              <w:rPr>
                <w:rFonts w:hint="eastAsia" w:cs="Times New Roman"/>
                <w:color w:val="auto"/>
                <w:sz w:val="24"/>
                <w:highlight w:val="none"/>
                <w:lang w:val="en-US" w:eastAsia="zh-CN"/>
              </w:rPr>
              <w:t>总磷</w:t>
            </w:r>
            <w:r>
              <w:rPr>
                <w:rFonts w:hint="eastAsia" w:ascii="Times New Roman" w:hAnsi="Times New Roman" w:cs="Times New Roman"/>
                <w:color w:val="auto"/>
                <w:sz w:val="24"/>
                <w:highlight w:val="none"/>
                <w:lang w:val="en-US" w:eastAsia="zh-CN"/>
              </w:rPr>
              <w:t>、</w:t>
            </w:r>
            <w:r>
              <w:rPr>
                <w:rFonts w:hint="eastAsia" w:cs="Times New Roman"/>
                <w:color w:val="auto"/>
                <w:sz w:val="24"/>
                <w:highlight w:val="none"/>
                <w:lang w:val="en-US" w:eastAsia="zh-CN"/>
              </w:rPr>
              <w:t>VOCs</w:t>
            </w:r>
            <w:r>
              <w:rPr>
                <w:rFonts w:hint="default" w:ascii="Times New Roman" w:hAnsi="Times New Roman" w:eastAsia="宋体" w:cs="Times New Roman"/>
                <w:color w:val="auto"/>
                <w:sz w:val="24"/>
                <w:highlight w:val="none"/>
              </w:rPr>
              <w:t>。</w:t>
            </w:r>
          </w:p>
          <w:p w14:paraId="1A8ECD9F">
            <w:pPr>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根据工程分析，本项目</w:t>
            </w:r>
            <w:r>
              <w:rPr>
                <w:rFonts w:hint="eastAsia" w:cs="Times New Roman"/>
                <w:bCs/>
                <w:color w:val="auto"/>
                <w:highlight w:val="none"/>
                <w:lang w:val="en-US" w:eastAsia="zh-CN"/>
              </w:rPr>
              <w:t>外排废水为生活污水和冷却水定排水，废水排放量为</w:t>
            </w:r>
            <w:r>
              <w:rPr>
                <w:rFonts w:hint="eastAsia" w:cs="Times New Roman"/>
                <w:bCs/>
                <w:color w:val="auto"/>
                <w:sz w:val="24"/>
                <w:szCs w:val="24"/>
                <w:highlight w:val="none"/>
                <w:lang w:val="en-US" w:eastAsia="zh-CN"/>
              </w:rPr>
              <w:t>593.54</w:t>
            </w:r>
            <w:r>
              <w:rPr>
                <w:rFonts w:hint="eastAsia" w:ascii="Times New Roman" w:hAnsi="Times New Roman" w:eastAsia="宋体" w:cs="Times New Roman"/>
                <w:bCs/>
                <w:color w:val="auto"/>
                <w:highlight w:val="none"/>
                <w:lang w:val="en-US" w:eastAsia="zh-CN"/>
              </w:rPr>
              <w:t>m</w:t>
            </w:r>
            <w:r>
              <w:rPr>
                <w:rFonts w:hint="eastAsia" w:ascii="Times New Roman" w:hAnsi="Times New Roman" w:eastAsia="宋体" w:cs="Times New Roman"/>
                <w:bCs/>
                <w:color w:val="auto"/>
                <w:highlight w:val="none"/>
                <w:vertAlign w:val="superscript"/>
                <w:lang w:val="en-US" w:eastAsia="zh-CN"/>
              </w:rPr>
              <w:t>3</w:t>
            </w:r>
            <w:r>
              <w:rPr>
                <w:rFonts w:hint="eastAsia" w:ascii="Times New Roman" w:hAnsi="Times New Roman" w:eastAsia="宋体" w:cs="Times New Roman"/>
                <w:bCs/>
                <w:color w:val="auto"/>
                <w:highlight w:val="none"/>
                <w:lang w:val="en-US" w:eastAsia="zh-CN"/>
              </w:rPr>
              <w:t>/a</w:t>
            </w:r>
            <w:r>
              <w:rPr>
                <w:rFonts w:hint="eastAsia"/>
                <w:color w:val="auto"/>
                <w:highlight w:val="none"/>
                <w:lang w:val="en-US" w:eastAsia="zh-CN"/>
              </w:rPr>
              <w:t>，废水总量控制因子为</w:t>
            </w:r>
            <w:r>
              <w:rPr>
                <w:rFonts w:hint="default"/>
                <w:color w:val="auto"/>
                <w:highlight w:val="none"/>
              </w:rPr>
              <w:t>COD</w:t>
            </w:r>
            <w:r>
              <w:rPr>
                <w:rFonts w:hint="eastAsia"/>
                <w:color w:val="auto"/>
                <w:highlight w:val="none"/>
                <w:vertAlign w:val="subscript"/>
                <w:lang w:val="en-US" w:eastAsia="zh-CN"/>
              </w:rPr>
              <w:t>Cr</w:t>
            </w:r>
            <w:r>
              <w:rPr>
                <w:rFonts w:hint="default"/>
                <w:color w:val="auto"/>
                <w:highlight w:val="none"/>
              </w:rPr>
              <w:t>、</w:t>
            </w:r>
            <w:r>
              <w:rPr>
                <w:rFonts w:hint="eastAsia"/>
                <w:color w:val="auto"/>
                <w:highlight w:val="none"/>
                <w:lang w:val="en-US" w:eastAsia="zh-CN"/>
              </w:rPr>
              <w:t>总磷</w:t>
            </w:r>
            <w:r>
              <w:rPr>
                <w:rFonts w:hint="eastAsia"/>
                <w:color w:val="auto"/>
                <w:highlight w:val="none"/>
                <w:lang w:eastAsia="zh-CN"/>
              </w:rPr>
              <w:t>；</w:t>
            </w:r>
            <w:r>
              <w:rPr>
                <w:rFonts w:hint="eastAsia"/>
                <w:color w:val="auto"/>
                <w:highlight w:val="none"/>
                <w:lang w:val="en-US" w:eastAsia="zh-CN"/>
              </w:rPr>
              <w:t>项目</w:t>
            </w:r>
            <w:r>
              <w:rPr>
                <w:rFonts w:hint="eastAsia" w:ascii="Times New Roman" w:hAnsi="Times New Roman" w:eastAsia="宋体" w:cs="Times New Roman"/>
                <w:bCs/>
                <w:color w:val="auto"/>
                <w:highlight w:val="none"/>
                <w:lang w:val="en-US" w:eastAsia="zh-CN"/>
              </w:rPr>
              <w:t>VOCs总产生量</w:t>
            </w:r>
            <w:r>
              <w:rPr>
                <w:rFonts w:hint="eastAsia" w:cs="Times New Roman"/>
                <w:bCs/>
                <w:color w:val="auto"/>
                <w:highlight w:val="none"/>
                <w:lang w:val="en-US" w:eastAsia="zh-CN"/>
              </w:rPr>
              <w:t>1.348</w:t>
            </w:r>
            <w:r>
              <w:rPr>
                <w:rFonts w:hint="eastAsia" w:ascii="Times New Roman" w:hAnsi="Times New Roman" w:eastAsia="宋体" w:cs="Times New Roman"/>
                <w:bCs/>
                <w:color w:val="auto"/>
                <w:highlight w:val="none"/>
                <w:lang w:val="en-US" w:eastAsia="zh-CN"/>
              </w:rPr>
              <w:t>t/a，</w:t>
            </w:r>
            <w:r>
              <w:rPr>
                <w:rFonts w:hint="eastAsia"/>
                <w:color w:val="auto"/>
                <w:highlight w:val="none"/>
                <w:lang w:val="en-US" w:eastAsia="zh-CN"/>
              </w:rPr>
              <w:t>废气总量控制因子为</w:t>
            </w:r>
            <w:r>
              <w:rPr>
                <w:rFonts w:hint="eastAsia" w:ascii="Times New Roman" w:hAnsi="Times New Roman" w:eastAsia="宋体" w:cs="Times New Roman"/>
                <w:bCs/>
                <w:color w:val="auto"/>
                <w:highlight w:val="none"/>
                <w:lang w:val="en-US" w:eastAsia="zh-CN"/>
              </w:rPr>
              <w:t>VOCs</w:t>
            </w:r>
            <w:r>
              <w:rPr>
                <w:rFonts w:hint="eastAsia"/>
                <w:color w:val="auto"/>
                <w:highlight w:val="none"/>
                <w:lang w:val="en-US" w:eastAsia="zh-CN"/>
              </w:rPr>
              <w:t>，其总量控制指标如下：</w:t>
            </w:r>
          </w:p>
          <w:p w14:paraId="63517F00">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default"/>
                <w:color w:val="auto"/>
                <w:highlight w:val="none"/>
              </w:rPr>
              <w:t>COD</w:t>
            </w:r>
            <w:r>
              <w:rPr>
                <w:rFonts w:hint="eastAsia"/>
                <w:color w:val="auto"/>
                <w:highlight w:val="none"/>
                <w:vertAlign w:val="subscript"/>
                <w:lang w:val="en-US" w:eastAsia="zh-CN"/>
              </w:rPr>
              <w:t>Cr</w:t>
            </w:r>
            <w:r>
              <w:rPr>
                <w:rFonts w:hint="eastAsia"/>
                <w:color w:val="auto"/>
                <w:highlight w:val="none"/>
                <w:lang w:val="en-US" w:eastAsia="zh-CN"/>
              </w:rPr>
              <w:t>总量控制指标：</w:t>
            </w:r>
          </w:p>
          <w:p w14:paraId="5557317B">
            <w:pPr>
              <w:keepNext w:val="0"/>
              <w:keepLines w:val="0"/>
              <w:suppressLineNumbers w:val="0"/>
              <w:bidi w:val="0"/>
              <w:spacing w:before="0" w:beforeAutospacing="0" w:after="0" w:afterAutospacing="0"/>
              <w:ind w:left="0" w:right="0"/>
              <w:rPr>
                <w:rFonts w:hint="default" w:ascii="Times New Roman" w:hAnsi="Times New Roman" w:cs="Times New Roman"/>
                <w:color w:val="auto"/>
                <w:highlight w:val="none"/>
                <w:lang w:val="en-US" w:eastAsia="zh-CN"/>
              </w:rPr>
            </w:pPr>
            <w:r>
              <w:rPr>
                <w:rFonts w:hint="default" w:ascii="Times New Roman" w:hAnsi="Times New Roman" w:cs="Times New Roman"/>
                <w:bCs/>
                <w:color w:val="auto"/>
                <w:highlight w:val="none"/>
                <w:lang w:val="en-US" w:eastAsia="zh-CN"/>
              </w:rPr>
              <w:t>5</w:t>
            </w:r>
            <w:r>
              <w:rPr>
                <w:rFonts w:hint="default" w:ascii="Times New Roman" w:hAnsi="Times New Roman" w:eastAsia="宋体" w:cs="Times New Roman"/>
                <w:bCs/>
                <w:color w:val="auto"/>
                <w:highlight w:val="none"/>
                <w:lang w:val="en-US" w:eastAsia="zh-CN"/>
              </w:rPr>
              <w:t>0mg/L×</w:t>
            </w:r>
            <w:r>
              <w:rPr>
                <w:rFonts w:hint="eastAsia" w:cs="Times New Roman"/>
                <w:bCs/>
                <w:color w:val="auto"/>
                <w:highlight w:val="none"/>
                <w:lang w:val="en-US" w:eastAsia="zh-CN"/>
              </w:rPr>
              <w:t>593.54</w:t>
            </w:r>
            <w:r>
              <w:rPr>
                <w:rFonts w:hint="default" w:ascii="Times New Roman" w:hAnsi="Times New Roman" w:eastAsia="宋体" w:cs="Times New Roman"/>
                <w:bCs/>
                <w:color w:val="auto"/>
                <w:highlight w:val="none"/>
                <w:lang w:val="en-US" w:eastAsia="zh-CN"/>
              </w:rPr>
              <w:t>m</w:t>
            </w:r>
            <w:r>
              <w:rPr>
                <w:rFonts w:hint="default" w:ascii="Times New Roman" w:hAnsi="Times New Roman" w:eastAsia="宋体" w:cs="Times New Roman"/>
                <w:bCs/>
                <w:color w:val="auto"/>
                <w:highlight w:val="none"/>
                <w:vertAlign w:val="superscript"/>
                <w:lang w:val="en-US" w:eastAsia="zh-CN"/>
              </w:rPr>
              <w:t>3</w:t>
            </w:r>
            <w:r>
              <w:rPr>
                <w:rFonts w:hint="default" w:ascii="Times New Roman" w:hAnsi="Times New Roman" w:eastAsia="宋体" w:cs="Times New Roman"/>
                <w:bCs/>
                <w:color w:val="auto"/>
                <w:highlight w:val="none"/>
                <w:lang w:val="en-US" w:eastAsia="zh-CN"/>
              </w:rPr>
              <w:t>/a×10</w:t>
            </w:r>
            <w:r>
              <w:rPr>
                <w:rFonts w:hint="default" w:ascii="Times New Roman" w:hAnsi="Times New Roman" w:eastAsia="宋体" w:cs="Times New Roman"/>
                <w:bCs/>
                <w:color w:val="auto"/>
                <w:highlight w:val="none"/>
                <w:vertAlign w:val="superscript"/>
                <w:lang w:val="en-US" w:eastAsia="zh-CN"/>
              </w:rPr>
              <w:t>-6</w:t>
            </w:r>
            <w:r>
              <w:rPr>
                <w:rFonts w:hint="default" w:ascii="Times New Roman" w:hAnsi="Times New Roman" w:eastAsia="宋体" w:cs="Times New Roman"/>
                <w:bCs/>
                <w:color w:val="auto"/>
                <w:highlight w:val="none"/>
                <w:lang w:val="en-US" w:eastAsia="zh-CN"/>
              </w:rPr>
              <w:t>=0.</w:t>
            </w:r>
            <w:r>
              <w:rPr>
                <w:rFonts w:hint="default" w:ascii="Times New Roman" w:hAnsi="Times New Roman" w:cs="Times New Roman"/>
                <w:bCs/>
                <w:color w:val="auto"/>
                <w:highlight w:val="none"/>
                <w:lang w:val="en-US" w:eastAsia="zh-CN"/>
              </w:rPr>
              <w:t>0</w:t>
            </w:r>
            <w:r>
              <w:rPr>
                <w:rFonts w:hint="eastAsia" w:cs="Times New Roman"/>
                <w:bCs/>
                <w:color w:val="auto"/>
                <w:highlight w:val="none"/>
                <w:lang w:val="en-US" w:eastAsia="zh-CN"/>
              </w:rPr>
              <w:t>30</w:t>
            </w:r>
            <w:r>
              <w:rPr>
                <w:rFonts w:hint="default" w:ascii="Times New Roman" w:hAnsi="Times New Roman" w:eastAsia="宋体" w:cs="Times New Roman"/>
                <w:bCs/>
                <w:color w:val="auto"/>
                <w:highlight w:val="none"/>
                <w:lang w:val="en-US" w:eastAsia="zh-CN"/>
              </w:rPr>
              <w:t>t/a</w:t>
            </w:r>
            <w:r>
              <w:rPr>
                <w:rFonts w:hint="default" w:ascii="Times New Roman" w:hAnsi="Times New Roman" w:cs="Times New Roman"/>
                <w:color w:val="auto"/>
                <w:highlight w:val="none"/>
                <w:lang w:val="en-US" w:eastAsia="zh-CN"/>
              </w:rPr>
              <w:t>；</w:t>
            </w:r>
          </w:p>
          <w:p w14:paraId="03CDE4E5">
            <w:pPr>
              <w:keepNext w:val="0"/>
              <w:keepLines w:val="0"/>
              <w:suppressLineNumbers w:val="0"/>
              <w:bidi w:val="0"/>
              <w:spacing w:before="0" w:beforeAutospacing="0" w:after="0" w:afterAutospacing="0"/>
              <w:ind w:left="0" w:right="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COD</w:t>
            </w:r>
            <w:r>
              <w:rPr>
                <w:rFonts w:hint="default" w:ascii="Times New Roman" w:hAnsi="Times New Roman" w:cs="Times New Roman"/>
                <w:color w:val="auto"/>
                <w:highlight w:val="none"/>
                <w:vertAlign w:val="subscript"/>
                <w:lang w:val="en-US" w:eastAsia="zh-CN"/>
              </w:rPr>
              <w:t>Cr</w:t>
            </w:r>
            <w:r>
              <w:rPr>
                <w:rFonts w:hint="default" w:ascii="Times New Roman" w:hAnsi="Times New Roman" w:cs="Times New Roman"/>
                <w:color w:val="auto"/>
                <w:highlight w:val="none"/>
                <w:lang w:val="en-US" w:eastAsia="zh-CN"/>
              </w:rPr>
              <w:t>总量考核指标：</w:t>
            </w:r>
          </w:p>
          <w:p w14:paraId="1AF98E93">
            <w:pPr>
              <w:keepNext w:val="0"/>
              <w:keepLines w:val="0"/>
              <w:suppressLineNumbers w:val="0"/>
              <w:bidi w:val="0"/>
              <w:spacing w:before="0" w:beforeAutospacing="0" w:after="0" w:afterAutospacing="0"/>
              <w:ind w:left="0" w:right="0"/>
              <w:rPr>
                <w:rFonts w:hint="default" w:ascii="Times New Roman" w:hAnsi="Times New Roman" w:cs="Times New Roman"/>
                <w:color w:val="auto"/>
                <w:highlight w:val="none"/>
                <w:lang w:val="en-US" w:eastAsia="zh-CN"/>
              </w:rPr>
            </w:pPr>
            <w:r>
              <w:rPr>
                <w:rFonts w:hint="eastAsia" w:cs="Times New Roman"/>
                <w:bCs/>
                <w:color w:val="auto"/>
                <w:highlight w:val="none"/>
                <w:lang w:val="en-US" w:eastAsia="zh-CN"/>
              </w:rPr>
              <w:t>197.12</w:t>
            </w:r>
            <w:r>
              <w:rPr>
                <w:rFonts w:hint="default" w:ascii="Times New Roman" w:hAnsi="Times New Roman" w:eastAsia="宋体" w:cs="Times New Roman"/>
                <w:bCs/>
                <w:color w:val="auto"/>
                <w:highlight w:val="none"/>
                <w:lang w:val="en-US" w:eastAsia="zh-CN"/>
              </w:rPr>
              <w:t>mg/L×</w:t>
            </w:r>
            <w:r>
              <w:rPr>
                <w:rFonts w:hint="eastAsia" w:cs="Times New Roman"/>
                <w:bCs/>
                <w:color w:val="auto"/>
                <w:highlight w:val="none"/>
                <w:lang w:val="en-US" w:eastAsia="zh-CN"/>
              </w:rPr>
              <w:t>593.54</w:t>
            </w:r>
            <w:r>
              <w:rPr>
                <w:rFonts w:hint="default" w:ascii="Times New Roman" w:hAnsi="Times New Roman" w:eastAsia="宋体" w:cs="Times New Roman"/>
                <w:bCs/>
                <w:color w:val="auto"/>
                <w:highlight w:val="none"/>
                <w:lang w:val="en-US" w:eastAsia="zh-CN"/>
              </w:rPr>
              <w:t>m</w:t>
            </w:r>
            <w:r>
              <w:rPr>
                <w:rFonts w:hint="default" w:ascii="Times New Roman" w:hAnsi="Times New Roman" w:eastAsia="宋体" w:cs="Times New Roman"/>
                <w:bCs/>
                <w:color w:val="auto"/>
                <w:highlight w:val="none"/>
                <w:vertAlign w:val="superscript"/>
                <w:lang w:val="en-US" w:eastAsia="zh-CN"/>
              </w:rPr>
              <w:t>3</w:t>
            </w:r>
            <w:r>
              <w:rPr>
                <w:rFonts w:hint="default" w:ascii="Times New Roman" w:hAnsi="Times New Roman" w:eastAsia="宋体" w:cs="Times New Roman"/>
                <w:bCs/>
                <w:color w:val="auto"/>
                <w:highlight w:val="none"/>
                <w:lang w:val="en-US" w:eastAsia="zh-CN"/>
              </w:rPr>
              <w:t>/a×10</w:t>
            </w:r>
            <w:r>
              <w:rPr>
                <w:rFonts w:hint="default" w:ascii="Times New Roman" w:hAnsi="Times New Roman" w:eastAsia="宋体" w:cs="Times New Roman"/>
                <w:bCs/>
                <w:color w:val="auto"/>
                <w:highlight w:val="none"/>
                <w:vertAlign w:val="superscript"/>
                <w:lang w:val="en-US" w:eastAsia="zh-CN"/>
              </w:rPr>
              <w:t>-6</w:t>
            </w:r>
            <w:r>
              <w:rPr>
                <w:rFonts w:hint="default" w:ascii="Times New Roman" w:hAnsi="Times New Roman" w:eastAsia="宋体" w:cs="Times New Roman"/>
                <w:bCs/>
                <w:color w:val="auto"/>
                <w:highlight w:val="none"/>
                <w:lang w:val="en-US" w:eastAsia="zh-CN"/>
              </w:rPr>
              <w:t>=</w:t>
            </w:r>
            <w:r>
              <w:rPr>
                <w:rFonts w:hint="default" w:ascii="Times New Roman" w:hAnsi="Times New Roman" w:cs="Times New Roman"/>
                <w:bCs/>
                <w:color w:val="auto"/>
                <w:highlight w:val="none"/>
                <w:lang w:val="en-US" w:eastAsia="zh-CN"/>
              </w:rPr>
              <w:t>0.</w:t>
            </w:r>
            <w:r>
              <w:rPr>
                <w:rFonts w:hint="eastAsia" w:ascii="Times New Roman" w:hAnsi="Times New Roman" w:cs="Times New Roman"/>
                <w:bCs/>
                <w:color w:val="auto"/>
                <w:highlight w:val="none"/>
                <w:lang w:val="en-US" w:eastAsia="zh-CN"/>
              </w:rPr>
              <w:t>11</w:t>
            </w:r>
            <w:r>
              <w:rPr>
                <w:rFonts w:hint="eastAsia" w:cs="Times New Roman"/>
                <w:bCs/>
                <w:color w:val="auto"/>
                <w:highlight w:val="none"/>
                <w:lang w:val="en-US" w:eastAsia="zh-CN"/>
              </w:rPr>
              <w:t>7</w:t>
            </w:r>
            <w:r>
              <w:rPr>
                <w:rFonts w:hint="default" w:ascii="Times New Roman" w:hAnsi="Times New Roman" w:eastAsia="宋体" w:cs="Times New Roman"/>
                <w:bCs/>
                <w:color w:val="auto"/>
                <w:highlight w:val="none"/>
                <w:lang w:val="en-US" w:eastAsia="zh-CN"/>
              </w:rPr>
              <w:t>t/a</w:t>
            </w:r>
            <w:r>
              <w:rPr>
                <w:rFonts w:hint="default" w:ascii="Times New Roman" w:hAnsi="Times New Roman" w:cs="Times New Roman"/>
                <w:color w:val="auto"/>
                <w:highlight w:val="none"/>
                <w:lang w:val="en-US" w:eastAsia="zh-CN"/>
              </w:rPr>
              <w:t>；</w:t>
            </w:r>
          </w:p>
          <w:p w14:paraId="6CBB56A2">
            <w:pPr>
              <w:keepNext w:val="0"/>
              <w:keepLines w:val="0"/>
              <w:suppressLineNumbers w:val="0"/>
              <w:bidi w:val="0"/>
              <w:spacing w:before="0" w:beforeAutospacing="0" w:after="0" w:afterAutospacing="0"/>
              <w:ind w:left="0" w:right="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总磷</w:t>
            </w:r>
            <w:r>
              <w:rPr>
                <w:rFonts w:hint="default" w:ascii="Times New Roman" w:hAnsi="Times New Roman" w:cs="Times New Roman"/>
                <w:color w:val="auto"/>
                <w:highlight w:val="none"/>
                <w:lang w:val="en-US" w:eastAsia="zh-CN"/>
              </w:rPr>
              <w:t>总量控制指标：</w:t>
            </w:r>
          </w:p>
          <w:p w14:paraId="543679D3">
            <w:pPr>
              <w:keepNext w:val="0"/>
              <w:keepLines w:val="0"/>
              <w:suppressLineNumbers w:val="0"/>
              <w:bidi w:val="0"/>
              <w:spacing w:before="0" w:beforeAutospacing="0" w:after="0" w:afterAutospacing="0"/>
              <w:ind w:left="0" w:right="0"/>
              <w:rPr>
                <w:rFonts w:hint="default" w:ascii="Times New Roman" w:hAnsi="Times New Roman" w:cs="Times New Roman"/>
                <w:color w:val="auto"/>
                <w:highlight w:val="none"/>
                <w:lang w:val="en-US" w:eastAsia="zh-CN"/>
              </w:rPr>
            </w:pPr>
            <w:r>
              <w:rPr>
                <w:rFonts w:hint="eastAsia" w:cs="Times New Roman"/>
                <w:bCs/>
                <w:color w:val="auto"/>
                <w:highlight w:val="none"/>
                <w:lang w:val="en-US" w:eastAsia="zh-CN"/>
              </w:rPr>
              <w:t>0.</w:t>
            </w:r>
            <w:r>
              <w:rPr>
                <w:rFonts w:hint="default" w:ascii="Times New Roman" w:hAnsi="Times New Roman" w:cs="Times New Roman"/>
                <w:bCs/>
                <w:color w:val="auto"/>
                <w:highlight w:val="none"/>
                <w:lang w:val="en-US" w:eastAsia="zh-CN"/>
              </w:rPr>
              <w:t>5</w:t>
            </w:r>
            <w:r>
              <w:rPr>
                <w:rFonts w:hint="default" w:ascii="Times New Roman" w:hAnsi="Times New Roman" w:eastAsia="宋体" w:cs="Times New Roman"/>
                <w:bCs/>
                <w:color w:val="auto"/>
                <w:highlight w:val="none"/>
                <w:lang w:val="en-US" w:eastAsia="zh-CN"/>
              </w:rPr>
              <w:t>mg/L×</w:t>
            </w:r>
            <w:r>
              <w:rPr>
                <w:rFonts w:hint="eastAsia" w:cs="Times New Roman"/>
                <w:bCs/>
                <w:color w:val="auto"/>
                <w:highlight w:val="none"/>
                <w:lang w:val="en-US" w:eastAsia="zh-CN"/>
              </w:rPr>
              <w:t>593.54</w:t>
            </w:r>
            <w:r>
              <w:rPr>
                <w:rFonts w:hint="default" w:ascii="Times New Roman" w:hAnsi="Times New Roman" w:eastAsia="宋体" w:cs="Times New Roman"/>
                <w:bCs/>
                <w:color w:val="auto"/>
                <w:highlight w:val="none"/>
                <w:lang w:val="en-US" w:eastAsia="zh-CN"/>
              </w:rPr>
              <w:t>m</w:t>
            </w:r>
            <w:r>
              <w:rPr>
                <w:rFonts w:hint="default" w:ascii="Times New Roman" w:hAnsi="Times New Roman" w:eastAsia="宋体" w:cs="Times New Roman"/>
                <w:bCs/>
                <w:color w:val="auto"/>
                <w:highlight w:val="none"/>
                <w:vertAlign w:val="superscript"/>
                <w:lang w:val="en-US" w:eastAsia="zh-CN"/>
              </w:rPr>
              <w:t>3</w:t>
            </w:r>
            <w:r>
              <w:rPr>
                <w:rFonts w:hint="default" w:ascii="Times New Roman" w:hAnsi="Times New Roman" w:eastAsia="宋体" w:cs="Times New Roman"/>
                <w:bCs/>
                <w:color w:val="auto"/>
                <w:highlight w:val="none"/>
                <w:lang w:val="en-US" w:eastAsia="zh-CN"/>
              </w:rPr>
              <w:t>/a×10</w:t>
            </w:r>
            <w:r>
              <w:rPr>
                <w:rFonts w:hint="default" w:ascii="Times New Roman" w:hAnsi="Times New Roman" w:eastAsia="宋体" w:cs="Times New Roman"/>
                <w:bCs/>
                <w:color w:val="auto"/>
                <w:highlight w:val="none"/>
                <w:vertAlign w:val="superscript"/>
                <w:lang w:val="en-US" w:eastAsia="zh-CN"/>
              </w:rPr>
              <w:t>-6</w:t>
            </w:r>
            <w:r>
              <w:rPr>
                <w:rFonts w:hint="default" w:ascii="Times New Roman" w:hAnsi="Times New Roman" w:eastAsia="宋体" w:cs="Times New Roman"/>
                <w:bCs/>
                <w:color w:val="auto"/>
                <w:highlight w:val="none"/>
                <w:lang w:val="en-US" w:eastAsia="zh-CN"/>
              </w:rPr>
              <w:t>=0.0</w:t>
            </w:r>
            <w:r>
              <w:rPr>
                <w:rFonts w:hint="default" w:ascii="Times New Roman" w:hAnsi="Times New Roman" w:cs="Times New Roman"/>
                <w:bCs/>
                <w:color w:val="auto"/>
                <w:highlight w:val="none"/>
                <w:lang w:val="en-US" w:eastAsia="zh-CN"/>
              </w:rPr>
              <w:t>0</w:t>
            </w:r>
            <w:r>
              <w:rPr>
                <w:rFonts w:hint="eastAsia" w:cs="Times New Roman"/>
                <w:bCs/>
                <w:color w:val="auto"/>
                <w:highlight w:val="none"/>
                <w:lang w:val="en-US" w:eastAsia="zh-CN"/>
              </w:rPr>
              <w:t>0</w:t>
            </w:r>
            <w:r>
              <w:rPr>
                <w:rFonts w:hint="eastAsia" w:ascii="Times New Roman" w:hAnsi="Times New Roman" w:cs="Times New Roman"/>
                <w:bCs/>
                <w:color w:val="auto"/>
                <w:highlight w:val="none"/>
                <w:lang w:val="en-US" w:eastAsia="zh-CN"/>
              </w:rPr>
              <w:t>3</w:t>
            </w:r>
            <w:r>
              <w:rPr>
                <w:rFonts w:hint="default" w:ascii="Times New Roman" w:hAnsi="Times New Roman" w:eastAsia="宋体" w:cs="Times New Roman"/>
                <w:bCs/>
                <w:color w:val="auto"/>
                <w:highlight w:val="none"/>
                <w:lang w:val="en-US" w:eastAsia="zh-CN"/>
              </w:rPr>
              <w:t>t/a</w:t>
            </w:r>
            <w:r>
              <w:rPr>
                <w:rFonts w:hint="default" w:ascii="Times New Roman" w:hAnsi="Times New Roman" w:cs="Times New Roman"/>
                <w:color w:val="auto"/>
                <w:highlight w:val="none"/>
                <w:lang w:val="en-US" w:eastAsia="zh-CN"/>
              </w:rPr>
              <w:t>；</w:t>
            </w:r>
          </w:p>
          <w:p w14:paraId="410F6CAB">
            <w:pPr>
              <w:keepNext w:val="0"/>
              <w:keepLines w:val="0"/>
              <w:suppressLineNumbers w:val="0"/>
              <w:bidi w:val="0"/>
              <w:spacing w:before="0" w:beforeAutospacing="0" w:after="0" w:afterAutospacing="0"/>
              <w:ind w:left="0" w:right="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总磷</w:t>
            </w:r>
            <w:r>
              <w:rPr>
                <w:rFonts w:hint="default" w:ascii="Times New Roman" w:hAnsi="Times New Roman" w:cs="Times New Roman"/>
                <w:color w:val="auto"/>
                <w:highlight w:val="none"/>
                <w:lang w:val="en-US" w:eastAsia="zh-CN"/>
              </w:rPr>
              <w:t>总量考核指标：</w:t>
            </w:r>
          </w:p>
          <w:p w14:paraId="7BA03579">
            <w:pPr>
              <w:keepNext w:val="0"/>
              <w:keepLines w:val="0"/>
              <w:suppressLineNumbers w:val="0"/>
              <w:bidi w:val="0"/>
              <w:spacing w:before="0" w:beforeAutospacing="0" w:after="0" w:afterAutospacing="0"/>
              <w:ind w:left="0" w:right="0"/>
              <w:rPr>
                <w:rFonts w:hint="default" w:ascii="Times New Roman" w:hAnsi="Times New Roman" w:cs="Times New Roman"/>
                <w:color w:val="auto"/>
                <w:highlight w:val="none"/>
                <w:lang w:val="en-US" w:eastAsia="zh-CN"/>
              </w:rPr>
            </w:pPr>
            <w:r>
              <w:rPr>
                <w:rFonts w:hint="default" w:ascii="Times New Roman" w:hAnsi="Times New Roman" w:cs="Times New Roman"/>
                <w:bCs/>
                <w:color w:val="auto"/>
                <w:highlight w:val="none"/>
                <w:lang w:val="en-US" w:eastAsia="zh-CN"/>
              </w:rPr>
              <w:t>5</w:t>
            </w:r>
            <w:r>
              <w:rPr>
                <w:rFonts w:hint="eastAsia" w:cs="Times New Roman"/>
                <w:bCs/>
                <w:color w:val="auto"/>
                <w:highlight w:val="none"/>
                <w:lang w:val="en-US" w:eastAsia="zh-CN"/>
              </w:rPr>
              <w:t>.05</w:t>
            </w:r>
            <w:r>
              <w:rPr>
                <w:rFonts w:hint="default" w:ascii="Times New Roman" w:hAnsi="Times New Roman" w:eastAsia="宋体" w:cs="Times New Roman"/>
                <w:bCs/>
                <w:color w:val="auto"/>
                <w:highlight w:val="none"/>
                <w:lang w:val="en-US" w:eastAsia="zh-CN"/>
              </w:rPr>
              <w:t>mg/L×</w:t>
            </w:r>
            <w:r>
              <w:rPr>
                <w:rFonts w:hint="eastAsia" w:cs="Times New Roman"/>
                <w:bCs/>
                <w:color w:val="auto"/>
                <w:highlight w:val="none"/>
                <w:lang w:val="en-US" w:eastAsia="zh-CN"/>
              </w:rPr>
              <w:t>593.54</w:t>
            </w:r>
            <w:r>
              <w:rPr>
                <w:rFonts w:hint="default" w:ascii="Times New Roman" w:hAnsi="Times New Roman" w:eastAsia="宋体" w:cs="Times New Roman"/>
                <w:bCs/>
                <w:color w:val="auto"/>
                <w:highlight w:val="none"/>
                <w:lang w:val="en-US" w:eastAsia="zh-CN"/>
              </w:rPr>
              <w:t>m</w:t>
            </w:r>
            <w:r>
              <w:rPr>
                <w:rFonts w:hint="default" w:ascii="Times New Roman" w:hAnsi="Times New Roman" w:eastAsia="宋体" w:cs="Times New Roman"/>
                <w:bCs/>
                <w:color w:val="auto"/>
                <w:highlight w:val="none"/>
                <w:vertAlign w:val="superscript"/>
                <w:lang w:val="en-US" w:eastAsia="zh-CN"/>
              </w:rPr>
              <w:t>3</w:t>
            </w:r>
            <w:r>
              <w:rPr>
                <w:rFonts w:hint="default" w:ascii="Times New Roman" w:hAnsi="Times New Roman" w:eastAsia="宋体" w:cs="Times New Roman"/>
                <w:bCs/>
                <w:color w:val="auto"/>
                <w:highlight w:val="none"/>
                <w:lang w:val="en-US" w:eastAsia="zh-CN"/>
              </w:rPr>
              <w:t>/a×10</w:t>
            </w:r>
            <w:r>
              <w:rPr>
                <w:rFonts w:hint="default" w:ascii="Times New Roman" w:hAnsi="Times New Roman" w:eastAsia="宋体" w:cs="Times New Roman"/>
                <w:bCs/>
                <w:color w:val="auto"/>
                <w:highlight w:val="none"/>
                <w:vertAlign w:val="superscript"/>
                <w:lang w:val="en-US" w:eastAsia="zh-CN"/>
              </w:rPr>
              <w:t>-6</w:t>
            </w:r>
            <w:r>
              <w:rPr>
                <w:rFonts w:hint="default" w:ascii="Times New Roman" w:hAnsi="Times New Roman" w:eastAsia="宋体" w:cs="Times New Roman"/>
                <w:bCs/>
                <w:color w:val="auto"/>
                <w:highlight w:val="none"/>
                <w:lang w:val="en-US" w:eastAsia="zh-CN"/>
              </w:rPr>
              <w:t>=0.</w:t>
            </w:r>
            <w:r>
              <w:rPr>
                <w:rFonts w:hint="default" w:ascii="Times New Roman" w:hAnsi="Times New Roman" w:cs="Times New Roman"/>
                <w:bCs/>
                <w:color w:val="auto"/>
                <w:highlight w:val="none"/>
                <w:lang w:val="en-US" w:eastAsia="zh-CN"/>
              </w:rPr>
              <w:t>0</w:t>
            </w:r>
            <w:r>
              <w:rPr>
                <w:rFonts w:hint="eastAsia" w:cs="Times New Roman"/>
                <w:bCs/>
                <w:color w:val="auto"/>
                <w:highlight w:val="none"/>
                <w:lang w:val="en-US" w:eastAsia="zh-CN"/>
              </w:rPr>
              <w:t>03</w:t>
            </w:r>
            <w:r>
              <w:rPr>
                <w:rFonts w:hint="default" w:ascii="Times New Roman" w:hAnsi="Times New Roman" w:eastAsia="宋体" w:cs="Times New Roman"/>
                <w:bCs/>
                <w:color w:val="auto"/>
                <w:highlight w:val="none"/>
                <w:lang w:val="en-US" w:eastAsia="zh-CN"/>
              </w:rPr>
              <w:t>t/a</w:t>
            </w:r>
            <w:r>
              <w:rPr>
                <w:rFonts w:hint="default" w:ascii="Times New Roman" w:hAnsi="Times New Roman" w:cs="Times New Roman"/>
                <w:color w:val="auto"/>
                <w:highlight w:val="none"/>
                <w:lang w:val="en-US" w:eastAsia="zh-CN"/>
              </w:rPr>
              <w:t>；</w:t>
            </w:r>
          </w:p>
          <w:p w14:paraId="6715FF67">
            <w:pPr>
              <w:keepNext w:val="0"/>
              <w:keepLines w:val="0"/>
              <w:suppressLineNumbers w:val="0"/>
              <w:bidi w:val="0"/>
              <w:spacing w:before="0" w:beforeAutospacing="0" w:after="0" w:afterAutospacing="0"/>
              <w:ind w:left="0" w:right="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VOCs总量控制指标：</w:t>
            </w:r>
          </w:p>
          <w:p w14:paraId="7C06EF91">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ascii="Times New Roman" w:hAnsi="Times New Roman" w:cs="Times New Roman"/>
                <w:bCs/>
                <w:color w:val="auto"/>
                <w:highlight w:val="none"/>
                <w:lang w:val="en-US" w:eastAsia="zh-CN"/>
              </w:rPr>
              <w:t>1.348</w:t>
            </w:r>
            <w:r>
              <w:rPr>
                <w:rFonts w:hint="default" w:ascii="Times New Roman" w:hAnsi="Times New Roman" w:eastAsia="宋体" w:cs="Times New Roman"/>
                <w:bCs/>
                <w:color w:val="auto"/>
                <w:highlight w:val="none"/>
                <w:lang w:val="en-US" w:eastAsia="zh-CN"/>
              </w:rPr>
              <w:t>×</w:t>
            </w:r>
            <w:r>
              <w:rPr>
                <w:rFonts w:hint="eastAsia" w:cs="Times New Roman"/>
                <w:bCs/>
                <w:color w:val="auto"/>
                <w:highlight w:val="none"/>
                <w:lang w:val="en-US" w:eastAsia="zh-CN"/>
              </w:rPr>
              <w:t>30</w:t>
            </w:r>
            <w:r>
              <w:rPr>
                <w:rFonts w:hint="default" w:ascii="Times New Roman" w:hAnsi="Times New Roman" w:eastAsia="宋体" w:cs="Times New Roman"/>
                <w:bCs/>
                <w:color w:val="auto"/>
                <w:highlight w:val="none"/>
                <w:lang w:val="en-US" w:eastAsia="zh-CN"/>
              </w:rPr>
              <w:t>%×</w:t>
            </w:r>
            <w:r>
              <w:rPr>
                <w:rFonts w:hint="default" w:ascii="Times New Roman" w:hAnsi="Times New Roman" w:cs="Times New Roman"/>
                <w:bCs/>
                <w:color w:val="auto"/>
                <w:highlight w:val="none"/>
                <w:lang w:val="en-US" w:eastAsia="zh-CN"/>
              </w:rPr>
              <w:t>（1-30</w:t>
            </w:r>
            <w:r>
              <w:rPr>
                <w:rFonts w:hint="default" w:ascii="Times New Roman" w:hAnsi="Times New Roman" w:eastAsia="宋体" w:cs="Times New Roman"/>
                <w:bCs/>
                <w:color w:val="auto"/>
                <w:highlight w:val="none"/>
                <w:lang w:val="en-US" w:eastAsia="zh-CN"/>
              </w:rPr>
              <w:t>%</w:t>
            </w:r>
            <w:r>
              <w:rPr>
                <w:rFonts w:hint="default" w:ascii="Times New Roman" w:hAnsi="Times New Roman" w:cs="Times New Roman"/>
                <w:bCs/>
                <w:color w:val="auto"/>
                <w:highlight w:val="none"/>
                <w:lang w:val="en-US" w:eastAsia="zh-CN"/>
              </w:rPr>
              <w:t>）</w:t>
            </w:r>
            <w:r>
              <w:rPr>
                <w:rFonts w:hint="default" w:ascii="Times New Roman" w:hAnsi="Times New Roman" w:eastAsia="宋体" w:cs="Times New Roman"/>
                <w:bCs/>
                <w:color w:val="auto"/>
                <w:highlight w:val="none"/>
                <w:lang w:val="en-US" w:eastAsia="zh-CN"/>
              </w:rPr>
              <w:t>＝</w:t>
            </w:r>
            <w:r>
              <w:rPr>
                <w:rFonts w:hint="default" w:ascii="Times New Roman" w:hAnsi="Times New Roman" w:cs="Times New Roman"/>
                <w:bCs/>
                <w:color w:val="auto"/>
                <w:highlight w:val="none"/>
                <w:lang w:val="en-US" w:eastAsia="zh-CN"/>
              </w:rPr>
              <w:t>0.</w:t>
            </w:r>
            <w:r>
              <w:rPr>
                <w:rFonts w:hint="eastAsia" w:cs="Times New Roman"/>
                <w:bCs/>
                <w:color w:val="auto"/>
                <w:highlight w:val="none"/>
                <w:lang w:val="en-US" w:eastAsia="zh-CN"/>
              </w:rPr>
              <w:t>28</w:t>
            </w:r>
            <w:r>
              <w:rPr>
                <w:rFonts w:hint="default" w:ascii="Times New Roman" w:hAnsi="Times New Roman" w:cs="Times New Roman"/>
                <w:bCs/>
                <w:color w:val="auto"/>
                <w:highlight w:val="none"/>
                <w:lang w:val="en-US" w:eastAsia="zh-CN"/>
              </w:rPr>
              <w:t>3</w:t>
            </w:r>
            <w:r>
              <w:rPr>
                <w:rFonts w:hint="default" w:ascii="Times New Roman" w:hAnsi="Times New Roman" w:eastAsia="宋体" w:cs="Times New Roman"/>
                <w:bCs/>
                <w:color w:val="auto"/>
                <w:highlight w:val="none"/>
                <w:lang w:val="en-US" w:eastAsia="zh-CN"/>
              </w:rPr>
              <w:t>t/a</w:t>
            </w:r>
            <w:r>
              <w:rPr>
                <w:rFonts w:hint="default" w:ascii="Times New Roman" w:hAnsi="Times New Roman" w:cs="Times New Roman"/>
                <w:bCs/>
                <w:color w:val="auto"/>
                <w:highlight w:val="none"/>
                <w:lang w:val="en-US" w:eastAsia="zh-CN"/>
              </w:rPr>
              <w:t>。</w:t>
            </w:r>
          </w:p>
        </w:tc>
      </w:tr>
    </w:tbl>
    <w:p w14:paraId="11AC2D5C">
      <w:pPr>
        <w:pStyle w:val="22"/>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6"/>
          <w:szCs w:val="36"/>
          <w:highlight w:val="none"/>
        </w:rPr>
        <w:br w:type="page"/>
      </w:r>
      <w:bookmarkStart w:id="20" w:name="_Toc10699"/>
      <w:r>
        <w:rPr>
          <w:rFonts w:hint="default" w:ascii="Times New Roman" w:hAnsi="Times New Roman" w:eastAsia="黑体" w:cs="Times New Roman"/>
          <w:snapToGrid w:val="0"/>
          <w:color w:val="auto"/>
          <w:sz w:val="30"/>
          <w:szCs w:val="30"/>
          <w:highlight w:val="none"/>
        </w:rPr>
        <w:t>四、主要环境影响和保护措施</w:t>
      </w:r>
      <w:bookmarkEnd w:id="20"/>
    </w:p>
    <w:tbl>
      <w:tblPr>
        <w:tblStyle w:val="32"/>
        <w:tblW w:w="89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97"/>
        <w:gridCol w:w="8684"/>
      </w:tblGrid>
      <w:tr w14:paraId="4C616E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94" w:hRule="atLeast"/>
          <w:jc w:val="center"/>
        </w:trPr>
        <w:tc>
          <w:tcPr>
            <w:tcW w:w="297" w:type="dxa"/>
            <w:tcMar>
              <w:left w:w="28" w:type="dxa"/>
              <w:right w:w="28" w:type="dxa"/>
            </w:tcMar>
            <w:vAlign w:val="center"/>
          </w:tcPr>
          <w:p w14:paraId="4B352BC6">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施</w:t>
            </w:r>
          </w:p>
          <w:p w14:paraId="56A4379C">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工</w:t>
            </w:r>
          </w:p>
          <w:p w14:paraId="2EEDF521">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期</w:t>
            </w:r>
          </w:p>
          <w:p w14:paraId="447D4283">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环</w:t>
            </w:r>
          </w:p>
          <w:p w14:paraId="62C142BF">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境</w:t>
            </w:r>
          </w:p>
          <w:p w14:paraId="4DB01489">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保</w:t>
            </w:r>
          </w:p>
          <w:p w14:paraId="56FDD348">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护</w:t>
            </w:r>
          </w:p>
          <w:p w14:paraId="7B64E5B0">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措</w:t>
            </w:r>
          </w:p>
          <w:p w14:paraId="332486CD">
            <w:pPr>
              <w:pStyle w:val="22"/>
              <w:keepNext w:val="0"/>
              <w:keepLines w:val="0"/>
              <w:suppressLineNumbers w:val="0"/>
              <w:bidi w:val="0"/>
              <w:spacing w:before="0" w:after="0"/>
              <w:ind w:left="0" w:right="0"/>
              <w:rPr>
                <w:rFonts w:hint="default" w:ascii="Times New Roman" w:hAnsi="Times New Roman" w:cs="Times New Roman"/>
                <w:b/>
                <w:bCs/>
                <w:color w:val="auto"/>
                <w:kern w:val="2"/>
                <w:szCs w:val="21"/>
                <w:highlight w:val="none"/>
              </w:rPr>
            </w:pPr>
            <w:r>
              <w:rPr>
                <w:rFonts w:hint="default" w:ascii="Times New Roman" w:hAnsi="Times New Roman" w:cs="Times New Roman"/>
                <w:b/>
                <w:bCs/>
                <w:color w:val="auto"/>
                <w:highlight w:val="none"/>
              </w:rPr>
              <w:t>施</w:t>
            </w:r>
          </w:p>
        </w:tc>
        <w:tc>
          <w:tcPr>
            <w:tcW w:w="8684" w:type="dxa"/>
            <w:vAlign w:val="center"/>
          </w:tcPr>
          <w:p w14:paraId="1737EE8A">
            <w:pPr>
              <w:keepNext w:val="0"/>
              <w:keepLines w:val="0"/>
              <w:pageBreakBefore w:val="0"/>
              <w:widowControl/>
              <w:suppressLineNumbers w:val="0"/>
              <w:tabs>
                <w:tab w:val="left" w:pos="1275"/>
              </w:tabs>
              <w:kinsoku/>
              <w:wordWrap/>
              <w:overflowPunct w:val="0"/>
              <w:topLinePunct/>
              <w:autoSpaceDE w:val="0"/>
              <w:autoSpaceDN/>
              <w:bidi w:val="0"/>
              <w:adjustRightInd/>
              <w:snapToGrid w:val="0"/>
              <w:spacing w:before="0" w:beforeAutospacing="0" w:after="0" w:afterAutospacing="0" w:line="360" w:lineRule="auto"/>
              <w:ind w:left="0" w:right="0" w:firstLine="480" w:firstLineChars="200"/>
              <w:jc w:val="both"/>
              <w:textAlignment w:val="auto"/>
              <w:rPr>
                <w:rFonts w:hint="default" w:cs="Times New Roman"/>
                <w:bCs/>
                <w:color w:val="auto"/>
                <w:sz w:val="24"/>
                <w:highlight w:val="none"/>
              </w:rPr>
            </w:pPr>
            <w:r>
              <w:rPr>
                <w:rFonts w:hint="eastAsia" w:cs="Times New Roman"/>
                <w:bCs/>
                <w:color w:val="auto"/>
                <w:sz w:val="24"/>
                <w:highlight w:val="none"/>
                <w:lang w:val="en-US" w:eastAsia="zh-CN"/>
              </w:rPr>
              <w:t>本项目在已建车间内进行生产，因此无施工期环境影响。本项目仅需增加少量设备，安装调试在厂房内进行，且安装周期较短，安装人员不多，人员食宿不在厂区，因此设备安装过程对周边环境的影响也很小，因此本报告中对施工期的环境影响不作详细评价。</w:t>
            </w:r>
          </w:p>
          <w:p w14:paraId="75B1B99D">
            <w:pPr>
              <w:keepNext w:val="0"/>
              <w:keepLines w:val="0"/>
              <w:suppressLineNumbers w:val="0"/>
              <w:spacing w:before="0" w:beforeAutospacing="0" w:after="0" w:afterAutospacing="0"/>
              <w:ind w:left="0" w:right="0"/>
              <w:rPr>
                <w:rFonts w:hint="default"/>
                <w:color w:val="auto"/>
                <w:highlight w:val="none"/>
              </w:rPr>
            </w:pPr>
          </w:p>
          <w:p w14:paraId="12D7327B">
            <w:pPr>
              <w:pStyle w:val="44"/>
              <w:keepNext w:val="0"/>
              <w:keepLines w:val="0"/>
              <w:suppressLineNumbers w:val="0"/>
              <w:spacing w:before="0" w:beforeAutospacing="0" w:after="0" w:afterAutospacing="0"/>
              <w:ind w:left="0" w:right="0"/>
              <w:rPr>
                <w:rFonts w:hint="default"/>
                <w:color w:val="auto"/>
                <w:highlight w:val="none"/>
              </w:rPr>
            </w:pPr>
          </w:p>
          <w:p w14:paraId="0CDB5901">
            <w:pPr>
              <w:keepNext w:val="0"/>
              <w:keepLines w:val="0"/>
              <w:suppressLineNumbers w:val="0"/>
              <w:spacing w:before="0" w:beforeAutospacing="0" w:after="0" w:afterAutospacing="0"/>
              <w:ind w:left="0" w:right="0"/>
              <w:rPr>
                <w:rFonts w:hint="default"/>
                <w:color w:val="auto"/>
                <w:highlight w:val="none"/>
              </w:rPr>
            </w:pPr>
          </w:p>
          <w:p w14:paraId="6A608D50">
            <w:pPr>
              <w:pStyle w:val="44"/>
              <w:keepNext w:val="0"/>
              <w:keepLines w:val="0"/>
              <w:suppressLineNumbers w:val="0"/>
              <w:spacing w:before="0" w:beforeAutospacing="0" w:after="0" w:afterAutospacing="0"/>
              <w:ind w:left="0" w:right="0"/>
              <w:rPr>
                <w:rFonts w:hint="default"/>
                <w:color w:val="auto"/>
                <w:highlight w:val="none"/>
              </w:rPr>
            </w:pPr>
          </w:p>
          <w:p w14:paraId="2DA40109">
            <w:pPr>
              <w:keepNext w:val="0"/>
              <w:keepLines w:val="0"/>
              <w:suppressLineNumbers w:val="0"/>
              <w:spacing w:before="0" w:beforeAutospacing="0" w:after="0" w:afterAutospacing="0"/>
              <w:ind w:left="0" w:right="0"/>
              <w:rPr>
                <w:rFonts w:hint="default"/>
                <w:color w:val="auto"/>
                <w:highlight w:val="none"/>
              </w:rPr>
            </w:pPr>
          </w:p>
          <w:p w14:paraId="3C59F72E">
            <w:pPr>
              <w:pStyle w:val="44"/>
              <w:keepNext w:val="0"/>
              <w:keepLines w:val="0"/>
              <w:suppressLineNumbers w:val="0"/>
              <w:spacing w:before="0" w:beforeAutospacing="0" w:after="0" w:afterAutospacing="0"/>
              <w:ind w:left="0" w:right="0"/>
              <w:rPr>
                <w:rFonts w:hint="default"/>
                <w:color w:val="auto"/>
                <w:highlight w:val="none"/>
              </w:rPr>
            </w:pPr>
          </w:p>
          <w:p w14:paraId="59554643">
            <w:pPr>
              <w:keepNext w:val="0"/>
              <w:keepLines w:val="0"/>
              <w:suppressLineNumbers w:val="0"/>
              <w:spacing w:before="0" w:beforeAutospacing="0" w:after="0" w:afterAutospacing="0"/>
              <w:ind w:left="0" w:right="0"/>
              <w:rPr>
                <w:rFonts w:hint="default"/>
                <w:color w:val="auto"/>
                <w:highlight w:val="none"/>
              </w:rPr>
            </w:pPr>
          </w:p>
          <w:p w14:paraId="4066F154">
            <w:pPr>
              <w:pStyle w:val="44"/>
              <w:keepNext w:val="0"/>
              <w:keepLines w:val="0"/>
              <w:suppressLineNumbers w:val="0"/>
              <w:spacing w:before="0" w:beforeAutospacing="0" w:after="0" w:afterAutospacing="0"/>
              <w:ind w:left="0" w:right="0"/>
              <w:rPr>
                <w:rFonts w:hint="default"/>
                <w:color w:val="auto"/>
                <w:highlight w:val="none"/>
              </w:rPr>
            </w:pPr>
          </w:p>
          <w:p w14:paraId="48670AB4">
            <w:pPr>
              <w:keepNext w:val="0"/>
              <w:keepLines w:val="0"/>
              <w:suppressLineNumbers w:val="0"/>
              <w:spacing w:before="0" w:beforeAutospacing="0" w:after="0" w:afterAutospacing="0"/>
              <w:ind w:left="0" w:right="0"/>
              <w:rPr>
                <w:rFonts w:hint="default"/>
                <w:color w:val="auto"/>
                <w:highlight w:val="none"/>
              </w:rPr>
            </w:pPr>
          </w:p>
          <w:p w14:paraId="3A9830AF">
            <w:pPr>
              <w:pStyle w:val="44"/>
              <w:keepNext w:val="0"/>
              <w:keepLines w:val="0"/>
              <w:suppressLineNumbers w:val="0"/>
              <w:spacing w:before="0" w:beforeAutospacing="0" w:after="0" w:afterAutospacing="0"/>
              <w:ind w:left="0" w:right="0"/>
              <w:rPr>
                <w:rFonts w:hint="default"/>
                <w:color w:val="auto"/>
                <w:highlight w:val="none"/>
              </w:rPr>
            </w:pPr>
          </w:p>
          <w:p w14:paraId="3DED51C6">
            <w:pPr>
              <w:keepNext w:val="0"/>
              <w:keepLines w:val="0"/>
              <w:suppressLineNumbers w:val="0"/>
              <w:spacing w:before="0" w:beforeAutospacing="0" w:after="0" w:afterAutospacing="0"/>
              <w:ind w:left="0" w:right="0"/>
              <w:rPr>
                <w:rFonts w:hint="default"/>
                <w:color w:val="auto"/>
                <w:highlight w:val="none"/>
              </w:rPr>
            </w:pPr>
          </w:p>
          <w:p w14:paraId="2A60CF2B">
            <w:pPr>
              <w:pStyle w:val="44"/>
              <w:keepNext w:val="0"/>
              <w:keepLines w:val="0"/>
              <w:suppressLineNumbers w:val="0"/>
              <w:spacing w:before="0" w:beforeAutospacing="0" w:after="0" w:afterAutospacing="0"/>
              <w:ind w:left="0" w:right="0"/>
              <w:rPr>
                <w:rFonts w:hint="default"/>
                <w:color w:val="auto"/>
                <w:highlight w:val="none"/>
              </w:rPr>
            </w:pPr>
          </w:p>
          <w:p w14:paraId="38B37155">
            <w:pPr>
              <w:keepNext w:val="0"/>
              <w:keepLines w:val="0"/>
              <w:suppressLineNumbers w:val="0"/>
              <w:spacing w:before="0" w:beforeAutospacing="0" w:after="0" w:afterAutospacing="0"/>
              <w:ind w:left="0" w:right="0"/>
              <w:rPr>
                <w:rFonts w:hint="default"/>
                <w:color w:val="auto"/>
                <w:highlight w:val="none"/>
              </w:rPr>
            </w:pPr>
          </w:p>
          <w:p w14:paraId="5F466ACC">
            <w:pPr>
              <w:pStyle w:val="42"/>
              <w:keepNext w:val="0"/>
              <w:keepLines w:val="0"/>
              <w:suppressLineNumbers w:val="0"/>
              <w:spacing w:before="0" w:beforeAutospacing="0" w:after="0" w:afterAutospacing="0"/>
              <w:ind w:left="0" w:right="0"/>
              <w:rPr>
                <w:rFonts w:hint="default"/>
                <w:color w:val="auto"/>
                <w:highlight w:val="none"/>
              </w:rPr>
            </w:pPr>
          </w:p>
          <w:p w14:paraId="49731F09">
            <w:pPr>
              <w:pStyle w:val="19"/>
              <w:keepNext w:val="0"/>
              <w:keepLines w:val="0"/>
              <w:suppressLineNumbers w:val="0"/>
              <w:spacing w:before="0" w:beforeAutospacing="0" w:after="0" w:afterAutospacing="0"/>
              <w:ind w:right="0"/>
              <w:rPr>
                <w:rFonts w:hint="default"/>
                <w:color w:val="auto"/>
                <w:highlight w:val="none"/>
              </w:rPr>
            </w:pPr>
          </w:p>
          <w:p w14:paraId="735A0EBF">
            <w:pPr>
              <w:pStyle w:val="44"/>
              <w:keepNext w:val="0"/>
              <w:keepLines w:val="0"/>
              <w:suppressLineNumbers w:val="0"/>
              <w:spacing w:before="0" w:beforeAutospacing="0" w:after="0" w:afterAutospacing="0"/>
              <w:ind w:left="0" w:leftChars="0" w:right="0" w:firstLine="0" w:firstLineChars="0"/>
              <w:rPr>
                <w:rFonts w:hint="default"/>
                <w:color w:val="auto"/>
                <w:highlight w:val="none"/>
              </w:rPr>
            </w:pPr>
          </w:p>
        </w:tc>
      </w:tr>
    </w:tbl>
    <w:p w14:paraId="4FEE9A37">
      <w:pPr>
        <w:adjustRightInd w:val="0"/>
        <w:snapToGrid w:val="0"/>
        <w:spacing w:line="360" w:lineRule="auto"/>
        <w:rPr>
          <w:rFonts w:hint="default" w:ascii="Times New Roman" w:hAnsi="Times New Roman" w:cs="Times New Roman"/>
          <w:b/>
          <w:color w:val="auto"/>
          <w:kern w:val="0"/>
          <w:sz w:val="28"/>
          <w:szCs w:val="28"/>
          <w:highlight w:val="none"/>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32"/>
        <w:tblW w:w="1413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67"/>
        <w:gridCol w:w="13672"/>
      </w:tblGrid>
      <w:tr w14:paraId="7D81EE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94" w:hRule="atLeast"/>
          <w:jc w:val="center"/>
        </w:trPr>
        <w:tc>
          <w:tcPr>
            <w:tcW w:w="467" w:type="dxa"/>
            <w:tcMar>
              <w:left w:w="28" w:type="dxa"/>
              <w:right w:w="28" w:type="dxa"/>
            </w:tcMar>
            <w:vAlign w:val="center"/>
          </w:tcPr>
          <w:p w14:paraId="5A1A68C8">
            <w:pPr>
              <w:pStyle w:val="6"/>
              <w:keepNext w:val="0"/>
              <w:keepLines w:val="0"/>
              <w:suppressLineNumbers w:val="0"/>
              <w:bidi w:val="0"/>
              <w:spacing w:before="0" w:beforeAutospacing="0" w:after="0" w:afterAutospacing="0"/>
              <w:ind w:right="0"/>
              <w:jc w:val="center"/>
              <w:rPr>
                <w:rFonts w:hint="eastAsia"/>
                <w:b/>
                <w:bCs/>
                <w:color w:val="auto"/>
                <w:sz w:val="24"/>
                <w:szCs w:val="24"/>
                <w:highlight w:val="none"/>
              </w:rPr>
            </w:pPr>
            <w:r>
              <w:rPr>
                <w:rFonts w:hint="eastAsia"/>
                <w:b/>
                <w:bCs/>
                <w:color w:val="auto"/>
                <w:sz w:val="24"/>
                <w:szCs w:val="24"/>
                <w:highlight w:val="none"/>
              </w:rPr>
              <w:t>运营</w:t>
            </w:r>
          </w:p>
          <w:p w14:paraId="54159534">
            <w:pPr>
              <w:pStyle w:val="6"/>
              <w:keepNext w:val="0"/>
              <w:keepLines w:val="0"/>
              <w:suppressLineNumbers w:val="0"/>
              <w:bidi w:val="0"/>
              <w:spacing w:before="0" w:beforeAutospacing="0" w:after="0" w:afterAutospacing="0"/>
              <w:ind w:right="0"/>
              <w:jc w:val="center"/>
              <w:rPr>
                <w:rFonts w:hint="eastAsia"/>
                <w:b/>
                <w:bCs/>
                <w:color w:val="auto"/>
                <w:sz w:val="24"/>
                <w:szCs w:val="24"/>
                <w:highlight w:val="none"/>
              </w:rPr>
            </w:pPr>
            <w:r>
              <w:rPr>
                <w:rFonts w:hint="eastAsia"/>
                <w:b/>
                <w:bCs/>
                <w:color w:val="auto"/>
                <w:sz w:val="24"/>
                <w:szCs w:val="24"/>
                <w:highlight w:val="none"/>
              </w:rPr>
              <w:t>期环</w:t>
            </w:r>
          </w:p>
          <w:p w14:paraId="2A62135C">
            <w:pPr>
              <w:pStyle w:val="6"/>
              <w:keepNext w:val="0"/>
              <w:keepLines w:val="0"/>
              <w:suppressLineNumbers w:val="0"/>
              <w:bidi w:val="0"/>
              <w:spacing w:before="0" w:beforeAutospacing="0" w:after="0" w:afterAutospacing="0"/>
              <w:ind w:right="0"/>
              <w:jc w:val="center"/>
              <w:rPr>
                <w:rFonts w:hint="eastAsia"/>
                <w:b/>
                <w:bCs/>
                <w:color w:val="auto"/>
                <w:sz w:val="24"/>
                <w:szCs w:val="24"/>
                <w:highlight w:val="none"/>
              </w:rPr>
            </w:pPr>
            <w:r>
              <w:rPr>
                <w:rFonts w:hint="eastAsia"/>
                <w:b/>
                <w:bCs/>
                <w:color w:val="auto"/>
                <w:sz w:val="24"/>
                <w:szCs w:val="24"/>
                <w:highlight w:val="none"/>
              </w:rPr>
              <w:t>境影</w:t>
            </w:r>
          </w:p>
          <w:p w14:paraId="1F0CAC56">
            <w:pPr>
              <w:pStyle w:val="6"/>
              <w:keepNext w:val="0"/>
              <w:keepLines w:val="0"/>
              <w:suppressLineNumbers w:val="0"/>
              <w:bidi w:val="0"/>
              <w:spacing w:before="0" w:beforeAutospacing="0" w:after="0" w:afterAutospacing="0"/>
              <w:ind w:right="0"/>
              <w:jc w:val="center"/>
              <w:rPr>
                <w:rFonts w:hint="eastAsia"/>
                <w:b/>
                <w:bCs/>
                <w:color w:val="auto"/>
                <w:sz w:val="24"/>
                <w:szCs w:val="24"/>
                <w:highlight w:val="none"/>
              </w:rPr>
            </w:pPr>
            <w:r>
              <w:rPr>
                <w:rFonts w:hint="eastAsia"/>
                <w:b/>
                <w:bCs/>
                <w:color w:val="auto"/>
                <w:sz w:val="24"/>
                <w:szCs w:val="24"/>
                <w:highlight w:val="none"/>
              </w:rPr>
              <w:t>响和</w:t>
            </w:r>
          </w:p>
          <w:p w14:paraId="5EF78AAF">
            <w:pPr>
              <w:pStyle w:val="6"/>
              <w:keepNext w:val="0"/>
              <w:keepLines w:val="0"/>
              <w:suppressLineNumbers w:val="0"/>
              <w:bidi w:val="0"/>
              <w:spacing w:before="0" w:beforeAutospacing="0" w:after="0" w:afterAutospacing="0"/>
              <w:ind w:right="0"/>
              <w:jc w:val="center"/>
              <w:rPr>
                <w:rFonts w:hint="eastAsia"/>
                <w:b/>
                <w:bCs/>
                <w:color w:val="auto"/>
                <w:sz w:val="24"/>
                <w:szCs w:val="24"/>
                <w:highlight w:val="none"/>
              </w:rPr>
            </w:pPr>
            <w:r>
              <w:rPr>
                <w:rFonts w:hint="eastAsia"/>
                <w:b/>
                <w:bCs/>
                <w:color w:val="auto"/>
                <w:sz w:val="24"/>
                <w:szCs w:val="24"/>
                <w:highlight w:val="none"/>
              </w:rPr>
              <w:t>保护</w:t>
            </w:r>
          </w:p>
          <w:p w14:paraId="7B01A02A">
            <w:pPr>
              <w:pStyle w:val="6"/>
              <w:keepNext w:val="0"/>
              <w:keepLines w:val="0"/>
              <w:suppressLineNumbers w:val="0"/>
              <w:bidi w:val="0"/>
              <w:spacing w:before="0" w:beforeAutospacing="0" w:after="0" w:afterAutospacing="0"/>
              <w:ind w:right="0"/>
              <w:jc w:val="center"/>
              <w:rPr>
                <w:rFonts w:hint="default" w:ascii="Times New Roman" w:hAnsi="Times New Roman" w:cs="Times New Roman"/>
                <w:b/>
                <w:bCs/>
                <w:color w:val="auto"/>
                <w:kern w:val="2"/>
                <w:szCs w:val="21"/>
                <w:highlight w:val="none"/>
              </w:rPr>
            </w:pPr>
            <w:r>
              <w:rPr>
                <w:rFonts w:hint="eastAsia"/>
                <w:b/>
                <w:bCs/>
                <w:color w:val="auto"/>
                <w:sz w:val="24"/>
                <w:szCs w:val="24"/>
                <w:highlight w:val="none"/>
              </w:rPr>
              <w:t>措施</w:t>
            </w:r>
          </w:p>
        </w:tc>
        <w:tc>
          <w:tcPr>
            <w:tcW w:w="13672" w:type="dxa"/>
            <w:vAlign w:val="top"/>
          </w:tcPr>
          <w:p w14:paraId="5E7B83EE">
            <w:pPr>
              <w:keepNext w:val="0"/>
              <w:keepLines w:val="0"/>
              <w:suppressLineNumbers w:val="0"/>
              <w:bidi w:val="0"/>
              <w:spacing w:before="0" w:beforeAutospacing="0" w:after="0" w:afterAutospacing="0" w:line="360" w:lineRule="auto"/>
              <w:ind w:left="0" w:right="0"/>
              <w:rPr>
                <w:rFonts w:hint="default"/>
                <w:b/>
                <w:bCs/>
                <w:color w:val="auto"/>
                <w:highlight w:val="none"/>
              </w:rPr>
            </w:pPr>
            <w:r>
              <w:rPr>
                <w:rFonts w:hint="eastAsia"/>
                <w:b/>
                <w:bCs/>
                <w:color w:val="auto"/>
                <w:highlight w:val="none"/>
                <w:lang w:val="en-US" w:eastAsia="zh-CN"/>
              </w:rPr>
              <w:t>1、</w:t>
            </w:r>
            <w:r>
              <w:rPr>
                <w:rFonts w:hint="default"/>
                <w:b/>
                <w:bCs/>
                <w:color w:val="auto"/>
                <w:highlight w:val="none"/>
              </w:rPr>
              <w:t>废气</w:t>
            </w:r>
          </w:p>
          <w:p w14:paraId="3623B6C9">
            <w:pPr>
              <w:keepNext w:val="0"/>
              <w:keepLines w:val="0"/>
              <w:suppressLineNumbers w:val="0"/>
              <w:bidi w:val="0"/>
              <w:spacing w:before="0" w:beforeAutospacing="0" w:after="0" w:afterAutospacing="0" w:line="360" w:lineRule="auto"/>
              <w:ind w:left="0" w:right="0"/>
              <w:rPr>
                <w:rFonts w:hint="default"/>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default"/>
                <w:color w:val="auto"/>
                <w:highlight w:val="none"/>
              </w:rPr>
              <w:t>废气污染源情况</w:t>
            </w:r>
          </w:p>
          <w:p w14:paraId="393F5BEB">
            <w:pPr>
              <w:keepNext w:val="0"/>
              <w:keepLines w:val="0"/>
              <w:suppressLineNumbers w:val="0"/>
              <w:bidi w:val="0"/>
              <w:spacing w:before="0" w:beforeAutospacing="0" w:after="0" w:afterAutospacing="0" w:line="240" w:lineRule="auto"/>
              <w:ind w:left="0" w:right="0"/>
              <w:rPr>
                <w:rFonts w:hint="default" w:eastAsia="宋体"/>
                <w:color w:val="auto"/>
                <w:highlight w:val="none"/>
                <w:lang w:val="en-US" w:eastAsia="zh-CN"/>
              </w:rPr>
            </w:pPr>
            <w:r>
              <w:rPr>
                <w:rFonts w:hint="eastAsia"/>
                <w:color w:val="auto"/>
                <w:highlight w:val="none"/>
                <w:lang w:val="en-US" w:eastAsia="zh-CN"/>
              </w:rPr>
              <w:t>本项目废气污染源排放情况见表4-1。</w:t>
            </w:r>
          </w:p>
          <w:p w14:paraId="68FEB4E4">
            <w:pPr>
              <w:pStyle w:val="6"/>
              <w:keepNext w:val="0"/>
              <w:keepLines w:val="0"/>
              <w:suppressLineNumbers w:val="0"/>
              <w:bidi w:val="0"/>
              <w:spacing w:before="0" w:beforeAutospacing="0" w:after="0" w:afterAutospacing="0"/>
              <w:ind w:right="0"/>
              <w:rPr>
                <w:rFonts w:hint="default"/>
                <w:b/>
                <w:bCs/>
                <w:color w:val="auto"/>
                <w:sz w:val="21"/>
                <w:szCs w:val="21"/>
                <w:highlight w:val="none"/>
              </w:rPr>
            </w:pPr>
            <w:r>
              <w:rPr>
                <w:rFonts w:hint="default"/>
                <w:b/>
                <w:bCs/>
                <w:color w:val="auto"/>
                <w:sz w:val="21"/>
                <w:szCs w:val="21"/>
                <w:highlight w:val="none"/>
              </w:rPr>
              <w:t>表4-1</w:t>
            </w:r>
            <w:r>
              <w:rPr>
                <w:rFonts w:hint="eastAsia"/>
                <w:b/>
                <w:bCs/>
                <w:color w:val="auto"/>
                <w:sz w:val="21"/>
                <w:szCs w:val="21"/>
                <w:highlight w:val="none"/>
                <w:lang w:val="en-US" w:eastAsia="zh-CN"/>
              </w:rPr>
              <w:t xml:space="preserve">  </w:t>
            </w:r>
            <w:r>
              <w:rPr>
                <w:rFonts w:hint="default"/>
                <w:b/>
                <w:bCs/>
                <w:color w:val="auto"/>
                <w:sz w:val="21"/>
                <w:szCs w:val="21"/>
                <w:highlight w:val="none"/>
              </w:rPr>
              <w:t xml:space="preserve"> 废气污染源产排情况汇总表</w:t>
            </w:r>
          </w:p>
          <w:tbl>
            <w:tblPr>
              <w:tblStyle w:val="3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76"/>
              <w:gridCol w:w="396"/>
              <w:gridCol w:w="732"/>
              <w:gridCol w:w="563"/>
              <w:gridCol w:w="704"/>
              <w:gridCol w:w="622"/>
              <w:gridCol w:w="665"/>
              <w:gridCol w:w="485"/>
              <w:gridCol w:w="396"/>
              <w:gridCol w:w="396"/>
              <w:gridCol w:w="582"/>
              <w:gridCol w:w="714"/>
              <w:gridCol w:w="695"/>
              <w:gridCol w:w="688"/>
              <w:gridCol w:w="605"/>
              <w:gridCol w:w="510"/>
              <w:gridCol w:w="575"/>
              <w:gridCol w:w="425"/>
              <w:gridCol w:w="363"/>
              <w:gridCol w:w="1450"/>
              <w:gridCol w:w="700"/>
              <w:gridCol w:w="614"/>
            </w:tblGrid>
            <w:tr w14:paraId="30EC97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214" w:type="pct"/>
                  <w:vMerge w:val="restart"/>
                  <w:tcBorders>
                    <w:tl2br w:val="nil"/>
                    <w:tr2bl w:val="nil"/>
                  </w:tcBorders>
                  <w:vAlign w:val="center"/>
                </w:tcPr>
                <w:p w14:paraId="66EAA06A">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产排污环节</w:t>
                  </w:r>
                </w:p>
              </w:tc>
              <w:tc>
                <w:tcPr>
                  <w:tcW w:w="147" w:type="pct"/>
                  <w:vMerge w:val="restart"/>
                  <w:tcBorders>
                    <w:tl2br w:val="nil"/>
                    <w:tr2bl w:val="nil"/>
                  </w:tcBorders>
                  <w:vAlign w:val="center"/>
                </w:tcPr>
                <w:p w14:paraId="00C51564">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排放形式</w:t>
                  </w:r>
                </w:p>
              </w:tc>
              <w:tc>
                <w:tcPr>
                  <w:tcW w:w="271" w:type="pct"/>
                  <w:vMerge w:val="restart"/>
                  <w:tcBorders>
                    <w:tl2br w:val="nil"/>
                    <w:tr2bl w:val="nil"/>
                  </w:tcBorders>
                  <w:vAlign w:val="center"/>
                </w:tcPr>
                <w:p w14:paraId="512FFF28">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污染物种类</w:t>
                  </w:r>
                </w:p>
              </w:tc>
              <w:tc>
                <w:tcPr>
                  <w:tcW w:w="701" w:type="pct"/>
                  <w:gridSpan w:val="3"/>
                  <w:tcBorders>
                    <w:tl2br w:val="nil"/>
                    <w:tr2bl w:val="nil"/>
                  </w:tcBorders>
                  <w:vAlign w:val="center"/>
                </w:tcPr>
                <w:p w14:paraId="7AFCAFFD">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污染物产生量和浓度</w:t>
                  </w:r>
                </w:p>
              </w:tc>
              <w:tc>
                <w:tcPr>
                  <w:tcW w:w="937" w:type="pct"/>
                  <w:gridSpan w:val="5"/>
                  <w:tcBorders>
                    <w:tl2br w:val="nil"/>
                    <w:tr2bl w:val="nil"/>
                  </w:tcBorders>
                  <w:vAlign w:val="center"/>
                </w:tcPr>
                <w:p w14:paraId="5F48ED01">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污染治理设施</w:t>
                  </w:r>
                </w:p>
              </w:tc>
              <w:tc>
                <w:tcPr>
                  <w:tcW w:w="779" w:type="pct"/>
                  <w:gridSpan w:val="3"/>
                  <w:tcBorders>
                    <w:tl2br w:val="nil"/>
                    <w:tr2bl w:val="nil"/>
                  </w:tcBorders>
                  <w:vAlign w:val="center"/>
                </w:tcPr>
                <w:p w14:paraId="7887660E">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污染物排放量和浓度</w:t>
                  </w:r>
                </w:p>
              </w:tc>
              <w:tc>
                <w:tcPr>
                  <w:tcW w:w="1459" w:type="pct"/>
                  <w:gridSpan w:val="6"/>
                  <w:tcBorders>
                    <w:tl2br w:val="nil"/>
                    <w:tr2bl w:val="nil"/>
                  </w:tcBorders>
                  <w:vAlign w:val="center"/>
                </w:tcPr>
                <w:p w14:paraId="1D924F6D">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排放口基本情况</w:t>
                  </w:r>
                </w:p>
              </w:tc>
              <w:tc>
                <w:tcPr>
                  <w:tcW w:w="488" w:type="pct"/>
                  <w:gridSpan w:val="2"/>
                  <w:tcBorders>
                    <w:tl2br w:val="nil"/>
                    <w:tr2bl w:val="nil"/>
                  </w:tcBorders>
                  <w:vAlign w:val="center"/>
                </w:tcPr>
                <w:p w14:paraId="4DB5D8EC">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排放标准</w:t>
                  </w:r>
                </w:p>
              </w:tc>
            </w:tr>
            <w:tr w14:paraId="6D75E7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4" w:type="pct"/>
                  <w:vMerge w:val="continue"/>
                  <w:tcBorders>
                    <w:tl2br w:val="nil"/>
                    <w:tr2bl w:val="nil"/>
                  </w:tcBorders>
                  <w:vAlign w:val="center"/>
                </w:tcPr>
                <w:p w14:paraId="1991D468">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p>
              </w:tc>
              <w:tc>
                <w:tcPr>
                  <w:tcW w:w="147" w:type="pct"/>
                  <w:vMerge w:val="continue"/>
                  <w:tcBorders>
                    <w:tl2br w:val="nil"/>
                    <w:tr2bl w:val="nil"/>
                  </w:tcBorders>
                  <w:vAlign w:val="center"/>
                </w:tcPr>
                <w:p w14:paraId="37F7B35C">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p>
              </w:tc>
              <w:tc>
                <w:tcPr>
                  <w:tcW w:w="271" w:type="pct"/>
                  <w:vMerge w:val="continue"/>
                  <w:tcBorders>
                    <w:tl2br w:val="nil"/>
                    <w:tr2bl w:val="nil"/>
                  </w:tcBorders>
                  <w:vAlign w:val="center"/>
                </w:tcPr>
                <w:p w14:paraId="41698DF7">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p>
              </w:tc>
              <w:tc>
                <w:tcPr>
                  <w:tcW w:w="209" w:type="pct"/>
                  <w:vMerge w:val="restart"/>
                  <w:tcBorders>
                    <w:tl2br w:val="nil"/>
                    <w:tr2bl w:val="nil"/>
                  </w:tcBorders>
                  <w:vAlign w:val="center"/>
                </w:tcPr>
                <w:p w14:paraId="61980935">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产生浓度</w:t>
                  </w:r>
                </w:p>
                <w:p w14:paraId="53B3233E">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mg/m</w:t>
                  </w:r>
                  <w:r>
                    <w:rPr>
                      <w:rFonts w:hint="default" w:ascii="Times New Roman" w:hAnsi="Times New Roman" w:cs="Times New Roman"/>
                      <w:b/>
                      <w:bCs/>
                      <w:color w:val="auto"/>
                      <w:sz w:val="18"/>
                      <w:szCs w:val="18"/>
                      <w:highlight w:val="none"/>
                      <w:vertAlign w:val="superscript"/>
                    </w:rPr>
                    <w:t>3</w:t>
                  </w:r>
                </w:p>
              </w:tc>
              <w:tc>
                <w:tcPr>
                  <w:tcW w:w="492" w:type="pct"/>
                  <w:gridSpan w:val="2"/>
                  <w:tcBorders>
                    <w:tl2br w:val="nil"/>
                    <w:tr2bl w:val="nil"/>
                  </w:tcBorders>
                  <w:vAlign w:val="center"/>
                </w:tcPr>
                <w:p w14:paraId="61E87184">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产生量</w:t>
                  </w:r>
                </w:p>
              </w:tc>
              <w:tc>
                <w:tcPr>
                  <w:tcW w:w="247" w:type="pct"/>
                  <w:tcBorders>
                    <w:tl2br w:val="nil"/>
                    <w:tr2bl w:val="nil"/>
                  </w:tcBorders>
                  <w:vAlign w:val="center"/>
                </w:tcPr>
                <w:p w14:paraId="6A1EDF4B">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处理能力</w:t>
                  </w:r>
                </w:p>
              </w:tc>
              <w:tc>
                <w:tcPr>
                  <w:tcW w:w="180" w:type="pct"/>
                  <w:tcBorders>
                    <w:tl2br w:val="nil"/>
                    <w:tr2bl w:val="nil"/>
                  </w:tcBorders>
                  <w:vAlign w:val="center"/>
                </w:tcPr>
                <w:p w14:paraId="03573C62">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收集效率</w:t>
                  </w:r>
                </w:p>
              </w:tc>
              <w:tc>
                <w:tcPr>
                  <w:tcW w:w="147" w:type="pct"/>
                  <w:tcBorders>
                    <w:tl2br w:val="nil"/>
                    <w:tr2bl w:val="nil"/>
                  </w:tcBorders>
                  <w:vAlign w:val="center"/>
                </w:tcPr>
                <w:p w14:paraId="3D8F5106">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去除效率</w:t>
                  </w:r>
                </w:p>
              </w:tc>
              <w:tc>
                <w:tcPr>
                  <w:tcW w:w="147" w:type="pct"/>
                  <w:vMerge w:val="restart"/>
                  <w:tcBorders>
                    <w:tl2br w:val="nil"/>
                    <w:tr2bl w:val="nil"/>
                  </w:tcBorders>
                  <w:vAlign w:val="center"/>
                </w:tcPr>
                <w:p w14:paraId="1AFD31D1">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是否可行技术</w:t>
                  </w:r>
                </w:p>
              </w:tc>
              <w:tc>
                <w:tcPr>
                  <w:tcW w:w="216" w:type="pct"/>
                  <w:vMerge w:val="restart"/>
                  <w:tcBorders>
                    <w:tl2br w:val="nil"/>
                    <w:tr2bl w:val="nil"/>
                  </w:tcBorders>
                  <w:vAlign w:val="center"/>
                </w:tcPr>
                <w:p w14:paraId="2E94C4E6">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eastAsia" w:ascii="Times New Roman" w:hAnsi="Times New Roman" w:cs="Times New Roman"/>
                      <w:b/>
                      <w:bCs/>
                      <w:color w:val="auto"/>
                      <w:sz w:val="18"/>
                      <w:szCs w:val="18"/>
                      <w:highlight w:val="none"/>
                    </w:rPr>
                    <w:t>处理工艺</w:t>
                  </w:r>
                </w:p>
              </w:tc>
              <w:tc>
                <w:tcPr>
                  <w:tcW w:w="265" w:type="pct"/>
                  <w:vMerge w:val="restart"/>
                  <w:tcBorders>
                    <w:tl2br w:val="nil"/>
                    <w:tr2bl w:val="nil"/>
                  </w:tcBorders>
                  <w:vAlign w:val="center"/>
                </w:tcPr>
                <w:p w14:paraId="7B68532C">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排放浓度</w:t>
                  </w:r>
                </w:p>
                <w:p w14:paraId="7E5D446A">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mg/m</w:t>
                  </w:r>
                  <w:r>
                    <w:rPr>
                      <w:rFonts w:hint="default" w:ascii="Times New Roman" w:hAnsi="Times New Roman" w:cs="Times New Roman"/>
                      <w:b/>
                      <w:bCs/>
                      <w:color w:val="auto"/>
                      <w:sz w:val="18"/>
                      <w:szCs w:val="18"/>
                      <w:highlight w:val="none"/>
                      <w:vertAlign w:val="superscript"/>
                    </w:rPr>
                    <w:t>3</w:t>
                  </w:r>
                </w:p>
              </w:tc>
              <w:tc>
                <w:tcPr>
                  <w:tcW w:w="513" w:type="pct"/>
                  <w:gridSpan w:val="2"/>
                  <w:tcBorders>
                    <w:tl2br w:val="nil"/>
                    <w:tr2bl w:val="nil"/>
                  </w:tcBorders>
                  <w:vAlign w:val="center"/>
                </w:tcPr>
                <w:p w14:paraId="3199CA16">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排放量</w:t>
                  </w:r>
                </w:p>
              </w:tc>
              <w:tc>
                <w:tcPr>
                  <w:tcW w:w="224" w:type="pct"/>
                  <w:tcBorders>
                    <w:tl2br w:val="nil"/>
                    <w:tr2bl w:val="nil"/>
                  </w:tcBorders>
                  <w:vAlign w:val="center"/>
                </w:tcPr>
                <w:p w14:paraId="79577B90">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编号及名称</w:t>
                  </w:r>
                </w:p>
              </w:tc>
              <w:tc>
                <w:tcPr>
                  <w:tcW w:w="189" w:type="pct"/>
                  <w:tcBorders>
                    <w:tl2br w:val="nil"/>
                    <w:tr2bl w:val="nil"/>
                  </w:tcBorders>
                  <w:vAlign w:val="center"/>
                </w:tcPr>
                <w:p w14:paraId="3410F246">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高度</w:t>
                  </w:r>
                </w:p>
              </w:tc>
              <w:tc>
                <w:tcPr>
                  <w:tcW w:w="213" w:type="pct"/>
                  <w:tcBorders>
                    <w:tl2br w:val="nil"/>
                    <w:tr2bl w:val="nil"/>
                  </w:tcBorders>
                  <w:vAlign w:val="center"/>
                </w:tcPr>
                <w:p w14:paraId="5EB2F24C">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内径</w:t>
                  </w:r>
                </w:p>
              </w:tc>
              <w:tc>
                <w:tcPr>
                  <w:tcW w:w="157" w:type="pct"/>
                  <w:tcBorders>
                    <w:tl2br w:val="nil"/>
                    <w:tr2bl w:val="nil"/>
                  </w:tcBorders>
                  <w:vAlign w:val="center"/>
                </w:tcPr>
                <w:p w14:paraId="154A2603">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温度</w:t>
                  </w:r>
                </w:p>
              </w:tc>
              <w:tc>
                <w:tcPr>
                  <w:tcW w:w="134" w:type="pct"/>
                  <w:tcBorders>
                    <w:tl2br w:val="nil"/>
                    <w:tr2bl w:val="nil"/>
                  </w:tcBorders>
                  <w:vAlign w:val="center"/>
                </w:tcPr>
                <w:p w14:paraId="26AA4BCA">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类型</w:t>
                  </w:r>
                </w:p>
              </w:tc>
              <w:tc>
                <w:tcPr>
                  <w:tcW w:w="538" w:type="pct"/>
                  <w:tcBorders>
                    <w:tl2br w:val="nil"/>
                    <w:tr2bl w:val="nil"/>
                  </w:tcBorders>
                  <w:vAlign w:val="center"/>
                </w:tcPr>
                <w:p w14:paraId="018D1D92">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地理</w:t>
                  </w:r>
                </w:p>
                <w:p w14:paraId="5F62F073">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坐标</w:t>
                  </w:r>
                </w:p>
              </w:tc>
              <w:tc>
                <w:tcPr>
                  <w:tcW w:w="260" w:type="pct"/>
                  <w:vMerge w:val="restart"/>
                  <w:tcBorders>
                    <w:tl2br w:val="nil"/>
                    <w:tr2bl w:val="nil"/>
                  </w:tcBorders>
                  <w:vAlign w:val="center"/>
                </w:tcPr>
                <w:p w14:paraId="1B5EB4BC">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浓度</w:t>
                  </w:r>
                </w:p>
                <w:p w14:paraId="024BDF52">
                  <w:pPr>
                    <w:pStyle w:val="6"/>
                    <w:keepNext w:val="0"/>
                    <w:keepLines w:val="0"/>
                    <w:suppressLineNumbers w:val="0"/>
                    <w:bidi w:val="0"/>
                    <w:spacing w:before="0" w:beforeAutospacing="0" w:after="0" w:afterAutospacing="0"/>
                    <w:ind w:right="0"/>
                    <w:rPr>
                      <w:rFonts w:hint="eastAsia" w:ascii="Times New Roman" w:hAnsi="Times New Roman" w:eastAsia="宋体" w:cs="Times New Roman"/>
                      <w:b/>
                      <w:bCs/>
                      <w:color w:val="auto"/>
                      <w:sz w:val="18"/>
                      <w:szCs w:val="18"/>
                      <w:highlight w:val="none"/>
                      <w:vertAlign w:val="superscript"/>
                      <w:lang w:val="en-US" w:eastAsia="zh-CN"/>
                    </w:rPr>
                  </w:pPr>
                  <w:r>
                    <w:rPr>
                      <w:rFonts w:hint="default" w:ascii="Times New Roman" w:hAnsi="Times New Roman" w:cs="Times New Roman"/>
                      <w:b/>
                      <w:bCs/>
                      <w:color w:val="auto"/>
                      <w:sz w:val="18"/>
                      <w:szCs w:val="18"/>
                      <w:highlight w:val="none"/>
                    </w:rPr>
                    <w:t>mg/m</w:t>
                  </w:r>
                  <w:r>
                    <w:rPr>
                      <w:rFonts w:hint="eastAsia" w:ascii="Times New Roman" w:hAnsi="Times New Roman" w:cs="Times New Roman"/>
                      <w:b/>
                      <w:bCs/>
                      <w:color w:val="auto"/>
                      <w:sz w:val="18"/>
                      <w:szCs w:val="18"/>
                      <w:highlight w:val="none"/>
                      <w:vertAlign w:val="superscript"/>
                      <w:lang w:val="en-US" w:eastAsia="zh-CN"/>
                    </w:rPr>
                    <w:t>3</w:t>
                  </w:r>
                </w:p>
              </w:tc>
              <w:tc>
                <w:tcPr>
                  <w:tcW w:w="228" w:type="pct"/>
                  <w:vMerge w:val="restart"/>
                  <w:tcBorders>
                    <w:tl2br w:val="nil"/>
                    <w:tr2bl w:val="nil"/>
                  </w:tcBorders>
                  <w:vAlign w:val="center"/>
                </w:tcPr>
                <w:p w14:paraId="5EE0D2DF">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速率</w:t>
                  </w:r>
                </w:p>
                <w:p w14:paraId="0D158999">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kg/h</w:t>
                  </w:r>
                </w:p>
              </w:tc>
            </w:tr>
            <w:tr w14:paraId="2C60B7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4" w:type="pct"/>
                  <w:vMerge w:val="continue"/>
                  <w:tcBorders>
                    <w:bottom w:val="single" w:color="auto" w:sz="12" w:space="0"/>
                    <w:tl2br w:val="nil"/>
                    <w:tr2bl w:val="nil"/>
                  </w:tcBorders>
                  <w:vAlign w:val="center"/>
                </w:tcPr>
                <w:p w14:paraId="7C8F4AC8">
                  <w:pPr>
                    <w:keepNext w:val="0"/>
                    <w:keepLines w:val="0"/>
                    <w:suppressLineNumbers w:val="0"/>
                    <w:spacing w:before="0" w:beforeAutospacing="0" w:after="0" w:afterAutospacing="0"/>
                    <w:ind w:left="0" w:right="0"/>
                    <w:jc w:val="center"/>
                    <w:rPr>
                      <w:rFonts w:hint="default"/>
                      <w:b/>
                      <w:bCs/>
                      <w:color w:val="auto"/>
                      <w:sz w:val="18"/>
                      <w:szCs w:val="18"/>
                      <w:highlight w:val="none"/>
                    </w:rPr>
                  </w:pPr>
                </w:p>
              </w:tc>
              <w:tc>
                <w:tcPr>
                  <w:tcW w:w="147" w:type="pct"/>
                  <w:vMerge w:val="continue"/>
                  <w:tcBorders>
                    <w:bottom w:val="single" w:color="auto" w:sz="12" w:space="0"/>
                    <w:tl2br w:val="nil"/>
                    <w:tr2bl w:val="nil"/>
                  </w:tcBorders>
                  <w:vAlign w:val="center"/>
                </w:tcPr>
                <w:p w14:paraId="7FA51116">
                  <w:pPr>
                    <w:keepNext w:val="0"/>
                    <w:keepLines w:val="0"/>
                    <w:suppressLineNumbers w:val="0"/>
                    <w:spacing w:before="0" w:beforeAutospacing="0" w:after="0" w:afterAutospacing="0"/>
                    <w:ind w:left="0" w:right="0"/>
                    <w:jc w:val="center"/>
                    <w:rPr>
                      <w:rFonts w:hint="default"/>
                      <w:b/>
                      <w:bCs/>
                      <w:color w:val="auto"/>
                      <w:sz w:val="18"/>
                      <w:szCs w:val="18"/>
                      <w:highlight w:val="none"/>
                    </w:rPr>
                  </w:pPr>
                </w:p>
              </w:tc>
              <w:tc>
                <w:tcPr>
                  <w:tcW w:w="271" w:type="pct"/>
                  <w:vMerge w:val="continue"/>
                  <w:tcBorders>
                    <w:bottom w:val="single" w:color="auto" w:sz="12" w:space="0"/>
                    <w:tl2br w:val="nil"/>
                    <w:tr2bl w:val="nil"/>
                  </w:tcBorders>
                  <w:vAlign w:val="center"/>
                </w:tcPr>
                <w:p w14:paraId="63FAAF01">
                  <w:pPr>
                    <w:keepNext w:val="0"/>
                    <w:keepLines w:val="0"/>
                    <w:suppressLineNumbers w:val="0"/>
                    <w:spacing w:before="0" w:beforeAutospacing="0" w:after="0" w:afterAutospacing="0"/>
                    <w:ind w:left="0" w:right="0"/>
                    <w:jc w:val="center"/>
                    <w:rPr>
                      <w:rFonts w:hint="default"/>
                      <w:b/>
                      <w:bCs/>
                      <w:color w:val="auto"/>
                      <w:sz w:val="18"/>
                      <w:szCs w:val="18"/>
                      <w:highlight w:val="none"/>
                    </w:rPr>
                  </w:pPr>
                </w:p>
              </w:tc>
              <w:tc>
                <w:tcPr>
                  <w:tcW w:w="209" w:type="pct"/>
                  <w:vMerge w:val="continue"/>
                  <w:tcBorders>
                    <w:bottom w:val="single" w:color="auto" w:sz="12" w:space="0"/>
                    <w:tl2br w:val="nil"/>
                    <w:tr2bl w:val="nil"/>
                  </w:tcBorders>
                  <w:vAlign w:val="center"/>
                </w:tcPr>
                <w:p w14:paraId="65931308">
                  <w:pPr>
                    <w:keepNext w:val="0"/>
                    <w:keepLines w:val="0"/>
                    <w:suppressLineNumbers w:val="0"/>
                    <w:spacing w:before="0" w:beforeAutospacing="0" w:after="0" w:afterAutospacing="0"/>
                    <w:ind w:left="0" w:right="0"/>
                    <w:jc w:val="center"/>
                    <w:rPr>
                      <w:rFonts w:hint="default"/>
                      <w:b/>
                      <w:bCs/>
                      <w:color w:val="auto"/>
                      <w:sz w:val="18"/>
                      <w:szCs w:val="18"/>
                      <w:highlight w:val="none"/>
                    </w:rPr>
                  </w:pPr>
                </w:p>
              </w:tc>
              <w:tc>
                <w:tcPr>
                  <w:tcW w:w="261" w:type="pct"/>
                  <w:tcBorders>
                    <w:bottom w:val="single" w:color="auto" w:sz="12" w:space="0"/>
                    <w:tl2br w:val="nil"/>
                    <w:tr2bl w:val="nil"/>
                  </w:tcBorders>
                  <w:vAlign w:val="center"/>
                </w:tcPr>
                <w:p w14:paraId="3CEB8728">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kg/h</w:t>
                  </w:r>
                </w:p>
              </w:tc>
              <w:tc>
                <w:tcPr>
                  <w:tcW w:w="231" w:type="pct"/>
                  <w:tcBorders>
                    <w:bottom w:val="single" w:color="auto" w:sz="12" w:space="0"/>
                    <w:tl2br w:val="nil"/>
                    <w:tr2bl w:val="nil"/>
                  </w:tcBorders>
                  <w:vAlign w:val="center"/>
                </w:tcPr>
                <w:p w14:paraId="6CBEF260">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eastAsia" w:ascii="Times New Roman" w:hAnsi="Times New Roman" w:cs="Times New Roman"/>
                      <w:b/>
                      <w:bCs/>
                      <w:color w:val="auto"/>
                      <w:sz w:val="18"/>
                      <w:szCs w:val="18"/>
                      <w:highlight w:val="none"/>
                    </w:rPr>
                    <w:t>t</w:t>
                  </w:r>
                  <w:r>
                    <w:rPr>
                      <w:rFonts w:hint="default" w:ascii="Times New Roman" w:hAnsi="Times New Roman" w:cs="Times New Roman"/>
                      <w:b/>
                      <w:bCs/>
                      <w:color w:val="auto"/>
                      <w:sz w:val="18"/>
                      <w:szCs w:val="18"/>
                      <w:highlight w:val="none"/>
                    </w:rPr>
                    <w:t>/a</w:t>
                  </w:r>
                </w:p>
              </w:tc>
              <w:tc>
                <w:tcPr>
                  <w:tcW w:w="247" w:type="pct"/>
                  <w:tcBorders>
                    <w:bottom w:val="single" w:color="auto" w:sz="12" w:space="0"/>
                    <w:tl2br w:val="nil"/>
                    <w:tr2bl w:val="nil"/>
                  </w:tcBorders>
                  <w:vAlign w:val="center"/>
                </w:tcPr>
                <w:p w14:paraId="35BF0DED">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m</w:t>
                  </w:r>
                  <w:r>
                    <w:rPr>
                      <w:rFonts w:hint="default" w:ascii="Times New Roman" w:hAnsi="Times New Roman" w:cs="Times New Roman"/>
                      <w:b/>
                      <w:bCs/>
                      <w:color w:val="auto"/>
                      <w:sz w:val="18"/>
                      <w:szCs w:val="18"/>
                      <w:highlight w:val="none"/>
                      <w:vertAlign w:val="superscript"/>
                    </w:rPr>
                    <w:t>3</w:t>
                  </w:r>
                  <w:r>
                    <w:rPr>
                      <w:rFonts w:hint="default" w:ascii="Times New Roman" w:hAnsi="Times New Roman" w:cs="Times New Roman"/>
                      <w:b/>
                      <w:bCs/>
                      <w:color w:val="auto"/>
                      <w:sz w:val="18"/>
                      <w:szCs w:val="18"/>
                      <w:highlight w:val="none"/>
                    </w:rPr>
                    <w:t>/h</w:t>
                  </w:r>
                </w:p>
              </w:tc>
              <w:tc>
                <w:tcPr>
                  <w:tcW w:w="180" w:type="pct"/>
                  <w:tcBorders>
                    <w:bottom w:val="single" w:color="auto" w:sz="12" w:space="0"/>
                    <w:tl2br w:val="nil"/>
                    <w:tr2bl w:val="nil"/>
                  </w:tcBorders>
                  <w:vAlign w:val="center"/>
                </w:tcPr>
                <w:p w14:paraId="12F67440">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w:t>
                  </w:r>
                </w:p>
              </w:tc>
              <w:tc>
                <w:tcPr>
                  <w:tcW w:w="147" w:type="pct"/>
                  <w:tcBorders>
                    <w:bottom w:val="single" w:color="auto" w:sz="12" w:space="0"/>
                    <w:tl2br w:val="nil"/>
                    <w:tr2bl w:val="nil"/>
                  </w:tcBorders>
                  <w:vAlign w:val="center"/>
                </w:tcPr>
                <w:p w14:paraId="44658C3B">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w:t>
                  </w:r>
                </w:p>
              </w:tc>
              <w:tc>
                <w:tcPr>
                  <w:tcW w:w="147" w:type="pct"/>
                  <w:vMerge w:val="continue"/>
                  <w:tcBorders>
                    <w:bottom w:val="single" w:color="auto" w:sz="12" w:space="0"/>
                    <w:tl2br w:val="nil"/>
                    <w:tr2bl w:val="nil"/>
                  </w:tcBorders>
                  <w:vAlign w:val="center"/>
                </w:tcPr>
                <w:p w14:paraId="709EDB1E">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p>
              </w:tc>
              <w:tc>
                <w:tcPr>
                  <w:tcW w:w="216" w:type="pct"/>
                  <w:vMerge w:val="continue"/>
                  <w:tcBorders>
                    <w:bottom w:val="single" w:color="auto" w:sz="12" w:space="0"/>
                    <w:tl2br w:val="nil"/>
                    <w:tr2bl w:val="nil"/>
                  </w:tcBorders>
                  <w:vAlign w:val="center"/>
                </w:tcPr>
                <w:p w14:paraId="4B3E416A">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p>
              </w:tc>
              <w:tc>
                <w:tcPr>
                  <w:tcW w:w="265" w:type="pct"/>
                  <w:vMerge w:val="continue"/>
                  <w:tcBorders>
                    <w:bottom w:val="single" w:color="auto" w:sz="12" w:space="0"/>
                    <w:tl2br w:val="nil"/>
                    <w:tr2bl w:val="nil"/>
                  </w:tcBorders>
                  <w:vAlign w:val="center"/>
                </w:tcPr>
                <w:p w14:paraId="04E7F1EF">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p>
              </w:tc>
              <w:tc>
                <w:tcPr>
                  <w:tcW w:w="258" w:type="pct"/>
                  <w:tcBorders>
                    <w:bottom w:val="single" w:color="auto" w:sz="12" w:space="0"/>
                    <w:tl2br w:val="nil"/>
                    <w:tr2bl w:val="nil"/>
                  </w:tcBorders>
                  <w:vAlign w:val="center"/>
                </w:tcPr>
                <w:p w14:paraId="1544FCFD">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kg/h</w:t>
                  </w:r>
                </w:p>
              </w:tc>
              <w:tc>
                <w:tcPr>
                  <w:tcW w:w="255" w:type="pct"/>
                  <w:tcBorders>
                    <w:bottom w:val="single" w:color="auto" w:sz="12" w:space="0"/>
                    <w:tl2br w:val="nil"/>
                    <w:tr2bl w:val="nil"/>
                  </w:tcBorders>
                  <w:vAlign w:val="center"/>
                </w:tcPr>
                <w:p w14:paraId="79156E3F">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eastAsia" w:ascii="Times New Roman" w:hAnsi="Times New Roman" w:cs="Times New Roman"/>
                      <w:b/>
                      <w:bCs/>
                      <w:color w:val="auto"/>
                      <w:sz w:val="18"/>
                      <w:szCs w:val="18"/>
                      <w:highlight w:val="none"/>
                    </w:rPr>
                    <w:t>t</w:t>
                  </w:r>
                  <w:r>
                    <w:rPr>
                      <w:rFonts w:hint="default" w:ascii="Times New Roman" w:hAnsi="Times New Roman" w:cs="Times New Roman"/>
                      <w:b/>
                      <w:bCs/>
                      <w:color w:val="auto"/>
                      <w:sz w:val="18"/>
                      <w:szCs w:val="18"/>
                      <w:highlight w:val="none"/>
                    </w:rPr>
                    <w:t>/a</w:t>
                  </w:r>
                </w:p>
              </w:tc>
              <w:tc>
                <w:tcPr>
                  <w:tcW w:w="224" w:type="pct"/>
                  <w:tcBorders>
                    <w:bottom w:val="single" w:color="auto" w:sz="12" w:space="0"/>
                    <w:tl2br w:val="nil"/>
                    <w:tr2bl w:val="nil"/>
                  </w:tcBorders>
                  <w:vAlign w:val="center"/>
                </w:tcPr>
                <w:p w14:paraId="43DD3831">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w:t>
                  </w:r>
                </w:p>
              </w:tc>
              <w:tc>
                <w:tcPr>
                  <w:tcW w:w="189" w:type="pct"/>
                  <w:tcBorders>
                    <w:bottom w:val="single" w:color="auto" w:sz="12" w:space="0"/>
                    <w:tl2br w:val="nil"/>
                    <w:tr2bl w:val="nil"/>
                  </w:tcBorders>
                  <w:vAlign w:val="center"/>
                </w:tcPr>
                <w:p w14:paraId="034F4069">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m</w:t>
                  </w:r>
                </w:p>
              </w:tc>
              <w:tc>
                <w:tcPr>
                  <w:tcW w:w="213" w:type="pct"/>
                  <w:tcBorders>
                    <w:bottom w:val="single" w:color="auto" w:sz="12" w:space="0"/>
                    <w:tl2br w:val="nil"/>
                    <w:tr2bl w:val="nil"/>
                  </w:tcBorders>
                  <w:vAlign w:val="center"/>
                </w:tcPr>
                <w:p w14:paraId="440B0EA0">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m</w:t>
                  </w:r>
                </w:p>
              </w:tc>
              <w:tc>
                <w:tcPr>
                  <w:tcW w:w="157" w:type="pct"/>
                  <w:tcBorders>
                    <w:bottom w:val="single" w:color="auto" w:sz="12" w:space="0"/>
                    <w:tl2br w:val="nil"/>
                    <w:tr2bl w:val="nil"/>
                  </w:tcBorders>
                  <w:vAlign w:val="center"/>
                </w:tcPr>
                <w:p w14:paraId="18D81B66">
                  <w:pPr>
                    <w:pStyle w:val="6"/>
                    <w:keepNext w:val="0"/>
                    <w:keepLines w:val="0"/>
                    <w:suppressLineNumbers w:val="0"/>
                    <w:bidi w:val="0"/>
                    <w:spacing w:before="0" w:beforeAutospacing="0" w:after="0" w:afterAutospacing="0"/>
                    <w:ind w:right="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w:t>
                  </w:r>
                </w:p>
              </w:tc>
              <w:tc>
                <w:tcPr>
                  <w:tcW w:w="134" w:type="pct"/>
                  <w:tcBorders>
                    <w:bottom w:val="single" w:color="auto" w:sz="12" w:space="0"/>
                    <w:tl2br w:val="nil"/>
                    <w:tr2bl w:val="nil"/>
                  </w:tcBorders>
                  <w:vAlign w:val="center"/>
                </w:tcPr>
                <w:p w14:paraId="361D6B33">
                  <w:pPr>
                    <w:keepNext w:val="0"/>
                    <w:keepLines w:val="0"/>
                    <w:suppressLineNumbers w:val="0"/>
                    <w:spacing w:before="0" w:beforeAutospacing="0" w:after="0" w:afterAutospacing="0"/>
                    <w:ind w:left="0" w:leftChars="0" w:right="0" w:firstLine="0" w:firstLineChars="0"/>
                    <w:jc w:val="center"/>
                    <w:rPr>
                      <w:rFonts w:hint="default"/>
                      <w:b/>
                      <w:bCs/>
                      <w:color w:val="auto"/>
                      <w:sz w:val="18"/>
                      <w:szCs w:val="18"/>
                      <w:highlight w:val="none"/>
                    </w:rPr>
                  </w:pPr>
                  <w:r>
                    <w:rPr>
                      <w:rFonts w:hint="default"/>
                      <w:b/>
                      <w:bCs/>
                      <w:color w:val="auto"/>
                      <w:sz w:val="18"/>
                      <w:szCs w:val="18"/>
                      <w:highlight w:val="none"/>
                    </w:rPr>
                    <w:t>/</w:t>
                  </w:r>
                </w:p>
              </w:tc>
              <w:tc>
                <w:tcPr>
                  <w:tcW w:w="538" w:type="pct"/>
                  <w:tcBorders>
                    <w:bottom w:val="single" w:color="auto" w:sz="12" w:space="0"/>
                    <w:tl2br w:val="nil"/>
                    <w:tr2bl w:val="nil"/>
                  </w:tcBorders>
                  <w:vAlign w:val="center"/>
                </w:tcPr>
                <w:p w14:paraId="0AAE2621">
                  <w:pPr>
                    <w:keepNext w:val="0"/>
                    <w:keepLines w:val="0"/>
                    <w:suppressLineNumbers w:val="0"/>
                    <w:spacing w:before="0" w:beforeAutospacing="0" w:after="0" w:afterAutospacing="0"/>
                    <w:ind w:left="0" w:leftChars="0" w:right="0" w:firstLine="0" w:firstLineChars="0"/>
                    <w:jc w:val="center"/>
                    <w:rPr>
                      <w:rFonts w:hint="default"/>
                      <w:b/>
                      <w:bCs/>
                      <w:color w:val="auto"/>
                      <w:sz w:val="18"/>
                      <w:szCs w:val="18"/>
                      <w:highlight w:val="none"/>
                    </w:rPr>
                  </w:pPr>
                  <w:r>
                    <w:rPr>
                      <w:rFonts w:hint="default"/>
                      <w:b/>
                      <w:bCs/>
                      <w:color w:val="auto"/>
                      <w:sz w:val="18"/>
                      <w:szCs w:val="18"/>
                      <w:highlight w:val="none"/>
                    </w:rPr>
                    <w:t>/</w:t>
                  </w:r>
                </w:p>
              </w:tc>
              <w:tc>
                <w:tcPr>
                  <w:tcW w:w="260" w:type="pct"/>
                  <w:vMerge w:val="continue"/>
                  <w:tcBorders>
                    <w:bottom w:val="single" w:color="auto" w:sz="12" w:space="0"/>
                    <w:tl2br w:val="nil"/>
                    <w:tr2bl w:val="nil"/>
                  </w:tcBorders>
                  <w:vAlign w:val="center"/>
                </w:tcPr>
                <w:p w14:paraId="777F098F">
                  <w:pPr>
                    <w:keepNext w:val="0"/>
                    <w:keepLines w:val="0"/>
                    <w:suppressLineNumbers w:val="0"/>
                    <w:spacing w:before="0" w:beforeAutospacing="0" w:after="0" w:afterAutospacing="0"/>
                    <w:ind w:left="0" w:right="0"/>
                    <w:jc w:val="center"/>
                    <w:rPr>
                      <w:rFonts w:hint="default"/>
                      <w:b/>
                      <w:bCs/>
                      <w:color w:val="auto"/>
                      <w:sz w:val="18"/>
                      <w:szCs w:val="18"/>
                      <w:highlight w:val="none"/>
                    </w:rPr>
                  </w:pPr>
                </w:p>
              </w:tc>
              <w:tc>
                <w:tcPr>
                  <w:tcW w:w="228" w:type="pct"/>
                  <w:vMerge w:val="continue"/>
                  <w:tcBorders>
                    <w:bottom w:val="single" w:color="auto" w:sz="12" w:space="0"/>
                    <w:tl2br w:val="nil"/>
                    <w:tr2bl w:val="nil"/>
                  </w:tcBorders>
                  <w:vAlign w:val="center"/>
                </w:tcPr>
                <w:p w14:paraId="0DCCA4D4">
                  <w:pPr>
                    <w:keepNext w:val="0"/>
                    <w:keepLines w:val="0"/>
                    <w:suppressLineNumbers w:val="0"/>
                    <w:spacing w:before="0" w:beforeAutospacing="0" w:after="0" w:afterAutospacing="0"/>
                    <w:ind w:left="0" w:right="0"/>
                    <w:jc w:val="center"/>
                    <w:rPr>
                      <w:rFonts w:hint="default"/>
                      <w:b/>
                      <w:bCs/>
                      <w:color w:val="auto"/>
                      <w:sz w:val="18"/>
                      <w:szCs w:val="18"/>
                      <w:highlight w:val="none"/>
                    </w:rPr>
                  </w:pPr>
                </w:p>
              </w:tc>
            </w:tr>
            <w:tr w14:paraId="753F26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214" w:type="pct"/>
                  <w:vMerge w:val="restart"/>
                  <w:tcBorders>
                    <w:tl2br w:val="nil"/>
                    <w:tr2bl w:val="nil"/>
                  </w:tcBorders>
                  <w:vAlign w:val="center"/>
                </w:tcPr>
                <w:p w14:paraId="25FB68E7">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烘干、挤出</w:t>
                  </w:r>
                  <w:r>
                    <w:rPr>
                      <w:rFonts w:hint="eastAsia" w:ascii="Times New Roman" w:hAnsi="Times New Roman" w:cs="Times New Roman"/>
                      <w:color w:val="auto"/>
                      <w:sz w:val="18"/>
                      <w:szCs w:val="18"/>
                      <w:highlight w:val="none"/>
                      <w:lang w:val="en-US" w:eastAsia="zh-CN"/>
                    </w:rPr>
                    <w:t>废气</w:t>
                  </w:r>
                </w:p>
              </w:tc>
              <w:tc>
                <w:tcPr>
                  <w:tcW w:w="147" w:type="pct"/>
                  <w:vMerge w:val="restart"/>
                  <w:tcBorders>
                    <w:tl2br w:val="nil"/>
                    <w:tr2bl w:val="nil"/>
                  </w:tcBorders>
                  <w:vAlign w:val="center"/>
                </w:tcPr>
                <w:p w14:paraId="6263179E">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有组织</w:t>
                  </w:r>
                </w:p>
              </w:tc>
              <w:tc>
                <w:tcPr>
                  <w:tcW w:w="271" w:type="pct"/>
                  <w:tcBorders>
                    <w:tl2br w:val="nil"/>
                    <w:tr2bl w:val="nil"/>
                  </w:tcBorders>
                  <w:vAlign w:val="center"/>
                </w:tcPr>
                <w:p w14:paraId="0DE353A8">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非甲烷总烃</w:t>
                  </w:r>
                </w:p>
              </w:tc>
              <w:tc>
                <w:tcPr>
                  <w:tcW w:w="209" w:type="pct"/>
                  <w:tcBorders>
                    <w:tl2br w:val="nil"/>
                    <w:tr2bl w:val="nil"/>
                  </w:tcBorders>
                  <w:vAlign w:val="center"/>
                </w:tcPr>
                <w:p w14:paraId="14CA13DB">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2.917</w:t>
                  </w:r>
                </w:p>
              </w:tc>
              <w:tc>
                <w:tcPr>
                  <w:tcW w:w="261" w:type="pct"/>
                  <w:tcBorders>
                    <w:tl2br w:val="nil"/>
                    <w:tr2bl w:val="nil"/>
                  </w:tcBorders>
                  <w:vAlign w:val="center"/>
                </w:tcPr>
                <w:p w14:paraId="2ADD3660">
                  <w:pPr>
                    <w:pStyle w:val="6"/>
                    <w:keepNext w:val="0"/>
                    <w:keepLines w:val="0"/>
                    <w:suppressLineNumbers w:val="0"/>
                    <w:bidi w:val="0"/>
                    <w:spacing w:before="0" w:beforeAutospacing="0" w:after="0" w:afterAutospacing="0"/>
                    <w:ind w:left="0" w:leftChars="0" w:right="0" w:rightChars="0" w:firstLine="0" w:firstLineChars="0"/>
                    <w:rPr>
                      <w:rFonts w:hint="default" w:cs="Times New Roman"/>
                      <w:color w:val="auto"/>
                      <w:sz w:val="18"/>
                      <w:szCs w:val="18"/>
                      <w:highlight w:val="none"/>
                      <w:lang w:val="en-US" w:eastAsia="zh-CN"/>
                    </w:rPr>
                  </w:pPr>
                  <w:r>
                    <w:rPr>
                      <w:rFonts w:hint="eastAsia" w:cs="Times New Roman"/>
                      <w:color w:val="auto"/>
                      <w:sz w:val="18"/>
                      <w:szCs w:val="18"/>
                      <w:highlight w:val="none"/>
                      <w:lang w:val="en-US" w:eastAsia="zh-CN"/>
                    </w:rPr>
                    <w:t>0.056</w:t>
                  </w:r>
                </w:p>
              </w:tc>
              <w:tc>
                <w:tcPr>
                  <w:tcW w:w="231" w:type="pct"/>
                  <w:tcBorders>
                    <w:tl2br w:val="nil"/>
                    <w:tr2bl w:val="nil"/>
                  </w:tcBorders>
                  <w:vAlign w:val="center"/>
                </w:tcPr>
                <w:p w14:paraId="1864CCD0">
                  <w:pPr>
                    <w:pStyle w:val="6"/>
                    <w:keepNext w:val="0"/>
                    <w:keepLines w:val="0"/>
                    <w:suppressLineNumbers w:val="0"/>
                    <w:bidi w:val="0"/>
                    <w:spacing w:before="0" w:beforeAutospacing="0" w:after="0" w:afterAutospacing="0"/>
                    <w:ind w:left="0" w:leftChars="0" w:right="0" w:rightChars="0" w:firstLine="0" w:firstLineChars="0"/>
                    <w:rPr>
                      <w:rFonts w:hint="default" w:cs="Times New Roman"/>
                      <w:color w:val="auto"/>
                      <w:sz w:val="18"/>
                      <w:szCs w:val="18"/>
                      <w:highlight w:val="none"/>
                      <w:lang w:val="en-US" w:eastAsia="zh-CN"/>
                    </w:rPr>
                  </w:pPr>
                  <w:r>
                    <w:rPr>
                      <w:rFonts w:hint="eastAsia" w:cs="Times New Roman"/>
                      <w:color w:val="auto"/>
                      <w:sz w:val="18"/>
                      <w:szCs w:val="18"/>
                      <w:highlight w:val="none"/>
                      <w:lang w:val="en-US" w:eastAsia="zh-CN"/>
                    </w:rPr>
                    <w:t>0.404</w:t>
                  </w:r>
                </w:p>
              </w:tc>
              <w:tc>
                <w:tcPr>
                  <w:tcW w:w="247" w:type="pct"/>
                  <w:vMerge w:val="restart"/>
                  <w:tcBorders>
                    <w:tl2br w:val="nil"/>
                    <w:tr2bl w:val="nil"/>
                  </w:tcBorders>
                  <w:vAlign w:val="center"/>
                </w:tcPr>
                <w:p w14:paraId="2BA56F36">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192</w:t>
                  </w:r>
                  <w:r>
                    <w:rPr>
                      <w:rFonts w:hint="eastAsia" w:ascii="Times New Roman" w:hAnsi="Times New Roman" w:cs="Times New Roman"/>
                      <w:color w:val="auto"/>
                      <w:sz w:val="18"/>
                      <w:szCs w:val="18"/>
                      <w:highlight w:val="none"/>
                      <w:lang w:val="en-US" w:eastAsia="zh-CN"/>
                    </w:rPr>
                    <w:t>00</w:t>
                  </w:r>
                </w:p>
              </w:tc>
              <w:tc>
                <w:tcPr>
                  <w:tcW w:w="180" w:type="pct"/>
                  <w:tcBorders>
                    <w:tl2br w:val="nil"/>
                    <w:tr2bl w:val="nil"/>
                  </w:tcBorders>
                  <w:vAlign w:val="center"/>
                </w:tcPr>
                <w:p w14:paraId="1685C2AE">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30</w:t>
                  </w:r>
                </w:p>
              </w:tc>
              <w:tc>
                <w:tcPr>
                  <w:tcW w:w="147" w:type="pct"/>
                  <w:tcBorders>
                    <w:tl2br w:val="nil"/>
                    <w:tr2bl w:val="nil"/>
                  </w:tcBorders>
                  <w:vAlign w:val="center"/>
                </w:tcPr>
                <w:p w14:paraId="3A7F84E9">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30</w:t>
                  </w:r>
                </w:p>
              </w:tc>
              <w:tc>
                <w:tcPr>
                  <w:tcW w:w="147" w:type="pct"/>
                  <w:vMerge w:val="restart"/>
                  <w:tcBorders>
                    <w:tl2br w:val="nil"/>
                    <w:tr2bl w:val="nil"/>
                  </w:tcBorders>
                  <w:vAlign w:val="center"/>
                </w:tcPr>
                <w:p w14:paraId="660C4717">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是</w:t>
                  </w:r>
                </w:p>
              </w:tc>
              <w:tc>
                <w:tcPr>
                  <w:tcW w:w="216" w:type="pct"/>
                  <w:vMerge w:val="restart"/>
                  <w:tcBorders>
                    <w:tl2br w:val="nil"/>
                    <w:tr2bl w:val="nil"/>
                  </w:tcBorders>
                  <w:vAlign w:val="center"/>
                </w:tcPr>
                <w:p w14:paraId="03C40CFB">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集气罩+</w:t>
                  </w:r>
                  <w:r>
                    <w:rPr>
                      <w:rFonts w:hint="eastAsia" w:cs="Times New Roman"/>
                      <w:color w:val="auto"/>
                      <w:sz w:val="18"/>
                      <w:szCs w:val="18"/>
                      <w:highlight w:val="none"/>
                      <w:lang w:val="en-US" w:eastAsia="zh-CN"/>
                    </w:rPr>
                    <w:t>活性炭吸附</w:t>
                  </w:r>
                </w:p>
              </w:tc>
              <w:tc>
                <w:tcPr>
                  <w:tcW w:w="265" w:type="pct"/>
                  <w:tcBorders>
                    <w:tl2br w:val="nil"/>
                    <w:tr2bl w:val="nil"/>
                  </w:tcBorders>
                  <w:vAlign w:val="center"/>
                </w:tcPr>
                <w:p w14:paraId="35698FE4">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2.031</w:t>
                  </w:r>
                </w:p>
              </w:tc>
              <w:tc>
                <w:tcPr>
                  <w:tcW w:w="258" w:type="pct"/>
                  <w:tcBorders>
                    <w:tl2br w:val="nil"/>
                    <w:tr2bl w:val="nil"/>
                  </w:tcBorders>
                  <w:vAlign w:val="center"/>
                </w:tcPr>
                <w:p w14:paraId="75474C4C">
                  <w:pPr>
                    <w:pStyle w:val="6"/>
                    <w:keepNext w:val="0"/>
                    <w:keepLines w:val="0"/>
                    <w:suppressLineNumbers w:val="0"/>
                    <w:bidi w:val="0"/>
                    <w:spacing w:before="0" w:beforeAutospacing="0" w:after="0" w:afterAutospacing="0"/>
                    <w:ind w:left="0" w:leftChars="0" w:right="0" w:rightChars="0" w:firstLine="0" w:firstLineChars="0"/>
                    <w:rPr>
                      <w:rFonts w:hint="default" w:cs="Times New Roman"/>
                      <w:color w:val="auto"/>
                      <w:sz w:val="18"/>
                      <w:szCs w:val="18"/>
                      <w:highlight w:val="none"/>
                      <w:lang w:val="en-US" w:eastAsia="zh-CN"/>
                    </w:rPr>
                  </w:pPr>
                  <w:r>
                    <w:rPr>
                      <w:rFonts w:hint="eastAsia" w:cs="Times New Roman"/>
                      <w:color w:val="auto"/>
                      <w:sz w:val="18"/>
                      <w:szCs w:val="18"/>
                      <w:highlight w:val="none"/>
                      <w:lang w:val="en-US" w:eastAsia="zh-CN"/>
                    </w:rPr>
                    <w:t>0.039</w:t>
                  </w:r>
                </w:p>
              </w:tc>
              <w:tc>
                <w:tcPr>
                  <w:tcW w:w="255" w:type="pct"/>
                  <w:tcBorders>
                    <w:tl2br w:val="nil"/>
                    <w:tr2bl w:val="nil"/>
                  </w:tcBorders>
                  <w:vAlign w:val="center"/>
                </w:tcPr>
                <w:p w14:paraId="63F540CF">
                  <w:pPr>
                    <w:pStyle w:val="6"/>
                    <w:keepNext w:val="0"/>
                    <w:keepLines w:val="0"/>
                    <w:suppressLineNumbers w:val="0"/>
                    <w:bidi w:val="0"/>
                    <w:spacing w:before="0" w:beforeAutospacing="0" w:after="0" w:afterAutospacing="0"/>
                    <w:ind w:left="0" w:leftChars="0" w:right="0" w:rightChars="0" w:firstLine="0" w:firstLineChars="0"/>
                    <w:rPr>
                      <w:rFonts w:hint="default" w:cs="Times New Roman"/>
                      <w:color w:val="auto"/>
                      <w:sz w:val="18"/>
                      <w:szCs w:val="18"/>
                      <w:highlight w:val="none"/>
                      <w:lang w:val="en-US" w:eastAsia="zh-CN"/>
                    </w:rPr>
                  </w:pPr>
                  <w:r>
                    <w:rPr>
                      <w:rFonts w:hint="eastAsia" w:cs="Times New Roman"/>
                      <w:color w:val="auto"/>
                      <w:sz w:val="18"/>
                      <w:szCs w:val="18"/>
                      <w:highlight w:val="none"/>
                      <w:lang w:val="en-US" w:eastAsia="zh-CN"/>
                    </w:rPr>
                    <w:t>0.283</w:t>
                  </w:r>
                </w:p>
              </w:tc>
              <w:tc>
                <w:tcPr>
                  <w:tcW w:w="224" w:type="pct"/>
                  <w:vMerge w:val="restart"/>
                  <w:tcBorders>
                    <w:tl2br w:val="nil"/>
                    <w:tr2bl w:val="nil"/>
                  </w:tcBorders>
                  <w:vAlign w:val="center"/>
                </w:tcPr>
                <w:p w14:paraId="20574E9C">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DA00</w:t>
                  </w:r>
                  <w:r>
                    <w:rPr>
                      <w:rFonts w:hint="eastAsia" w:cs="Times New Roman"/>
                      <w:color w:val="auto"/>
                      <w:sz w:val="18"/>
                      <w:szCs w:val="18"/>
                      <w:highlight w:val="none"/>
                      <w:lang w:val="en-US" w:eastAsia="zh-CN"/>
                    </w:rPr>
                    <w:t>5</w:t>
                  </w:r>
                </w:p>
              </w:tc>
              <w:tc>
                <w:tcPr>
                  <w:tcW w:w="189" w:type="pct"/>
                  <w:vMerge w:val="restart"/>
                  <w:tcBorders>
                    <w:tl2br w:val="nil"/>
                    <w:tr2bl w:val="nil"/>
                  </w:tcBorders>
                  <w:vAlign w:val="center"/>
                </w:tcPr>
                <w:p w14:paraId="31FCDBF7">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15</w:t>
                  </w:r>
                </w:p>
              </w:tc>
              <w:tc>
                <w:tcPr>
                  <w:tcW w:w="213" w:type="pct"/>
                  <w:vMerge w:val="restart"/>
                  <w:tcBorders>
                    <w:tl2br w:val="nil"/>
                    <w:tr2bl w:val="nil"/>
                  </w:tcBorders>
                  <w:vAlign w:val="center"/>
                </w:tcPr>
                <w:p w14:paraId="521BF78F">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0.</w:t>
                  </w:r>
                  <w:r>
                    <w:rPr>
                      <w:rFonts w:hint="eastAsia" w:cs="Times New Roman"/>
                      <w:color w:val="auto"/>
                      <w:sz w:val="18"/>
                      <w:szCs w:val="18"/>
                      <w:highlight w:val="none"/>
                      <w:lang w:val="en-US" w:eastAsia="zh-CN"/>
                    </w:rPr>
                    <w:t>5</w:t>
                  </w:r>
                </w:p>
              </w:tc>
              <w:tc>
                <w:tcPr>
                  <w:tcW w:w="157" w:type="pct"/>
                  <w:vMerge w:val="restart"/>
                  <w:tcBorders>
                    <w:tl2br w:val="nil"/>
                    <w:tr2bl w:val="nil"/>
                  </w:tcBorders>
                  <w:vAlign w:val="center"/>
                </w:tcPr>
                <w:p w14:paraId="238E0CCF">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25</w:t>
                  </w:r>
                </w:p>
              </w:tc>
              <w:tc>
                <w:tcPr>
                  <w:tcW w:w="134" w:type="pct"/>
                  <w:vMerge w:val="restart"/>
                  <w:tcBorders>
                    <w:tl2br w:val="nil"/>
                    <w:tr2bl w:val="nil"/>
                  </w:tcBorders>
                  <w:vAlign w:val="center"/>
                </w:tcPr>
                <w:p w14:paraId="25D1FF86">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一般排放口</w:t>
                  </w:r>
                </w:p>
              </w:tc>
              <w:tc>
                <w:tcPr>
                  <w:tcW w:w="538" w:type="pct"/>
                  <w:vMerge w:val="restart"/>
                  <w:tcBorders>
                    <w:tl2br w:val="nil"/>
                    <w:tr2bl w:val="nil"/>
                  </w:tcBorders>
                  <w:vAlign w:val="center"/>
                </w:tcPr>
                <w:p w14:paraId="5AD10975">
                  <w:pPr>
                    <w:pStyle w:val="6"/>
                    <w:keepNext w:val="0"/>
                    <w:keepLines w:val="0"/>
                    <w:suppressLineNumbers w:val="0"/>
                    <w:bidi w:val="0"/>
                    <w:spacing w:before="0" w:beforeAutospacing="0" w:after="0" w:afterAutospacing="0"/>
                    <w:ind w:right="0"/>
                    <w:rPr>
                      <w:rFonts w:hint="default"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E</w:t>
                  </w:r>
                  <w:r>
                    <w:rPr>
                      <w:rFonts w:hint="default" w:ascii="Times New Roman" w:hAnsi="Times New Roman" w:cs="Times New Roman"/>
                      <w:color w:val="auto"/>
                      <w:sz w:val="18"/>
                      <w:szCs w:val="18"/>
                      <w:highlight w:val="none"/>
                      <w:lang w:val="en-US" w:eastAsia="zh-CN"/>
                    </w:rPr>
                    <w:t>115</w:t>
                  </w:r>
                  <w:r>
                    <w:rPr>
                      <w:rFonts w:hint="eastAsia" w:cs="Times New Roman"/>
                      <w:color w:val="auto"/>
                      <w:sz w:val="18"/>
                      <w:szCs w:val="18"/>
                      <w:highlight w:val="none"/>
                      <w:lang w:val="en-US" w:eastAsia="zh-CN"/>
                    </w:rPr>
                    <w:t>.594638</w:t>
                  </w:r>
                </w:p>
                <w:p w14:paraId="42D999B0">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N</w:t>
                  </w:r>
                  <w:r>
                    <w:rPr>
                      <w:rFonts w:hint="default" w:ascii="Times New Roman" w:hAnsi="Times New Roman" w:cs="Times New Roman"/>
                      <w:color w:val="auto"/>
                      <w:sz w:val="18"/>
                      <w:szCs w:val="18"/>
                      <w:highlight w:val="none"/>
                      <w:lang w:val="en-US" w:eastAsia="zh-CN"/>
                    </w:rPr>
                    <w:t>28</w:t>
                  </w:r>
                  <w:r>
                    <w:rPr>
                      <w:rFonts w:hint="eastAsia" w:cs="Times New Roman"/>
                      <w:color w:val="auto"/>
                      <w:sz w:val="18"/>
                      <w:szCs w:val="18"/>
                      <w:highlight w:val="none"/>
                      <w:lang w:val="en-US" w:eastAsia="zh-CN"/>
                    </w:rPr>
                    <w:t>.874476</w:t>
                  </w:r>
                </w:p>
              </w:tc>
              <w:tc>
                <w:tcPr>
                  <w:tcW w:w="260" w:type="pct"/>
                  <w:tcBorders>
                    <w:tl2br w:val="nil"/>
                    <w:tr2bl w:val="nil"/>
                  </w:tcBorders>
                  <w:vAlign w:val="center"/>
                </w:tcPr>
                <w:p w14:paraId="222D0E01">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8</w:t>
                  </w:r>
                  <w:r>
                    <w:rPr>
                      <w:rFonts w:hint="eastAsia" w:ascii="Times New Roman" w:hAnsi="Times New Roman" w:cs="Times New Roman"/>
                      <w:color w:val="auto"/>
                      <w:sz w:val="18"/>
                      <w:szCs w:val="18"/>
                      <w:highlight w:val="none"/>
                      <w:lang w:val="en-US" w:eastAsia="zh-CN"/>
                    </w:rPr>
                    <w:t>0</w:t>
                  </w:r>
                </w:p>
              </w:tc>
              <w:tc>
                <w:tcPr>
                  <w:tcW w:w="228" w:type="pct"/>
                  <w:tcBorders>
                    <w:tl2br w:val="nil"/>
                    <w:tr2bl w:val="nil"/>
                  </w:tcBorders>
                  <w:vAlign w:val="center"/>
                </w:tcPr>
                <w:p w14:paraId="2E862764">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w:t>
                  </w:r>
                </w:p>
              </w:tc>
            </w:tr>
            <w:tr w14:paraId="7514C4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14" w:type="pct"/>
                  <w:vMerge w:val="continue"/>
                  <w:tcBorders>
                    <w:tl2br w:val="nil"/>
                    <w:tr2bl w:val="nil"/>
                  </w:tcBorders>
                  <w:vAlign w:val="center"/>
                </w:tcPr>
                <w:p w14:paraId="3759E3AE">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p>
              </w:tc>
              <w:tc>
                <w:tcPr>
                  <w:tcW w:w="147" w:type="pct"/>
                  <w:vMerge w:val="continue"/>
                  <w:tcBorders>
                    <w:tl2br w:val="nil"/>
                    <w:tr2bl w:val="nil"/>
                  </w:tcBorders>
                  <w:shd w:val="clear" w:color="auto" w:fill="auto"/>
                  <w:vAlign w:val="center"/>
                </w:tcPr>
                <w:p w14:paraId="68E7F0F5">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p>
              </w:tc>
              <w:tc>
                <w:tcPr>
                  <w:tcW w:w="271" w:type="pct"/>
                  <w:tcBorders>
                    <w:tl2br w:val="nil"/>
                    <w:tr2bl w:val="nil"/>
                  </w:tcBorders>
                  <w:shd w:val="clear" w:color="auto" w:fill="auto"/>
                  <w:vAlign w:val="center"/>
                </w:tcPr>
                <w:p w14:paraId="3D6A6FB8">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氨</w:t>
                  </w:r>
                </w:p>
              </w:tc>
              <w:tc>
                <w:tcPr>
                  <w:tcW w:w="209" w:type="pct"/>
                  <w:tcBorders>
                    <w:tl2br w:val="nil"/>
                    <w:tr2bl w:val="nil"/>
                  </w:tcBorders>
                  <w:shd w:val="clear" w:color="auto" w:fill="auto"/>
                  <w:vAlign w:val="center"/>
                </w:tcPr>
                <w:p w14:paraId="5D888EB4">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0.573</w:t>
                  </w:r>
                </w:p>
              </w:tc>
              <w:tc>
                <w:tcPr>
                  <w:tcW w:w="261" w:type="pct"/>
                  <w:tcBorders>
                    <w:tl2br w:val="nil"/>
                    <w:tr2bl w:val="nil"/>
                  </w:tcBorders>
                  <w:shd w:val="clear" w:color="auto" w:fill="auto"/>
                  <w:vAlign w:val="center"/>
                </w:tcPr>
                <w:p w14:paraId="39A9B5ED">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0.011</w:t>
                  </w:r>
                </w:p>
              </w:tc>
              <w:tc>
                <w:tcPr>
                  <w:tcW w:w="231" w:type="pct"/>
                  <w:tcBorders>
                    <w:tl2br w:val="nil"/>
                    <w:tr2bl w:val="nil"/>
                  </w:tcBorders>
                  <w:shd w:val="clear" w:color="auto" w:fill="auto"/>
                  <w:vAlign w:val="center"/>
                </w:tcPr>
                <w:p w14:paraId="4C06B1A9">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0.077</w:t>
                  </w:r>
                </w:p>
              </w:tc>
              <w:tc>
                <w:tcPr>
                  <w:tcW w:w="247" w:type="pct"/>
                  <w:vMerge w:val="continue"/>
                  <w:tcBorders>
                    <w:tl2br w:val="nil"/>
                    <w:tr2bl w:val="nil"/>
                  </w:tcBorders>
                  <w:shd w:val="clear" w:color="auto" w:fill="auto"/>
                  <w:vAlign w:val="center"/>
                </w:tcPr>
                <w:p w14:paraId="0D33E697">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p>
              </w:tc>
              <w:tc>
                <w:tcPr>
                  <w:tcW w:w="180" w:type="pct"/>
                  <w:tcBorders>
                    <w:tl2br w:val="nil"/>
                    <w:tr2bl w:val="nil"/>
                  </w:tcBorders>
                  <w:shd w:val="clear" w:color="auto" w:fill="auto"/>
                  <w:vAlign w:val="center"/>
                </w:tcPr>
                <w:p w14:paraId="3CF3BA1E">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30</w:t>
                  </w:r>
                </w:p>
              </w:tc>
              <w:tc>
                <w:tcPr>
                  <w:tcW w:w="147" w:type="pct"/>
                  <w:tcBorders>
                    <w:tl2br w:val="nil"/>
                    <w:tr2bl w:val="nil"/>
                  </w:tcBorders>
                  <w:shd w:val="clear" w:color="auto" w:fill="auto"/>
                  <w:vAlign w:val="center"/>
                </w:tcPr>
                <w:p w14:paraId="1832FB52">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0</w:t>
                  </w:r>
                </w:p>
              </w:tc>
              <w:tc>
                <w:tcPr>
                  <w:tcW w:w="147" w:type="pct"/>
                  <w:vMerge w:val="continue"/>
                  <w:tcBorders>
                    <w:tl2br w:val="nil"/>
                    <w:tr2bl w:val="nil"/>
                  </w:tcBorders>
                  <w:shd w:val="clear" w:color="auto" w:fill="auto"/>
                  <w:vAlign w:val="center"/>
                </w:tcPr>
                <w:p w14:paraId="26C64E21">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p>
              </w:tc>
              <w:tc>
                <w:tcPr>
                  <w:tcW w:w="216" w:type="pct"/>
                  <w:vMerge w:val="continue"/>
                  <w:tcBorders>
                    <w:tl2br w:val="nil"/>
                    <w:tr2bl w:val="nil"/>
                  </w:tcBorders>
                  <w:shd w:val="clear" w:color="auto" w:fill="auto"/>
                  <w:vAlign w:val="center"/>
                </w:tcPr>
                <w:p w14:paraId="4486C565">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p>
              </w:tc>
              <w:tc>
                <w:tcPr>
                  <w:tcW w:w="714" w:type="dxa"/>
                  <w:tcBorders>
                    <w:tl2br w:val="nil"/>
                    <w:tr2bl w:val="nil"/>
                  </w:tcBorders>
                  <w:shd w:val="clear" w:color="auto" w:fill="auto"/>
                  <w:vAlign w:val="center"/>
                </w:tcPr>
                <w:p w14:paraId="3FBDE9D3">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0.573</w:t>
                  </w:r>
                </w:p>
              </w:tc>
              <w:tc>
                <w:tcPr>
                  <w:tcW w:w="695" w:type="dxa"/>
                  <w:tcBorders>
                    <w:tl2br w:val="nil"/>
                    <w:tr2bl w:val="nil"/>
                  </w:tcBorders>
                  <w:shd w:val="clear" w:color="auto" w:fill="auto"/>
                  <w:vAlign w:val="center"/>
                </w:tcPr>
                <w:p w14:paraId="6DCBD9D9">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0.011</w:t>
                  </w:r>
                </w:p>
              </w:tc>
              <w:tc>
                <w:tcPr>
                  <w:tcW w:w="688" w:type="dxa"/>
                  <w:tcBorders>
                    <w:tl2br w:val="nil"/>
                    <w:tr2bl w:val="nil"/>
                  </w:tcBorders>
                  <w:shd w:val="clear" w:color="auto" w:fill="auto"/>
                  <w:vAlign w:val="center"/>
                </w:tcPr>
                <w:p w14:paraId="28CC5D4B">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0.077</w:t>
                  </w:r>
                </w:p>
              </w:tc>
              <w:tc>
                <w:tcPr>
                  <w:tcW w:w="224" w:type="pct"/>
                  <w:vMerge w:val="continue"/>
                  <w:tcBorders>
                    <w:tl2br w:val="nil"/>
                    <w:tr2bl w:val="nil"/>
                  </w:tcBorders>
                  <w:shd w:val="clear" w:color="auto" w:fill="auto"/>
                  <w:vAlign w:val="center"/>
                </w:tcPr>
                <w:p w14:paraId="47592A3A">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p>
              </w:tc>
              <w:tc>
                <w:tcPr>
                  <w:tcW w:w="189" w:type="pct"/>
                  <w:vMerge w:val="continue"/>
                  <w:tcBorders>
                    <w:tl2br w:val="nil"/>
                    <w:tr2bl w:val="nil"/>
                  </w:tcBorders>
                  <w:shd w:val="clear" w:color="auto" w:fill="auto"/>
                  <w:vAlign w:val="center"/>
                </w:tcPr>
                <w:p w14:paraId="70C6872D">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p>
              </w:tc>
              <w:tc>
                <w:tcPr>
                  <w:tcW w:w="213" w:type="pct"/>
                  <w:vMerge w:val="continue"/>
                  <w:tcBorders>
                    <w:tl2br w:val="nil"/>
                    <w:tr2bl w:val="nil"/>
                  </w:tcBorders>
                  <w:shd w:val="clear" w:color="auto" w:fill="auto"/>
                  <w:vAlign w:val="center"/>
                </w:tcPr>
                <w:p w14:paraId="2313634D">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p>
              </w:tc>
              <w:tc>
                <w:tcPr>
                  <w:tcW w:w="157" w:type="pct"/>
                  <w:vMerge w:val="continue"/>
                  <w:tcBorders>
                    <w:tl2br w:val="nil"/>
                    <w:tr2bl w:val="nil"/>
                  </w:tcBorders>
                  <w:shd w:val="clear" w:color="auto" w:fill="auto"/>
                  <w:vAlign w:val="center"/>
                </w:tcPr>
                <w:p w14:paraId="55C8F938">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p>
              </w:tc>
              <w:tc>
                <w:tcPr>
                  <w:tcW w:w="134" w:type="pct"/>
                  <w:vMerge w:val="continue"/>
                  <w:tcBorders>
                    <w:tl2br w:val="nil"/>
                    <w:tr2bl w:val="nil"/>
                  </w:tcBorders>
                  <w:shd w:val="clear" w:color="auto" w:fill="auto"/>
                  <w:vAlign w:val="center"/>
                </w:tcPr>
                <w:p w14:paraId="12BA884B">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p>
              </w:tc>
              <w:tc>
                <w:tcPr>
                  <w:tcW w:w="538" w:type="pct"/>
                  <w:vMerge w:val="continue"/>
                  <w:tcBorders>
                    <w:tl2br w:val="nil"/>
                    <w:tr2bl w:val="nil"/>
                  </w:tcBorders>
                  <w:shd w:val="clear" w:color="auto" w:fill="auto"/>
                  <w:vAlign w:val="center"/>
                </w:tcPr>
                <w:p w14:paraId="7826D212">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p>
              </w:tc>
              <w:tc>
                <w:tcPr>
                  <w:tcW w:w="260" w:type="pct"/>
                  <w:tcBorders>
                    <w:tl2br w:val="nil"/>
                    <w:tr2bl w:val="nil"/>
                  </w:tcBorders>
                  <w:shd w:val="clear" w:color="auto" w:fill="auto"/>
                  <w:vAlign w:val="center"/>
                </w:tcPr>
                <w:p w14:paraId="7E816378">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30</w:t>
                  </w:r>
                </w:p>
              </w:tc>
              <w:tc>
                <w:tcPr>
                  <w:tcW w:w="228" w:type="pct"/>
                  <w:tcBorders>
                    <w:tl2br w:val="nil"/>
                    <w:tr2bl w:val="nil"/>
                  </w:tcBorders>
                  <w:shd w:val="clear" w:color="auto" w:fill="auto"/>
                  <w:vAlign w:val="center"/>
                </w:tcPr>
                <w:p w14:paraId="0C618E54">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w:t>
                  </w:r>
                </w:p>
              </w:tc>
            </w:tr>
            <w:tr w14:paraId="1CDFE2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14" w:type="pct"/>
                  <w:vMerge w:val="continue"/>
                  <w:tcBorders>
                    <w:tl2br w:val="nil"/>
                    <w:tr2bl w:val="nil"/>
                  </w:tcBorders>
                  <w:vAlign w:val="center"/>
                </w:tcPr>
                <w:p w14:paraId="7A96F021">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p>
              </w:tc>
              <w:tc>
                <w:tcPr>
                  <w:tcW w:w="147" w:type="pct"/>
                  <w:vMerge w:val="restart"/>
                  <w:tcBorders>
                    <w:tl2br w:val="nil"/>
                    <w:tr2bl w:val="nil"/>
                  </w:tcBorders>
                  <w:shd w:val="clear" w:color="auto" w:fill="auto"/>
                  <w:vAlign w:val="center"/>
                </w:tcPr>
                <w:p w14:paraId="2DBF391C">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无组织</w:t>
                  </w:r>
                </w:p>
              </w:tc>
              <w:tc>
                <w:tcPr>
                  <w:tcW w:w="271" w:type="pct"/>
                  <w:tcBorders>
                    <w:tl2br w:val="nil"/>
                    <w:tr2bl w:val="nil"/>
                  </w:tcBorders>
                  <w:shd w:val="clear" w:color="auto" w:fill="auto"/>
                  <w:vAlign w:val="center"/>
                </w:tcPr>
                <w:p w14:paraId="0AC5DC60">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cs="Times New Roman"/>
                      <w:color w:val="auto"/>
                      <w:sz w:val="18"/>
                      <w:szCs w:val="18"/>
                      <w:highlight w:val="none"/>
                      <w:lang w:val="en-US" w:eastAsia="zh-CN"/>
                    </w:rPr>
                    <w:t>非甲烷总烃</w:t>
                  </w:r>
                </w:p>
              </w:tc>
              <w:tc>
                <w:tcPr>
                  <w:tcW w:w="209" w:type="pct"/>
                  <w:tcBorders>
                    <w:tl2br w:val="nil"/>
                    <w:tr2bl w:val="nil"/>
                  </w:tcBorders>
                  <w:shd w:val="clear" w:color="auto" w:fill="auto"/>
                  <w:vAlign w:val="center"/>
                </w:tcPr>
                <w:p w14:paraId="72F1EB78">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w:t>
                  </w:r>
                </w:p>
              </w:tc>
              <w:tc>
                <w:tcPr>
                  <w:tcW w:w="261" w:type="pct"/>
                  <w:tcBorders>
                    <w:tl2br w:val="nil"/>
                    <w:tr2bl w:val="nil"/>
                  </w:tcBorders>
                  <w:shd w:val="clear" w:color="auto" w:fill="auto"/>
                  <w:vAlign w:val="center"/>
                </w:tcPr>
                <w:p w14:paraId="4004B5AF">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kern w:val="2"/>
                      <w:sz w:val="18"/>
                      <w:szCs w:val="18"/>
                      <w:highlight w:val="none"/>
                      <w:lang w:val="en-US" w:eastAsia="zh-CN" w:bidi="ar-SA"/>
                    </w:rPr>
                    <w:t>0.</w:t>
                  </w:r>
                  <w:r>
                    <w:rPr>
                      <w:rFonts w:hint="eastAsia" w:cs="Times New Roman"/>
                      <w:color w:val="auto"/>
                      <w:kern w:val="2"/>
                      <w:sz w:val="18"/>
                      <w:szCs w:val="18"/>
                      <w:highlight w:val="none"/>
                      <w:lang w:val="en-US" w:eastAsia="zh-CN" w:bidi="ar-SA"/>
                    </w:rPr>
                    <w:t>131</w:t>
                  </w:r>
                </w:p>
              </w:tc>
              <w:tc>
                <w:tcPr>
                  <w:tcW w:w="231" w:type="pct"/>
                  <w:tcBorders>
                    <w:tl2br w:val="nil"/>
                    <w:tr2bl w:val="nil"/>
                  </w:tcBorders>
                  <w:shd w:val="clear" w:color="auto" w:fill="auto"/>
                  <w:vAlign w:val="center"/>
                </w:tcPr>
                <w:p w14:paraId="331A27D9">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0.944</w:t>
                  </w:r>
                </w:p>
              </w:tc>
              <w:tc>
                <w:tcPr>
                  <w:tcW w:w="247" w:type="pct"/>
                  <w:tcBorders>
                    <w:tl2br w:val="nil"/>
                    <w:tr2bl w:val="nil"/>
                  </w:tcBorders>
                  <w:shd w:val="clear" w:color="auto" w:fill="auto"/>
                  <w:vAlign w:val="center"/>
                </w:tcPr>
                <w:p w14:paraId="05115086">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w:t>
                  </w:r>
                </w:p>
              </w:tc>
              <w:tc>
                <w:tcPr>
                  <w:tcW w:w="180" w:type="pct"/>
                  <w:tcBorders>
                    <w:tl2br w:val="nil"/>
                    <w:tr2bl w:val="nil"/>
                  </w:tcBorders>
                  <w:shd w:val="clear" w:color="auto" w:fill="auto"/>
                  <w:vAlign w:val="center"/>
                </w:tcPr>
                <w:p w14:paraId="637E98C1">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w:t>
                  </w:r>
                </w:p>
              </w:tc>
              <w:tc>
                <w:tcPr>
                  <w:tcW w:w="147" w:type="pct"/>
                  <w:tcBorders>
                    <w:tl2br w:val="nil"/>
                    <w:tr2bl w:val="nil"/>
                  </w:tcBorders>
                  <w:shd w:val="clear" w:color="auto" w:fill="auto"/>
                  <w:vAlign w:val="center"/>
                </w:tcPr>
                <w:p w14:paraId="50293201">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w:t>
                  </w:r>
                </w:p>
              </w:tc>
              <w:tc>
                <w:tcPr>
                  <w:tcW w:w="147" w:type="pct"/>
                  <w:tcBorders>
                    <w:tl2br w:val="nil"/>
                    <w:tr2bl w:val="nil"/>
                  </w:tcBorders>
                  <w:shd w:val="clear" w:color="auto" w:fill="auto"/>
                  <w:vAlign w:val="center"/>
                </w:tcPr>
                <w:p w14:paraId="7B582F1E">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w:t>
                  </w:r>
                </w:p>
              </w:tc>
              <w:tc>
                <w:tcPr>
                  <w:tcW w:w="216" w:type="pct"/>
                  <w:tcBorders>
                    <w:tl2br w:val="nil"/>
                    <w:tr2bl w:val="nil"/>
                  </w:tcBorders>
                  <w:shd w:val="clear" w:color="auto" w:fill="auto"/>
                  <w:vAlign w:val="center"/>
                </w:tcPr>
                <w:p w14:paraId="54F0C7B5">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w:t>
                  </w:r>
                </w:p>
              </w:tc>
              <w:tc>
                <w:tcPr>
                  <w:tcW w:w="265" w:type="pct"/>
                  <w:tcBorders>
                    <w:tl2br w:val="nil"/>
                    <w:tr2bl w:val="nil"/>
                  </w:tcBorders>
                  <w:shd w:val="clear" w:color="auto" w:fill="auto"/>
                  <w:vAlign w:val="center"/>
                </w:tcPr>
                <w:p w14:paraId="271E5003">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w:t>
                  </w:r>
                </w:p>
              </w:tc>
              <w:tc>
                <w:tcPr>
                  <w:tcW w:w="695" w:type="dxa"/>
                  <w:tcBorders>
                    <w:tl2br w:val="nil"/>
                    <w:tr2bl w:val="nil"/>
                  </w:tcBorders>
                  <w:shd w:val="clear" w:color="auto" w:fill="auto"/>
                  <w:vAlign w:val="center"/>
                </w:tcPr>
                <w:p w14:paraId="19ED3247">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kern w:val="2"/>
                      <w:sz w:val="18"/>
                      <w:szCs w:val="18"/>
                      <w:highlight w:val="none"/>
                      <w:lang w:val="en-US" w:eastAsia="zh-CN" w:bidi="ar-SA"/>
                    </w:rPr>
                    <w:t>0.</w:t>
                  </w:r>
                  <w:r>
                    <w:rPr>
                      <w:rFonts w:hint="eastAsia" w:cs="Times New Roman"/>
                      <w:color w:val="auto"/>
                      <w:kern w:val="2"/>
                      <w:sz w:val="18"/>
                      <w:szCs w:val="18"/>
                      <w:highlight w:val="none"/>
                      <w:lang w:val="en-US" w:eastAsia="zh-CN" w:bidi="ar-SA"/>
                    </w:rPr>
                    <w:t>131</w:t>
                  </w:r>
                </w:p>
              </w:tc>
              <w:tc>
                <w:tcPr>
                  <w:tcW w:w="688" w:type="dxa"/>
                  <w:tcBorders>
                    <w:tl2br w:val="nil"/>
                    <w:tr2bl w:val="nil"/>
                  </w:tcBorders>
                  <w:shd w:val="clear" w:color="auto" w:fill="auto"/>
                  <w:vAlign w:val="center"/>
                </w:tcPr>
                <w:p w14:paraId="6A5EE435">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0.944</w:t>
                  </w:r>
                </w:p>
              </w:tc>
              <w:tc>
                <w:tcPr>
                  <w:tcW w:w="224" w:type="pct"/>
                  <w:tcBorders>
                    <w:tl2br w:val="nil"/>
                    <w:tr2bl w:val="nil"/>
                  </w:tcBorders>
                  <w:shd w:val="clear" w:color="auto" w:fill="auto"/>
                  <w:vAlign w:val="center"/>
                </w:tcPr>
                <w:p w14:paraId="53D47D5D">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w:t>
                  </w:r>
                </w:p>
              </w:tc>
              <w:tc>
                <w:tcPr>
                  <w:tcW w:w="189" w:type="pct"/>
                  <w:tcBorders>
                    <w:tl2br w:val="nil"/>
                    <w:tr2bl w:val="nil"/>
                  </w:tcBorders>
                  <w:shd w:val="clear" w:color="auto" w:fill="auto"/>
                  <w:vAlign w:val="center"/>
                </w:tcPr>
                <w:p w14:paraId="5F999351">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w:t>
                  </w:r>
                </w:p>
              </w:tc>
              <w:tc>
                <w:tcPr>
                  <w:tcW w:w="213" w:type="pct"/>
                  <w:tcBorders>
                    <w:tl2br w:val="nil"/>
                    <w:tr2bl w:val="nil"/>
                  </w:tcBorders>
                  <w:shd w:val="clear" w:color="auto" w:fill="auto"/>
                  <w:vAlign w:val="center"/>
                </w:tcPr>
                <w:p w14:paraId="1DE65145">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w:t>
                  </w:r>
                </w:p>
              </w:tc>
              <w:tc>
                <w:tcPr>
                  <w:tcW w:w="157" w:type="pct"/>
                  <w:tcBorders>
                    <w:tl2br w:val="nil"/>
                    <w:tr2bl w:val="nil"/>
                  </w:tcBorders>
                  <w:shd w:val="clear" w:color="auto" w:fill="auto"/>
                  <w:vAlign w:val="center"/>
                </w:tcPr>
                <w:p w14:paraId="4454DF33">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w:t>
                  </w:r>
                </w:p>
              </w:tc>
              <w:tc>
                <w:tcPr>
                  <w:tcW w:w="134" w:type="pct"/>
                  <w:tcBorders>
                    <w:tl2br w:val="nil"/>
                    <w:tr2bl w:val="nil"/>
                  </w:tcBorders>
                  <w:shd w:val="clear" w:color="auto" w:fill="auto"/>
                  <w:vAlign w:val="center"/>
                </w:tcPr>
                <w:p w14:paraId="29495268">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w:t>
                  </w:r>
                </w:p>
              </w:tc>
              <w:tc>
                <w:tcPr>
                  <w:tcW w:w="538" w:type="pct"/>
                  <w:tcBorders>
                    <w:tl2br w:val="nil"/>
                    <w:tr2bl w:val="nil"/>
                  </w:tcBorders>
                  <w:shd w:val="clear" w:color="auto" w:fill="auto"/>
                  <w:vAlign w:val="center"/>
                </w:tcPr>
                <w:p w14:paraId="6B8F8D4D">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s="Times New Roman"/>
                      <w:color w:val="auto"/>
                      <w:sz w:val="18"/>
                      <w:szCs w:val="18"/>
                      <w:highlight w:val="none"/>
                      <w:lang w:val="en-US" w:eastAsia="zh-CN"/>
                    </w:rPr>
                    <w:t>/</w:t>
                  </w:r>
                </w:p>
              </w:tc>
              <w:tc>
                <w:tcPr>
                  <w:tcW w:w="260" w:type="pct"/>
                  <w:tcBorders>
                    <w:tl2br w:val="nil"/>
                    <w:tr2bl w:val="nil"/>
                  </w:tcBorders>
                  <w:shd w:val="clear" w:color="auto" w:fill="auto"/>
                  <w:vAlign w:val="center"/>
                </w:tcPr>
                <w:p w14:paraId="467DF33D">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cs="Times New Roman"/>
                      <w:color w:val="auto"/>
                      <w:sz w:val="18"/>
                      <w:szCs w:val="18"/>
                      <w:highlight w:val="none"/>
                      <w:lang w:val="en-US" w:eastAsia="zh-CN"/>
                    </w:rPr>
                    <w:t>2.0</w:t>
                  </w:r>
                </w:p>
              </w:tc>
              <w:tc>
                <w:tcPr>
                  <w:tcW w:w="228" w:type="pct"/>
                  <w:tcBorders>
                    <w:tl2br w:val="nil"/>
                    <w:tr2bl w:val="nil"/>
                  </w:tcBorders>
                  <w:shd w:val="clear" w:color="auto" w:fill="auto"/>
                  <w:vAlign w:val="center"/>
                </w:tcPr>
                <w:p w14:paraId="2741C8B2">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w:t>
                  </w:r>
                </w:p>
              </w:tc>
            </w:tr>
            <w:tr w14:paraId="3FB7D4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14" w:type="pct"/>
                  <w:vMerge w:val="continue"/>
                  <w:tcBorders>
                    <w:tl2br w:val="nil"/>
                    <w:tr2bl w:val="nil"/>
                  </w:tcBorders>
                  <w:vAlign w:val="center"/>
                </w:tcPr>
                <w:p w14:paraId="06BF7F9C">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p>
              </w:tc>
              <w:tc>
                <w:tcPr>
                  <w:tcW w:w="147" w:type="pct"/>
                  <w:vMerge w:val="continue"/>
                  <w:tcBorders>
                    <w:tl2br w:val="nil"/>
                    <w:tr2bl w:val="nil"/>
                  </w:tcBorders>
                  <w:shd w:val="clear" w:color="auto" w:fill="auto"/>
                  <w:vAlign w:val="center"/>
                </w:tcPr>
                <w:p w14:paraId="2EA27F52">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p>
              </w:tc>
              <w:tc>
                <w:tcPr>
                  <w:tcW w:w="271" w:type="pct"/>
                  <w:tcBorders>
                    <w:tl2br w:val="nil"/>
                    <w:tr2bl w:val="nil"/>
                  </w:tcBorders>
                  <w:shd w:val="clear" w:color="auto" w:fill="auto"/>
                  <w:vAlign w:val="center"/>
                </w:tcPr>
                <w:p w14:paraId="78A6FD86">
                  <w:pPr>
                    <w:pStyle w:val="6"/>
                    <w:keepNext w:val="0"/>
                    <w:keepLines w:val="0"/>
                    <w:suppressLineNumbers w:val="0"/>
                    <w:bidi w:val="0"/>
                    <w:spacing w:before="0" w:beforeAutospacing="0" w:after="0" w:afterAutospacing="0"/>
                    <w:ind w:left="0" w:leftChars="0" w:right="0" w:rightChars="0" w:firstLine="0" w:firstLineChars="0"/>
                    <w:rPr>
                      <w:rFonts w:hint="default" w:cs="Times New Roman"/>
                      <w:color w:val="auto"/>
                      <w:sz w:val="18"/>
                      <w:szCs w:val="18"/>
                      <w:highlight w:val="none"/>
                      <w:lang w:val="en-US" w:eastAsia="zh-CN"/>
                    </w:rPr>
                  </w:pPr>
                  <w:r>
                    <w:rPr>
                      <w:rFonts w:hint="eastAsia" w:cs="Times New Roman"/>
                      <w:color w:val="auto"/>
                      <w:sz w:val="18"/>
                      <w:szCs w:val="18"/>
                      <w:highlight w:val="none"/>
                      <w:lang w:val="en-US" w:eastAsia="zh-CN"/>
                    </w:rPr>
                    <w:t>氨</w:t>
                  </w:r>
                </w:p>
              </w:tc>
              <w:tc>
                <w:tcPr>
                  <w:tcW w:w="209" w:type="pct"/>
                  <w:tcBorders>
                    <w:tl2br w:val="nil"/>
                    <w:tr2bl w:val="nil"/>
                  </w:tcBorders>
                  <w:shd w:val="clear" w:color="auto" w:fill="auto"/>
                  <w:vAlign w:val="center"/>
                </w:tcPr>
                <w:p w14:paraId="409CC2C4">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w:t>
                  </w:r>
                </w:p>
              </w:tc>
              <w:tc>
                <w:tcPr>
                  <w:tcW w:w="261" w:type="pct"/>
                  <w:tcBorders>
                    <w:tl2br w:val="nil"/>
                    <w:tr2bl w:val="nil"/>
                  </w:tcBorders>
                  <w:shd w:val="clear" w:color="auto" w:fill="auto"/>
                  <w:vAlign w:val="center"/>
                </w:tcPr>
                <w:p w14:paraId="1076600E">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0.025</w:t>
                  </w:r>
                </w:p>
              </w:tc>
              <w:tc>
                <w:tcPr>
                  <w:tcW w:w="231" w:type="pct"/>
                  <w:tcBorders>
                    <w:tl2br w:val="nil"/>
                    <w:tr2bl w:val="nil"/>
                  </w:tcBorders>
                  <w:shd w:val="clear" w:color="auto" w:fill="auto"/>
                  <w:vAlign w:val="center"/>
                </w:tcPr>
                <w:p w14:paraId="5CE7EA2C">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0.179</w:t>
                  </w:r>
                </w:p>
              </w:tc>
              <w:tc>
                <w:tcPr>
                  <w:tcW w:w="665" w:type="dxa"/>
                  <w:tcBorders>
                    <w:tl2br w:val="nil"/>
                    <w:tr2bl w:val="nil"/>
                  </w:tcBorders>
                  <w:shd w:val="clear" w:color="auto" w:fill="auto"/>
                  <w:vAlign w:val="center"/>
                </w:tcPr>
                <w:p w14:paraId="0F16E3B4">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w:t>
                  </w:r>
                </w:p>
              </w:tc>
              <w:tc>
                <w:tcPr>
                  <w:tcW w:w="485" w:type="dxa"/>
                  <w:tcBorders>
                    <w:tl2br w:val="nil"/>
                    <w:tr2bl w:val="nil"/>
                  </w:tcBorders>
                  <w:shd w:val="clear" w:color="auto" w:fill="auto"/>
                  <w:vAlign w:val="center"/>
                </w:tcPr>
                <w:p w14:paraId="1CE55197">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w:t>
                  </w:r>
                </w:p>
              </w:tc>
              <w:tc>
                <w:tcPr>
                  <w:tcW w:w="396" w:type="dxa"/>
                  <w:tcBorders>
                    <w:tl2br w:val="nil"/>
                    <w:tr2bl w:val="nil"/>
                  </w:tcBorders>
                  <w:shd w:val="clear" w:color="auto" w:fill="auto"/>
                  <w:vAlign w:val="center"/>
                </w:tcPr>
                <w:p w14:paraId="1FDBDE9E">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w:t>
                  </w:r>
                </w:p>
              </w:tc>
              <w:tc>
                <w:tcPr>
                  <w:tcW w:w="396" w:type="dxa"/>
                  <w:tcBorders>
                    <w:tl2br w:val="nil"/>
                    <w:tr2bl w:val="nil"/>
                  </w:tcBorders>
                  <w:shd w:val="clear" w:color="auto" w:fill="auto"/>
                  <w:vAlign w:val="center"/>
                </w:tcPr>
                <w:p w14:paraId="0BF16F9C">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w:t>
                  </w:r>
                </w:p>
              </w:tc>
              <w:tc>
                <w:tcPr>
                  <w:tcW w:w="582" w:type="dxa"/>
                  <w:tcBorders>
                    <w:tl2br w:val="nil"/>
                    <w:tr2bl w:val="nil"/>
                  </w:tcBorders>
                  <w:shd w:val="clear" w:color="auto" w:fill="auto"/>
                  <w:vAlign w:val="center"/>
                </w:tcPr>
                <w:p w14:paraId="5979E23C">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w:t>
                  </w:r>
                </w:p>
              </w:tc>
              <w:tc>
                <w:tcPr>
                  <w:tcW w:w="714" w:type="dxa"/>
                  <w:tcBorders>
                    <w:tl2br w:val="nil"/>
                    <w:tr2bl w:val="nil"/>
                  </w:tcBorders>
                  <w:shd w:val="clear" w:color="auto" w:fill="auto"/>
                  <w:vAlign w:val="center"/>
                </w:tcPr>
                <w:p w14:paraId="25671410">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w:t>
                  </w:r>
                </w:p>
              </w:tc>
              <w:tc>
                <w:tcPr>
                  <w:tcW w:w="695" w:type="dxa"/>
                  <w:tcBorders>
                    <w:tl2br w:val="nil"/>
                    <w:tr2bl w:val="nil"/>
                  </w:tcBorders>
                  <w:shd w:val="clear" w:color="auto" w:fill="auto"/>
                  <w:vAlign w:val="center"/>
                </w:tcPr>
                <w:p w14:paraId="71E6C9C5">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0.025</w:t>
                  </w:r>
                </w:p>
              </w:tc>
              <w:tc>
                <w:tcPr>
                  <w:tcW w:w="688" w:type="dxa"/>
                  <w:tcBorders>
                    <w:tl2br w:val="nil"/>
                    <w:tr2bl w:val="nil"/>
                  </w:tcBorders>
                  <w:shd w:val="clear" w:color="auto" w:fill="auto"/>
                  <w:vAlign w:val="center"/>
                </w:tcPr>
                <w:p w14:paraId="4563AE58">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0.179</w:t>
                  </w:r>
                </w:p>
              </w:tc>
              <w:tc>
                <w:tcPr>
                  <w:tcW w:w="605" w:type="dxa"/>
                  <w:tcBorders>
                    <w:tl2br w:val="nil"/>
                    <w:tr2bl w:val="nil"/>
                  </w:tcBorders>
                  <w:shd w:val="clear" w:color="auto" w:fill="auto"/>
                  <w:vAlign w:val="center"/>
                </w:tcPr>
                <w:p w14:paraId="3983CB1A">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w:t>
                  </w:r>
                </w:p>
              </w:tc>
              <w:tc>
                <w:tcPr>
                  <w:tcW w:w="510" w:type="dxa"/>
                  <w:tcBorders>
                    <w:tl2br w:val="nil"/>
                    <w:tr2bl w:val="nil"/>
                  </w:tcBorders>
                  <w:shd w:val="clear" w:color="auto" w:fill="auto"/>
                  <w:vAlign w:val="center"/>
                </w:tcPr>
                <w:p w14:paraId="75C15E4A">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w:t>
                  </w:r>
                </w:p>
              </w:tc>
              <w:tc>
                <w:tcPr>
                  <w:tcW w:w="575" w:type="dxa"/>
                  <w:tcBorders>
                    <w:tl2br w:val="nil"/>
                    <w:tr2bl w:val="nil"/>
                  </w:tcBorders>
                  <w:shd w:val="clear" w:color="auto" w:fill="auto"/>
                  <w:vAlign w:val="center"/>
                </w:tcPr>
                <w:p w14:paraId="489BD8C4">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w:t>
                  </w:r>
                </w:p>
              </w:tc>
              <w:tc>
                <w:tcPr>
                  <w:tcW w:w="425" w:type="dxa"/>
                  <w:tcBorders>
                    <w:tl2br w:val="nil"/>
                    <w:tr2bl w:val="nil"/>
                  </w:tcBorders>
                  <w:shd w:val="clear" w:color="auto" w:fill="auto"/>
                  <w:vAlign w:val="center"/>
                </w:tcPr>
                <w:p w14:paraId="305E2A61">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w:t>
                  </w:r>
                </w:p>
              </w:tc>
              <w:tc>
                <w:tcPr>
                  <w:tcW w:w="363" w:type="dxa"/>
                  <w:tcBorders>
                    <w:tl2br w:val="nil"/>
                    <w:tr2bl w:val="nil"/>
                  </w:tcBorders>
                  <w:shd w:val="clear" w:color="auto" w:fill="auto"/>
                  <w:vAlign w:val="center"/>
                </w:tcPr>
                <w:p w14:paraId="608324F4">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w:t>
                  </w:r>
                </w:p>
              </w:tc>
              <w:tc>
                <w:tcPr>
                  <w:tcW w:w="1450" w:type="dxa"/>
                  <w:tcBorders>
                    <w:tl2br w:val="nil"/>
                    <w:tr2bl w:val="nil"/>
                  </w:tcBorders>
                  <w:shd w:val="clear" w:color="auto" w:fill="auto"/>
                  <w:vAlign w:val="center"/>
                </w:tcPr>
                <w:p w14:paraId="5C3376BA">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w:t>
                  </w:r>
                </w:p>
              </w:tc>
              <w:tc>
                <w:tcPr>
                  <w:tcW w:w="260" w:type="pct"/>
                  <w:tcBorders>
                    <w:tl2br w:val="nil"/>
                    <w:tr2bl w:val="nil"/>
                  </w:tcBorders>
                  <w:shd w:val="clear" w:color="auto" w:fill="auto"/>
                  <w:vAlign w:val="center"/>
                </w:tcPr>
                <w:p w14:paraId="593F1B2A">
                  <w:pPr>
                    <w:pStyle w:val="6"/>
                    <w:keepNext w:val="0"/>
                    <w:keepLines w:val="0"/>
                    <w:suppressLineNumbers w:val="0"/>
                    <w:bidi w:val="0"/>
                    <w:spacing w:before="0" w:beforeAutospacing="0" w:after="0" w:afterAutospacing="0"/>
                    <w:ind w:left="0" w:leftChars="0" w:right="0" w:rightChars="0" w:firstLine="0" w:firstLineChars="0"/>
                    <w:rPr>
                      <w:rFonts w:hint="default" w:cs="Times New Roman"/>
                      <w:color w:val="auto"/>
                      <w:sz w:val="18"/>
                      <w:szCs w:val="18"/>
                      <w:highlight w:val="none"/>
                      <w:lang w:val="en-US" w:eastAsia="zh-CN"/>
                    </w:rPr>
                  </w:pPr>
                  <w:r>
                    <w:rPr>
                      <w:rFonts w:hint="eastAsia" w:cs="Times New Roman"/>
                      <w:color w:val="auto"/>
                      <w:sz w:val="18"/>
                      <w:szCs w:val="18"/>
                      <w:highlight w:val="none"/>
                      <w:lang w:val="en-US" w:eastAsia="zh-CN"/>
                    </w:rPr>
                    <w:t>/</w:t>
                  </w:r>
                </w:p>
              </w:tc>
              <w:tc>
                <w:tcPr>
                  <w:tcW w:w="228" w:type="pct"/>
                  <w:tcBorders>
                    <w:tl2br w:val="nil"/>
                    <w:tr2bl w:val="nil"/>
                  </w:tcBorders>
                  <w:shd w:val="clear" w:color="auto" w:fill="auto"/>
                  <w:vAlign w:val="center"/>
                </w:tcPr>
                <w:p w14:paraId="2593C4E1">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4.9</w:t>
                  </w:r>
                </w:p>
              </w:tc>
            </w:tr>
          </w:tbl>
          <w:p w14:paraId="66EDB6D6">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textAlignment w:val="auto"/>
              <w:rPr>
                <w:rFonts w:hint="default" w:ascii="Times New Roman" w:hAnsi="Times New Roman"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表4-2   废气污染源非正常排放汇总表</w:t>
            </w:r>
          </w:p>
          <w:tbl>
            <w:tblPr>
              <w:tblStyle w:val="3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97"/>
              <w:gridCol w:w="904"/>
              <w:gridCol w:w="663"/>
              <w:gridCol w:w="725"/>
              <w:gridCol w:w="650"/>
              <w:gridCol w:w="900"/>
              <w:gridCol w:w="662"/>
              <w:gridCol w:w="925"/>
              <w:gridCol w:w="838"/>
              <w:gridCol w:w="650"/>
              <w:gridCol w:w="637"/>
              <w:gridCol w:w="688"/>
              <w:gridCol w:w="687"/>
              <w:gridCol w:w="1560"/>
              <w:gridCol w:w="1489"/>
            </w:tblGrid>
            <w:tr w14:paraId="704E79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251" w:type="pct"/>
                  <w:vMerge w:val="restart"/>
                  <w:vAlign w:val="center"/>
                </w:tcPr>
                <w:p w14:paraId="02E276A4">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产排污环节</w:t>
                  </w:r>
                </w:p>
              </w:tc>
              <w:tc>
                <w:tcPr>
                  <w:tcW w:w="296" w:type="pct"/>
                  <w:vMerge w:val="restart"/>
                  <w:vAlign w:val="center"/>
                </w:tcPr>
                <w:p w14:paraId="5FFE6765">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排放形式</w:t>
                  </w:r>
                </w:p>
              </w:tc>
              <w:tc>
                <w:tcPr>
                  <w:tcW w:w="336" w:type="pct"/>
                  <w:vMerge w:val="restart"/>
                  <w:vAlign w:val="center"/>
                </w:tcPr>
                <w:p w14:paraId="7E882973">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污染物种类</w:t>
                  </w:r>
                </w:p>
              </w:tc>
              <w:tc>
                <w:tcPr>
                  <w:tcW w:w="757" w:type="pct"/>
                  <w:gridSpan w:val="3"/>
                  <w:vAlign w:val="center"/>
                </w:tcPr>
                <w:p w14:paraId="073A735B">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非正常排放频次</w:t>
                  </w:r>
                </w:p>
              </w:tc>
              <w:tc>
                <w:tcPr>
                  <w:tcW w:w="924" w:type="pct"/>
                  <w:gridSpan w:val="3"/>
                  <w:vAlign w:val="center"/>
                </w:tcPr>
                <w:p w14:paraId="43F8D501">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污染物排放量和浓度</w:t>
                  </w:r>
                </w:p>
              </w:tc>
              <w:tc>
                <w:tcPr>
                  <w:tcW w:w="1880" w:type="pct"/>
                  <w:gridSpan w:val="6"/>
                  <w:vAlign w:val="center"/>
                </w:tcPr>
                <w:p w14:paraId="29C31C7B">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排放口基本情况</w:t>
                  </w:r>
                </w:p>
              </w:tc>
              <w:tc>
                <w:tcPr>
                  <w:tcW w:w="553" w:type="pct"/>
                  <w:vMerge w:val="restart"/>
                  <w:vAlign w:val="center"/>
                </w:tcPr>
                <w:p w14:paraId="4FB87D73">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控制措施</w:t>
                  </w:r>
                </w:p>
              </w:tc>
            </w:tr>
            <w:tr w14:paraId="6ECEFE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51" w:type="pct"/>
                  <w:vMerge w:val="continue"/>
                  <w:vAlign w:val="center"/>
                </w:tcPr>
                <w:p w14:paraId="704BA801">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p>
              </w:tc>
              <w:tc>
                <w:tcPr>
                  <w:tcW w:w="296" w:type="pct"/>
                  <w:vMerge w:val="continue"/>
                  <w:vAlign w:val="center"/>
                </w:tcPr>
                <w:p w14:paraId="38B8A0B8">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p>
              </w:tc>
              <w:tc>
                <w:tcPr>
                  <w:tcW w:w="336" w:type="pct"/>
                  <w:vMerge w:val="continue"/>
                  <w:vAlign w:val="center"/>
                </w:tcPr>
                <w:p w14:paraId="07382FC8">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p>
              </w:tc>
              <w:tc>
                <w:tcPr>
                  <w:tcW w:w="246" w:type="pct"/>
                  <w:vAlign w:val="center"/>
                </w:tcPr>
                <w:p w14:paraId="3D7BB48A">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次数</w:t>
                  </w:r>
                </w:p>
              </w:tc>
              <w:tc>
                <w:tcPr>
                  <w:tcW w:w="269" w:type="pct"/>
                  <w:vAlign w:val="center"/>
                </w:tcPr>
                <w:p w14:paraId="38F5621B">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单次持续时间</w:t>
                  </w:r>
                </w:p>
              </w:tc>
              <w:tc>
                <w:tcPr>
                  <w:tcW w:w="241" w:type="pct"/>
                  <w:vAlign w:val="center"/>
                </w:tcPr>
                <w:p w14:paraId="463D4A09">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总排放时间</w:t>
                  </w:r>
                </w:p>
              </w:tc>
              <w:tc>
                <w:tcPr>
                  <w:tcW w:w="334" w:type="pct"/>
                  <w:vMerge w:val="restart"/>
                  <w:vAlign w:val="center"/>
                </w:tcPr>
                <w:p w14:paraId="68370C4B">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排放浓度</w:t>
                  </w:r>
                </w:p>
                <w:p w14:paraId="11A00E0F">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mg/m</w:t>
                  </w:r>
                  <w:r>
                    <w:rPr>
                      <w:rFonts w:hint="default" w:ascii="Times New Roman" w:hAnsi="Times New Roman" w:eastAsia="宋体" w:cs="Times New Roman"/>
                      <w:b/>
                      <w:bCs/>
                      <w:color w:val="auto"/>
                      <w:kern w:val="2"/>
                      <w:sz w:val="18"/>
                      <w:szCs w:val="18"/>
                      <w:highlight w:val="none"/>
                      <w:vertAlign w:val="superscript"/>
                      <w:lang w:val="en-US" w:eastAsia="zh-CN" w:bidi="ar-SA"/>
                    </w:rPr>
                    <w:t>3</w:t>
                  </w:r>
                </w:p>
              </w:tc>
              <w:tc>
                <w:tcPr>
                  <w:tcW w:w="589" w:type="pct"/>
                  <w:gridSpan w:val="2"/>
                  <w:vAlign w:val="center"/>
                </w:tcPr>
                <w:p w14:paraId="5FAD89CF">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排放量</w:t>
                  </w:r>
                </w:p>
              </w:tc>
              <w:tc>
                <w:tcPr>
                  <w:tcW w:w="311" w:type="pct"/>
                  <w:vAlign w:val="center"/>
                </w:tcPr>
                <w:p w14:paraId="728F37D7">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编号及名称</w:t>
                  </w:r>
                </w:p>
              </w:tc>
              <w:tc>
                <w:tcPr>
                  <w:tcW w:w="241" w:type="pct"/>
                  <w:vAlign w:val="center"/>
                </w:tcPr>
                <w:p w14:paraId="550938FC">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高度</w:t>
                  </w:r>
                </w:p>
              </w:tc>
              <w:tc>
                <w:tcPr>
                  <w:tcW w:w="236" w:type="pct"/>
                  <w:vAlign w:val="center"/>
                </w:tcPr>
                <w:p w14:paraId="3694A7D6">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内径</w:t>
                  </w:r>
                </w:p>
              </w:tc>
              <w:tc>
                <w:tcPr>
                  <w:tcW w:w="255" w:type="pct"/>
                  <w:vAlign w:val="center"/>
                </w:tcPr>
                <w:p w14:paraId="34FA8564">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温度</w:t>
                  </w:r>
                </w:p>
              </w:tc>
              <w:tc>
                <w:tcPr>
                  <w:tcW w:w="255" w:type="pct"/>
                  <w:vAlign w:val="center"/>
                </w:tcPr>
                <w:p w14:paraId="22CC5E8E">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类型</w:t>
                  </w:r>
                </w:p>
              </w:tc>
              <w:tc>
                <w:tcPr>
                  <w:tcW w:w="579" w:type="pct"/>
                  <w:vAlign w:val="center"/>
                </w:tcPr>
                <w:p w14:paraId="0D14AF36">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地理</w:t>
                  </w:r>
                </w:p>
                <w:p w14:paraId="4EF129EA">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坐标</w:t>
                  </w:r>
                </w:p>
              </w:tc>
              <w:tc>
                <w:tcPr>
                  <w:tcW w:w="553" w:type="pct"/>
                  <w:vMerge w:val="continue"/>
                  <w:vAlign w:val="center"/>
                </w:tcPr>
                <w:p w14:paraId="345824F3">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p>
              </w:tc>
            </w:tr>
            <w:tr w14:paraId="70852B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51" w:type="pct"/>
                  <w:vMerge w:val="continue"/>
                  <w:tcBorders>
                    <w:bottom w:val="single" w:color="auto" w:sz="12" w:space="0"/>
                  </w:tcBorders>
                  <w:vAlign w:val="center"/>
                </w:tcPr>
                <w:p w14:paraId="3D062493">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p>
              </w:tc>
              <w:tc>
                <w:tcPr>
                  <w:tcW w:w="296" w:type="pct"/>
                  <w:vMerge w:val="continue"/>
                  <w:tcBorders>
                    <w:bottom w:val="single" w:color="auto" w:sz="12" w:space="0"/>
                  </w:tcBorders>
                  <w:vAlign w:val="center"/>
                </w:tcPr>
                <w:p w14:paraId="65895393">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p>
              </w:tc>
              <w:tc>
                <w:tcPr>
                  <w:tcW w:w="336" w:type="pct"/>
                  <w:vMerge w:val="continue"/>
                  <w:tcBorders>
                    <w:bottom w:val="single" w:color="auto" w:sz="12" w:space="0"/>
                  </w:tcBorders>
                  <w:vAlign w:val="center"/>
                </w:tcPr>
                <w:p w14:paraId="2E54FB52">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p>
              </w:tc>
              <w:tc>
                <w:tcPr>
                  <w:tcW w:w="246" w:type="pct"/>
                  <w:tcBorders>
                    <w:bottom w:val="single" w:color="auto" w:sz="12" w:space="0"/>
                  </w:tcBorders>
                  <w:vAlign w:val="center"/>
                </w:tcPr>
                <w:p w14:paraId="544600CE">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次/年</w:t>
                  </w:r>
                </w:p>
              </w:tc>
              <w:tc>
                <w:tcPr>
                  <w:tcW w:w="269" w:type="pct"/>
                  <w:tcBorders>
                    <w:bottom w:val="single" w:color="auto" w:sz="12" w:space="0"/>
                  </w:tcBorders>
                  <w:vAlign w:val="center"/>
                </w:tcPr>
                <w:p w14:paraId="1927E7BD">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小时</w:t>
                  </w:r>
                </w:p>
              </w:tc>
              <w:tc>
                <w:tcPr>
                  <w:tcW w:w="241" w:type="pct"/>
                  <w:tcBorders>
                    <w:bottom w:val="single" w:color="auto" w:sz="12" w:space="0"/>
                  </w:tcBorders>
                  <w:vAlign w:val="center"/>
                </w:tcPr>
                <w:p w14:paraId="4ECB4FBC">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小时</w:t>
                  </w:r>
                </w:p>
              </w:tc>
              <w:tc>
                <w:tcPr>
                  <w:tcW w:w="334" w:type="pct"/>
                  <w:vMerge w:val="continue"/>
                  <w:tcBorders>
                    <w:bottom w:val="single" w:color="auto" w:sz="12" w:space="0"/>
                  </w:tcBorders>
                  <w:vAlign w:val="center"/>
                </w:tcPr>
                <w:p w14:paraId="0A85F456">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p>
              </w:tc>
              <w:tc>
                <w:tcPr>
                  <w:tcW w:w="246" w:type="pct"/>
                  <w:tcBorders>
                    <w:bottom w:val="single" w:color="auto" w:sz="12" w:space="0"/>
                  </w:tcBorders>
                  <w:vAlign w:val="center"/>
                </w:tcPr>
                <w:p w14:paraId="1805632C">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kg/h</w:t>
                  </w:r>
                </w:p>
              </w:tc>
              <w:tc>
                <w:tcPr>
                  <w:tcW w:w="343" w:type="pct"/>
                  <w:tcBorders>
                    <w:bottom w:val="single" w:color="auto" w:sz="12" w:space="0"/>
                  </w:tcBorders>
                  <w:vAlign w:val="center"/>
                </w:tcPr>
                <w:p w14:paraId="43FF74FB">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eastAsia" w:cs="Times New Roman"/>
                      <w:b/>
                      <w:bCs/>
                      <w:color w:val="auto"/>
                      <w:kern w:val="2"/>
                      <w:sz w:val="18"/>
                      <w:szCs w:val="18"/>
                      <w:highlight w:val="none"/>
                      <w:lang w:val="en-US" w:eastAsia="zh-CN" w:bidi="ar-SA"/>
                    </w:rPr>
                    <w:t>kg</w:t>
                  </w:r>
                  <w:r>
                    <w:rPr>
                      <w:rFonts w:hint="default" w:ascii="Times New Roman" w:hAnsi="Times New Roman" w:eastAsia="宋体" w:cs="Times New Roman"/>
                      <w:b/>
                      <w:bCs/>
                      <w:color w:val="auto"/>
                      <w:kern w:val="2"/>
                      <w:sz w:val="18"/>
                      <w:szCs w:val="18"/>
                      <w:highlight w:val="none"/>
                      <w:lang w:val="en-US" w:eastAsia="zh-CN" w:bidi="ar-SA"/>
                    </w:rPr>
                    <w:t>/a</w:t>
                  </w:r>
                </w:p>
              </w:tc>
              <w:tc>
                <w:tcPr>
                  <w:tcW w:w="311" w:type="pct"/>
                  <w:tcBorders>
                    <w:bottom w:val="single" w:color="auto" w:sz="12" w:space="0"/>
                  </w:tcBorders>
                  <w:vAlign w:val="center"/>
                </w:tcPr>
                <w:p w14:paraId="495D5371">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w:t>
                  </w:r>
                </w:p>
              </w:tc>
              <w:tc>
                <w:tcPr>
                  <w:tcW w:w="241" w:type="pct"/>
                  <w:tcBorders>
                    <w:bottom w:val="single" w:color="auto" w:sz="12" w:space="0"/>
                  </w:tcBorders>
                  <w:vAlign w:val="center"/>
                </w:tcPr>
                <w:p w14:paraId="2BC8124C">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m</w:t>
                  </w:r>
                </w:p>
              </w:tc>
              <w:tc>
                <w:tcPr>
                  <w:tcW w:w="236" w:type="pct"/>
                  <w:tcBorders>
                    <w:bottom w:val="single" w:color="auto" w:sz="12" w:space="0"/>
                  </w:tcBorders>
                  <w:vAlign w:val="center"/>
                </w:tcPr>
                <w:p w14:paraId="5B27D6E4">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m</w:t>
                  </w:r>
                </w:p>
              </w:tc>
              <w:tc>
                <w:tcPr>
                  <w:tcW w:w="255" w:type="pct"/>
                  <w:tcBorders>
                    <w:bottom w:val="single" w:color="auto" w:sz="12" w:space="0"/>
                  </w:tcBorders>
                  <w:vAlign w:val="center"/>
                </w:tcPr>
                <w:p w14:paraId="658F3567">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w:t>
                  </w:r>
                </w:p>
              </w:tc>
              <w:tc>
                <w:tcPr>
                  <w:tcW w:w="255" w:type="pct"/>
                  <w:tcBorders>
                    <w:bottom w:val="single" w:color="auto" w:sz="12" w:space="0"/>
                  </w:tcBorders>
                  <w:vAlign w:val="center"/>
                </w:tcPr>
                <w:p w14:paraId="37AF9ADD">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w:t>
                  </w:r>
                </w:p>
              </w:tc>
              <w:tc>
                <w:tcPr>
                  <w:tcW w:w="579" w:type="pct"/>
                  <w:tcBorders>
                    <w:bottom w:val="single" w:color="auto" w:sz="12" w:space="0"/>
                  </w:tcBorders>
                  <w:vAlign w:val="center"/>
                </w:tcPr>
                <w:p w14:paraId="769DEDAF">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r>
                    <w:rPr>
                      <w:rFonts w:hint="default" w:ascii="Times New Roman" w:hAnsi="Times New Roman" w:eastAsia="宋体" w:cs="Times New Roman"/>
                      <w:b/>
                      <w:bCs/>
                      <w:color w:val="auto"/>
                      <w:kern w:val="2"/>
                      <w:sz w:val="18"/>
                      <w:szCs w:val="18"/>
                      <w:highlight w:val="none"/>
                      <w:lang w:val="en-US" w:eastAsia="zh-CN" w:bidi="ar-SA"/>
                    </w:rPr>
                    <w:t>/</w:t>
                  </w:r>
                </w:p>
              </w:tc>
              <w:tc>
                <w:tcPr>
                  <w:tcW w:w="553" w:type="pct"/>
                  <w:vMerge w:val="continue"/>
                  <w:tcBorders>
                    <w:bottom w:val="single" w:color="auto" w:sz="12" w:space="0"/>
                  </w:tcBorders>
                  <w:vAlign w:val="center"/>
                </w:tcPr>
                <w:p w14:paraId="51D4FAF7">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18"/>
                      <w:szCs w:val="18"/>
                      <w:highlight w:val="none"/>
                      <w:lang w:val="en-US" w:eastAsia="zh-CN" w:bidi="ar-SA"/>
                    </w:rPr>
                  </w:pPr>
                </w:p>
              </w:tc>
            </w:tr>
            <w:tr w14:paraId="3523B8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51" w:type="pct"/>
                  <w:vMerge w:val="restart"/>
                  <w:tcBorders>
                    <w:top w:val="single" w:color="auto" w:sz="12" w:space="0"/>
                  </w:tcBorders>
                  <w:shd w:val="clear" w:color="auto" w:fill="auto"/>
                  <w:vAlign w:val="center"/>
                </w:tcPr>
                <w:p w14:paraId="3F2A2897">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sz w:val="18"/>
                      <w:szCs w:val="18"/>
                      <w:highlight w:val="none"/>
                      <w:lang w:val="en-US" w:eastAsia="zh-CN"/>
                    </w:rPr>
                    <w:t>烘干、挤出</w:t>
                  </w:r>
                  <w:r>
                    <w:rPr>
                      <w:rFonts w:hint="eastAsia" w:ascii="Times New Roman" w:hAnsi="Times New Roman" w:cs="Times New Roman"/>
                      <w:color w:val="auto"/>
                      <w:sz w:val="18"/>
                      <w:szCs w:val="18"/>
                      <w:highlight w:val="none"/>
                      <w:lang w:val="en-US" w:eastAsia="zh-CN"/>
                    </w:rPr>
                    <w:t>废气</w:t>
                  </w:r>
                </w:p>
              </w:tc>
              <w:tc>
                <w:tcPr>
                  <w:tcW w:w="296" w:type="pct"/>
                  <w:vMerge w:val="restart"/>
                  <w:tcBorders>
                    <w:top w:val="single" w:color="auto" w:sz="12" w:space="0"/>
                  </w:tcBorders>
                  <w:shd w:val="clear" w:color="auto" w:fill="auto"/>
                  <w:vAlign w:val="center"/>
                </w:tcPr>
                <w:p w14:paraId="49C41643">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有组织</w:t>
                  </w:r>
                </w:p>
              </w:tc>
              <w:tc>
                <w:tcPr>
                  <w:tcW w:w="336" w:type="pct"/>
                  <w:tcBorders>
                    <w:top w:val="single" w:color="auto" w:sz="12" w:space="0"/>
                    <w:bottom w:val="single" w:color="auto" w:sz="4" w:space="0"/>
                  </w:tcBorders>
                  <w:shd w:val="clear" w:color="auto" w:fill="auto"/>
                  <w:vAlign w:val="center"/>
                </w:tcPr>
                <w:p w14:paraId="2E927AE0">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sz w:val="18"/>
                      <w:szCs w:val="18"/>
                      <w:highlight w:val="none"/>
                      <w:lang w:val="en-US" w:eastAsia="zh-CN"/>
                    </w:rPr>
                    <w:t>非甲烷总烃</w:t>
                  </w:r>
                </w:p>
              </w:tc>
              <w:tc>
                <w:tcPr>
                  <w:tcW w:w="246" w:type="pct"/>
                  <w:tcBorders>
                    <w:top w:val="single" w:color="auto" w:sz="12" w:space="0"/>
                    <w:bottom w:val="single" w:color="auto" w:sz="4" w:space="0"/>
                  </w:tcBorders>
                  <w:shd w:val="clear" w:color="auto" w:fill="auto"/>
                  <w:vAlign w:val="center"/>
                </w:tcPr>
                <w:p w14:paraId="30C62E33">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2</w:t>
                  </w:r>
                </w:p>
              </w:tc>
              <w:tc>
                <w:tcPr>
                  <w:tcW w:w="269" w:type="pct"/>
                  <w:tcBorders>
                    <w:top w:val="single" w:color="auto" w:sz="12" w:space="0"/>
                    <w:bottom w:val="single" w:color="auto" w:sz="4" w:space="0"/>
                  </w:tcBorders>
                  <w:shd w:val="clear" w:color="auto" w:fill="auto"/>
                  <w:vAlign w:val="center"/>
                </w:tcPr>
                <w:p w14:paraId="1D0A8306">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1</w:t>
                  </w:r>
                </w:p>
              </w:tc>
              <w:tc>
                <w:tcPr>
                  <w:tcW w:w="241" w:type="pct"/>
                  <w:tcBorders>
                    <w:top w:val="single" w:color="auto" w:sz="12" w:space="0"/>
                    <w:bottom w:val="single" w:color="auto" w:sz="4" w:space="0"/>
                  </w:tcBorders>
                  <w:shd w:val="clear" w:color="auto" w:fill="auto"/>
                  <w:vAlign w:val="center"/>
                </w:tcPr>
                <w:p w14:paraId="3C6776E6">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2</w:t>
                  </w:r>
                </w:p>
              </w:tc>
              <w:tc>
                <w:tcPr>
                  <w:tcW w:w="900" w:type="dxa"/>
                  <w:tcBorders>
                    <w:top w:val="single" w:color="auto" w:sz="12" w:space="0"/>
                    <w:bottom w:val="single" w:color="auto" w:sz="4" w:space="0"/>
                  </w:tcBorders>
                  <w:shd w:val="clear" w:color="auto" w:fill="auto"/>
                  <w:vAlign w:val="center"/>
                </w:tcPr>
                <w:p w14:paraId="1CDD1979">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2.917</w:t>
                  </w:r>
                </w:p>
              </w:tc>
              <w:tc>
                <w:tcPr>
                  <w:tcW w:w="662" w:type="dxa"/>
                  <w:tcBorders>
                    <w:top w:val="single" w:color="auto" w:sz="12" w:space="0"/>
                    <w:bottom w:val="single" w:color="auto" w:sz="4" w:space="0"/>
                  </w:tcBorders>
                  <w:shd w:val="clear" w:color="auto" w:fill="auto"/>
                  <w:vAlign w:val="center"/>
                </w:tcPr>
                <w:p w14:paraId="659834BD">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sz w:val="18"/>
                      <w:szCs w:val="18"/>
                      <w:highlight w:val="none"/>
                      <w:lang w:val="en-US" w:eastAsia="zh-CN"/>
                    </w:rPr>
                    <w:t>0.056</w:t>
                  </w:r>
                </w:p>
              </w:tc>
              <w:tc>
                <w:tcPr>
                  <w:tcW w:w="925" w:type="dxa"/>
                  <w:tcBorders>
                    <w:top w:val="single" w:color="auto" w:sz="12" w:space="0"/>
                    <w:bottom w:val="single" w:color="auto" w:sz="4" w:space="0"/>
                  </w:tcBorders>
                  <w:shd w:val="clear" w:color="auto" w:fill="auto"/>
                  <w:vAlign w:val="center"/>
                </w:tcPr>
                <w:p w14:paraId="4BC50064">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0.112</w:t>
                  </w:r>
                </w:p>
              </w:tc>
              <w:tc>
                <w:tcPr>
                  <w:tcW w:w="311" w:type="pct"/>
                  <w:vMerge w:val="restart"/>
                  <w:tcBorders>
                    <w:top w:val="single" w:color="auto" w:sz="12" w:space="0"/>
                  </w:tcBorders>
                  <w:shd w:val="clear" w:color="auto" w:fill="auto"/>
                  <w:vAlign w:val="center"/>
                </w:tcPr>
                <w:p w14:paraId="734F41EB">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DA00</w:t>
                  </w:r>
                  <w:r>
                    <w:rPr>
                      <w:rFonts w:hint="eastAsia" w:cs="Times New Roman"/>
                      <w:color w:val="auto"/>
                      <w:sz w:val="18"/>
                      <w:szCs w:val="18"/>
                      <w:highlight w:val="none"/>
                      <w:lang w:val="en-US" w:eastAsia="zh-CN"/>
                    </w:rPr>
                    <w:t>5</w:t>
                  </w:r>
                </w:p>
              </w:tc>
              <w:tc>
                <w:tcPr>
                  <w:tcW w:w="241" w:type="pct"/>
                  <w:vMerge w:val="restart"/>
                  <w:tcBorders>
                    <w:top w:val="single" w:color="auto" w:sz="12" w:space="0"/>
                  </w:tcBorders>
                  <w:shd w:val="clear" w:color="auto" w:fill="auto"/>
                  <w:vAlign w:val="center"/>
                </w:tcPr>
                <w:p w14:paraId="275A0F2A">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15</w:t>
                  </w:r>
                </w:p>
              </w:tc>
              <w:tc>
                <w:tcPr>
                  <w:tcW w:w="236" w:type="pct"/>
                  <w:vMerge w:val="restart"/>
                  <w:tcBorders>
                    <w:top w:val="single" w:color="auto" w:sz="12" w:space="0"/>
                  </w:tcBorders>
                  <w:shd w:val="clear" w:color="auto" w:fill="auto"/>
                  <w:vAlign w:val="center"/>
                </w:tcPr>
                <w:p w14:paraId="7B407B97">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sz w:val="18"/>
                      <w:szCs w:val="18"/>
                      <w:highlight w:val="none"/>
                      <w:lang w:val="en-US" w:eastAsia="zh-CN"/>
                    </w:rPr>
                    <w:t>0.5</w:t>
                  </w:r>
                </w:p>
              </w:tc>
              <w:tc>
                <w:tcPr>
                  <w:tcW w:w="255" w:type="pct"/>
                  <w:vMerge w:val="restart"/>
                  <w:tcBorders>
                    <w:top w:val="single" w:color="auto" w:sz="12" w:space="0"/>
                  </w:tcBorders>
                  <w:shd w:val="clear" w:color="auto" w:fill="auto"/>
                  <w:vAlign w:val="center"/>
                </w:tcPr>
                <w:p w14:paraId="13DC0C84">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sz w:val="18"/>
                      <w:szCs w:val="18"/>
                      <w:highlight w:val="none"/>
                      <w:lang w:val="en-US" w:eastAsia="zh-CN"/>
                    </w:rPr>
                    <w:t>25</w:t>
                  </w:r>
                </w:p>
              </w:tc>
              <w:tc>
                <w:tcPr>
                  <w:tcW w:w="255" w:type="pct"/>
                  <w:vMerge w:val="restart"/>
                  <w:tcBorders>
                    <w:top w:val="single" w:color="auto" w:sz="12" w:space="0"/>
                  </w:tcBorders>
                  <w:vAlign w:val="center"/>
                </w:tcPr>
                <w:p w14:paraId="0F94CA99">
                  <w:pPr>
                    <w:pStyle w:val="6"/>
                    <w:keepNext w:val="0"/>
                    <w:keepLines w:val="0"/>
                    <w:suppressLineNumbers w:val="0"/>
                    <w:bidi w:val="0"/>
                    <w:spacing w:before="0" w:beforeAutospacing="0" w:after="0" w:afterAutospacing="0"/>
                    <w:ind w:right="0"/>
                    <w:rPr>
                      <w:rFonts w:hint="eastAsia"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一般排放口</w:t>
                  </w:r>
                </w:p>
              </w:tc>
              <w:tc>
                <w:tcPr>
                  <w:tcW w:w="579" w:type="pct"/>
                  <w:vMerge w:val="restart"/>
                  <w:tcBorders>
                    <w:top w:val="single" w:color="auto" w:sz="12" w:space="0"/>
                  </w:tcBorders>
                  <w:vAlign w:val="center"/>
                </w:tcPr>
                <w:p w14:paraId="7F79DB09">
                  <w:pPr>
                    <w:pStyle w:val="6"/>
                    <w:keepNext w:val="0"/>
                    <w:keepLines w:val="0"/>
                    <w:suppressLineNumbers w:val="0"/>
                    <w:bidi w:val="0"/>
                    <w:spacing w:before="0" w:beforeAutospacing="0" w:after="0" w:afterAutospacing="0"/>
                    <w:ind w:right="0"/>
                    <w:rPr>
                      <w:rFonts w:hint="default"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E</w:t>
                  </w:r>
                  <w:r>
                    <w:rPr>
                      <w:rFonts w:hint="default" w:ascii="Times New Roman" w:hAnsi="Times New Roman" w:cs="Times New Roman"/>
                      <w:color w:val="auto"/>
                      <w:sz w:val="18"/>
                      <w:szCs w:val="18"/>
                      <w:highlight w:val="none"/>
                      <w:lang w:val="en-US" w:eastAsia="zh-CN"/>
                    </w:rPr>
                    <w:t>115</w:t>
                  </w:r>
                  <w:r>
                    <w:rPr>
                      <w:rFonts w:hint="eastAsia" w:cs="Times New Roman"/>
                      <w:color w:val="auto"/>
                      <w:sz w:val="18"/>
                      <w:szCs w:val="18"/>
                      <w:highlight w:val="none"/>
                      <w:lang w:val="en-US" w:eastAsia="zh-CN"/>
                    </w:rPr>
                    <w:t>.594638</w:t>
                  </w:r>
                </w:p>
                <w:p w14:paraId="127D4CD4">
                  <w:pPr>
                    <w:pStyle w:val="6"/>
                    <w:keepNext w:val="0"/>
                    <w:keepLines w:val="0"/>
                    <w:suppressLineNumbers w:val="0"/>
                    <w:bidi w:val="0"/>
                    <w:spacing w:before="0" w:beforeAutospacing="0" w:after="0" w:afterAutospacing="0"/>
                    <w:ind w:right="0"/>
                    <w:rPr>
                      <w:rFonts w:hint="default"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N</w:t>
                  </w:r>
                  <w:r>
                    <w:rPr>
                      <w:rFonts w:hint="default" w:ascii="Times New Roman" w:hAnsi="Times New Roman" w:cs="Times New Roman"/>
                      <w:color w:val="auto"/>
                      <w:sz w:val="18"/>
                      <w:szCs w:val="18"/>
                      <w:highlight w:val="none"/>
                      <w:lang w:val="en-US" w:eastAsia="zh-CN"/>
                    </w:rPr>
                    <w:t>28</w:t>
                  </w:r>
                  <w:r>
                    <w:rPr>
                      <w:rFonts w:hint="eastAsia" w:cs="Times New Roman"/>
                      <w:color w:val="auto"/>
                      <w:sz w:val="18"/>
                      <w:szCs w:val="18"/>
                      <w:highlight w:val="none"/>
                      <w:lang w:val="en-US" w:eastAsia="zh-CN"/>
                    </w:rPr>
                    <w:t>.874476</w:t>
                  </w:r>
                </w:p>
              </w:tc>
              <w:tc>
                <w:tcPr>
                  <w:tcW w:w="553" w:type="pct"/>
                  <w:vMerge w:val="restart"/>
                  <w:tcBorders>
                    <w:top w:val="single" w:color="auto" w:sz="12" w:space="0"/>
                  </w:tcBorders>
                  <w:vAlign w:val="center"/>
                </w:tcPr>
                <w:p w14:paraId="7A18FF2A">
                  <w:pPr>
                    <w:pStyle w:val="6"/>
                    <w:keepNext w:val="0"/>
                    <w:keepLines w:val="0"/>
                    <w:suppressLineNumbers w:val="0"/>
                    <w:bidi w:val="0"/>
                    <w:spacing w:before="0" w:beforeAutospacing="0" w:after="0" w:afterAutospacing="0"/>
                    <w:ind w:right="0"/>
                    <w:rPr>
                      <w:rFonts w:hint="default" w:ascii="Times New Roman" w:hAnsi="Times New Roman"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企业应加强管理，一旦废气治理系统故障，立即停产检修，防止事故废气排放</w:t>
                  </w:r>
                </w:p>
              </w:tc>
            </w:tr>
            <w:tr w14:paraId="2B3F5B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51" w:type="pct"/>
                  <w:vMerge w:val="continue"/>
                  <w:shd w:val="clear" w:color="auto" w:fill="auto"/>
                  <w:vAlign w:val="center"/>
                </w:tcPr>
                <w:p w14:paraId="62922E10">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sz w:val="18"/>
                      <w:szCs w:val="18"/>
                      <w:highlight w:val="none"/>
                      <w:lang w:val="en-US" w:eastAsia="zh-CN"/>
                    </w:rPr>
                  </w:pPr>
                </w:p>
              </w:tc>
              <w:tc>
                <w:tcPr>
                  <w:tcW w:w="296" w:type="pct"/>
                  <w:vMerge w:val="continue"/>
                  <w:shd w:val="clear" w:color="auto" w:fill="auto"/>
                  <w:vAlign w:val="center"/>
                </w:tcPr>
                <w:p w14:paraId="7BB52612">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p>
              </w:tc>
              <w:tc>
                <w:tcPr>
                  <w:tcW w:w="336" w:type="pct"/>
                  <w:tcBorders>
                    <w:top w:val="single" w:color="auto" w:sz="4" w:space="0"/>
                  </w:tcBorders>
                  <w:shd w:val="clear" w:color="auto" w:fill="auto"/>
                  <w:vAlign w:val="center"/>
                </w:tcPr>
                <w:p w14:paraId="4860BA51">
                  <w:pPr>
                    <w:pStyle w:val="6"/>
                    <w:keepNext w:val="0"/>
                    <w:keepLines w:val="0"/>
                    <w:suppressLineNumbers w:val="0"/>
                    <w:bidi w:val="0"/>
                    <w:spacing w:before="0" w:beforeAutospacing="0" w:after="0" w:afterAutospacing="0"/>
                    <w:ind w:left="0" w:leftChars="0" w:right="0" w:rightChars="0" w:firstLine="0" w:firstLineChars="0"/>
                    <w:rPr>
                      <w:rFonts w:hint="default" w:cs="Times New Roman"/>
                      <w:color w:val="auto"/>
                      <w:sz w:val="18"/>
                      <w:szCs w:val="18"/>
                      <w:highlight w:val="none"/>
                      <w:lang w:val="en-US" w:eastAsia="zh-CN"/>
                    </w:rPr>
                  </w:pPr>
                  <w:r>
                    <w:rPr>
                      <w:rFonts w:hint="eastAsia" w:cs="Times New Roman"/>
                      <w:color w:val="auto"/>
                      <w:sz w:val="18"/>
                      <w:szCs w:val="18"/>
                      <w:highlight w:val="none"/>
                      <w:lang w:val="en-US" w:eastAsia="zh-CN"/>
                    </w:rPr>
                    <w:t>氨</w:t>
                  </w:r>
                </w:p>
              </w:tc>
              <w:tc>
                <w:tcPr>
                  <w:tcW w:w="246" w:type="pct"/>
                  <w:tcBorders>
                    <w:top w:val="single" w:color="auto" w:sz="4" w:space="0"/>
                  </w:tcBorders>
                  <w:shd w:val="clear" w:color="auto" w:fill="auto"/>
                  <w:vAlign w:val="center"/>
                </w:tcPr>
                <w:p w14:paraId="3F769E2A">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2</w:t>
                  </w:r>
                </w:p>
              </w:tc>
              <w:tc>
                <w:tcPr>
                  <w:tcW w:w="269" w:type="pct"/>
                  <w:tcBorders>
                    <w:top w:val="single" w:color="auto" w:sz="4" w:space="0"/>
                  </w:tcBorders>
                  <w:shd w:val="clear" w:color="auto" w:fill="auto"/>
                  <w:vAlign w:val="center"/>
                </w:tcPr>
                <w:p w14:paraId="76CC2F6E">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1</w:t>
                  </w:r>
                </w:p>
              </w:tc>
              <w:tc>
                <w:tcPr>
                  <w:tcW w:w="241" w:type="pct"/>
                  <w:tcBorders>
                    <w:top w:val="single" w:color="auto" w:sz="4" w:space="0"/>
                  </w:tcBorders>
                  <w:shd w:val="clear" w:color="auto" w:fill="auto"/>
                  <w:vAlign w:val="center"/>
                </w:tcPr>
                <w:p w14:paraId="71D0F31B">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2</w:t>
                  </w:r>
                </w:p>
              </w:tc>
              <w:tc>
                <w:tcPr>
                  <w:tcW w:w="900" w:type="dxa"/>
                  <w:tcBorders>
                    <w:top w:val="single" w:color="auto" w:sz="4" w:space="0"/>
                  </w:tcBorders>
                  <w:shd w:val="clear" w:color="auto" w:fill="auto"/>
                  <w:vAlign w:val="center"/>
                </w:tcPr>
                <w:p w14:paraId="3F13FF7F">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sz w:val="18"/>
                      <w:szCs w:val="18"/>
                      <w:highlight w:val="none"/>
                      <w:lang w:val="en-US" w:eastAsia="zh-CN"/>
                    </w:rPr>
                  </w:pPr>
                  <w:r>
                    <w:rPr>
                      <w:rFonts w:hint="eastAsia" w:cs="Times New Roman"/>
                      <w:color w:val="auto"/>
                      <w:kern w:val="2"/>
                      <w:sz w:val="18"/>
                      <w:szCs w:val="18"/>
                      <w:highlight w:val="none"/>
                      <w:lang w:val="en-US" w:eastAsia="zh-CN" w:bidi="ar-SA"/>
                    </w:rPr>
                    <w:t>0.573</w:t>
                  </w:r>
                </w:p>
              </w:tc>
              <w:tc>
                <w:tcPr>
                  <w:tcW w:w="662" w:type="dxa"/>
                  <w:tcBorders>
                    <w:top w:val="single" w:color="auto" w:sz="4" w:space="0"/>
                  </w:tcBorders>
                  <w:shd w:val="clear" w:color="auto" w:fill="auto"/>
                  <w:vAlign w:val="center"/>
                </w:tcPr>
                <w:p w14:paraId="660F357D">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sz w:val="18"/>
                      <w:szCs w:val="18"/>
                      <w:highlight w:val="none"/>
                      <w:lang w:val="en-US" w:eastAsia="zh-CN"/>
                    </w:rPr>
                  </w:pPr>
                  <w:r>
                    <w:rPr>
                      <w:rFonts w:hint="eastAsia" w:cs="Times New Roman"/>
                      <w:color w:val="auto"/>
                      <w:kern w:val="2"/>
                      <w:sz w:val="18"/>
                      <w:szCs w:val="18"/>
                      <w:highlight w:val="none"/>
                      <w:lang w:val="en-US" w:eastAsia="zh-CN" w:bidi="ar-SA"/>
                    </w:rPr>
                    <w:t>0.011</w:t>
                  </w:r>
                </w:p>
              </w:tc>
              <w:tc>
                <w:tcPr>
                  <w:tcW w:w="925" w:type="dxa"/>
                  <w:tcBorders>
                    <w:top w:val="single" w:color="auto" w:sz="4" w:space="0"/>
                    <w:bottom w:val="single" w:color="auto" w:sz="12" w:space="0"/>
                  </w:tcBorders>
                  <w:shd w:val="clear" w:color="auto" w:fill="auto"/>
                  <w:vAlign w:val="center"/>
                </w:tcPr>
                <w:p w14:paraId="4A9D889A">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0.022</w:t>
                  </w:r>
                </w:p>
              </w:tc>
              <w:tc>
                <w:tcPr>
                  <w:tcW w:w="311" w:type="pct"/>
                  <w:vMerge w:val="continue"/>
                  <w:shd w:val="clear" w:color="auto" w:fill="auto"/>
                  <w:vAlign w:val="center"/>
                </w:tcPr>
                <w:p w14:paraId="3F4DA309">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p>
              </w:tc>
              <w:tc>
                <w:tcPr>
                  <w:tcW w:w="241" w:type="pct"/>
                  <w:vMerge w:val="continue"/>
                  <w:shd w:val="clear" w:color="auto" w:fill="auto"/>
                  <w:vAlign w:val="center"/>
                </w:tcPr>
                <w:p w14:paraId="355A8A28">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cs="Times New Roman"/>
                      <w:color w:val="auto"/>
                      <w:sz w:val="18"/>
                      <w:szCs w:val="18"/>
                      <w:highlight w:val="none"/>
                      <w:lang w:val="en-US" w:eastAsia="zh-CN"/>
                    </w:rPr>
                  </w:pPr>
                </w:p>
              </w:tc>
              <w:tc>
                <w:tcPr>
                  <w:tcW w:w="236" w:type="pct"/>
                  <w:vMerge w:val="continue"/>
                  <w:shd w:val="clear" w:color="auto" w:fill="auto"/>
                  <w:vAlign w:val="center"/>
                </w:tcPr>
                <w:p w14:paraId="6FF1CE2D">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sz w:val="18"/>
                      <w:szCs w:val="18"/>
                      <w:highlight w:val="none"/>
                      <w:lang w:val="en-US" w:eastAsia="zh-CN"/>
                    </w:rPr>
                  </w:pPr>
                </w:p>
              </w:tc>
              <w:tc>
                <w:tcPr>
                  <w:tcW w:w="255" w:type="pct"/>
                  <w:vMerge w:val="continue"/>
                  <w:shd w:val="clear" w:color="auto" w:fill="auto"/>
                  <w:vAlign w:val="center"/>
                </w:tcPr>
                <w:p w14:paraId="0DFCEF8F">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auto"/>
                      <w:sz w:val="18"/>
                      <w:szCs w:val="18"/>
                      <w:highlight w:val="none"/>
                      <w:lang w:val="en-US" w:eastAsia="zh-CN"/>
                    </w:rPr>
                  </w:pPr>
                </w:p>
              </w:tc>
              <w:tc>
                <w:tcPr>
                  <w:tcW w:w="255" w:type="pct"/>
                  <w:vMerge w:val="continue"/>
                  <w:vAlign w:val="center"/>
                </w:tcPr>
                <w:p w14:paraId="6A2B8527">
                  <w:pPr>
                    <w:pStyle w:val="6"/>
                    <w:keepNext w:val="0"/>
                    <w:keepLines w:val="0"/>
                    <w:suppressLineNumbers w:val="0"/>
                    <w:bidi w:val="0"/>
                    <w:spacing w:before="0" w:beforeAutospacing="0" w:after="0" w:afterAutospacing="0"/>
                    <w:ind w:right="0"/>
                    <w:rPr>
                      <w:rFonts w:hint="eastAsia" w:ascii="Times New Roman" w:hAnsi="Times New Roman" w:cs="Times New Roman"/>
                      <w:color w:val="auto"/>
                      <w:sz w:val="18"/>
                      <w:szCs w:val="18"/>
                      <w:highlight w:val="none"/>
                      <w:lang w:val="en-US" w:eastAsia="zh-CN"/>
                    </w:rPr>
                  </w:pPr>
                </w:p>
              </w:tc>
              <w:tc>
                <w:tcPr>
                  <w:tcW w:w="579" w:type="pct"/>
                  <w:vMerge w:val="continue"/>
                  <w:vAlign w:val="center"/>
                </w:tcPr>
                <w:p w14:paraId="12BA71DE">
                  <w:pPr>
                    <w:pStyle w:val="6"/>
                    <w:keepNext w:val="0"/>
                    <w:keepLines w:val="0"/>
                    <w:suppressLineNumbers w:val="0"/>
                    <w:bidi w:val="0"/>
                    <w:spacing w:before="0" w:beforeAutospacing="0" w:after="0" w:afterAutospacing="0"/>
                    <w:ind w:right="0"/>
                    <w:rPr>
                      <w:rFonts w:hint="eastAsia" w:ascii="Times New Roman" w:hAnsi="Times New Roman" w:cs="Times New Roman"/>
                      <w:color w:val="auto"/>
                      <w:sz w:val="18"/>
                      <w:szCs w:val="18"/>
                      <w:highlight w:val="none"/>
                      <w:lang w:val="en-US" w:eastAsia="zh-CN"/>
                    </w:rPr>
                  </w:pPr>
                </w:p>
              </w:tc>
              <w:tc>
                <w:tcPr>
                  <w:tcW w:w="553" w:type="pct"/>
                  <w:vMerge w:val="continue"/>
                  <w:vAlign w:val="center"/>
                </w:tcPr>
                <w:p w14:paraId="0DDB23DD">
                  <w:pPr>
                    <w:pStyle w:val="6"/>
                    <w:keepNext w:val="0"/>
                    <w:keepLines w:val="0"/>
                    <w:suppressLineNumbers w:val="0"/>
                    <w:bidi w:val="0"/>
                    <w:spacing w:before="0" w:beforeAutospacing="0" w:after="0" w:afterAutospacing="0"/>
                    <w:ind w:right="0"/>
                    <w:rPr>
                      <w:rFonts w:hint="default" w:ascii="Times New Roman" w:hAnsi="Times New Roman" w:cs="Times New Roman"/>
                      <w:color w:val="auto"/>
                      <w:sz w:val="18"/>
                      <w:szCs w:val="18"/>
                      <w:highlight w:val="none"/>
                      <w:lang w:val="en-US" w:eastAsia="zh-CN"/>
                    </w:rPr>
                  </w:pPr>
                </w:p>
              </w:tc>
            </w:tr>
          </w:tbl>
          <w:p w14:paraId="2B6651E8">
            <w:pPr>
              <w:keepNext w:val="0"/>
              <w:keepLines w:val="0"/>
              <w:suppressLineNumbers w:val="0"/>
              <w:spacing w:before="0" w:beforeAutospacing="0" w:after="0" w:afterAutospacing="0"/>
              <w:ind w:left="0" w:leftChars="0" w:right="0" w:firstLine="0" w:firstLineChars="0"/>
              <w:rPr>
                <w:rFonts w:hint="default"/>
                <w:color w:val="auto"/>
                <w:highlight w:val="none"/>
              </w:rPr>
            </w:pPr>
          </w:p>
        </w:tc>
      </w:tr>
    </w:tbl>
    <w:p w14:paraId="41C243DC">
      <w:pPr>
        <w:pStyle w:val="13"/>
        <w:rPr>
          <w:rFonts w:hint="default"/>
          <w:color w:val="auto"/>
          <w:highlight w:val="none"/>
        </w:rPr>
        <w:sectPr>
          <w:pgSz w:w="16840" w:h="11907" w:orient="landscape"/>
          <w:pgMar w:top="1417" w:right="1417" w:bottom="1417" w:left="1417"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32"/>
        <w:tblW w:w="89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314"/>
        <w:gridCol w:w="8667"/>
      </w:tblGrid>
      <w:tr w14:paraId="280DFC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90" w:hRule="atLeast"/>
          <w:jc w:val="center"/>
        </w:trPr>
        <w:tc>
          <w:tcPr>
            <w:tcW w:w="314" w:type="dxa"/>
            <w:tcMar>
              <w:left w:w="28" w:type="dxa"/>
              <w:right w:w="28" w:type="dxa"/>
            </w:tcMar>
            <w:vAlign w:val="center"/>
          </w:tcPr>
          <w:p w14:paraId="57C530C5">
            <w:pPr>
              <w:pStyle w:val="6"/>
              <w:keepNext w:val="0"/>
              <w:keepLines w:val="0"/>
              <w:suppressLineNumbers w:val="0"/>
              <w:bidi w:val="0"/>
              <w:spacing w:before="0" w:beforeAutospacing="0" w:after="0" w:afterAutospacing="0"/>
              <w:ind w:right="0"/>
              <w:jc w:val="center"/>
              <w:rPr>
                <w:rFonts w:hint="eastAsia"/>
                <w:b/>
                <w:bCs/>
                <w:color w:val="auto"/>
                <w:highlight w:val="none"/>
              </w:rPr>
            </w:pPr>
            <w:r>
              <w:rPr>
                <w:rFonts w:hint="eastAsia"/>
                <w:b/>
                <w:bCs/>
                <w:color w:val="auto"/>
                <w:highlight w:val="none"/>
              </w:rPr>
              <w:t>运</w:t>
            </w:r>
          </w:p>
          <w:p w14:paraId="5EACC0C4">
            <w:pPr>
              <w:pStyle w:val="6"/>
              <w:keepNext w:val="0"/>
              <w:keepLines w:val="0"/>
              <w:suppressLineNumbers w:val="0"/>
              <w:bidi w:val="0"/>
              <w:spacing w:before="0" w:beforeAutospacing="0" w:after="0" w:afterAutospacing="0"/>
              <w:ind w:right="0"/>
              <w:jc w:val="center"/>
              <w:rPr>
                <w:rFonts w:hint="eastAsia"/>
                <w:b/>
                <w:bCs/>
                <w:color w:val="auto"/>
                <w:highlight w:val="none"/>
              </w:rPr>
            </w:pPr>
            <w:r>
              <w:rPr>
                <w:rFonts w:hint="eastAsia"/>
                <w:b/>
                <w:bCs/>
                <w:color w:val="auto"/>
                <w:highlight w:val="none"/>
              </w:rPr>
              <w:t>营</w:t>
            </w:r>
          </w:p>
          <w:p w14:paraId="72D7F3EA">
            <w:pPr>
              <w:pStyle w:val="6"/>
              <w:keepNext w:val="0"/>
              <w:keepLines w:val="0"/>
              <w:suppressLineNumbers w:val="0"/>
              <w:bidi w:val="0"/>
              <w:spacing w:before="0" w:beforeAutospacing="0" w:after="0" w:afterAutospacing="0"/>
              <w:ind w:right="0"/>
              <w:jc w:val="center"/>
              <w:rPr>
                <w:rFonts w:hint="eastAsia"/>
                <w:b/>
                <w:bCs/>
                <w:color w:val="auto"/>
                <w:highlight w:val="none"/>
              </w:rPr>
            </w:pPr>
            <w:r>
              <w:rPr>
                <w:rFonts w:hint="eastAsia"/>
                <w:b/>
                <w:bCs/>
                <w:color w:val="auto"/>
                <w:highlight w:val="none"/>
              </w:rPr>
              <w:t>期</w:t>
            </w:r>
          </w:p>
          <w:p w14:paraId="73B45D62">
            <w:pPr>
              <w:pStyle w:val="6"/>
              <w:keepNext w:val="0"/>
              <w:keepLines w:val="0"/>
              <w:suppressLineNumbers w:val="0"/>
              <w:bidi w:val="0"/>
              <w:spacing w:before="0" w:beforeAutospacing="0" w:after="0" w:afterAutospacing="0"/>
              <w:ind w:right="0"/>
              <w:jc w:val="center"/>
              <w:rPr>
                <w:rFonts w:hint="eastAsia"/>
                <w:b/>
                <w:bCs/>
                <w:color w:val="auto"/>
                <w:highlight w:val="none"/>
              </w:rPr>
            </w:pPr>
            <w:r>
              <w:rPr>
                <w:rFonts w:hint="eastAsia"/>
                <w:b/>
                <w:bCs/>
                <w:color w:val="auto"/>
                <w:highlight w:val="none"/>
              </w:rPr>
              <w:t>环</w:t>
            </w:r>
          </w:p>
          <w:p w14:paraId="53C4B2D5">
            <w:pPr>
              <w:pStyle w:val="6"/>
              <w:keepNext w:val="0"/>
              <w:keepLines w:val="0"/>
              <w:suppressLineNumbers w:val="0"/>
              <w:bidi w:val="0"/>
              <w:spacing w:before="0" w:beforeAutospacing="0" w:after="0" w:afterAutospacing="0"/>
              <w:ind w:right="0"/>
              <w:jc w:val="center"/>
              <w:rPr>
                <w:rFonts w:hint="eastAsia"/>
                <w:b/>
                <w:bCs/>
                <w:color w:val="auto"/>
                <w:highlight w:val="none"/>
              </w:rPr>
            </w:pPr>
            <w:r>
              <w:rPr>
                <w:rFonts w:hint="eastAsia"/>
                <w:b/>
                <w:bCs/>
                <w:color w:val="auto"/>
                <w:highlight w:val="none"/>
              </w:rPr>
              <w:t>境</w:t>
            </w:r>
          </w:p>
          <w:p w14:paraId="5389FE97">
            <w:pPr>
              <w:pStyle w:val="6"/>
              <w:keepNext w:val="0"/>
              <w:keepLines w:val="0"/>
              <w:suppressLineNumbers w:val="0"/>
              <w:bidi w:val="0"/>
              <w:spacing w:before="0" w:beforeAutospacing="0" w:after="0" w:afterAutospacing="0"/>
              <w:ind w:right="0"/>
              <w:jc w:val="center"/>
              <w:rPr>
                <w:rFonts w:hint="eastAsia"/>
                <w:b/>
                <w:bCs/>
                <w:color w:val="auto"/>
                <w:highlight w:val="none"/>
              </w:rPr>
            </w:pPr>
            <w:r>
              <w:rPr>
                <w:rFonts w:hint="eastAsia"/>
                <w:b/>
                <w:bCs/>
                <w:color w:val="auto"/>
                <w:highlight w:val="none"/>
              </w:rPr>
              <w:t>影</w:t>
            </w:r>
          </w:p>
          <w:p w14:paraId="323EDBCA">
            <w:pPr>
              <w:pStyle w:val="6"/>
              <w:keepNext w:val="0"/>
              <w:keepLines w:val="0"/>
              <w:suppressLineNumbers w:val="0"/>
              <w:bidi w:val="0"/>
              <w:spacing w:before="0" w:beforeAutospacing="0" w:after="0" w:afterAutospacing="0"/>
              <w:ind w:right="0"/>
              <w:jc w:val="center"/>
              <w:rPr>
                <w:rFonts w:hint="eastAsia"/>
                <w:b/>
                <w:bCs/>
                <w:color w:val="auto"/>
                <w:highlight w:val="none"/>
              </w:rPr>
            </w:pPr>
            <w:r>
              <w:rPr>
                <w:rFonts w:hint="eastAsia"/>
                <w:b/>
                <w:bCs/>
                <w:color w:val="auto"/>
                <w:highlight w:val="none"/>
              </w:rPr>
              <w:t>响</w:t>
            </w:r>
          </w:p>
          <w:p w14:paraId="50874D9B">
            <w:pPr>
              <w:pStyle w:val="6"/>
              <w:keepNext w:val="0"/>
              <w:keepLines w:val="0"/>
              <w:suppressLineNumbers w:val="0"/>
              <w:bidi w:val="0"/>
              <w:spacing w:before="0" w:beforeAutospacing="0" w:after="0" w:afterAutospacing="0"/>
              <w:ind w:right="0"/>
              <w:jc w:val="center"/>
              <w:rPr>
                <w:rFonts w:hint="eastAsia"/>
                <w:b/>
                <w:bCs/>
                <w:color w:val="auto"/>
                <w:highlight w:val="none"/>
              </w:rPr>
            </w:pPr>
            <w:r>
              <w:rPr>
                <w:rFonts w:hint="eastAsia"/>
                <w:b/>
                <w:bCs/>
                <w:color w:val="auto"/>
                <w:highlight w:val="none"/>
              </w:rPr>
              <w:t>和</w:t>
            </w:r>
          </w:p>
          <w:p w14:paraId="779B4BA8">
            <w:pPr>
              <w:pStyle w:val="6"/>
              <w:keepNext w:val="0"/>
              <w:keepLines w:val="0"/>
              <w:suppressLineNumbers w:val="0"/>
              <w:bidi w:val="0"/>
              <w:spacing w:before="0" w:beforeAutospacing="0" w:after="0" w:afterAutospacing="0"/>
              <w:ind w:right="0"/>
              <w:jc w:val="center"/>
              <w:rPr>
                <w:rFonts w:hint="eastAsia"/>
                <w:b/>
                <w:bCs/>
                <w:color w:val="auto"/>
                <w:highlight w:val="none"/>
              </w:rPr>
            </w:pPr>
            <w:r>
              <w:rPr>
                <w:rFonts w:hint="eastAsia"/>
                <w:b/>
                <w:bCs/>
                <w:color w:val="auto"/>
                <w:highlight w:val="none"/>
              </w:rPr>
              <w:t>保</w:t>
            </w:r>
          </w:p>
          <w:p w14:paraId="0B3491C5">
            <w:pPr>
              <w:pStyle w:val="6"/>
              <w:keepNext w:val="0"/>
              <w:keepLines w:val="0"/>
              <w:suppressLineNumbers w:val="0"/>
              <w:bidi w:val="0"/>
              <w:spacing w:before="0" w:beforeAutospacing="0" w:after="0" w:afterAutospacing="0"/>
              <w:ind w:right="0"/>
              <w:jc w:val="center"/>
              <w:rPr>
                <w:rFonts w:hint="eastAsia"/>
                <w:b/>
                <w:bCs/>
                <w:color w:val="auto"/>
                <w:highlight w:val="none"/>
              </w:rPr>
            </w:pPr>
            <w:r>
              <w:rPr>
                <w:rFonts w:hint="eastAsia"/>
                <w:b/>
                <w:bCs/>
                <w:color w:val="auto"/>
                <w:highlight w:val="none"/>
              </w:rPr>
              <w:t>护</w:t>
            </w:r>
          </w:p>
          <w:p w14:paraId="73E82419">
            <w:pPr>
              <w:pStyle w:val="22"/>
              <w:keepNext w:val="0"/>
              <w:keepLines w:val="0"/>
              <w:suppressLineNumbers w:val="0"/>
              <w:bidi w:val="0"/>
              <w:spacing w:before="0" w:after="0"/>
              <w:ind w:left="0" w:right="0"/>
              <w:jc w:val="center"/>
              <w:rPr>
                <w:rFonts w:hint="default" w:ascii="Times New Roman" w:hAnsi="Times New Roman" w:cs="Times New Roman"/>
                <w:b/>
                <w:bCs/>
                <w:color w:val="auto"/>
                <w:kern w:val="2"/>
                <w:szCs w:val="21"/>
                <w:highlight w:val="none"/>
              </w:rPr>
            </w:pPr>
            <w:r>
              <w:rPr>
                <w:rFonts w:hint="eastAsia"/>
                <w:b/>
                <w:bCs/>
                <w:color w:val="auto"/>
                <w:highlight w:val="none"/>
              </w:rPr>
              <w:t>措施</w:t>
            </w:r>
          </w:p>
        </w:tc>
        <w:tc>
          <w:tcPr>
            <w:tcW w:w="8667" w:type="dxa"/>
            <w:vAlign w:val="center"/>
          </w:tcPr>
          <w:p w14:paraId="4942A82E">
            <w:pPr>
              <w:pStyle w:val="130"/>
              <w:keepNext w:val="0"/>
              <w:keepLines w:val="0"/>
              <w:pageBreakBefore w:val="0"/>
              <w:widowControl w:val="0"/>
              <w:suppressLineNumbers w:val="0"/>
              <w:tabs>
                <w:tab w:val="left" w:pos="2595"/>
              </w:tabs>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color w:val="auto"/>
                <w:kern w:val="0"/>
                <w:highlight w:val="none"/>
              </w:rPr>
            </w:pPr>
            <w:r>
              <w:rPr>
                <w:rFonts w:hint="eastAsia" w:ascii="Times New Roman" w:hAnsi="Times New Roman" w:cs="Times New Roman"/>
                <w:color w:val="auto"/>
                <w:kern w:val="0"/>
                <w:highlight w:val="none"/>
                <w:lang w:val="zh-CN"/>
              </w:rPr>
              <w:t>（</w:t>
            </w:r>
            <w:r>
              <w:rPr>
                <w:rFonts w:hint="eastAsia" w:ascii="Times New Roman" w:hAnsi="Times New Roman" w:cs="Times New Roman"/>
                <w:color w:val="auto"/>
                <w:kern w:val="0"/>
                <w:highlight w:val="none"/>
              </w:rPr>
              <w:t>2</w:t>
            </w:r>
            <w:r>
              <w:rPr>
                <w:rFonts w:hint="eastAsia" w:ascii="Times New Roman" w:hAnsi="Times New Roman" w:cs="Times New Roman"/>
                <w:color w:val="auto"/>
                <w:kern w:val="0"/>
                <w:highlight w:val="none"/>
                <w:lang w:val="zh-CN"/>
              </w:rPr>
              <w:t>）</w:t>
            </w:r>
            <w:r>
              <w:rPr>
                <w:rFonts w:hint="default" w:ascii="Times New Roman" w:hAnsi="Times New Roman" w:cs="Times New Roman"/>
                <w:color w:val="auto"/>
                <w:kern w:val="0"/>
                <w:highlight w:val="none"/>
                <w:lang w:val="zh-CN"/>
              </w:rPr>
              <w:t>污染源</w:t>
            </w:r>
            <w:r>
              <w:rPr>
                <w:rFonts w:hint="eastAsia" w:ascii="Times New Roman" w:hAnsi="Times New Roman" w:cs="Times New Roman"/>
                <w:color w:val="auto"/>
                <w:kern w:val="0"/>
                <w:highlight w:val="none"/>
              </w:rPr>
              <w:t>强核算过程</w:t>
            </w:r>
          </w:p>
          <w:p w14:paraId="48D52294">
            <w:pPr>
              <w:pStyle w:val="130"/>
              <w:keepNext w:val="0"/>
              <w:keepLines w:val="0"/>
              <w:pageBreakBefore w:val="0"/>
              <w:widowControl w:val="0"/>
              <w:suppressLineNumbers w:val="0"/>
              <w:tabs>
                <w:tab w:val="left" w:pos="2595"/>
              </w:tabs>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本项目</w:t>
            </w:r>
            <w:r>
              <w:rPr>
                <w:rFonts w:hint="default" w:ascii="Times New Roman" w:hAnsi="Times New Roman" w:cs="Times New Roman"/>
                <w:color w:val="auto"/>
                <w:highlight w:val="none"/>
                <w:lang w:val="en-US" w:eastAsia="zh-CN"/>
              </w:rPr>
              <w:t>产生的</w:t>
            </w:r>
            <w:r>
              <w:rPr>
                <w:rFonts w:hint="default" w:ascii="Times New Roman" w:hAnsi="Times New Roman" w:cs="Times New Roman"/>
                <w:color w:val="auto"/>
                <w:highlight w:val="none"/>
                <w:lang w:eastAsia="zh-CN"/>
              </w:rPr>
              <w:t>废气主要</w:t>
            </w:r>
            <w:r>
              <w:rPr>
                <w:rFonts w:hint="default" w:ascii="Times New Roman" w:hAnsi="Times New Roman" w:cs="Times New Roman"/>
                <w:color w:val="auto"/>
                <w:highlight w:val="none"/>
                <w:lang w:val="en-US" w:eastAsia="zh-CN"/>
              </w:rPr>
              <w:t>为</w:t>
            </w:r>
            <w:r>
              <w:rPr>
                <w:rFonts w:hint="eastAsia" w:ascii="Times New Roman" w:hAnsi="Times New Roman" w:cs="Times New Roman"/>
                <w:color w:val="auto"/>
                <w:highlight w:val="none"/>
                <w:lang w:val="en-US" w:eastAsia="zh-CN"/>
              </w:rPr>
              <w:t>烘干、</w:t>
            </w:r>
            <w:r>
              <w:rPr>
                <w:rFonts w:hint="default" w:ascii="Times New Roman" w:hAnsi="Times New Roman" w:cs="Times New Roman"/>
                <w:color w:val="auto"/>
                <w:highlight w:val="none"/>
                <w:lang w:val="en-US" w:eastAsia="zh-CN"/>
              </w:rPr>
              <w:t>挤出废气</w:t>
            </w:r>
            <w:r>
              <w:rPr>
                <w:rFonts w:hint="default" w:ascii="Times New Roman" w:hAnsi="Times New Roman" w:cs="Times New Roman"/>
                <w:color w:val="auto"/>
                <w:highlight w:val="none"/>
                <w:lang w:eastAsia="zh-CN"/>
              </w:rPr>
              <w:t>。</w:t>
            </w:r>
          </w:p>
          <w:p w14:paraId="6BB2526B">
            <w:pPr>
              <w:pStyle w:val="130"/>
              <w:keepNext w:val="0"/>
              <w:keepLines w:val="0"/>
              <w:pageBreakBefore w:val="0"/>
              <w:widowControl w:val="0"/>
              <w:suppressLineNumbers w:val="0"/>
              <w:tabs>
                <w:tab w:val="left" w:pos="2595"/>
              </w:tabs>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烘干、</w:t>
            </w:r>
            <w:r>
              <w:rPr>
                <w:rFonts w:hint="default" w:ascii="Times New Roman" w:hAnsi="Times New Roman" w:cs="Times New Roman"/>
                <w:color w:val="auto"/>
                <w:highlight w:val="none"/>
                <w:lang w:val="en-US" w:eastAsia="zh-CN"/>
              </w:rPr>
              <w:t>挤出废气</w:t>
            </w:r>
          </w:p>
          <w:p w14:paraId="6CFF2F4D">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auto"/>
                <w:kern w:val="0"/>
                <w:sz w:val="24"/>
                <w:szCs w:val="24"/>
                <w:lang w:val="en-US" w:eastAsia="zh-CN" w:bidi="ar"/>
              </w:rPr>
            </w:pPr>
            <w:r>
              <w:rPr>
                <w:rFonts w:hint="default" w:ascii="宋体" w:hAnsi="宋体" w:eastAsia="宋体" w:cs="宋体"/>
                <w:color w:val="auto"/>
                <w:sz w:val="24"/>
                <w:szCs w:val="24"/>
              </w:rPr>
              <w:t>本项目原料烘干料筒与挤出机采用管道密闭连接，烘干工序产生的烘干废气通过密闭管道直接汇入挤出废气收集管路，与挤出工序废气一并收集、处理后排放。因此本项目不单独对烘干废气进行识别，烘干废气污染物纳入挤出废气统一核算。</w:t>
            </w:r>
            <w:r>
              <w:rPr>
                <w:rFonts w:hint="default" w:ascii="Times New Roman" w:hAnsi="Times New Roman" w:eastAsia="宋体" w:cs="Times New Roman"/>
                <w:color w:val="auto"/>
                <w:kern w:val="0"/>
                <w:sz w:val="24"/>
                <w:szCs w:val="24"/>
                <w:lang w:val="en-US" w:eastAsia="zh-CN" w:bidi="ar"/>
              </w:rPr>
              <w:t>项目生产使用的原料为PA66尼龙颗粒由75%聚酰胺树脂和25%玻璃纤维混合熔融产生的塑料粒子，本产品在挤出过程中使用电加热，加热温度为</w:t>
            </w:r>
            <w:r>
              <w:rPr>
                <w:rFonts w:hint="eastAsia" w:cs="Times New Roman"/>
                <w:color w:val="auto"/>
                <w:kern w:val="0"/>
                <w:sz w:val="24"/>
                <w:szCs w:val="24"/>
                <w:lang w:val="en-US" w:eastAsia="zh-CN" w:bidi="ar"/>
              </w:rPr>
              <w:t>240</w:t>
            </w:r>
            <w:r>
              <w:rPr>
                <w:rFonts w:hint="default" w:ascii="Times New Roman" w:hAnsi="Times New Roman" w:eastAsia="宋体" w:cs="Times New Roman"/>
                <w:color w:val="auto"/>
                <w:kern w:val="0"/>
                <w:sz w:val="24"/>
                <w:szCs w:val="24"/>
                <w:lang w:val="en-US" w:eastAsia="zh-CN" w:bidi="ar"/>
              </w:rPr>
              <w:t>℃，且维持时间较短，在</w:t>
            </w:r>
            <w:r>
              <w:rPr>
                <w:rFonts w:hint="eastAsia" w:cs="Times New Roman"/>
                <w:color w:val="auto"/>
                <w:kern w:val="0"/>
                <w:sz w:val="24"/>
                <w:szCs w:val="24"/>
                <w:lang w:val="en-US" w:eastAsia="zh-CN" w:bidi="ar"/>
              </w:rPr>
              <w:t>24</w:t>
            </w:r>
            <w:r>
              <w:rPr>
                <w:rFonts w:hint="default" w:ascii="Times New Roman" w:hAnsi="Times New Roman" w:eastAsia="宋体" w:cs="Times New Roman"/>
                <w:color w:val="auto"/>
                <w:kern w:val="0"/>
                <w:sz w:val="24"/>
                <w:szCs w:val="24"/>
                <w:lang w:val="en-US" w:eastAsia="zh-CN" w:bidi="ar"/>
              </w:rPr>
              <w:t>0℃中聚酰胺树脂不发生分解，不产生碳链焦化气体，但原料在受热情况</w:t>
            </w:r>
            <w:r>
              <w:rPr>
                <w:rFonts w:hint="eastAsia" w:cs="Times New Roman"/>
                <w:color w:val="auto"/>
                <w:kern w:val="0"/>
                <w:sz w:val="24"/>
                <w:szCs w:val="24"/>
                <w:lang w:val="en-US" w:eastAsia="zh-CN" w:bidi="ar"/>
              </w:rPr>
              <w:t>下</w:t>
            </w:r>
            <w:r>
              <w:rPr>
                <w:rFonts w:hint="default" w:ascii="Times New Roman" w:hAnsi="Times New Roman" w:eastAsia="宋体" w:cs="Times New Roman"/>
                <w:color w:val="auto"/>
                <w:kern w:val="0"/>
                <w:sz w:val="24"/>
                <w:szCs w:val="24"/>
                <w:lang w:val="en-US" w:eastAsia="zh-CN" w:bidi="ar"/>
              </w:rPr>
              <w:t>，塑料中残存未聚合的反应单体挥发至空气中，从而形成有机废气。</w:t>
            </w:r>
            <w:r>
              <w:rPr>
                <w:rFonts w:hint="eastAsia" w:cs="Times New Roman"/>
                <w:color w:val="auto"/>
                <w:kern w:val="0"/>
                <w:sz w:val="24"/>
                <w:szCs w:val="24"/>
                <w:lang w:val="en-US" w:eastAsia="zh-CN" w:bidi="ar"/>
              </w:rPr>
              <w:t>非甲烷总烃产生量</w:t>
            </w:r>
            <w:r>
              <w:rPr>
                <w:rFonts w:hint="default" w:ascii="Times New Roman" w:hAnsi="Times New Roman" w:eastAsia="宋体" w:cs="Times New Roman"/>
                <w:color w:val="auto"/>
                <w:kern w:val="0"/>
                <w:sz w:val="24"/>
                <w:szCs w:val="24"/>
                <w:lang w:val="en-US" w:eastAsia="zh-CN" w:bidi="ar"/>
              </w:rPr>
              <w:t>参照《上海市工业企业挥发性有机物排放量通用计算方法（试行）》中“表1-4  主要塑料制品制造工序产污系数”中塑料管、材制造行业的产污系数，系数为0.539千克/吨</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产品，本项目产品量为</w:t>
            </w:r>
            <w:r>
              <w:rPr>
                <w:rFonts w:hint="eastAsia" w:ascii="Times New Roman" w:hAnsi="Times New Roman" w:cs="Times New Roman"/>
                <w:color w:val="auto"/>
                <w:kern w:val="0"/>
                <w:sz w:val="24"/>
                <w:szCs w:val="24"/>
                <w:lang w:val="en-US" w:eastAsia="zh-CN" w:bidi="ar"/>
              </w:rPr>
              <w:t>25</w:t>
            </w:r>
            <w:r>
              <w:rPr>
                <w:rFonts w:hint="default" w:ascii="Times New Roman" w:hAnsi="Times New Roman" w:eastAsia="宋体" w:cs="Times New Roman"/>
                <w:color w:val="auto"/>
                <w:kern w:val="0"/>
                <w:sz w:val="24"/>
                <w:szCs w:val="24"/>
                <w:lang w:val="en-US" w:eastAsia="zh-CN" w:bidi="ar"/>
              </w:rPr>
              <w:t>00t/a，则非甲烷总烃产生量为</w:t>
            </w:r>
            <w:r>
              <w:rPr>
                <w:rFonts w:hint="eastAsia" w:ascii="Times New Roman" w:hAnsi="Times New Roman" w:cs="Times New Roman"/>
                <w:color w:val="auto"/>
                <w:kern w:val="0"/>
                <w:sz w:val="24"/>
                <w:szCs w:val="24"/>
                <w:lang w:val="en-US" w:eastAsia="zh-CN" w:bidi="ar"/>
              </w:rPr>
              <w:t>1.348</w:t>
            </w:r>
            <w:r>
              <w:rPr>
                <w:rFonts w:hint="default" w:ascii="Times New Roman" w:hAnsi="Times New Roman" w:eastAsia="宋体" w:cs="Times New Roman"/>
                <w:color w:val="auto"/>
                <w:kern w:val="0"/>
                <w:sz w:val="24"/>
                <w:szCs w:val="24"/>
                <w:lang w:val="en-US" w:eastAsia="zh-CN" w:bidi="ar"/>
              </w:rPr>
              <w:t>t/a。</w:t>
            </w:r>
          </w:p>
          <w:p w14:paraId="313003F2">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根据化学工业出版社出版的《工业生产中的有害物质手册》（拉扎列夫 列文娜主编）介绍：塑料在加热过程中恶臭气态污染物（氨气）的产生量约原料的万分之一左右。本项目年使用原料</w:t>
            </w:r>
            <w:r>
              <w:rPr>
                <w:rFonts w:hint="eastAsia" w:cs="Times New Roman"/>
                <w:color w:val="auto"/>
                <w:kern w:val="0"/>
                <w:sz w:val="24"/>
                <w:szCs w:val="24"/>
                <w:lang w:val="en-US" w:eastAsia="zh-CN" w:bidi="ar"/>
              </w:rPr>
              <w:t>2559.104</w:t>
            </w:r>
            <w:r>
              <w:rPr>
                <w:rFonts w:hint="default" w:ascii="Times New Roman" w:hAnsi="Times New Roman" w:eastAsia="宋体" w:cs="Times New Roman"/>
                <w:color w:val="auto"/>
                <w:kern w:val="0"/>
                <w:sz w:val="24"/>
                <w:szCs w:val="24"/>
                <w:lang w:val="en-US" w:eastAsia="zh-CN" w:bidi="ar"/>
              </w:rPr>
              <w:t>t，因此本项目氨气产生量约为0.</w:t>
            </w:r>
            <w:r>
              <w:rPr>
                <w:rFonts w:hint="eastAsia" w:ascii="Times New Roman" w:hAnsi="Times New Roman" w:cs="Times New Roman"/>
                <w:color w:val="auto"/>
                <w:kern w:val="0"/>
                <w:sz w:val="24"/>
                <w:szCs w:val="24"/>
                <w:lang w:val="en-US" w:eastAsia="zh-CN" w:bidi="ar"/>
              </w:rPr>
              <w:t>2</w:t>
            </w:r>
            <w:r>
              <w:rPr>
                <w:rFonts w:hint="eastAsia" w:cs="Times New Roman"/>
                <w:color w:val="auto"/>
                <w:kern w:val="0"/>
                <w:sz w:val="24"/>
                <w:szCs w:val="24"/>
                <w:lang w:val="en-US" w:eastAsia="zh-CN" w:bidi="ar"/>
              </w:rPr>
              <w:t>5</w:t>
            </w:r>
            <w:r>
              <w:rPr>
                <w:rFonts w:hint="eastAsia" w:ascii="Times New Roman" w:hAnsi="Times New Roman" w:cs="Times New Roman"/>
                <w:color w:val="auto"/>
                <w:kern w:val="0"/>
                <w:sz w:val="24"/>
                <w:szCs w:val="24"/>
                <w:lang w:val="en-US" w:eastAsia="zh-CN" w:bidi="ar"/>
              </w:rPr>
              <w:t>6</w:t>
            </w:r>
            <w:r>
              <w:rPr>
                <w:rFonts w:hint="default" w:ascii="Times New Roman" w:hAnsi="Times New Roman" w:eastAsia="宋体" w:cs="Times New Roman"/>
                <w:color w:val="auto"/>
                <w:kern w:val="0"/>
                <w:sz w:val="24"/>
                <w:szCs w:val="24"/>
                <w:lang w:val="en-US" w:eastAsia="zh-CN" w:bidi="ar"/>
              </w:rPr>
              <w:t>t/a。</w:t>
            </w:r>
          </w:p>
          <w:p w14:paraId="402C95A0">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本项目生产过程产生的异味以臭气浓度表示，这是由于工艺过程中物料温度较高，使塑料中的游离态小分子有机物挥发而生成恶臭气体，其产生量较小，本次评价不再对臭气浓度进行定量分析。</w:t>
            </w:r>
          </w:p>
          <w:p w14:paraId="57510A90">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auto"/>
                <w:kern w:val="0"/>
                <w:sz w:val="24"/>
                <w:szCs w:val="24"/>
                <w:lang w:val="en-US" w:eastAsia="zh-CN" w:bidi="ar"/>
              </w:rPr>
            </w:pPr>
            <w:r>
              <w:rPr>
                <w:rFonts w:hint="eastAsia" w:cs="Times New Roman"/>
                <w:color w:val="auto"/>
                <w:kern w:val="0"/>
                <w:sz w:val="24"/>
                <w:szCs w:val="24"/>
                <w:lang w:val="en-US" w:eastAsia="zh-CN" w:bidi="ar"/>
              </w:rPr>
              <w:t>项目</w:t>
            </w:r>
            <w:r>
              <w:rPr>
                <w:rFonts w:hint="default" w:ascii="Times New Roman" w:hAnsi="Times New Roman" w:eastAsia="宋体" w:cs="Times New Roman"/>
                <w:color w:val="auto"/>
                <w:kern w:val="0"/>
                <w:sz w:val="24"/>
                <w:szCs w:val="24"/>
                <w:lang w:val="en-US" w:eastAsia="zh-CN" w:bidi="ar"/>
              </w:rPr>
              <w:t>产生的废气采用集气罩（收集效率为</w:t>
            </w:r>
            <w:r>
              <w:rPr>
                <w:rFonts w:hint="eastAsia" w:cs="Times New Roman"/>
                <w:color w:val="auto"/>
                <w:kern w:val="0"/>
                <w:sz w:val="24"/>
                <w:szCs w:val="24"/>
                <w:lang w:val="en-US" w:eastAsia="zh-CN" w:bidi="ar"/>
              </w:rPr>
              <w:t>30</w:t>
            </w:r>
            <w:r>
              <w:rPr>
                <w:rFonts w:hint="default" w:ascii="Times New Roman" w:hAnsi="Times New Roman" w:eastAsia="宋体" w:cs="Times New Roman"/>
                <w:color w:val="auto"/>
                <w:kern w:val="0"/>
                <w:sz w:val="24"/>
                <w:szCs w:val="24"/>
                <w:lang w:val="en-US" w:eastAsia="zh-CN" w:bidi="ar"/>
              </w:rPr>
              <w:t>%）进行收集，本项目共设置</w:t>
            </w:r>
            <w:r>
              <w:rPr>
                <w:rFonts w:hint="eastAsia" w:ascii="Times New Roman" w:hAnsi="Times New Roman" w:cs="Times New Roman"/>
                <w:color w:val="auto"/>
                <w:kern w:val="0"/>
                <w:sz w:val="24"/>
                <w:szCs w:val="24"/>
                <w:lang w:val="en-US" w:eastAsia="zh-CN" w:bidi="ar"/>
              </w:rPr>
              <w:t>60</w:t>
            </w:r>
            <w:r>
              <w:rPr>
                <w:rFonts w:hint="default" w:ascii="Times New Roman" w:hAnsi="Times New Roman" w:eastAsia="宋体" w:cs="Times New Roman"/>
                <w:color w:val="auto"/>
                <w:kern w:val="0"/>
                <w:sz w:val="24"/>
                <w:szCs w:val="24"/>
                <w:lang w:val="en-US" w:eastAsia="zh-CN" w:bidi="ar"/>
              </w:rPr>
              <w:t>台注塑机，每个集气罩风机风量设计为</w:t>
            </w:r>
            <w:r>
              <w:rPr>
                <w:rFonts w:hint="eastAsia" w:cs="Times New Roman"/>
                <w:color w:val="auto"/>
                <w:kern w:val="0"/>
                <w:sz w:val="24"/>
                <w:szCs w:val="24"/>
                <w:lang w:val="en-US" w:eastAsia="zh-CN" w:bidi="ar"/>
              </w:rPr>
              <w:t>32</w:t>
            </w:r>
            <w:r>
              <w:rPr>
                <w:rFonts w:hint="default" w:ascii="Times New Roman" w:hAnsi="Times New Roman" w:eastAsia="宋体" w:cs="Times New Roman"/>
                <w:color w:val="auto"/>
                <w:kern w:val="0"/>
                <w:sz w:val="24"/>
                <w:szCs w:val="24"/>
                <w:lang w:val="en-US" w:eastAsia="zh-CN" w:bidi="ar"/>
              </w:rPr>
              <w:t>0m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/h，则总风量为</w:t>
            </w:r>
            <w:r>
              <w:rPr>
                <w:rFonts w:hint="eastAsia" w:cs="Times New Roman"/>
                <w:color w:val="auto"/>
                <w:kern w:val="0"/>
                <w:sz w:val="24"/>
                <w:szCs w:val="24"/>
                <w:lang w:val="en-US" w:eastAsia="zh-CN" w:bidi="ar"/>
              </w:rPr>
              <w:t>192</w:t>
            </w:r>
            <w:r>
              <w:rPr>
                <w:rFonts w:hint="default" w:ascii="Times New Roman" w:hAnsi="Times New Roman" w:eastAsia="宋体" w:cs="Times New Roman"/>
                <w:color w:val="auto"/>
                <w:kern w:val="0"/>
                <w:sz w:val="24"/>
                <w:szCs w:val="24"/>
                <w:lang w:val="en-US" w:eastAsia="zh-CN" w:bidi="ar"/>
              </w:rPr>
              <w:t>00m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/h，收集的废气</w:t>
            </w:r>
            <w:r>
              <w:rPr>
                <w:rFonts w:hint="eastAsia" w:ascii="Times New Roman" w:hAnsi="Times New Roman" w:cs="Times New Roman"/>
                <w:color w:val="auto"/>
                <w:kern w:val="0"/>
                <w:sz w:val="24"/>
                <w:szCs w:val="24"/>
                <w:lang w:val="en-US" w:eastAsia="zh-CN" w:bidi="ar"/>
              </w:rPr>
              <w:t>经</w:t>
            </w:r>
            <w:r>
              <w:rPr>
                <w:rFonts w:hint="default" w:ascii="Times New Roman" w:hAnsi="Times New Roman" w:eastAsia="宋体" w:cs="Times New Roman"/>
                <w:color w:val="auto"/>
                <w:kern w:val="0"/>
                <w:sz w:val="24"/>
                <w:szCs w:val="24"/>
                <w:lang w:val="en-US" w:eastAsia="zh-CN" w:bidi="ar"/>
              </w:rPr>
              <w:t>活性炭处理</w:t>
            </w:r>
            <w:r>
              <w:rPr>
                <w:rFonts w:hint="eastAsia" w:ascii="Times New Roman" w:hAnsi="Times New Roman" w:cs="Times New Roman"/>
                <w:color w:val="auto"/>
                <w:kern w:val="0"/>
                <w:sz w:val="24"/>
                <w:szCs w:val="24"/>
                <w:lang w:val="en-US" w:eastAsia="zh-CN" w:bidi="ar"/>
              </w:rPr>
              <w:t>后通过一根15m排气筒</w:t>
            </w:r>
            <w:r>
              <w:rPr>
                <w:rFonts w:hint="eastAsia" w:cs="Times New Roman"/>
                <w:color w:val="auto"/>
                <w:kern w:val="0"/>
                <w:sz w:val="24"/>
                <w:szCs w:val="24"/>
                <w:lang w:val="en-US" w:eastAsia="zh-CN" w:bidi="ar"/>
              </w:rPr>
              <w:t>（DA005）</w:t>
            </w:r>
            <w:r>
              <w:rPr>
                <w:rFonts w:hint="eastAsia" w:ascii="Times New Roman" w:hAnsi="Times New Roman" w:cs="Times New Roman"/>
                <w:color w:val="auto"/>
                <w:kern w:val="0"/>
                <w:sz w:val="24"/>
                <w:szCs w:val="24"/>
                <w:lang w:val="en-US" w:eastAsia="zh-CN" w:bidi="ar"/>
              </w:rPr>
              <w:t>外排</w:t>
            </w:r>
            <w:r>
              <w:rPr>
                <w:rFonts w:hint="default" w:ascii="Times New Roman" w:hAnsi="Times New Roman" w:eastAsia="宋体" w:cs="Times New Roman"/>
                <w:color w:val="auto"/>
                <w:kern w:val="0"/>
                <w:sz w:val="24"/>
                <w:szCs w:val="24"/>
                <w:lang w:val="en-US" w:eastAsia="zh-CN" w:bidi="ar"/>
              </w:rPr>
              <w:t>，《江西省生态环境厅关于做好202</w:t>
            </w:r>
            <w:r>
              <w:rPr>
                <w:rFonts w:hint="eastAsia" w:cs="Times New Roman"/>
                <w:color w:val="auto"/>
                <w:kern w:val="0"/>
                <w:sz w:val="24"/>
                <w:szCs w:val="24"/>
                <w:lang w:val="en-US" w:eastAsia="zh-CN" w:bidi="ar"/>
              </w:rPr>
              <w:t>3</w:t>
            </w:r>
            <w:r>
              <w:rPr>
                <w:rFonts w:hint="default" w:ascii="Times New Roman" w:hAnsi="Times New Roman" w:eastAsia="宋体" w:cs="Times New Roman"/>
                <w:color w:val="auto"/>
                <w:kern w:val="0"/>
                <w:sz w:val="24"/>
                <w:szCs w:val="24"/>
                <w:lang w:val="en-US" w:eastAsia="zh-CN" w:bidi="ar"/>
              </w:rPr>
              <w:t>年主要大气污染物总量减排核算工作的通知》（赣环大气〈202</w:t>
            </w:r>
            <w:r>
              <w:rPr>
                <w:rFonts w:hint="eastAsia" w:cs="Times New Roman"/>
                <w:color w:val="auto"/>
                <w:kern w:val="0"/>
                <w:sz w:val="24"/>
                <w:szCs w:val="24"/>
                <w:lang w:val="en-US" w:eastAsia="zh-CN" w:bidi="ar"/>
              </w:rPr>
              <w:t>2</w:t>
            </w:r>
            <w:r>
              <w:rPr>
                <w:rFonts w:hint="default" w:ascii="Times New Roman" w:hAnsi="Times New Roman" w:eastAsia="宋体" w:cs="Times New Roman"/>
                <w:color w:val="auto"/>
                <w:kern w:val="0"/>
                <w:sz w:val="24"/>
                <w:szCs w:val="24"/>
                <w:lang w:val="en-US" w:eastAsia="zh-CN" w:bidi="ar"/>
              </w:rPr>
              <w:t>〉2</w:t>
            </w:r>
            <w:r>
              <w:rPr>
                <w:rFonts w:hint="eastAsia" w:cs="Times New Roman"/>
                <w:color w:val="auto"/>
                <w:kern w:val="0"/>
                <w:sz w:val="24"/>
                <w:szCs w:val="24"/>
                <w:lang w:val="en-US" w:eastAsia="zh-CN" w:bidi="ar"/>
              </w:rPr>
              <w:t>6</w:t>
            </w:r>
            <w:r>
              <w:rPr>
                <w:rFonts w:hint="default" w:ascii="Times New Roman" w:hAnsi="Times New Roman" w:eastAsia="宋体" w:cs="Times New Roman"/>
                <w:color w:val="auto"/>
                <w:kern w:val="0"/>
                <w:sz w:val="24"/>
                <w:szCs w:val="24"/>
                <w:lang w:val="en-US" w:eastAsia="zh-CN" w:bidi="ar"/>
              </w:rPr>
              <w:t>号）表1可知，活性炭吸附</w:t>
            </w:r>
            <w:r>
              <w:rPr>
                <w:rFonts w:hint="eastAsia" w:cs="Times New Roman"/>
                <w:color w:val="auto"/>
                <w:kern w:val="0"/>
                <w:sz w:val="24"/>
                <w:szCs w:val="24"/>
                <w:lang w:val="en-US" w:eastAsia="zh-CN" w:bidi="ar"/>
              </w:rPr>
              <w:t>（集中再生）</w:t>
            </w:r>
            <w:r>
              <w:rPr>
                <w:rFonts w:hint="default" w:ascii="Times New Roman" w:hAnsi="Times New Roman" w:eastAsia="宋体" w:cs="Times New Roman"/>
                <w:color w:val="auto"/>
                <w:kern w:val="0"/>
                <w:sz w:val="24"/>
                <w:szCs w:val="24"/>
                <w:lang w:val="en-US" w:eastAsia="zh-CN" w:bidi="ar"/>
              </w:rPr>
              <w:t>去除率为30%，年工作</w:t>
            </w:r>
            <w:r>
              <w:rPr>
                <w:rFonts w:hint="eastAsia" w:ascii="Times New Roman" w:hAnsi="Times New Roman" w:cs="Times New Roman"/>
                <w:color w:val="auto"/>
                <w:kern w:val="0"/>
                <w:sz w:val="24"/>
                <w:szCs w:val="24"/>
                <w:lang w:val="en-US" w:eastAsia="zh-CN" w:bidi="ar"/>
              </w:rPr>
              <w:t>72</w:t>
            </w:r>
            <w:r>
              <w:rPr>
                <w:rFonts w:hint="default" w:ascii="Times New Roman" w:hAnsi="Times New Roman" w:eastAsia="宋体" w:cs="Times New Roman"/>
                <w:color w:val="auto"/>
                <w:kern w:val="0"/>
                <w:sz w:val="24"/>
                <w:szCs w:val="24"/>
                <w:lang w:val="en-US" w:eastAsia="zh-CN" w:bidi="ar"/>
              </w:rPr>
              <w:t>00h，则有组织非甲烷总烃</w:t>
            </w:r>
            <w:r>
              <w:rPr>
                <w:rFonts w:hint="eastAsia" w:ascii="Times New Roman" w:hAnsi="Times New Roman" w:cs="Times New Roman"/>
                <w:color w:val="auto"/>
                <w:kern w:val="0"/>
                <w:sz w:val="24"/>
                <w:szCs w:val="24"/>
                <w:lang w:val="en-US" w:eastAsia="zh-CN" w:bidi="ar"/>
              </w:rPr>
              <w:t>产生</w:t>
            </w:r>
            <w:r>
              <w:rPr>
                <w:rFonts w:hint="default" w:ascii="Times New Roman" w:hAnsi="Times New Roman" w:eastAsia="宋体" w:cs="Times New Roman"/>
                <w:color w:val="auto"/>
                <w:kern w:val="0"/>
                <w:sz w:val="24"/>
                <w:szCs w:val="24"/>
                <w:lang w:val="en-US" w:eastAsia="zh-CN" w:bidi="ar"/>
              </w:rPr>
              <w:t>量为0.</w:t>
            </w:r>
            <w:r>
              <w:rPr>
                <w:rFonts w:hint="eastAsia" w:cs="Times New Roman"/>
                <w:color w:val="auto"/>
                <w:kern w:val="0"/>
                <w:sz w:val="24"/>
                <w:szCs w:val="24"/>
                <w:lang w:val="en-US" w:eastAsia="zh-CN" w:bidi="ar"/>
              </w:rPr>
              <w:t>404</w:t>
            </w:r>
            <w:r>
              <w:rPr>
                <w:rFonts w:hint="default" w:ascii="Times New Roman" w:hAnsi="Times New Roman" w:eastAsia="宋体" w:cs="Times New Roman"/>
                <w:color w:val="auto"/>
                <w:kern w:val="0"/>
                <w:sz w:val="24"/>
                <w:szCs w:val="24"/>
                <w:lang w:val="en-US" w:eastAsia="zh-CN" w:bidi="ar"/>
              </w:rPr>
              <w:t>t/a，排放速率为0.</w:t>
            </w:r>
            <w:r>
              <w:rPr>
                <w:rFonts w:hint="eastAsia" w:cs="Times New Roman"/>
                <w:color w:val="auto"/>
                <w:kern w:val="0"/>
                <w:sz w:val="24"/>
                <w:szCs w:val="24"/>
                <w:lang w:val="en-US" w:eastAsia="zh-CN" w:bidi="ar"/>
              </w:rPr>
              <w:t>056</w:t>
            </w:r>
            <w:r>
              <w:rPr>
                <w:rFonts w:hint="default" w:ascii="Times New Roman" w:hAnsi="Times New Roman" w:eastAsia="宋体" w:cs="Times New Roman"/>
                <w:color w:val="auto"/>
                <w:kern w:val="0"/>
                <w:sz w:val="24"/>
                <w:szCs w:val="24"/>
                <w:lang w:val="en-US" w:eastAsia="zh-CN" w:bidi="ar"/>
              </w:rPr>
              <w:t>kg/h，排放浓度为</w:t>
            </w:r>
            <w:r>
              <w:rPr>
                <w:rFonts w:hint="eastAsia" w:cs="Times New Roman"/>
                <w:color w:val="auto"/>
                <w:kern w:val="0"/>
                <w:sz w:val="24"/>
                <w:szCs w:val="24"/>
                <w:lang w:val="en-US" w:eastAsia="zh-CN" w:bidi="ar"/>
              </w:rPr>
              <w:t>2.917</w:t>
            </w:r>
            <w:r>
              <w:rPr>
                <w:rFonts w:hint="default" w:ascii="Times New Roman" w:hAnsi="Times New Roman" w:eastAsia="宋体" w:cs="Times New Roman"/>
                <w:color w:val="auto"/>
                <w:kern w:val="0"/>
                <w:sz w:val="24"/>
                <w:szCs w:val="24"/>
                <w:lang w:val="en-US" w:eastAsia="zh-CN" w:bidi="ar"/>
              </w:rPr>
              <w:t>mg/m</w:t>
            </w:r>
            <w:r>
              <w:rPr>
                <w:rFonts w:hint="default" w:ascii="Times New Roman" w:hAnsi="Times New Roman" w:eastAsia="宋体" w:cs="Times New Roman"/>
                <w:color w:val="auto"/>
                <w:kern w:val="0"/>
                <w:sz w:val="24"/>
                <w:szCs w:val="24"/>
                <w:vertAlign w:val="superscript"/>
                <w:lang w:val="en-US" w:eastAsia="zh-CN" w:bidi="ar"/>
              </w:rPr>
              <w:t>3</w:t>
            </w:r>
            <w:r>
              <w:rPr>
                <w:rFonts w:hint="eastAsia" w:ascii="Times New Roman" w:hAnsi="Times New Roman"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有组织非甲烷总烃排放量为0.</w:t>
            </w:r>
            <w:r>
              <w:rPr>
                <w:rFonts w:hint="eastAsia" w:cs="Times New Roman"/>
                <w:color w:val="auto"/>
                <w:kern w:val="0"/>
                <w:sz w:val="24"/>
                <w:szCs w:val="24"/>
                <w:lang w:val="en-US" w:eastAsia="zh-CN" w:bidi="ar"/>
              </w:rPr>
              <w:t>283</w:t>
            </w:r>
            <w:r>
              <w:rPr>
                <w:rFonts w:hint="default" w:ascii="Times New Roman" w:hAnsi="Times New Roman" w:eastAsia="宋体" w:cs="Times New Roman"/>
                <w:color w:val="auto"/>
                <w:kern w:val="0"/>
                <w:sz w:val="24"/>
                <w:szCs w:val="24"/>
                <w:lang w:val="en-US" w:eastAsia="zh-CN" w:bidi="ar"/>
              </w:rPr>
              <w:t>t/a，排放速率为0.0</w:t>
            </w:r>
            <w:r>
              <w:rPr>
                <w:rFonts w:hint="eastAsia" w:cs="Times New Roman"/>
                <w:color w:val="auto"/>
                <w:kern w:val="0"/>
                <w:sz w:val="24"/>
                <w:szCs w:val="24"/>
                <w:lang w:val="en-US" w:eastAsia="zh-CN" w:bidi="ar"/>
              </w:rPr>
              <w:t>39</w:t>
            </w:r>
            <w:r>
              <w:rPr>
                <w:rFonts w:hint="default" w:ascii="Times New Roman" w:hAnsi="Times New Roman" w:eastAsia="宋体" w:cs="Times New Roman"/>
                <w:color w:val="auto"/>
                <w:kern w:val="0"/>
                <w:sz w:val="24"/>
                <w:szCs w:val="24"/>
                <w:lang w:val="en-US" w:eastAsia="zh-CN" w:bidi="ar"/>
              </w:rPr>
              <w:t>kg/h，排放浓度为</w:t>
            </w:r>
            <w:r>
              <w:rPr>
                <w:rFonts w:hint="eastAsia" w:cs="Times New Roman"/>
                <w:color w:val="auto"/>
                <w:kern w:val="0"/>
                <w:sz w:val="24"/>
                <w:szCs w:val="24"/>
                <w:lang w:val="en-US" w:eastAsia="zh-CN" w:bidi="ar"/>
              </w:rPr>
              <w:t>2.031</w:t>
            </w:r>
            <w:r>
              <w:rPr>
                <w:rFonts w:hint="default" w:ascii="Times New Roman" w:hAnsi="Times New Roman" w:eastAsia="宋体" w:cs="Times New Roman"/>
                <w:color w:val="auto"/>
                <w:kern w:val="0"/>
                <w:sz w:val="24"/>
                <w:szCs w:val="24"/>
                <w:lang w:val="en-US" w:eastAsia="zh-CN" w:bidi="ar"/>
              </w:rPr>
              <w:t>mg/m</w:t>
            </w:r>
            <w:r>
              <w:rPr>
                <w:rFonts w:hint="default" w:ascii="Times New Roman" w:hAnsi="Times New Roman" w:eastAsia="宋体" w:cs="Times New Roman"/>
                <w:color w:val="auto"/>
                <w:kern w:val="0"/>
                <w:sz w:val="24"/>
                <w:szCs w:val="24"/>
                <w:vertAlign w:val="superscript"/>
                <w:lang w:val="en-US" w:eastAsia="zh-CN" w:bidi="ar"/>
              </w:rPr>
              <w:t>3</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无组织非甲烷总烃排放量为0.</w:t>
            </w:r>
            <w:r>
              <w:rPr>
                <w:rFonts w:hint="eastAsia" w:cs="Times New Roman"/>
                <w:color w:val="auto"/>
                <w:kern w:val="0"/>
                <w:sz w:val="24"/>
                <w:szCs w:val="24"/>
                <w:lang w:val="en-US" w:eastAsia="zh-CN" w:bidi="ar"/>
              </w:rPr>
              <w:t>944</w:t>
            </w:r>
            <w:r>
              <w:rPr>
                <w:rFonts w:hint="default" w:ascii="Times New Roman" w:hAnsi="Times New Roman" w:eastAsia="宋体" w:cs="Times New Roman"/>
                <w:color w:val="auto"/>
                <w:kern w:val="0"/>
                <w:sz w:val="24"/>
                <w:szCs w:val="24"/>
                <w:lang w:val="en-US" w:eastAsia="zh-CN" w:bidi="ar"/>
              </w:rPr>
              <w:t>t/a，排放速率为0.</w:t>
            </w:r>
            <w:r>
              <w:rPr>
                <w:rFonts w:hint="eastAsia" w:cs="Times New Roman"/>
                <w:color w:val="auto"/>
                <w:kern w:val="0"/>
                <w:sz w:val="24"/>
                <w:szCs w:val="24"/>
                <w:lang w:val="en-US" w:eastAsia="zh-CN" w:bidi="ar"/>
              </w:rPr>
              <w:t>131</w:t>
            </w:r>
            <w:r>
              <w:rPr>
                <w:rFonts w:hint="default" w:ascii="Times New Roman" w:hAnsi="Times New Roman" w:eastAsia="宋体" w:cs="Times New Roman"/>
                <w:color w:val="auto"/>
                <w:kern w:val="0"/>
                <w:sz w:val="24"/>
                <w:szCs w:val="24"/>
                <w:lang w:val="en-US" w:eastAsia="zh-CN" w:bidi="ar"/>
              </w:rPr>
              <w:t>kg/h。单位产品非甲烷总烃排放量计算得：0.2</w:t>
            </w:r>
            <w:r>
              <w:rPr>
                <w:rFonts w:hint="eastAsia" w:cs="Times New Roman"/>
                <w:color w:val="auto"/>
                <w:kern w:val="0"/>
                <w:sz w:val="24"/>
                <w:szCs w:val="24"/>
                <w:lang w:val="en-US" w:eastAsia="zh-CN" w:bidi="ar"/>
              </w:rPr>
              <w:t>83</w:t>
            </w:r>
            <w:r>
              <w:rPr>
                <w:rFonts w:hint="default" w:ascii="Times New Roman" w:hAnsi="Times New Roman" w:eastAsia="宋体" w:cs="Times New Roman"/>
                <w:color w:val="auto"/>
                <w:kern w:val="0"/>
                <w:sz w:val="24"/>
                <w:szCs w:val="24"/>
                <w:lang w:val="en-US" w:eastAsia="zh-CN" w:bidi="ar"/>
              </w:rPr>
              <w:t>×1000÷</w:t>
            </w:r>
            <w:r>
              <w:rPr>
                <w:rFonts w:hint="eastAsia" w:cs="Times New Roman"/>
                <w:color w:val="auto"/>
                <w:kern w:val="0"/>
                <w:sz w:val="24"/>
                <w:szCs w:val="24"/>
                <w:lang w:val="en-US" w:eastAsia="zh-CN" w:bidi="ar"/>
              </w:rPr>
              <w:t>250</w:t>
            </w:r>
            <w:r>
              <w:rPr>
                <w:rFonts w:hint="default" w:ascii="Times New Roman" w:hAnsi="Times New Roman" w:eastAsia="宋体" w:cs="Times New Roman"/>
                <w:color w:val="auto"/>
                <w:kern w:val="0"/>
                <w:sz w:val="24"/>
                <w:szCs w:val="24"/>
                <w:lang w:val="en-US" w:eastAsia="zh-CN" w:bidi="ar"/>
              </w:rPr>
              <w:t>0=0.1</w:t>
            </w:r>
            <w:r>
              <w:rPr>
                <w:rFonts w:hint="eastAsia" w:cs="Times New Roman"/>
                <w:color w:val="auto"/>
                <w:kern w:val="0"/>
                <w:sz w:val="24"/>
                <w:szCs w:val="24"/>
                <w:lang w:val="en-US" w:eastAsia="zh-CN" w:bidi="ar"/>
              </w:rPr>
              <w:t>13</w:t>
            </w:r>
            <w:r>
              <w:rPr>
                <w:rFonts w:hint="default" w:ascii="Times New Roman" w:hAnsi="Times New Roman" w:eastAsia="宋体" w:cs="Times New Roman"/>
                <w:color w:val="auto"/>
                <w:kern w:val="0"/>
                <w:sz w:val="24"/>
                <w:szCs w:val="24"/>
                <w:lang w:val="en-US" w:eastAsia="zh-CN" w:bidi="ar"/>
              </w:rPr>
              <w:t>kg/t，小于0.5kg/t，满足《合成树脂工业污染物排放标准》（GB3157-2015，含2024年修改单）中单位产品非甲烷总烃排放量。有组织氨气排放量为0.</w:t>
            </w:r>
            <w:r>
              <w:rPr>
                <w:rFonts w:hint="eastAsia" w:cs="Times New Roman"/>
                <w:color w:val="auto"/>
                <w:kern w:val="0"/>
                <w:sz w:val="24"/>
                <w:szCs w:val="24"/>
                <w:lang w:val="en-US" w:eastAsia="zh-CN" w:bidi="ar"/>
              </w:rPr>
              <w:t>077</w:t>
            </w:r>
            <w:r>
              <w:rPr>
                <w:rFonts w:hint="default" w:ascii="Times New Roman" w:hAnsi="Times New Roman" w:eastAsia="宋体" w:cs="Times New Roman"/>
                <w:color w:val="auto"/>
                <w:kern w:val="0"/>
                <w:sz w:val="24"/>
                <w:szCs w:val="24"/>
                <w:lang w:val="en-US" w:eastAsia="zh-CN" w:bidi="ar"/>
              </w:rPr>
              <w:t>t/a，排放速率为0.0</w:t>
            </w:r>
            <w:r>
              <w:rPr>
                <w:rFonts w:hint="eastAsia" w:cs="Times New Roman"/>
                <w:color w:val="auto"/>
                <w:kern w:val="0"/>
                <w:sz w:val="24"/>
                <w:szCs w:val="24"/>
                <w:lang w:val="en-US" w:eastAsia="zh-CN" w:bidi="ar"/>
              </w:rPr>
              <w:t>11</w:t>
            </w:r>
            <w:r>
              <w:rPr>
                <w:rFonts w:hint="default" w:ascii="Times New Roman" w:hAnsi="Times New Roman" w:eastAsia="宋体" w:cs="Times New Roman"/>
                <w:color w:val="auto"/>
                <w:kern w:val="0"/>
                <w:sz w:val="24"/>
                <w:szCs w:val="24"/>
                <w:lang w:val="en-US" w:eastAsia="zh-CN" w:bidi="ar"/>
              </w:rPr>
              <w:t>kg/h，排放浓度为</w:t>
            </w:r>
            <w:r>
              <w:rPr>
                <w:rFonts w:hint="eastAsia" w:ascii="Times New Roman" w:hAnsi="Times New Roman" w:cs="Times New Roman"/>
                <w:color w:val="auto"/>
                <w:kern w:val="0"/>
                <w:sz w:val="24"/>
                <w:szCs w:val="24"/>
                <w:lang w:val="en-US" w:eastAsia="zh-CN" w:bidi="ar"/>
              </w:rPr>
              <w:t>0.</w:t>
            </w:r>
            <w:r>
              <w:rPr>
                <w:rFonts w:hint="eastAsia" w:cs="Times New Roman"/>
                <w:color w:val="auto"/>
                <w:kern w:val="0"/>
                <w:sz w:val="24"/>
                <w:szCs w:val="24"/>
                <w:lang w:val="en-US" w:eastAsia="zh-CN" w:bidi="ar"/>
              </w:rPr>
              <w:t>573</w:t>
            </w:r>
            <w:r>
              <w:rPr>
                <w:rFonts w:hint="default" w:ascii="Times New Roman" w:hAnsi="Times New Roman" w:eastAsia="宋体" w:cs="Times New Roman"/>
                <w:color w:val="auto"/>
                <w:kern w:val="0"/>
                <w:sz w:val="24"/>
                <w:szCs w:val="24"/>
                <w:lang w:val="en-US" w:eastAsia="zh-CN" w:bidi="ar"/>
              </w:rPr>
              <w:t>mg/m</w:t>
            </w:r>
            <w:r>
              <w:rPr>
                <w:rFonts w:hint="default" w:ascii="Times New Roman" w:hAnsi="Times New Roman" w:eastAsia="宋体" w:cs="Times New Roman"/>
                <w:color w:val="auto"/>
                <w:kern w:val="0"/>
                <w:sz w:val="24"/>
                <w:szCs w:val="24"/>
                <w:vertAlign w:val="superscript"/>
                <w:lang w:val="en-US" w:eastAsia="zh-CN" w:bidi="ar"/>
              </w:rPr>
              <w:t>3</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无组织氨气排放量为0.</w:t>
            </w:r>
            <w:r>
              <w:rPr>
                <w:rFonts w:hint="eastAsia" w:cs="Times New Roman"/>
                <w:color w:val="auto"/>
                <w:kern w:val="0"/>
                <w:sz w:val="24"/>
                <w:szCs w:val="24"/>
                <w:lang w:val="en-US" w:eastAsia="zh-CN" w:bidi="ar"/>
              </w:rPr>
              <w:t>179</w:t>
            </w:r>
            <w:r>
              <w:rPr>
                <w:rFonts w:hint="default" w:ascii="Times New Roman" w:hAnsi="Times New Roman" w:eastAsia="宋体" w:cs="Times New Roman"/>
                <w:color w:val="auto"/>
                <w:kern w:val="0"/>
                <w:sz w:val="24"/>
                <w:szCs w:val="24"/>
                <w:lang w:val="en-US" w:eastAsia="zh-CN" w:bidi="ar"/>
              </w:rPr>
              <w:t>t/a，排放速率为0.0</w:t>
            </w:r>
            <w:r>
              <w:rPr>
                <w:rFonts w:hint="eastAsia" w:cs="Times New Roman"/>
                <w:color w:val="auto"/>
                <w:kern w:val="0"/>
                <w:sz w:val="24"/>
                <w:szCs w:val="24"/>
                <w:lang w:val="en-US" w:eastAsia="zh-CN" w:bidi="ar"/>
              </w:rPr>
              <w:t>25</w:t>
            </w:r>
            <w:r>
              <w:rPr>
                <w:rFonts w:hint="default" w:ascii="Times New Roman" w:hAnsi="Times New Roman" w:eastAsia="宋体" w:cs="Times New Roman"/>
                <w:color w:val="auto"/>
                <w:kern w:val="0"/>
                <w:sz w:val="24"/>
                <w:szCs w:val="24"/>
                <w:lang w:val="en-US" w:eastAsia="zh-CN" w:bidi="ar"/>
              </w:rPr>
              <w:t>kg/h</w:t>
            </w:r>
            <w:r>
              <w:rPr>
                <w:rFonts w:hint="eastAsia" w:ascii="Times New Roman" w:hAnsi="Times New Roman" w:eastAsia="宋体" w:cs="Times New Roman"/>
                <w:color w:val="auto"/>
                <w:kern w:val="0"/>
                <w:sz w:val="24"/>
                <w:szCs w:val="24"/>
                <w:lang w:val="en-US" w:eastAsia="zh-CN" w:bidi="ar"/>
              </w:rPr>
              <w:t>。</w:t>
            </w:r>
          </w:p>
          <w:p w14:paraId="14018291">
            <w:pPr>
              <w:keepNext w:val="0"/>
              <w:keepLines w:val="0"/>
              <w:suppressLineNumbers w:val="0"/>
              <w:bidi w:val="0"/>
              <w:spacing w:before="0" w:beforeAutospacing="0" w:after="0" w:afterAutospacing="0"/>
              <w:ind w:left="0" w:right="0"/>
              <w:rPr>
                <w:rFonts w:hint="default" w:eastAsia="宋体"/>
                <w:color w:val="auto"/>
                <w:highlight w:val="none"/>
                <w:lang w:val="en-US" w:eastAsia="zh-CN"/>
              </w:rPr>
            </w:pPr>
            <w:r>
              <w:rPr>
                <w:rFonts w:hint="eastAsia"/>
                <w:color w:val="auto"/>
                <w:highlight w:val="none"/>
                <w:lang w:val="en-US" w:eastAsia="zh-CN"/>
              </w:rPr>
              <w:t>2）恶臭影响分析</w:t>
            </w:r>
          </w:p>
          <w:p w14:paraId="78342BD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恶臭是大气、水、废弃物等物质中的异味通过空气介质，作用于人的嗅觉而被感知的一种嗅觉污染。恶臭物质的种类很多，其中对人身体健康危害较大的主要有：硫醇类、氨、硫化氢、甲基硫、甲醛、三甲胺和酚类等等。</w:t>
            </w:r>
          </w:p>
          <w:p w14:paraId="74B60B5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用嗅觉感觉出来的臭气强度，有多种表示方法，其中最常用的也是最基本的是用“阈值”来表示。所谓嗅觉阈值就是人所能嗅觉到某种物质的最小刺激量。恶臭强度是以臭味的嗅觉阈值为基准划分等级的，恶臭强度划分为6级，详见表</w:t>
            </w:r>
            <w:r>
              <w:rPr>
                <w:rFonts w:hint="eastAsia" w:ascii="Times New Roman" w:hAnsi="Times New Roman" w:eastAsia="宋体" w:cs="Times New Roman"/>
                <w:color w:val="auto"/>
                <w:sz w:val="24"/>
                <w:szCs w:val="24"/>
                <w:lang w:val="en-US" w:eastAsia="zh-CN"/>
              </w:rPr>
              <w:t>4-6</w:t>
            </w:r>
            <w:r>
              <w:rPr>
                <w:rFonts w:hint="default" w:ascii="Times New Roman" w:hAnsi="Times New Roman" w:eastAsia="宋体" w:cs="Times New Roman"/>
                <w:color w:val="auto"/>
                <w:sz w:val="24"/>
                <w:szCs w:val="24"/>
              </w:rPr>
              <w:t>。</w:t>
            </w:r>
          </w:p>
          <w:p w14:paraId="6F9DB439">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16"/>
                <w:lang w:val="en-US" w:eastAsia="zh-CN" w:bidi="ar-SA"/>
              </w:rPr>
            </w:pPr>
            <w:r>
              <w:rPr>
                <w:rFonts w:hint="default" w:ascii="Times New Roman" w:hAnsi="Times New Roman" w:eastAsia="宋体" w:cs="Times New Roman"/>
                <w:b/>
                <w:color w:val="auto"/>
                <w:kern w:val="2"/>
                <w:sz w:val="21"/>
                <w:szCs w:val="16"/>
                <w:lang w:val="en-US" w:eastAsia="zh-CN" w:bidi="ar-SA"/>
              </w:rPr>
              <w:t>表</w:t>
            </w:r>
            <w:r>
              <w:rPr>
                <w:rFonts w:hint="eastAsia" w:ascii="Times New Roman" w:hAnsi="Times New Roman" w:eastAsia="宋体" w:cs="Times New Roman"/>
                <w:b/>
                <w:color w:val="auto"/>
                <w:kern w:val="2"/>
                <w:sz w:val="21"/>
                <w:szCs w:val="16"/>
                <w:lang w:val="en-US" w:eastAsia="zh-CN" w:bidi="ar-SA"/>
              </w:rPr>
              <w:t>4</w:t>
            </w:r>
            <w:r>
              <w:rPr>
                <w:rFonts w:hint="default" w:ascii="Times New Roman" w:hAnsi="Times New Roman" w:eastAsia="宋体" w:cs="Times New Roman"/>
                <w:b/>
                <w:color w:val="auto"/>
                <w:kern w:val="2"/>
                <w:sz w:val="21"/>
                <w:szCs w:val="16"/>
                <w:lang w:val="en-US" w:eastAsia="zh-CN" w:bidi="ar-SA"/>
              </w:rPr>
              <w:t>-</w:t>
            </w:r>
            <w:r>
              <w:rPr>
                <w:rFonts w:hint="eastAsia" w:cs="Times New Roman"/>
                <w:b/>
                <w:color w:val="auto"/>
                <w:kern w:val="2"/>
                <w:sz w:val="21"/>
                <w:szCs w:val="16"/>
                <w:lang w:val="en-US" w:eastAsia="zh-CN" w:bidi="ar-SA"/>
              </w:rPr>
              <w:t xml:space="preserve">3  </w:t>
            </w:r>
            <w:r>
              <w:rPr>
                <w:rFonts w:hint="default" w:ascii="Times New Roman" w:hAnsi="Times New Roman" w:eastAsia="宋体" w:cs="Times New Roman"/>
                <w:b/>
                <w:color w:val="auto"/>
                <w:kern w:val="2"/>
                <w:sz w:val="21"/>
                <w:szCs w:val="16"/>
                <w:lang w:val="en-US" w:eastAsia="zh-CN" w:bidi="ar-SA"/>
              </w:rPr>
              <w:t>恶臭强度分类情况一览表</w:t>
            </w:r>
          </w:p>
          <w:tbl>
            <w:tblPr>
              <w:tblStyle w:val="32"/>
              <w:tblW w:w="0" w:type="auto"/>
              <w:tblInd w:w="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275"/>
              <w:gridCol w:w="6156"/>
            </w:tblGrid>
            <w:tr w14:paraId="6B1438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2" w:hRule="exact"/>
              </w:trPr>
              <w:tc>
                <w:tcPr>
                  <w:tcW w:w="2275" w:type="dxa"/>
                  <w:tcBorders>
                    <w:top w:val="single" w:color="auto" w:sz="12" w:space="0"/>
                    <w:left w:val="nil"/>
                    <w:bottom w:val="single" w:color="auto" w:sz="12" w:space="0"/>
                    <w:right w:val="single" w:color="000000" w:sz="4" w:space="0"/>
                  </w:tcBorders>
                  <w:noWrap w:val="0"/>
                  <w:vAlign w:val="top"/>
                </w:tcPr>
                <w:p w14:paraId="6138AA6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spacing w:val="4"/>
                      <w:kern w:val="2"/>
                      <w:sz w:val="21"/>
                      <w:szCs w:val="24"/>
                      <w:lang w:val="en-US" w:eastAsia="zh-CN" w:bidi="ar-SA"/>
                    </w:rPr>
                  </w:pPr>
                  <w:r>
                    <w:rPr>
                      <w:rFonts w:hint="default" w:ascii="Times New Roman" w:hAnsi="Times New Roman" w:eastAsia="宋体" w:cs="Times New Roman"/>
                      <w:b/>
                      <w:bCs/>
                      <w:color w:val="auto"/>
                      <w:spacing w:val="4"/>
                      <w:kern w:val="2"/>
                      <w:sz w:val="21"/>
                      <w:szCs w:val="24"/>
                      <w:lang w:val="en-US" w:eastAsia="zh-CN" w:bidi="ar-SA"/>
                    </w:rPr>
                    <w:t>强度分类</w:t>
                  </w:r>
                </w:p>
              </w:tc>
              <w:tc>
                <w:tcPr>
                  <w:tcW w:w="6156" w:type="dxa"/>
                  <w:tcBorders>
                    <w:top w:val="single" w:color="auto" w:sz="12" w:space="0"/>
                    <w:left w:val="single" w:color="000000" w:sz="4" w:space="0"/>
                    <w:bottom w:val="single" w:color="auto" w:sz="12" w:space="0"/>
                    <w:right w:val="nil"/>
                  </w:tcBorders>
                  <w:noWrap w:val="0"/>
                  <w:vAlign w:val="top"/>
                </w:tcPr>
                <w:p w14:paraId="369DDD0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spacing w:val="4"/>
                      <w:kern w:val="2"/>
                      <w:sz w:val="21"/>
                      <w:szCs w:val="24"/>
                      <w:lang w:val="en-US" w:eastAsia="zh-CN" w:bidi="ar-SA"/>
                    </w:rPr>
                  </w:pPr>
                  <w:r>
                    <w:rPr>
                      <w:rFonts w:hint="default" w:ascii="Times New Roman" w:hAnsi="Times New Roman" w:eastAsia="宋体" w:cs="Times New Roman"/>
                      <w:b/>
                      <w:bCs/>
                      <w:color w:val="auto"/>
                      <w:spacing w:val="4"/>
                      <w:kern w:val="2"/>
                      <w:sz w:val="21"/>
                      <w:szCs w:val="24"/>
                      <w:lang w:val="en-US" w:eastAsia="zh-CN" w:bidi="ar-SA"/>
                    </w:rPr>
                    <w:t>臭气感觉程度</w:t>
                  </w:r>
                </w:p>
              </w:tc>
            </w:tr>
            <w:tr w14:paraId="0A156F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exact"/>
              </w:trPr>
              <w:tc>
                <w:tcPr>
                  <w:tcW w:w="2275" w:type="dxa"/>
                  <w:tcBorders>
                    <w:top w:val="single" w:color="auto" w:sz="12" w:space="0"/>
                    <w:left w:val="nil"/>
                    <w:bottom w:val="single" w:color="000000" w:sz="4" w:space="0"/>
                    <w:right w:val="single" w:color="000000" w:sz="4" w:space="0"/>
                  </w:tcBorders>
                  <w:noWrap w:val="0"/>
                  <w:vAlign w:val="top"/>
                </w:tcPr>
                <w:p w14:paraId="3622D741">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4"/>
                      <w:kern w:val="2"/>
                      <w:sz w:val="21"/>
                      <w:szCs w:val="24"/>
                      <w:lang w:val="en-US" w:eastAsia="zh-CN" w:bidi="ar-SA"/>
                    </w:rPr>
                  </w:pPr>
                  <w:r>
                    <w:rPr>
                      <w:rFonts w:hint="default" w:ascii="Times New Roman" w:hAnsi="Times New Roman" w:eastAsia="宋体" w:cs="Times New Roman"/>
                      <w:color w:val="auto"/>
                      <w:spacing w:val="4"/>
                      <w:kern w:val="2"/>
                      <w:sz w:val="21"/>
                      <w:szCs w:val="24"/>
                      <w:lang w:val="en-US" w:eastAsia="zh-CN" w:bidi="ar-SA"/>
                    </w:rPr>
                    <w:t>0</w:t>
                  </w:r>
                </w:p>
              </w:tc>
              <w:tc>
                <w:tcPr>
                  <w:tcW w:w="6156" w:type="dxa"/>
                  <w:tcBorders>
                    <w:top w:val="single" w:color="auto" w:sz="12" w:space="0"/>
                    <w:left w:val="single" w:color="000000" w:sz="4" w:space="0"/>
                    <w:bottom w:val="single" w:color="000000" w:sz="4" w:space="0"/>
                    <w:right w:val="nil"/>
                  </w:tcBorders>
                  <w:noWrap w:val="0"/>
                  <w:vAlign w:val="top"/>
                </w:tcPr>
                <w:p w14:paraId="77F961B6">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4"/>
                      <w:kern w:val="2"/>
                      <w:sz w:val="21"/>
                      <w:szCs w:val="24"/>
                      <w:lang w:val="en-US" w:eastAsia="zh-CN" w:bidi="ar-SA"/>
                    </w:rPr>
                  </w:pPr>
                  <w:r>
                    <w:rPr>
                      <w:rFonts w:hint="default" w:ascii="Times New Roman" w:hAnsi="Times New Roman" w:eastAsia="宋体" w:cs="Times New Roman"/>
                      <w:color w:val="auto"/>
                      <w:spacing w:val="4"/>
                      <w:kern w:val="2"/>
                      <w:sz w:val="21"/>
                      <w:szCs w:val="24"/>
                      <w:lang w:val="en-US" w:eastAsia="zh-CN" w:bidi="ar-SA"/>
                    </w:rPr>
                    <w:t>未闻到任何气味，无反应</w:t>
                  </w:r>
                </w:p>
              </w:tc>
            </w:tr>
            <w:tr w14:paraId="34D9AE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exact"/>
              </w:trPr>
              <w:tc>
                <w:tcPr>
                  <w:tcW w:w="2275" w:type="dxa"/>
                  <w:tcBorders>
                    <w:top w:val="single" w:color="000000" w:sz="4" w:space="0"/>
                    <w:left w:val="nil"/>
                    <w:bottom w:val="single" w:color="000000" w:sz="4" w:space="0"/>
                    <w:right w:val="single" w:color="000000" w:sz="4" w:space="0"/>
                  </w:tcBorders>
                  <w:noWrap w:val="0"/>
                  <w:vAlign w:val="top"/>
                </w:tcPr>
                <w:p w14:paraId="33521A74">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4"/>
                      <w:kern w:val="2"/>
                      <w:sz w:val="21"/>
                      <w:szCs w:val="24"/>
                      <w:lang w:val="en-US" w:eastAsia="zh-CN" w:bidi="ar-SA"/>
                    </w:rPr>
                  </w:pPr>
                  <w:r>
                    <w:rPr>
                      <w:rFonts w:hint="default" w:ascii="Times New Roman" w:hAnsi="Times New Roman" w:eastAsia="宋体" w:cs="Times New Roman"/>
                      <w:color w:val="auto"/>
                      <w:spacing w:val="4"/>
                      <w:kern w:val="2"/>
                      <w:sz w:val="21"/>
                      <w:szCs w:val="24"/>
                      <w:lang w:val="en-US" w:eastAsia="zh-CN" w:bidi="ar-SA"/>
                    </w:rPr>
                    <w:t>1</w:t>
                  </w:r>
                </w:p>
              </w:tc>
              <w:tc>
                <w:tcPr>
                  <w:tcW w:w="6156" w:type="dxa"/>
                  <w:tcBorders>
                    <w:top w:val="single" w:color="000000" w:sz="4" w:space="0"/>
                    <w:left w:val="single" w:color="000000" w:sz="4" w:space="0"/>
                    <w:bottom w:val="single" w:color="000000" w:sz="4" w:space="0"/>
                    <w:right w:val="nil"/>
                  </w:tcBorders>
                  <w:noWrap w:val="0"/>
                  <w:vAlign w:val="top"/>
                </w:tcPr>
                <w:p w14:paraId="60A874F0">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4"/>
                      <w:kern w:val="2"/>
                      <w:sz w:val="21"/>
                      <w:szCs w:val="24"/>
                      <w:lang w:val="en-US" w:eastAsia="zh-CN" w:bidi="ar-SA"/>
                    </w:rPr>
                  </w:pPr>
                  <w:r>
                    <w:rPr>
                      <w:rFonts w:hint="default" w:ascii="Times New Roman" w:hAnsi="Times New Roman" w:eastAsia="宋体" w:cs="Times New Roman"/>
                      <w:color w:val="auto"/>
                      <w:spacing w:val="4"/>
                      <w:kern w:val="2"/>
                      <w:sz w:val="21"/>
                      <w:szCs w:val="24"/>
                      <w:lang w:val="en-US" w:eastAsia="zh-CN" w:bidi="ar-SA"/>
                    </w:rPr>
                    <w:t>勉强感觉到气味，检知阈值浓度</w:t>
                  </w:r>
                </w:p>
              </w:tc>
            </w:tr>
            <w:tr w14:paraId="4250D9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exact"/>
              </w:trPr>
              <w:tc>
                <w:tcPr>
                  <w:tcW w:w="2275" w:type="dxa"/>
                  <w:tcBorders>
                    <w:top w:val="single" w:color="000000" w:sz="4" w:space="0"/>
                    <w:left w:val="nil"/>
                    <w:bottom w:val="single" w:color="000000" w:sz="4" w:space="0"/>
                    <w:right w:val="single" w:color="000000" w:sz="4" w:space="0"/>
                  </w:tcBorders>
                  <w:noWrap w:val="0"/>
                  <w:vAlign w:val="top"/>
                </w:tcPr>
                <w:p w14:paraId="40D64242">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4"/>
                      <w:kern w:val="2"/>
                      <w:sz w:val="21"/>
                      <w:szCs w:val="24"/>
                      <w:lang w:val="en-US" w:eastAsia="zh-CN" w:bidi="ar-SA"/>
                    </w:rPr>
                  </w:pPr>
                  <w:r>
                    <w:rPr>
                      <w:rFonts w:hint="default" w:ascii="Times New Roman" w:hAnsi="Times New Roman" w:eastAsia="宋体" w:cs="Times New Roman"/>
                      <w:color w:val="auto"/>
                      <w:spacing w:val="4"/>
                      <w:kern w:val="2"/>
                      <w:sz w:val="21"/>
                      <w:szCs w:val="24"/>
                      <w:lang w:val="en-US" w:eastAsia="zh-CN" w:bidi="ar-SA"/>
                    </w:rPr>
                    <w:t>2</w:t>
                  </w:r>
                </w:p>
              </w:tc>
              <w:tc>
                <w:tcPr>
                  <w:tcW w:w="6156" w:type="dxa"/>
                  <w:tcBorders>
                    <w:top w:val="single" w:color="000000" w:sz="4" w:space="0"/>
                    <w:left w:val="single" w:color="000000" w:sz="4" w:space="0"/>
                    <w:bottom w:val="single" w:color="000000" w:sz="4" w:space="0"/>
                    <w:right w:val="nil"/>
                  </w:tcBorders>
                  <w:noWrap w:val="0"/>
                  <w:vAlign w:val="top"/>
                </w:tcPr>
                <w:p w14:paraId="5A014226">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4"/>
                      <w:kern w:val="2"/>
                      <w:sz w:val="21"/>
                      <w:szCs w:val="24"/>
                      <w:lang w:val="en-US" w:eastAsia="zh-CN" w:bidi="ar-SA"/>
                    </w:rPr>
                  </w:pPr>
                  <w:r>
                    <w:rPr>
                      <w:rFonts w:hint="default" w:ascii="Times New Roman" w:hAnsi="Times New Roman" w:eastAsia="宋体" w:cs="Times New Roman"/>
                      <w:color w:val="auto"/>
                      <w:spacing w:val="4"/>
                      <w:kern w:val="2"/>
                      <w:sz w:val="21"/>
                      <w:szCs w:val="24"/>
                      <w:lang w:val="en-US" w:eastAsia="zh-CN" w:bidi="ar-SA"/>
                    </w:rPr>
                    <w:t>能够确定气味性质的较弱气体，确认阈值浓度</w:t>
                  </w:r>
                </w:p>
              </w:tc>
            </w:tr>
            <w:tr w14:paraId="1D05E4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exact"/>
              </w:trPr>
              <w:tc>
                <w:tcPr>
                  <w:tcW w:w="2275" w:type="dxa"/>
                  <w:tcBorders>
                    <w:top w:val="single" w:color="000000" w:sz="4" w:space="0"/>
                    <w:left w:val="nil"/>
                    <w:bottom w:val="single" w:color="000000" w:sz="4" w:space="0"/>
                    <w:right w:val="single" w:color="000000" w:sz="4" w:space="0"/>
                  </w:tcBorders>
                  <w:noWrap w:val="0"/>
                  <w:vAlign w:val="top"/>
                </w:tcPr>
                <w:p w14:paraId="659C829D">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4"/>
                      <w:kern w:val="2"/>
                      <w:sz w:val="21"/>
                      <w:szCs w:val="24"/>
                      <w:lang w:val="en-US" w:eastAsia="zh-CN" w:bidi="ar-SA"/>
                    </w:rPr>
                  </w:pPr>
                  <w:r>
                    <w:rPr>
                      <w:rFonts w:hint="default" w:ascii="Times New Roman" w:hAnsi="Times New Roman" w:eastAsia="宋体" w:cs="Times New Roman"/>
                      <w:color w:val="auto"/>
                      <w:spacing w:val="4"/>
                      <w:kern w:val="2"/>
                      <w:sz w:val="21"/>
                      <w:szCs w:val="24"/>
                      <w:lang w:val="en-US" w:eastAsia="zh-CN" w:bidi="ar-SA"/>
                    </w:rPr>
                    <w:t>3</w:t>
                  </w:r>
                </w:p>
              </w:tc>
              <w:tc>
                <w:tcPr>
                  <w:tcW w:w="6156" w:type="dxa"/>
                  <w:tcBorders>
                    <w:top w:val="single" w:color="000000" w:sz="4" w:space="0"/>
                    <w:left w:val="single" w:color="000000" w:sz="4" w:space="0"/>
                    <w:bottom w:val="single" w:color="000000" w:sz="4" w:space="0"/>
                    <w:right w:val="nil"/>
                  </w:tcBorders>
                  <w:noWrap w:val="0"/>
                  <w:vAlign w:val="top"/>
                </w:tcPr>
                <w:p w14:paraId="76EDC009">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4"/>
                      <w:kern w:val="2"/>
                      <w:sz w:val="21"/>
                      <w:szCs w:val="24"/>
                      <w:lang w:val="en-US" w:eastAsia="zh-CN" w:bidi="ar-SA"/>
                    </w:rPr>
                  </w:pPr>
                  <w:r>
                    <w:rPr>
                      <w:rFonts w:hint="default" w:ascii="Times New Roman" w:hAnsi="Times New Roman" w:eastAsia="宋体" w:cs="Times New Roman"/>
                      <w:color w:val="auto"/>
                      <w:spacing w:val="4"/>
                      <w:kern w:val="2"/>
                      <w:sz w:val="21"/>
                      <w:szCs w:val="24"/>
                      <w:lang w:val="en-US" w:eastAsia="zh-CN" w:bidi="ar-SA"/>
                    </w:rPr>
                    <w:t>易闻到有明显气味</w:t>
                  </w:r>
                </w:p>
              </w:tc>
            </w:tr>
            <w:tr w14:paraId="073599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exact"/>
              </w:trPr>
              <w:tc>
                <w:tcPr>
                  <w:tcW w:w="2275" w:type="dxa"/>
                  <w:tcBorders>
                    <w:top w:val="single" w:color="000000" w:sz="4" w:space="0"/>
                    <w:left w:val="nil"/>
                    <w:bottom w:val="single" w:color="000000" w:sz="4" w:space="0"/>
                    <w:right w:val="single" w:color="000000" w:sz="4" w:space="0"/>
                  </w:tcBorders>
                  <w:noWrap w:val="0"/>
                  <w:vAlign w:val="top"/>
                </w:tcPr>
                <w:p w14:paraId="230C459A">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4"/>
                      <w:kern w:val="2"/>
                      <w:sz w:val="21"/>
                      <w:szCs w:val="24"/>
                      <w:lang w:val="en-US" w:eastAsia="zh-CN" w:bidi="ar-SA"/>
                    </w:rPr>
                  </w:pPr>
                  <w:r>
                    <w:rPr>
                      <w:rFonts w:hint="default" w:ascii="Times New Roman" w:hAnsi="Times New Roman" w:eastAsia="宋体" w:cs="Times New Roman"/>
                      <w:color w:val="auto"/>
                      <w:spacing w:val="4"/>
                      <w:kern w:val="2"/>
                      <w:sz w:val="21"/>
                      <w:szCs w:val="24"/>
                      <w:lang w:val="en-US" w:eastAsia="zh-CN" w:bidi="ar-SA"/>
                    </w:rPr>
                    <w:t>4</w:t>
                  </w:r>
                </w:p>
              </w:tc>
              <w:tc>
                <w:tcPr>
                  <w:tcW w:w="6156" w:type="dxa"/>
                  <w:tcBorders>
                    <w:top w:val="single" w:color="000000" w:sz="4" w:space="0"/>
                    <w:left w:val="single" w:color="000000" w:sz="4" w:space="0"/>
                    <w:bottom w:val="single" w:color="000000" w:sz="4" w:space="0"/>
                    <w:right w:val="nil"/>
                  </w:tcBorders>
                  <w:noWrap w:val="0"/>
                  <w:vAlign w:val="top"/>
                </w:tcPr>
                <w:p w14:paraId="31BC4879">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4"/>
                      <w:kern w:val="2"/>
                      <w:sz w:val="21"/>
                      <w:szCs w:val="24"/>
                      <w:lang w:val="en-US" w:eastAsia="zh-CN" w:bidi="ar-SA"/>
                    </w:rPr>
                  </w:pPr>
                  <w:r>
                    <w:rPr>
                      <w:rFonts w:hint="default" w:ascii="Times New Roman" w:hAnsi="Times New Roman" w:eastAsia="宋体" w:cs="Times New Roman"/>
                      <w:color w:val="auto"/>
                      <w:spacing w:val="4"/>
                      <w:kern w:val="2"/>
                      <w:sz w:val="21"/>
                      <w:szCs w:val="24"/>
                      <w:lang w:val="en-US" w:eastAsia="zh-CN" w:bidi="ar-SA"/>
                    </w:rPr>
                    <w:t>有很强的气味，很反感，想离开</w:t>
                  </w:r>
                </w:p>
              </w:tc>
            </w:tr>
            <w:tr w14:paraId="1FE02A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2" w:hRule="exact"/>
              </w:trPr>
              <w:tc>
                <w:tcPr>
                  <w:tcW w:w="2275" w:type="dxa"/>
                  <w:tcBorders>
                    <w:top w:val="single" w:color="000000" w:sz="4" w:space="0"/>
                    <w:left w:val="nil"/>
                    <w:bottom w:val="single" w:color="auto" w:sz="12" w:space="0"/>
                    <w:right w:val="single" w:color="000000" w:sz="4" w:space="0"/>
                  </w:tcBorders>
                  <w:noWrap w:val="0"/>
                  <w:vAlign w:val="top"/>
                </w:tcPr>
                <w:p w14:paraId="424E262E">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4"/>
                      <w:kern w:val="2"/>
                      <w:sz w:val="21"/>
                      <w:szCs w:val="24"/>
                      <w:lang w:val="en-US" w:eastAsia="zh-CN" w:bidi="ar-SA"/>
                    </w:rPr>
                  </w:pPr>
                  <w:r>
                    <w:rPr>
                      <w:rFonts w:hint="default" w:ascii="Times New Roman" w:hAnsi="Times New Roman" w:eastAsia="宋体" w:cs="Times New Roman"/>
                      <w:color w:val="auto"/>
                      <w:spacing w:val="4"/>
                      <w:kern w:val="2"/>
                      <w:sz w:val="21"/>
                      <w:szCs w:val="24"/>
                      <w:lang w:val="en-US" w:eastAsia="zh-CN" w:bidi="ar-SA"/>
                    </w:rPr>
                    <w:t>5</w:t>
                  </w:r>
                </w:p>
              </w:tc>
              <w:tc>
                <w:tcPr>
                  <w:tcW w:w="6156" w:type="dxa"/>
                  <w:tcBorders>
                    <w:top w:val="single" w:color="000000" w:sz="4" w:space="0"/>
                    <w:left w:val="single" w:color="000000" w:sz="4" w:space="0"/>
                    <w:bottom w:val="single" w:color="auto" w:sz="12" w:space="0"/>
                    <w:right w:val="nil"/>
                  </w:tcBorders>
                  <w:noWrap w:val="0"/>
                  <w:vAlign w:val="top"/>
                </w:tcPr>
                <w:p w14:paraId="63EFBE4B">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4"/>
                      <w:kern w:val="2"/>
                      <w:sz w:val="21"/>
                      <w:szCs w:val="24"/>
                      <w:lang w:val="en-US" w:eastAsia="zh-CN" w:bidi="ar-SA"/>
                    </w:rPr>
                  </w:pPr>
                  <w:r>
                    <w:rPr>
                      <w:rFonts w:hint="default" w:ascii="Times New Roman" w:hAnsi="Times New Roman" w:eastAsia="宋体" w:cs="Times New Roman"/>
                      <w:color w:val="auto"/>
                      <w:spacing w:val="4"/>
                      <w:kern w:val="2"/>
                      <w:sz w:val="21"/>
                      <w:szCs w:val="24"/>
                      <w:lang w:val="en-US" w:eastAsia="zh-CN" w:bidi="ar-SA"/>
                    </w:rPr>
                    <w:t>有极强的气味，无法忍受，立即离开</w:t>
                  </w:r>
                </w:p>
              </w:tc>
            </w:tr>
          </w:tbl>
          <w:p w14:paraId="20AA7C3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恶臭污染的特点</w:t>
            </w:r>
          </w:p>
          <w:p w14:paraId="38D473E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①恶臭是感觉性公害，判断恶臭对人们的影响，主要是以给人们带来不舒服感觉的影响为中心进行的，是一种心理上的反应，故主观因素很强。然而，人们的嗅觉鉴别能力要比其他感觉能力强，因此受影响者的主观感觉是评价恶臭污染程度的主要依据。</w:t>
            </w:r>
          </w:p>
          <w:p w14:paraId="7A3CFFB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②恶臭通常是由</w:t>
            </w:r>
            <w:r>
              <w:rPr>
                <w:rFonts w:hint="default" w:ascii="Times New Roman" w:hAnsi="Times New Roman" w:eastAsia="宋体" w:cs="Times New Roman"/>
                <w:color w:val="auto"/>
                <w:sz w:val="24"/>
                <w:szCs w:val="24"/>
                <w:lang w:eastAsia="zh-CN"/>
              </w:rPr>
              <w:t>多种成分</w:t>
            </w:r>
            <w:r>
              <w:rPr>
                <w:rFonts w:hint="default" w:ascii="Times New Roman" w:hAnsi="Times New Roman" w:eastAsia="宋体" w:cs="Times New Roman"/>
                <w:color w:val="auto"/>
                <w:sz w:val="24"/>
                <w:szCs w:val="24"/>
              </w:rPr>
              <w:t>气体形成的，</w:t>
            </w:r>
            <w:r>
              <w:rPr>
                <w:rFonts w:hint="default" w:ascii="Times New Roman" w:hAnsi="Times New Roman" w:eastAsia="宋体" w:cs="Times New Roman"/>
                <w:color w:val="auto"/>
                <w:sz w:val="24"/>
                <w:szCs w:val="24"/>
                <w:lang w:eastAsia="zh-CN"/>
              </w:rPr>
              <w:t>各种成分</w:t>
            </w:r>
            <w:r>
              <w:rPr>
                <w:rFonts w:hint="default" w:ascii="Times New Roman" w:hAnsi="Times New Roman" w:eastAsia="宋体" w:cs="Times New Roman"/>
                <w:color w:val="auto"/>
                <w:sz w:val="24"/>
                <w:szCs w:val="24"/>
              </w:rPr>
              <w:t>气体的阈值或最小检知浓度不相同，在浓度较低时，一般不易察觉，但是如果恶臭一旦达到阈值以后，大多会立即发生强烈的恶臭反应。</w:t>
            </w:r>
          </w:p>
          <w:p w14:paraId="0DF7053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③人们对恶臭的厌恶感与恶臭气体</w:t>
            </w:r>
            <w:r>
              <w:rPr>
                <w:rFonts w:hint="default" w:ascii="Times New Roman" w:hAnsi="Times New Roman" w:eastAsia="宋体" w:cs="Times New Roman"/>
                <w:color w:val="auto"/>
                <w:sz w:val="24"/>
                <w:szCs w:val="24"/>
                <w:lang w:eastAsia="zh-CN"/>
              </w:rPr>
              <w:t>成分的</w:t>
            </w:r>
            <w:r>
              <w:rPr>
                <w:rFonts w:hint="default" w:ascii="Times New Roman" w:hAnsi="Times New Roman" w:eastAsia="宋体" w:cs="Times New Roman"/>
                <w:color w:val="auto"/>
                <w:sz w:val="24"/>
                <w:szCs w:val="24"/>
              </w:rPr>
              <w:t>性质、强度及浓度有关，并且</w:t>
            </w:r>
            <w:r>
              <w:rPr>
                <w:rFonts w:hint="eastAsia" w:ascii="Times New Roman" w:hAnsi="Times New Roman" w:eastAsia="宋体" w:cs="Times New Roman"/>
                <w:color w:val="auto"/>
                <w:sz w:val="24"/>
                <w:szCs w:val="24"/>
                <w:lang w:eastAsia="zh-CN"/>
              </w:rPr>
              <w:t>包含</w:t>
            </w:r>
            <w:r>
              <w:rPr>
                <w:rFonts w:hint="default" w:ascii="Times New Roman" w:hAnsi="Times New Roman" w:eastAsia="宋体" w:cs="Times New Roman"/>
                <w:color w:val="auto"/>
                <w:sz w:val="24"/>
                <w:szCs w:val="24"/>
              </w:rPr>
              <w:t>周边环境、气象条件和个人条件（身体条件和精神状况等）等因素在内。恶臭</w:t>
            </w:r>
            <w:r>
              <w:rPr>
                <w:rFonts w:hint="default" w:ascii="Times New Roman" w:hAnsi="Times New Roman" w:eastAsia="宋体" w:cs="Times New Roman"/>
                <w:color w:val="auto"/>
                <w:sz w:val="24"/>
                <w:szCs w:val="24"/>
                <w:lang w:eastAsia="zh-CN"/>
              </w:rPr>
              <w:t>成分</w:t>
            </w:r>
            <w:r>
              <w:rPr>
                <w:rFonts w:hint="default" w:ascii="Times New Roman" w:hAnsi="Times New Roman" w:eastAsia="宋体" w:cs="Times New Roman"/>
                <w:color w:val="auto"/>
                <w:sz w:val="24"/>
                <w:szCs w:val="24"/>
              </w:rPr>
              <w:t>大部分被去除后，在人的嗅觉中并不会感到相应程度的降低或减轻。因此，对于防治恶臭污染而言，受影响者并不是要求减轻或降低恶臭气味，而是要求必须没有恶臭气味。</w:t>
            </w:r>
          </w:p>
          <w:p w14:paraId="61BA572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④受到恶臭污染影响的人一般立即离开，到清洁空气环境内，积极换气就可以解除受到的污染影响。</w:t>
            </w:r>
          </w:p>
          <w:p w14:paraId="0E74773D">
            <w:pPr>
              <w:keepNext w:val="0"/>
              <w:keepLines w:val="0"/>
              <w:suppressLineNumbers w:val="0"/>
              <w:bidi w:val="0"/>
              <w:spacing w:before="0" w:beforeAutospacing="0" w:after="0" w:afterAutospacing="0"/>
              <w:ind w:left="0" w:right="0"/>
              <w:rPr>
                <w:rFonts w:hint="eastAsia" w:eastAsia="宋体"/>
                <w:color w:val="auto"/>
                <w:highlight w:val="none"/>
                <w:lang w:val="en-US" w:eastAsia="zh-CN"/>
              </w:rPr>
            </w:pPr>
            <w:r>
              <w:rPr>
                <w:rFonts w:hint="eastAsia"/>
                <w:color w:val="auto"/>
                <w:highlight w:val="none"/>
                <w:lang w:val="en-US" w:eastAsia="zh-CN"/>
              </w:rPr>
              <w:t>3）</w:t>
            </w:r>
            <w:r>
              <w:rPr>
                <w:rFonts w:hint="eastAsia"/>
                <w:color w:val="auto"/>
                <w:highlight w:val="none"/>
              </w:rPr>
              <w:t>危废</w:t>
            </w:r>
            <w:r>
              <w:rPr>
                <w:rFonts w:hint="eastAsia"/>
                <w:color w:val="auto"/>
                <w:highlight w:val="none"/>
                <w:lang w:val="en-US" w:eastAsia="zh-CN"/>
              </w:rPr>
              <w:t>暂存间贮存</w:t>
            </w:r>
            <w:r>
              <w:rPr>
                <w:rFonts w:hint="eastAsia"/>
                <w:color w:val="auto"/>
                <w:highlight w:val="none"/>
              </w:rPr>
              <w:t>废气分析</w:t>
            </w:r>
          </w:p>
          <w:p w14:paraId="2FD183F5">
            <w:pPr>
              <w:keepNext w:val="0"/>
              <w:keepLines w:val="0"/>
              <w:suppressLineNumbers w:val="0"/>
              <w:bidi w:val="0"/>
              <w:spacing w:before="0" w:beforeAutospacing="0" w:after="0" w:afterAutospacing="0"/>
              <w:ind w:left="0" w:right="0"/>
              <w:rPr>
                <w:rFonts w:hint="eastAsia"/>
                <w:color w:val="auto"/>
                <w:highlight w:val="none"/>
              </w:rPr>
            </w:pPr>
            <w:r>
              <w:rPr>
                <w:rFonts w:hint="eastAsia"/>
                <w:color w:val="auto"/>
                <w:highlight w:val="none"/>
              </w:rPr>
              <w:t>项目</w:t>
            </w:r>
            <w:r>
              <w:rPr>
                <w:rFonts w:hint="eastAsia"/>
                <w:color w:val="auto"/>
                <w:highlight w:val="none"/>
                <w:lang w:val="en-US" w:eastAsia="zh-CN"/>
              </w:rPr>
              <w:t>依托现有</w:t>
            </w:r>
            <w:r>
              <w:rPr>
                <w:rFonts w:hint="eastAsia"/>
                <w:color w:val="auto"/>
                <w:highlight w:val="none"/>
              </w:rPr>
              <w:t>危废</w:t>
            </w:r>
            <w:r>
              <w:rPr>
                <w:rFonts w:hint="eastAsia"/>
                <w:color w:val="auto"/>
                <w:highlight w:val="none"/>
                <w:lang w:val="en-US" w:eastAsia="zh-CN"/>
              </w:rPr>
              <w:t>暂存间</w:t>
            </w:r>
            <w:r>
              <w:rPr>
                <w:rFonts w:hint="eastAsia"/>
                <w:color w:val="auto"/>
                <w:highlight w:val="none"/>
              </w:rPr>
              <w:t>，用于暂存项目运营过程产生的危险废物，主要包括废活性炭、废机油、废油桶等。</w:t>
            </w:r>
          </w:p>
          <w:p w14:paraId="04D21DD6">
            <w:pPr>
              <w:keepNext w:val="0"/>
              <w:keepLines w:val="0"/>
              <w:suppressLineNumbers w:val="0"/>
              <w:bidi w:val="0"/>
              <w:spacing w:before="0" w:beforeAutospacing="0" w:after="0" w:afterAutospacing="0"/>
              <w:ind w:left="0" w:right="0"/>
              <w:rPr>
                <w:rFonts w:hint="default" w:eastAsia="宋体"/>
                <w:color w:val="auto"/>
                <w:highlight w:val="none"/>
                <w:lang w:val="en-US" w:eastAsia="zh-CN"/>
              </w:rPr>
            </w:pPr>
            <w:r>
              <w:rPr>
                <w:rFonts w:hint="eastAsia"/>
                <w:color w:val="auto"/>
                <w:highlight w:val="none"/>
                <w:lang w:val="en-US" w:eastAsia="zh-CN"/>
              </w:rPr>
              <w:t>废活性炭经密封袋密封暂存，其他</w:t>
            </w:r>
            <w:r>
              <w:rPr>
                <w:rFonts w:hint="eastAsia"/>
                <w:color w:val="auto"/>
                <w:highlight w:val="none"/>
              </w:rPr>
              <w:t>危险废物不含有挥发性有机物，在规范分区、分类、密封暂存条件下，有机废气产生</w:t>
            </w:r>
            <w:r>
              <w:rPr>
                <w:rFonts w:hint="eastAsia"/>
                <w:color w:val="auto"/>
                <w:highlight w:val="none"/>
                <w:lang w:val="en-US" w:eastAsia="zh-CN"/>
              </w:rPr>
              <w:t>量较小，不定量分析</w:t>
            </w:r>
            <w:r>
              <w:rPr>
                <w:rFonts w:hint="eastAsia"/>
                <w:color w:val="auto"/>
                <w:highlight w:val="none"/>
              </w:rPr>
              <w:t>。</w:t>
            </w:r>
          </w:p>
          <w:p w14:paraId="0D662FB8">
            <w:pPr>
              <w:keepNext w:val="0"/>
              <w:keepLines w:val="0"/>
              <w:suppressLineNumbers w:val="0"/>
              <w:bidi w:val="0"/>
              <w:spacing w:before="0" w:beforeAutospacing="0" w:after="0" w:afterAutospacing="0"/>
              <w:ind w:left="0" w:right="0"/>
              <w:rPr>
                <w:rFonts w:hint="eastAsia" w:eastAsia="宋体"/>
                <w:color w:val="auto"/>
                <w:highlight w:val="none"/>
                <w:lang w:val="en-US" w:eastAsia="zh-CN"/>
              </w:rPr>
            </w:pPr>
            <w:r>
              <w:rPr>
                <w:rFonts w:hint="eastAsia"/>
                <w:color w:val="auto"/>
                <w:highlight w:val="none"/>
              </w:rPr>
              <w:t>危废</w:t>
            </w:r>
            <w:r>
              <w:rPr>
                <w:rFonts w:hint="eastAsia"/>
                <w:color w:val="auto"/>
                <w:highlight w:val="none"/>
                <w:lang w:val="en-US" w:eastAsia="zh-CN"/>
              </w:rPr>
              <w:t>暂存间已</w:t>
            </w:r>
            <w:r>
              <w:rPr>
                <w:rFonts w:hint="eastAsia"/>
                <w:color w:val="auto"/>
                <w:highlight w:val="none"/>
              </w:rPr>
              <w:t>按照相关规范要求进行防渗、密闭、防雨、防风、防流失设计，危险废物严格执行分类收集、密封存放、及时委托有资质单位处置的管理要求，不会对周边大气环境造成明显影响。</w:t>
            </w:r>
          </w:p>
          <w:p w14:paraId="71FE17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2</w:t>
            </w:r>
            <w:r>
              <w:rPr>
                <w:rFonts w:hint="default" w:ascii="Times New Roman" w:hAnsi="Times New Roman" w:cs="Times New Roman"/>
                <w:color w:val="auto"/>
                <w:sz w:val="24"/>
                <w:highlight w:val="none"/>
              </w:rPr>
              <w:t>）废气治理设施可行性分析</w:t>
            </w:r>
          </w:p>
          <w:p w14:paraId="031089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根据《排污许可证申请与核发技术规范 橡胶和塑料制品工业》（HJ1122</w:t>
            </w:r>
            <w:r>
              <w:rPr>
                <w:rFonts w:hint="eastAsia"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lang w:val="en-US" w:eastAsia="zh-CN"/>
              </w:rPr>
              <w:t>2020）中附录A表A.2塑料制品工业排污单位废气污染防治可行技术参考表：对塑料零件及其他塑料制品制造的非甲烷总烃处理的推荐技术：喷淋；吸附；吸附浓缩+热力燃烧/催化燃烧；本项目采用活性炭吸附处理非甲烷总烃为技术规范中列的可行技术，治理措施可行。</w:t>
            </w:r>
          </w:p>
          <w:p w14:paraId="5517D690">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 w:val="0"/>
                <w:bCs/>
                <w:color w:val="auto"/>
                <w:kern w:val="1"/>
                <w:sz w:val="24"/>
                <w:lang w:val="en-US" w:eastAsia="zh-CN"/>
              </w:rPr>
            </w:pPr>
            <w:r>
              <w:rPr>
                <w:rFonts w:hint="eastAsia" w:ascii="Times New Roman" w:hAnsi="Times New Roman" w:eastAsia="宋体" w:cs="Times New Roman"/>
                <w:b w:val="0"/>
                <w:bCs/>
                <w:color w:val="auto"/>
                <w:kern w:val="1"/>
                <w:sz w:val="24"/>
                <w:lang w:val="en-US" w:eastAsia="zh-CN"/>
              </w:rPr>
              <w:t>本工程选用的活性炭主要技术性能如下：</w:t>
            </w:r>
          </w:p>
          <w:p w14:paraId="16A02593">
            <w:pPr>
              <w:pStyle w:val="6"/>
              <w:keepNext w:val="0"/>
              <w:keepLines w:val="0"/>
              <w:suppressLineNumbers w:val="0"/>
              <w:bidi w:val="0"/>
              <w:spacing w:before="0" w:beforeAutospacing="0" w:after="0" w:afterAutospacing="0"/>
              <w:ind w:right="0"/>
              <w:jc w:val="center"/>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表4-</w:t>
            </w:r>
            <w:r>
              <w:rPr>
                <w:rFonts w:hint="eastAsia" w:cs="Times New Roman"/>
                <w:b/>
                <w:bCs/>
                <w:color w:val="auto"/>
                <w:highlight w:val="none"/>
                <w:lang w:val="en-US" w:eastAsia="zh-CN"/>
              </w:rPr>
              <w:t>4</w:t>
            </w:r>
            <w:r>
              <w:rPr>
                <w:rFonts w:hint="eastAsia" w:ascii="Times New Roman" w:hAnsi="Times New Roman" w:eastAsia="宋体" w:cs="Times New Roman"/>
                <w:b/>
                <w:bCs/>
                <w:color w:val="auto"/>
                <w:highlight w:val="none"/>
              </w:rPr>
              <w:t xml:space="preserve">   活性炭主要性能表</w:t>
            </w:r>
          </w:p>
          <w:tbl>
            <w:tblPr>
              <w:tblStyle w:val="3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40"/>
              <w:gridCol w:w="2885"/>
              <w:gridCol w:w="4323"/>
            </w:tblGrid>
            <w:tr w14:paraId="49250B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34" w:type="pct"/>
                  <w:noWrap w:val="0"/>
                  <w:vAlign w:val="center"/>
                </w:tcPr>
                <w:p w14:paraId="44F4134B">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序号</w:t>
                  </w:r>
                </w:p>
              </w:tc>
              <w:tc>
                <w:tcPr>
                  <w:tcW w:w="1707" w:type="pct"/>
                  <w:noWrap w:val="0"/>
                  <w:vAlign w:val="center"/>
                </w:tcPr>
                <w:p w14:paraId="12A7B8BB">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项目</w:t>
                  </w:r>
                </w:p>
              </w:tc>
              <w:tc>
                <w:tcPr>
                  <w:tcW w:w="2558" w:type="pct"/>
                  <w:noWrap w:val="0"/>
                  <w:vAlign w:val="center"/>
                </w:tcPr>
                <w:p w14:paraId="49D8FD5F">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参数</w:t>
                  </w:r>
                </w:p>
              </w:tc>
            </w:tr>
            <w:tr w14:paraId="1EE677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34" w:type="pct"/>
                  <w:noWrap w:val="0"/>
                  <w:vAlign w:val="center"/>
                </w:tcPr>
                <w:p w14:paraId="0E0E2F14">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1707" w:type="pct"/>
                  <w:noWrap w:val="0"/>
                  <w:vAlign w:val="center"/>
                </w:tcPr>
                <w:p w14:paraId="0582F32C">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处理废气量</w:t>
                  </w:r>
                </w:p>
              </w:tc>
              <w:tc>
                <w:tcPr>
                  <w:tcW w:w="2558" w:type="pct"/>
                  <w:noWrap w:val="0"/>
                  <w:vAlign w:val="center"/>
                </w:tcPr>
                <w:p w14:paraId="7317E000">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192</w:t>
                  </w:r>
                  <w:r>
                    <w:rPr>
                      <w:rFonts w:hint="eastAsia" w:ascii="Times New Roman" w:hAnsi="Times New Roman" w:eastAsia="宋体" w:cs="Times New Roman"/>
                      <w:color w:val="auto"/>
                      <w:sz w:val="21"/>
                      <w:szCs w:val="21"/>
                      <w:lang w:val="en-US" w:eastAsia="zh-CN"/>
                    </w:rPr>
                    <w:t>00m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/h</w:t>
                  </w:r>
                </w:p>
              </w:tc>
            </w:tr>
            <w:tr w14:paraId="6E168A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34" w:type="pct"/>
                  <w:noWrap w:val="0"/>
                  <w:vAlign w:val="center"/>
                </w:tcPr>
                <w:p w14:paraId="78A05070">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1707" w:type="pct"/>
                  <w:noWrap w:val="0"/>
                  <w:vAlign w:val="center"/>
                </w:tcPr>
                <w:p w14:paraId="2B1E9E87">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活性炭类型</w:t>
                  </w:r>
                </w:p>
              </w:tc>
              <w:tc>
                <w:tcPr>
                  <w:tcW w:w="2558" w:type="pct"/>
                  <w:noWrap w:val="0"/>
                  <w:vAlign w:val="center"/>
                </w:tcPr>
                <w:p w14:paraId="59A2C664">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蜂窝状</w:t>
                  </w:r>
                </w:p>
              </w:tc>
            </w:tr>
            <w:tr w14:paraId="636B67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34" w:type="pct"/>
                  <w:noWrap w:val="0"/>
                  <w:vAlign w:val="center"/>
                </w:tcPr>
                <w:p w14:paraId="1A844428">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1707" w:type="pct"/>
                  <w:noWrap w:val="0"/>
                  <w:vAlign w:val="center"/>
                </w:tcPr>
                <w:p w14:paraId="049ED3D5">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碘值要求</w:t>
                  </w:r>
                </w:p>
              </w:tc>
              <w:tc>
                <w:tcPr>
                  <w:tcW w:w="2558" w:type="pct"/>
                  <w:noWrap w:val="0"/>
                  <w:vAlign w:val="center"/>
                </w:tcPr>
                <w:p w14:paraId="5A5D2309">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不低于800毫克/克</w:t>
                  </w:r>
                </w:p>
              </w:tc>
            </w:tr>
            <w:tr w14:paraId="3750E2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34" w:type="pct"/>
                  <w:noWrap w:val="0"/>
                  <w:vAlign w:val="center"/>
                </w:tcPr>
                <w:p w14:paraId="3130DDAB">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p>
              </w:tc>
              <w:tc>
                <w:tcPr>
                  <w:tcW w:w="1707" w:type="pct"/>
                  <w:noWrap w:val="0"/>
                  <w:vAlign w:val="center"/>
                </w:tcPr>
                <w:p w14:paraId="09EB2740">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一次装填量</w:t>
                  </w:r>
                </w:p>
              </w:tc>
              <w:tc>
                <w:tcPr>
                  <w:tcW w:w="2558" w:type="pct"/>
                  <w:noWrap w:val="0"/>
                  <w:vAlign w:val="center"/>
                </w:tcPr>
                <w:p w14:paraId="1DAB09DF">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120</w:t>
                  </w:r>
                  <w:r>
                    <w:rPr>
                      <w:rFonts w:hint="eastAsia" w:ascii="Times New Roman" w:hAnsi="Times New Roman" w:eastAsia="宋体" w:cs="Times New Roman"/>
                      <w:color w:val="auto"/>
                      <w:sz w:val="21"/>
                      <w:szCs w:val="21"/>
                      <w:lang w:val="en-US" w:eastAsia="zh-CN"/>
                    </w:rPr>
                    <w:t>kg</w:t>
                  </w:r>
                </w:p>
              </w:tc>
            </w:tr>
            <w:tr w14:paraId="24CC8A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34" w:type="pct"/>
                  <w:noWrap w:val="0"/>
                  <w:vAlign w:val="center"/>
                </w:tcPr>
                <w:p w14:paraId="32B4FFCF">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1707" w:type="pct"/>
                  <w:noWrap w:val="0"/>
                  <w:vAlign w:val="center"/>
                </w:tcPr>
                <w:p w14:paraId="35C6FC1F">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更换周期</w:t>
                  </w:r>
                </w:p>
              </w:tc>
              <w:tc>
                <w:tcPr>
                  <w:tcW w:w="2558" w:type="pct"/>
                  <w:noWrap w:val="0"/>
                  <w:vAlign w:val="center"/>
                </w:tcPr>
                <w:p w14:paraId="4E756220">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44天</w:t>
                  </w:r>
                </w:p>
              </w:tc>
            </w:tr>
          </w:tbl>
          <w:p w14:paraId="68A3BF68">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 w:val="0"/>
                <w:bCs/>
                <w:color w:val="auto"/>
                <w:kern w:val="1"/>
                <w:sz w:val="24"/>
                <w:lang w:val="en-US" w:eastAsia="zh-CN"/>
              </w:rPr>
            </w:pPr>
            <w:r>
              <w:rPr>
                <w:rFonts w:hint="eastAsia" w:ascii="Times New Roman" w:hAnsi="Times New Roman" w:eastAsia="宋体" w:cs="Times New Roman"/>
                <w:b w:val="0"/>
                <w:bCs/>
                <w:color w:val="auto"/>
                <w:kern w:val="1"/>
                <w:sz w:val="24"/>
                <w:lang w:val="en-US" w:eastAsia="zh-CN"/>
              </w:rPr>
              <w:t>建设单位生产过程中采用活性炭，符合《吸附法工业有机废气治理工程技术规范》（HJ2026-2013）的相关要求，建设项目运营过程中，必须切实使用废气处理装置。</w:t>
            </w:r>
          </w:p>
          <w:p w14:paraId="07ED6F9B">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 w:val="0"/>
                <w:bCs/>
                <w:color w:val="auto"/>
                <w:kern w:val="1"/>
                <w:sz w:val="24"/>
              </w:rPr>
            </w:pPr>
            <w:r>
              <w:rPr>
                <w:rFonts w:hint="eastAsia" w:ascii="Times New Roman" w:hAnsi="Times New Roman" w:eastAsia="宋体" w:cs="Times New Roman"/>
                <w:b w:val="0"/>
                <w:bCs/>
                <w:color w:val="auto"/>
                <w:kern w:val="1"/>
                <w:sz w:val="24"/>
                <w:lang w:val="en-US" w:eastAsia="zh-CN"/>
              </w:rPr>
              <w:t>（3）</w:t>
            </w:r>
            <w:r>
              <w:rPr>
                <w:rFonts w:hint="eastAsia" w:ascii="Times New Roman" w:hAnsi="Times New Roman" w:eastAsia="宋体" w:cs="Times New Roman"/>
                <w:b w:val="0"/>
                <w:bCs/>
                <w:color w:val="auto"/>
                <w:kern w:val="1"/>
                <w:sz w:val="24"/>
              </w:rPr>
              <w:t>废气收集及处理原理</w:t>
            </w:r>
          </w:p>
          <w:p w14:paraId="5298082E">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按照《环境工程设计手册》中的有关公式</w:t>
            </w:r>
            <w:r>
              <w:rPr>
                <w:rFonts w:hint="eastAsia" w:ascii="Times New Roman" w:hAnsi="Times New Roman" w:eastAsia="宋体" w:cs="Times New Roman"/>
                <w:color w:val="auto"/>
                <w:sz w:val="24"/>
                <w:lang w:val="en-US" w:eastAsia="zh-CN"/>
              </w:rPr>
              <w:t>及</w:t>
            </w:r>
            <w:r>
              <w:rPr>
                <w:rFonts w:hint="eastAsia" w:ascii="Times New Roman" w:hAnsi="Times New Roman" w:eastAsia="宋体" w:cs="Times New Roman"/>
                <w:color w:val="auto"/>
                <w:sz w:val="24"/>
              </w:rPr>
              <w:t>结合本项目的设备规模，废气收集系统的控制风速应在0.3m/s以上，以保证收集效果。按照以下经验公式计算得出各设备所需的风</w:t>
            </w:r>
            <w:r>
              <w:rPr>
                <w:rFonts w:hint="default" w:ascii="Times New Roman" w:hAnsi="Times New Roman" w:eastAsia="宋体" w:cs="Times New Roman"/>
                <w:color w:val="auto"/>
                <w:sz w:val="24"/>
              </w:rPr>
              <w:t>量</w:t>
            </w:r>
            <w:r>
              <w:rPr>
                <w:rFonts w:hint="eastAsia" w:ascii="Times New Roman" w:hAnsi="Times New Roman" w:eastAsia="宋体" w:cs="Times New Roman"/>
                <w:color w:val="auto"/>
                <w:sz w:val="24"/>
                <w:lang w:val="en-US" w:eastAsia="zh-CN"/>
              </w:rPr>
              <w:t>Q</w:t>
            </w:r>
            <w:r>
              <w:rPr>
                <w:rFonts w:hint="default" w:ascii="Times New Roman" w:hAnsi="Times New Roman" w:eastAsia="宋体" w:cs="Times New Roman"/>
                <w:color w:val="auto"/>
                <w:sz w:val="24"/>
              </w:rPr>
              <w:t>，见</w:t>
            </w:r>
            <w:r>
              <w:rPr>
                <w:rFonts w:hint="default" w:ascii="Times New Roman" w:hAnsi="Times New Roman" w:eastAsia="宋体" w:cs="Times New Roman"/>
                <w:color w:val="auto"/>
                <w:sz w:val="24"/>
              </w:rPr>
              <w:fldChar w:fldCharType="begin"/>
            </w:r>
            <w:r>
              <w:rPr>
                <w:rFonts w:hint="default" w:ascii="Times New Roman" w:hAnsi="Times New Roman" w:eastAsia="宋体" w:cs="Times New Roman"/>
                <w:color w:val="auto"/>
                <w:sz w:val="24"/>
              </w:rPr>
              <w:instrText xml:space="preserve"> REF _Ref48912193 \h  \* MERGEFORMAT </w:instrText>
            </w:r>
            <w:r>
              <w:rPr>
                <w:rFonts w:hint="default" w:ascii="Times New Roman" w:hAnsi="Times New Roman" w:eastAsia="宋体" w:cs="Times New Roman"/>
                <w:color w:val="auto"/>
                <w:sz w:val="24"/>
              </w:rPr>
              <w:fldChar w:fldCharType="separate"/>
            </w:r>
            <w:r>
              <w:rPr>
                <w:rFonts w:hint="default" w:ascii="Times New Roman" w:hAnsi="Times New Roman" w:eastAsia="宋体" w:cs="Times New Roman"/>
                <w:color w:val="auto"/>
                <w:sz w:val="24"/>
              </w:rPr>
              <w:t>表</w:t>
            </w:r>
            <w:r>
              <w:rPr>
                <w:rFonts w:hint="default" w:ascii="Times New Roman" w:hAnsi="Times New Roman" w:eastAsia="宋体" w:cs="Times New Roman"/>
                <w:color w:val="auto"/>
                <w:sz w:val="24"/>
              </w:rPr>
              <w:fldChar w:fldCharType="end"/>
            </w:r>
            <w:r>
              <w:rPr>
                <w:rFonts w:hint="eastAsia" w:ascii="Times New Roman" w:hAnsi="Times New Roman" w:eastAsia="宋体" w:cs="Times New Roman"/>
                <w:color w:val="auto"/>
                <w:sz w:val="24"/>
              </w:rPr>
              <w:t>4-</w:t>
            </w:r>
            <w:r>
              <w:rPr>
                <w:rFonts w:hint="eastAsia" w:cs="Times New Roman"/>
                <w:color w:val="auto"/>
                <w:sz w:val="24"/>
                <w:lang w:val="en-US" w:eastAsia="zh-CN"/>
              </w:rPr>
              <w:t>5</w:t>
            </w:r>
            <w:r>
              <w:rPr>
                <w:rFonts w:hint="default" w:ascii="Times New Roman" w:hAnsi="Times New Roman" w:eastAsia="宋体" w:cs="Times New Roman"/>
                <w:color w:val="auto"/>
                <w:sz w:val="24"/>
              </w:rPr>
              <w:t>。</w:t>
            </w:r>
          </w:p>
          <w:p w14:paraId="027F0557">
            <w:pPr>
              <w:keepNext w:val="0"/>
              <w:keepLines w:val="0"/>
              <w:suppressLineNumbers w:val="0"/>
              <w:snapToGrid w:val="0"/>
              <w:spacing w:before="0" w:beforeAutospacing="0" w:after="0" w:afterAutospacing="0" w:line="360" w:lineRule="auto"/>
              <w:ind w:left="0" w:leftChars="0" w:right="0" w:firstLine="0" w:firstLineChars="0"/>
              <w:jc w:val="center"/>
              <w:rPr>
                <w:rFonts w:hint="eastAsia" w:ascii="Times New Roman" w:hAnsi="Times New Roman" w:eastAsia="宋体" w:cs="Times New Roman"/>
                <w:color w:val="auto"/>
                <w:sz w:val="21"/>
                <w:lang w:eastAsia="zh-CN"/>
              </w:rPr>
            </w:pPr>
            <w:r>
              <w:rPr>
                <w:rFonts w:hint="eastAsia" w:ascii="Times New Roman" w:hAnsi="Times New Roman" w:eastAsia="宋体" w:cs="Times New Roman"/>
                <w:color w:val="auto"/>
                <w:position w:val="-10"/>
                <w:sz w:val="21"/>
                <w:lang w:eastAsia="zh-CN"/>
              </w:rPr>
              <w:object>
                <v:shape id="_x0000_i1030" o:spt="75" type="#_x0000_t75" style="height:16pt;width:93pt;" o:ole="t" filled="f" o:preferrelative="t" stroked="f" coordsize="21600,21600">
                  <v:path/>
                  <v:fill on="f" focussize="0,0"/>
                  <v:stroke on="f"/>
                  <v:imagedata r:id="rId25" o:title=""/>
                  <o:lock v:ext="edit" aspectratio="t"/>
                  <w10:wrap type="none"/>
                  <w10:anchorlock/>
                </v:shape>
                <o:OLEObject Type="Embed" ProgID="Equation.KSEE3" ShapeID="_x0000_i1030" DrawAspect="Content" ObjectID="_1468075730" r:id="rId24">
                  <o:LockedField>false</o:LockedField>
                </o:OLEObject>
              </w:object>
            </w:r>
          </w:p>
          <w:p w14:paraId="061D345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其中：</w:t>
            </w:r>
            <w:r>
              <w:rPr>
                <w:rFonts w:hint="eastAsia" w:ascii="Times New Roman" w:hAnsi="Times New Roman" w:eastAsia="宋体" w:cs="Times New Roman"/>
                <w:color w:val="auto"/>
                <w:sz w:val="24"/>
                <w:lang w:val="en-US" w:eastAsia="zh-CN"/>
              </w:rPr>
              <w:t>Q</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抽风量，m</w:t>
            </w:r>
            <w:r>
              <w:rPr>
                <w:rFonts w:hint="eastAsia" w:ascii="Times New Roman" w:hAnsi="Times New Roman" w:eastAsia="宋体" w:cs="Times New Roman"/>
                <w:color w:val="auto"/>
                <w:sz w:val="24"/>
                <w:vertAlign w:val="superscript"/>
                <w:lang w:val="en-US" w:eastAsia="zh-CN"/>
              </w:rPr>
              <w:t>3</w:t>
            </w:r>
            <w:r>
              <w:rPr>
                <w:rFonts w:hint="eastAsia" w:ascii="Times New Roman" w:hAnsi="Times New Roman" w:eastAsia="宋体" w:cs="Times New Roman"/>
                <w:color w:val="auto"/>
                <w:sz w:val="24"/>
                <w:lang w:val="en-US" w:eastAsia="zh-CN"/>
              </w:rPr>
              <w:t>/h</w:t>
            </w:r>
            <w:r>
              <w:rPr>
                <w:rFonts w:hint="default" w:ascii="Times New Roman" w:hAnsi="Times New Roman" w:eastAsia="宋体" w:cs="Times New Roman"/>
                <w:color w:val="auto"/>
                <w:sz w:val="24"/>
              </w:rPr>
              <w:t>；</w:t>
            </w:r>
          </w:p>
          <w:p w14:paraId="1EC5636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P</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工作台的周长，m</w:t>
            </w:r>
            <w:r>
              <w:rPr>
                <w:rFonts w:hint="default" w:ascii="Times New Roman" w:hAnsi="Times New Roman" w:eastAsia="宋体" w:cs="Times New Roman"/>
                <w:color w:val="auto"/>
                <w:sz w:val="24"/>
              </w:rPr>
              <w:t>；</w:t>
            </w:r>
          </w:p>
          <w:p w14:paraId="7D81685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H</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工作台距离罩口的高度，m；</w:t>
            </w:r>
          </w:p>
          <w:p w14:paraId="772294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jc w:val="both"/>
              <w:textAlignment w:val="auto"/>
              <w:rPr>
                <w:rFonts w:hint="default" w:ascii="Times New Roman" w:hAnsi="Times New Roman" w:eastAsia="宋体" w:cs="Times New Roman"/>
                <w:b/>
                <w:bCs/>
                <w:color w:val="auto"/>
                <w:kern w:val="2"/>
                <w:sz w:val="21"/>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V</w:t>
            </w:r>
            <w:r>
              <w:rPr>
                <w:rFonts w:hint="default" w:ascii="Times New Roman" w:hAnsi="Times New Roman" w:eastAsia="宋体" w:cs="Times New Roman"/>
                <w:b w:val="0"/>
                <w:bCs w:val="0"/>
                <w:color w:val="auto"/>
                <w:kern w:val="2"/>
                <w:sz w:val="24"/>
                <w:szCs w:val="24"/>
                <w:lang w:val="en-US" w:eastAsia="zh-CN" w:bidi="ar-SA"/>
              </w:rPr>
              <w:t>—</w:t>
            </w:r>
            <w:r>
              <w:rPr>
                <w:rFonts w:hint="eastAsia" w:ascii="Times New Roman" w:hAnsi="Times New Roman" w:eastAsia="宋体" w:cs="Times New Roman"/>
                <w:b w:val="0"/>
                <w:bCs w:val="0"/>
                <w:color w:val="auto"/>
                <w:kern w:val="2"/>
                <w:sz w:val="24"/>
                <w:szCs w:val="24"/>
                <w:lang w:val="en-US" w:eastAsia="zh-CN" w:bidi="ar-SA"/>
              </w:rPr>
              <w:t>罩口四周敞开面积上的控制风速，m/s</w:t>
            </w:r>
            <w:r>
              <w:rPr>
                <w:rFonts w:hint="default" w:ascii="Times New Roman" w:hAnsi="Times New Roman" w:eastAsia="宋体" w:cs="Times New Roman"/>
                <w:b w:val="0"/>
                <w:bCs w:val="0"/>
                <w:color w:val="auto"/>
                <w:kern w:val="2"/>
                <w:sz w:val="24"/>
                <w:szCs w:val="24"/>
                <w:lang w:val="en-US" w:eastAsia="zh-CN" w:bidi="ar-SA"/>
              </w:rPr>
              <w:t>；</w:t>
            </w:r>
          </w:p>
          <w:p w14:paraId="2514AF71">
            <w:pPr>
              <w:pStyle w:val="6"/>
              <w:keepNext w:val="0"/>
              <w:keepLines w:val="0"/>
              <w:suppressLineNumbers w:val="0"/>
              <w:bidi w:val="0"/>
              <w:spacing w:before="0" w:beforeAutospacing="0" w:after="0" w:afterAutospacing="0"/>
              <w:ind w:right="0"/>
              <w:jc w:val="center"/>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表4-</w:t>
            </w:r>
            <w:r>
              <w:rPr>
                <w:rFonts w:hint="eastAsia" w:cs="Times New Roman"/>
                <w:b/>
                <w:bCs/>
                <w:color w:val="auto"/>
                <w:highlight w:val="none"/>
                <w:lang w:val="en-US" w:eastAsia="zh-CN"/>
              </w:rPr>
              <w:t>5</w:t>
            </w:r>
            <w:r>
              <w:rPr>
                <w:rFonts w:hint="eastAsia" w:ascii="Times New Roman" w:hAnsi="Times New Roman" w:eastAsia="宋体" w:cs="Times New Roman"/>
                <w:b/>
                <w:bCs/>
                <w:color w:val="auto"/>
                <w:highlight w:val="none"/>
              </w:rPr>
              <w:t xml:space="preserve">   集气罩设计风量计算表</w:t>
            </w:r>
          </w:p>
          <w:tbl>
            <w:tblPr>
              <w:tblStyle w:val="32"/>
              <w:tblW w:w="4973"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10"/>
              <w:gridCol w:w="1392"/>
              <w:gridCol w:w="1347"/>
              <w:gridCol w:w="1214"/>
              <w:gridCol w:w="1293"/>
              <w:gridCol w:w="1549"/>
            </w:tblGrid>
            <w:tr w14:paraId="30F13F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58" w:type="pct"/>
                  <w:noWrap w:val="0"/>
                  <w:vAlign w:val="center"/>
                </w:tcPr>
                <w:p w14:paraId="470105F2">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b/>
                      <w:bCs/>
                      <w:color w:val="auto"/>
                      <w:sz w:val="21"/>
                      <w:szCs w:val="21"/>
                    </w:rPr>
                  </w:pPr>
                  <w:r>
                    <w:rPr>
                      <w:rFonts w:hint="eastAsia" w:ascii="Times New Roman" w:hAnsi="Times New Roman" w:eastAsia="宋体" w:cs="Times New Roman"/>
                      <w:b/>
                      <w:bCs/>
                      <w:color w:val="auto"/>
                      <w:sz w:val="21"/>
                      <w:szCs w:val="21"/>
                    </w:rPr>
                    <w:t>设备名称</w:t>
                  </w:r>
                </w:p>
              </w:tc>
              <w:tc>
                <w:tcPr>
                  <w:tcW w:w="828" w:type="pct"/>
                  <w:noWrap w:val="0"/>
                  <w:vAlign w:val="center"/>
                </w:tcPr>
                <w:p w14:paraId="58895856">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b/>
                      <w:bCs/>
                      <w:color w:val="auto"/>
                      <w:sz w:val="21"/>
                      <w:szCs w:val="21"/>
                    </w:rPr>
                  </w:pPr>
                  <w:r>
                    <w:rPr>
                      <w:rFonts w:hint="eastAsia" w:ascii="Times New Roman" w:hAnsi="Times New Roman" w:eastAsia="宋体" w:cs="Times New Roman"/>
                      <w:b/>
                      <w:bCs/>
                      <w:color w:val="auto"/>
                      <w:sz w:val="21"/>
                      <w:szCs w:val="21"/>
                      <w:lang w:val="en-US" w:eastAsia="zh-CN"/>
                    </w:rPr>
                    <w:t>H</w:t>
                  </w:r>
                  <w:r>
                    <w:rPr>
                      <w:rFonts w:hint="default" w:ascii="Times New Roman" w:hAnsi="Times New Roman" w:eastAsia="宋体" w:cs="Times New Roman"/>
                      <w:b/>
                      <w:bCs/>
                      <w:color w:val="auto"/>
                      <w:sz w:val="21"/>
                      <w:szCs w:val="21"/>
                    </w:rPr>
                    <w:t>（</w:t>
                  </w:r>
                  <w:r>
                    <w:rPr>
                      <w:rFonts w:hint="eastAsia" w:ascii="Times New Roman" w:hAnsi="Times New Roman" w:eastAsia="宋体" w:cs="Times New Roman"/>
                      <w:b/>
                      <w:bCs/>
                      <w:color w:val="auto"/>
                      <w:sz w:val="21"/>
                      <w:szCs w:val="21"/>
                    </w:rPr>
                    <w:t>m</w:t>
                  </w:r>
                  <w:r>
                    <w:rPr>
                      <w:rFonts w:hint="default" w:ascii="Times New Roman" w:hAnsi="Times New Roman" w:eastAsia="宋体" w:cs="Times New Roman"/>
                      <w:b/>
                      <w:bCs/>
                      <w:color w:val="auto"/>
                      <w:sz w:val="21"/>
                      <w:szCs w:val="21"/>
                    </w:rPr>
                    <w:t>）</w:t>
                  </w:r>
                </w:p>
              </w:tc>
              <w:tc>
                <w:tcPr>
                  <w:tcW w:w="801" w:type="pct"/>
                  <w:noWrap w:val="0"/>
                  <w:vAlign w:val="center"/>
                </w:tcPr>
                <w:p w14:paraId="2EE22CDE">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b/>
                      <w:bCs/>
                      <w:color w:val="auto"/>
                      <w:sz w:val="21"/>
                      <w:szCs w:val="21"/>
                    </w:rPr>
                  </w:pPr>
                  <w:r>
                    <w:rPr>
                      <w:rFonts w:hint="eastAsia" w:ascii="Times New Roman" w:hAnsi="Times New Roman" w:eastAsia="宋体" w:cs="Times New Roman"/>
                      <w:b/>
                      <w:bCs/>
                      <w:color w:val="auto"/>
                      <w:sz w:val="21"/>
                      <w:szCs w:val="21"/>
                      <w:lang w:val="en-US" w:eastAsia="zh-CN"/>
                    </w:rPr>
                    <w:t>V</w:t>
                  </w:r>
                  <w:r>
                    <w:rPr>
                      <w:rFonts w:hint="eastAsia" w:ascii="Times New Roman" w:hAnsi="Times New Roman" w:eastAsia="宋体" w:cs="Times New Roman"/>
                      <w:b/>
                      <w:bCs/>
                      <w:color w:val="auto"/>
                      <w:sz w:val="21"/>
                      <w:szCs w:val="21"/>
                      <w:lang w:eastAsia="zh-CN"/>
                    </w:rPr>
                    <w:t>（</w:t>
                  </w:r>
                  <w:r>
                    <w:rPr>
                      <w:rFonts w:hint="eastAsia" w:ascii="Times New Roman" w:hAnsi="Times New Roman" w:eastAsia="宋体" w:cs="Times New Roman"/>
                      <w:b/>
                      <w:bCs/>
                      <w:color w:val="auto"/>
                      <w:sz w:val="21"/>
                      <w:szCs w:val="21"/>
                    </w:rPr>
                    <w:t>m/s</w:t>
                  </w:r>
                  <w:r>
                    <w:rPr>
                      <w:rFonts w:hint="eastAsia" w:ascii="Times New Roman" w:hAnsi="Times New Roman" w:eastAsia="宋体" w:cs="Times New Roman"/>
                      <w:b/>
                      <w:bCs/>
                      <w:color w:val="auto"/>
                      <w:sz w:val="21"/>
                      <w:szCs w:val="21"/>
                      <w:lang w:eastAsia="zh-CN"/>
                    </w:rPr>
                    <w:t>）</w:t>
                  </w:r>
                </w:p>
              </w:tc>
              <w:tc>
                <w:tcPr>
                  <w:tcW w:w="722" w:type="pct"/>
                  <w:noWrap w:val="0"/>
                  <w:vAlign w:val="center"/>
                </w:tcPr>
                <w:p w14:paraId="773630F6">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b/>
                      <w:bCs/>
                      <w:color w:val="auto"/>
                      <w:sz w:val="21"/>
                      <w:szCs w:val="21"/>
                    </w:rPr>
                  </w:pPr>
                  <w:r>
                    <w:rPr>
                      <w:rFonts w:hint="eastAsia" w:ascii="Times New Roman" w:hAnsi="Times New Roman" w:eastAsia="宋体" w:cs="Times New Roman"/>
                      <w:b/>
                      <w:bCs/>
                      <w:color w:val="auto"/>
                      <w:sz w:val="21"/>
                      <w:szCs w:val="21"/>
                      <w:lang w:val="en-US" w:eastAsia="zh-CN"/>
                    </w:rPr>
                    <w:t>P</w:t>
                  </w:r>
                  <w:r>
                    <w:rPr>
                      <w:rFonts w:hint="default" w:ascii="Times New Roman" w:hAnsi="Times New Roman" w:eastAsia="宋体" w:cs="Times New Roman"/>
                      <w:b/>
                      <w:bCs/>
                      <w:color w:val="auto"/>
                      <w:sz w:val="21"/>
                      <w:szCs w:val="21"/>
                    </w:rPr>
                    <w:t>（</w:t>
                  </w:r>
                  <w:r>
                    <w:rPr>
                      <w:rFonts w:hint="eastAsia" w:ascii="Times New Roman" w:hAnsi="Times New Roman" w:eastAsia="宋体" w:cs="Times New Roman"/>
                      <w:b/>
                      <w:bCs/>
                      <w:color w:val="auto"/>
                      <w:sz w:val="21"/>
                      <w:szCs w:val="21"/>
                    </w:rPr>
                    <w:t>m</w:t>
                  </w:r>
                  <w:r>
                    <w:rPr>
                      <w:rFonts w:hint="default" w:ascii="Times New Roman" w:hAnsi="Times New Roman" w:eastAsia="宋体" w:cs="Times New Roman"/>
                      <w:b/>
                      <w:bCs/>
                      <w:color w:val="auto"/>
                      <w:sz w:val="21"/>
                      <w:szCs w:val="21"/>
                    </w:rPr>
                    <w:t>）</w:t>
                  </w:r>
                </w:p>
              </w:tc>
              <w:tc>
                <w:tcPr>
                  <w:tcW w:w="766" w:type="pct"/>
                  <w:noWrap w:val="0"/>
                  <w:vAlign w:val="center"/>
                </w:tcPr>
                <w:p w14:paraId="1605442F">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数量</w:t>
                  </w:r>
                </w:p>
              </w:tc>
              <w:tc>
                <w:tcPr>
                  <w:tcW w:w="921" w:type="pct"/>
                  <w:noWrap w:val="0"/>
                  <w:vAlign w:val="center"/>
                </w:tcPr>
                <w:p w14:paraId="00871886">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Q（m</w:t>
                  </w:r>
                  <w:r>
                    <w:rPr>
                      <w:rFonts w:hint="eastAsia" w:ascii="Times New Roman" w:hAnsi="Times New Roman" w:eastAsia="宋体" w:cs="Times New Roman"/>
                      <w:b/>
                      <w:bCs/>
                      <w:color w:val="auto"/>
                      <w:sz w:val="21"/>
                      <w:szCs w:val="21"/>
                      <w:vertAlign w:val="superscript"/>
                      <w:lang w:val="en-US" w:eastAsia="zh-CN"/>
                    </w:rPr>
                    <w:t>3</w:t>
                  </w:r>
                  <w:r>
                    <w:rPr>
                      <w:rFonts w:hint="eastAsia" w:ascii="Times New Roman" w:hAnsi="Times New Roman" w:eastAsia="宋体" w:cs="Times New Roman"/>
                      <w:b/>
                      <w:bCs/>
                      <w:color w:val="auto"/>
                      <w:sz w:val="21"/>
                      <w:szCs w:val="21"/>
                      <w:lang w:val="en-US" w:eastAsia="zh-CN"/>
                    </w:rPr>
                    <w:t>/h</w:t>
                  </w:r>
                  <w:r>
                    <w:rPr>
                      <w:rFonts w:hint="eastAsia" w:ascii="Times New Roman" w:hAnsi="Times New Roman" w:eastAsia="宋体" w:cs="Times New Roman"/>
                      <w:color w:val="auto"/>
                      <w:sz w:val="24"/>
                      <w:lang w:val="en-US" w:eastAsia="zh-CN"/>
                    </w:rPr>
                    <w:t>）</w:t>
                  </w:r>
                </w:p>
              </w:tc>
            </w:tr>
            <w:tr w14:paraId="6FA860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58" w:type="pct"/>
                  <w:noWrap w:val="0"/>
                  <w:vAlign w:val="center"/>
                </w:tcPr>
                <w:p w14:paraId="407B1D7C">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挤出机</w:t>
                  </w:r>
                </w:p>
              </w:tc>
              <w:tc>
                <w:tcPr>
                  <w:tcW w:w="828" w:type="pct"/>
                  <w:noWrap w:val="0"/>
                  <w:vAlign w:val="center"/>
                </w:tcPr>
                <w:p w14:paraId="185F66E5">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0.2</w:t>
                  </w:r>
                </w:p>
              </w:tc>
              <w:tc>
                <w:tcPr>
                  <w:tcW w:w="801" w:type="pct"/>
                  <w:noWrap w:val="0"/>
                  <w:vAlign w:val="center"/>
                </w:tcPr>
                <w:p w14:paraId="505E8055">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0.3</w:t>
                  </w:r>
                </w:p>
              </w:tc>
              <w:tc>
                <w:tcPr>
                  <w:tcW w:w="722" w:type="pct"/>
                  <w:noWrap w:val="0"/>
                  <w:vAlign w:val="center"/>
                </w:tcPr>
                <w:p w14:paraId="682A603E">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1.0</w:t>
                  </w:r>
                </w:p>
              </w:tc>
              <w:tc>
                <w:tcPr>
                  <w:tcW w:w="766" w:type="pct"/>
                  <w:noWrap w:val="0"/>
                  <w:vAlign w:val="center"/>
                </w:tcPr>
                <w:p w14:paraId="607761CA">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60</w:t>
                  </w:r>
                </w:p>
              </w:tc>
              <w:tc>
                <w:tcPr>
                  <w:tcW w:w="921" w:type="pct"/>
                  <w:noWrap w:val="0"/>
                  <w:vAlign w:val="center"/>
                </w:tcPr>
                <w:p w14:paraId="47467415">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18144</w:t>
                  </w:r>
                </w:p>
              </w:tc>
            </w:tr>
            <w:tr w14:paraId="26C7D6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078" w:type="pct"/>
                  <w:gridSpan w:val="5"/>
                  <w:noWrap w:val="0"/>
                  <w:vAlign w:val="center"/>
                </w:tcPr>
                <w:p w14:paraId="0DE93691">
                  <w:pPr>
                    <w:keepNext w:val="0"/>
                    <w:keepLines w:val="0"/>
                    <w:suppressLineNumbers w:val="0"/>
                    <w:tabs>
                      <w:tab w:val="left" w:pos="4119"/>
                    </w:tabs>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合计</w:t>
                  </w:r>
                </w:p>
              </w:tc>
              <w:tc>
                <w:tcPr>
                  <w:tcW w:w="921" w:type="pct"/>
                  <w:noWrap w:val="0"/>
                  <w:vAlign w:val="center"/>
                </w:tcPr>
                <w:p w14:paraId="0D94EF3B">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18144</w:t>
                  </w:r>
                </w:p>
              </w:tc>
            </w:tr>
          </w:tbl>
          <w:p w14:paraId="15CBE504">
            <w:pPr>
              <w:keepNext w:val="0"/>
              <w:keepLines w:val="0"/>
              <w:suppressLineNumbers w:val="0"/>
              <w:snapToGrid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eastAsia="zh-CN"/>
              </w:rPr>
            </w:pPr>
            <w:r>
              <w:rPr>
                <w:rFonts w:hint="default" w:ascii="Times New Roman" w:hAnsi="Times New Roman" w:eastAsia="宋体" w:cs="Times New Roman"/>
                <w:color w:val="auto"/>
                <w:sz w:val="24"/>
              </w:rPr>
              <w:t>考虑系统损失，集气</w:t>
            </w:r>
            <w:r>
              <w:rPr>
                <w:rFonts w:hint="eastAsia" w:ascii="Times New Roman" w:hAnsi="Times New Roman" w:eastAsia="宋体" w:cs="Times New Roman"/>
                <w:color w:val="auto"/>
                <w:sz w:val="24"/>
                <w:lang w:val="en-US" w:eastAsia="zh-CN"/>
              </w:rPr>
              <w:t>罩</w:t>
            </w:r>
            <w:r>
              <w:rPr>
                <w:rFonts w:hint="default" w:ascii="Times New Roman" w:hAnsi="Times New Roman" w:eastAsia="宋体" w:cs="Times New Roman"/>
                <w:color w:val="auto"/>
                <w:sz w:val="24"/>
              </w:rPr>
              <w:t>风量</w:t>
            </w:r>
            <w:r>
              <w:rPr>
                <w:rFonts w:hint="eastAsia" w:cs="Times New Roman"/>
                <w:color w:val="auto"/>
                <w:sz w:val="24"/>
                <w:lang w:val="en-US" w:eastAsia="zh-CN"/>
              </w:rPr>
              <w:t>19200</w:t>
            </w:r>
            <w:r>
              <w:rPr>
                <w:rFonts w:hint="default" w:ascii="Times New Roman" w:hAnsi="Times New Roman" w:eastAsia="宋体" w:cs="Times New Roman"/>
                <w:color w:val="auto"/>
                <w:sz w:val="24"/>
              </w:rPr>
              <w:t>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/h</w:t>
            </w:r>
            <w:r>
              <w:rPr>
                <w:rFonts w:hint="eastAsia" w:ascii="Times New Roman" w:hAnsi="Times New Roman" w:eastAsia="宋体" w:cs="Times New Roman"/>
                <w:color w:val="auto"/>
                <w:sz w:val="24"/>
                <w:lang w:eastAsia="zh-CN"/>
              </w:rPr>
              <w:t>。</w:t>
            </w:r>
          </w:p>
          <w:p w14:paraId="115E5007">
            <w:pPr>
              <w:keepNext w:val="0"/>
              <w:keepLines w:val="0"/>
              <w:suppressLineNumbers w:val="0"/>
              <w:bidi w:val="0"/>
              <w:spacing w:before="0" w:beforeAutospacing="0" w:after="0" w:afterAutospacing="0"/>
              <w:ind w:left="0" w:right="0"/>
              <w:rPr>
                <w:rFonts w:hint="eastAsia"/>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）废气监测要求</w:t>
            </w:r>
          </w:p>
          <w:p w14:paraId="79696C3C">
            <w:pPr>
              <w:keepNext w:val="0"/>
              <w:keepLines w:val="0"/>
              <w:widowControl/>
              <w:suppressLineNumbers w:val="0"/>
              <w:spacing w:before="0" w:beforeAutospacing="0" w:after="0" w:afterAutospacing="0"/>
              <w:ind w:left="0" w:right="0"/>
              <w:jc w:val="left"/>
              <w:rPr>
                <w:rFonts w:hint="default"/>
                <w:color w:val="auto"/>
                <w:highlight w:val="none"/>
                <w:lang w:val="en-US" w:eastAsia="zh-CN"/>
              </w:rPr>
            </w:pPr>
            <w:r>
              <w:rPr>
                <w:rFonts w:hint="eastAsia"/>
                <w:color w:val="auto"/>
                <w:highlight w:val="none"/>
                <w:lang w:val="en-US" w:eastAsia="zh-CN"/>
              </w:rPr>
              <w:t>根据《排污单位自行监测技术指南 橡胶和塑料制品》（HJ 1207-2021），本项目废气监测计划见表4-6。</w:t>
            </w:r>
          </w:p>
          <w:p w14:paraId="3456B03C">
            <w:pPr>
              <w:pStyle w:val="6"/>
              <w:keepNext w:val="0"/>
              <w:keepLines w:val="0"/>
              <w:suppressLineNumbers w:val="0"/>
              <w:bidi w:val="0"/>
              <w:spacing w:before="0" w:beforeAutospacing="0" w:after="0" w:afterAutospacing="0"/>
              <w:ind w:right="0"/>
              <w:jc w:val="center"/>
              <w:rPr>
                <w:rFonts w:hint="default"/>
                <w:b/>
                <w:bCs/>
                <w:color w:val="auto"/>
                <w:highlight w:val="none"/>
              </w:rPr>
            </w:pPr>
            <w:r>
              <w:rPr>
                <w:rFonts w:hint="eastAsia"/>
                <w:b/>
                <w:bCs/>
                <w:color w:val="auto"/>
                <w:highlight w:val="none"/>
              </w:rPr>
              <w:t>表4-</w:t>
            </w:r>
            <w:r>
              <w:rPr>
                <w:rFonts w:hint="eastAsia"/>
                <w:b/>
                <w:bCs/>
                <w:color w:val="auto"/>
                <w:highlight w:val="none"/>
                <w:lang w:val="en-US" w:eastAsia="zh-CN"/>
              </w:rPr>
              <w:t>6</w:t>
            </w:r>
            <w:r>
              <w:rPr>
                <w:rFonts w:hint="default"/>
                <w:b/>
                <w:bCs/>
                <w:color w:val="auto"/>
                <w:highlight w:val="none"/>
              </w:rPr>
              <w:t xml:space="preserve"> </w:t>
            </w:r>
            <w:r>
              <w:rPr>
                <w:rFonts w:hint="eastAsia"/>
                <w:b/>
                <w:bCs/>
                <w:color w:val="auto"/>
                <w:highlight w:val="none"/>
                <w:lang w:val="en-US" w:eastAsia="zh-CN"/>
              </w:rPr>
              <w:t xml:space="preserve">  </w:t>
            </w:r>
            <w:r>
              <w:rPr>
                <w:rFonts w:hint="eastAsia"/>
                <w:b/>
                <w:bCs/>
                <w:color w:val="auto"/>
                <w:highlight w:val="none"/>
              </w:rPr>
              <w:t>废气监测计划一览表</w:t>
            </w:r>
          </w:p>
          <w:tbl>
            <w:tblPr>
              <w:tblStyle w:val="32"/>
              <w:tblW w:w="844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56"/>
              <w:gridCol w:w="1661"/>
              <w:gridCol w:w="1154"/>
              <w:gridCol w:w="3877"/>
            </w:tblGrid>
            <w:tr w14:paraId="697DF5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60" w:hRule="atLeast"/>
                <w:jc w:val="center"/>
              </w:trPr>
              <w:tc>
                <w:tcPr>
                  <w:tcW w:w="1756" w:type="dxa"/>
                  <w:tcBorders>
                    <w:bottom w:val="single" w:color="auto" w:sz="12" w:space="0"/>
                  </w:tcBorders>
                  <w:vAlign w:val="center"/>
                </w:tcPr>
                <w:p w14:paraId="43BDA9AC">
                  <w:pPr>
                    <w:pStyle w:val="6"/>
                    <w:keepNext w:val="0"/>
                    <w:keepLines w:val="0"/>
                    <w:suppressLineNumbers w:val="0"/>
                    <w:bidi w:val="0"/>
                    <w:spacing w:before="0" w:beforeAutospacing="0" w:after="0" w:afterAutospacing="0"/>
                    <w:ind w:right="0"/>
                    <w:jc w:val="center"/>
                    <w:rPr>
                      <w:rFonts w:hint="default"/>
                      <w:b/>
                      <w:bCs/>
                      <w:color w:val="auto"/>
                      <w:highlight w:val="none"/>
                    </w:rPr>
                  </w:pPr>
                  <w:r>
                    <w:rPr>
                      <w:rFonts w:hint="eastAsia"/>
                      <w:b/>
                      <w:bCs/>
                      <w:color w:val="auto"/>
                      <w:highlight w:val="none"/>
                    </w:rPr>
                    <w:t>监测点位</w:t>
                  </w:r>
                </w:p>
              </w:tc>
              <w:tc>
                <w:tcPr>
                  <w:tcW w:w="1661" w:type="dxa"/>
                  <w:tcBorders>
                    <w:bottom w:val="single" w:color="auto" w:sz="12" w:space="0"/>
                  </w:tcBorders>
                  <w:vAlign w:val="center"/>
                </w:tcPr>
                <w:p w14:paraId="16FAC60A">
                  <w:pPr>
                    <w:pStyle w:val="6"/>
                    <w:keepNext w:val="0"/>
                    <w:keepLines w:val="0"/>
                    <w:suppressLineNumbers w:val="0"/>
                    <w:bidi w:val="0"/>
                    <w:spacing w:before="0" w:beforeAutospacing="0" w:after="0" w:afterAutospacing="0"/>
                    <w:ind w:right="0"/>
                    <w:jc w:val="center"/>
                    <w:rPr>
                      <w:rFonts w:hint="default"/>
                      <w:b/>
                      <w:bCs/>
                      <w:color w:val="auto"/>
                      <w:highlight w:val="none"/>
                    </w:rPr>
                  </w:pPr>
                  <w:r>
                    <w:rPr>
                      <w:rFonts w:hint="eastAsia"/>
                      <w:b/>
                      <w:bCs/>
                      <w:color w:val="auto"/>
                      <w:highlight w:val="none"/>
                    </w:rPr>
                    <w:t>监测指标</w:t>
                  </w:r>
                </w:p>
              </w:tc>
              <w:tc>
                <w:tcPr>
                  <w:tcW w:w="1154" w:type="dxa"/>
                  <w:tcBorders>
                    <w:bottom w:val="single" w:color="auto" w:sz="12" w:space="0"/>
                  </w:tcBorders>
                  <w:vAlign w:val="center"/>
                </w:tcPr>
                <w:p w14:paraId="543569A0">
                  <w:pPr>
                    <w:pStyle w:val="6"/>
                    <w:keepNext w:val="0"/>
                    <w:keepLines w:val="0"/>
                    <w:suppressLineNumbers w:val="0"/>
                    <w:bidi w:val="0"/>
                    <w:spacing w:before="0" w:beforeAutospacing="0" w:after="0" w:afterAutospacing="0"/>
                    <w:ind w:right="0"/>
                    <w:jc w:val="center"/>
                    <w:rPr>
                      <w:rFonts w:hint="default"/>
                      <w:b/>
                      <w:bCs/>
                      <w:color w:val="auto"/>
                      <w:highlight w:val="none"/>
                    </w:rPr>
                  </w:pPr>
                  <w:r>
                    <w:rPr>
                      <w:rFonts w:hint="eastAsia"/>
                      <w:b/>
                      <w:bCs/>
                      <w:color w:val="auto"/>
                      <w:highlight w:val="none"/>
                    </w:rPr>
                    <w:t>监测频次</w:t>
                  </w:r>
                </w:p>
              </w:tc>
              <w:tc>
                <w:tcPr>
                  <w:tcW w:w="3877" w:type="dxa"/>
                  <w:tcBorders>
                    <w:bottom w:val="single" w:color="auto" w:sz="12" w:space="0"/>
                  </w:tcBorders>
                  <w:vAlign w:val="center"/>
                </w:tcPr>
                <w:p w14:paraId="10A29E0A">
                  <w:pPr>
                    <w:pStyle w:val="6"/>
                    <w:keepNext w:val="0"/>
                    <w:keepLines w:val="0"/>
                    <w:suppressLineNumbers w:val="0"/>
                    <w:bidi w:val="0"/>
                    <w:spacing w:before="0" w:beforeAutospacing="0" w:after="0" w:afterAutospacing="0"/>
                    <w:ind w:right="0"/>
                    <w:jc w:val="center"/>
                    <w:rPr>
                      <w:rFonts w:hint="default"/>
                      <w:b/>
                      <w:bCs/>
                      <w:color w:val="auto"/>
                      <w:highlight w:val="none"/>
                    </w:rPr>
                  </w:pPr>
                  <w:r>
                    <w:rPr>
                      <w:rFonts w:hint="eastAsia"/>
                      <w:b/>
                      <w:bCs/>
                      <w:color w:val="auto"/>
                      <w:highlight w:val="none"/>
                    </w:rPr>
                    <w:t>排放标准</w:t>
                  </w:r>
                </w:p>
              </w:tc>
            </w:tr>
            <w:tr w14:paraId="49B783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1756" w:type="dxa"/>
                  <w:vMerge w:val="restart"/>
                  <w:tcBorders>
                    <w:tl2br w:val="nil"/>
                    <w:tr2bl w:val="nil"/>
                  </w:tcBorders>
                  <w:vAlign w:val="center"/>
                </w:tcPr>
                <w:p w14:paraId="738296F9">
                  <w:pPr>
                    <w:pStyle w:val="6"/>
                    <w:keepNext w:val="0"/>
                    <w:keepLines w:val="0"/>
                    <w:suppressLineNumbers w:val="0"/>
                    <w:bidi w:val="0"/>
                    <w:spacing w:before="0" w:beforeAutospacing="0" w:after="0" w:afterAutospacing="0"/>
                    <w:ind w:right="0"/>
                    <w:jc w:val="center"/>
                    <w:rPr>
                      <w:rFonts w:hint="default"/>
                      <w:color w:val="auto"/>
                      <w:highlight w:val="none"/>
                      <w:lang w:val="en-US"/>
                    </w:rPr>
                  </w:pPr>
                  <w:r>
                    <w:rPr>
                      <w:rFonts w:hint="eastAsia"/>
                      <w:color w:val="auto"/>
                      <w:highlight w:val="none"/>
                      <w:lang w:val="en-US" w:eastAsia="zh-CN"/>
                    </w:rPr>
                    <w:t>DA001</w:t>
                  </w:r>
                </w:p>
              </w:tc>
              <w:tc>
                <w:tcPr>
                  <w:tcW w:w="1661" w:type="dxa"/>
                  <w:tcBorders>
                    <w:tl2br w:val="nil"/>
                    <w:tr2bl w:val="nil"/>
                  </w:tcBorders>
                  <w:vAlign w:val="center"/>
                </w:tcPr>
                <w:p w14:paraId="6CD94C23">
                  <w:pPr>
                    <w:pStyle w:val="6"/>
                    <w:keepNext w:val="0"/>
                    <w:keepLines w:val="0"/>
                    <w:suppressLineNumbers w:val="0"/>
                    <w:bidi w:val="0"/>
                    <w:spacing w:before="0" w:beforeAutospacing="0" w:after="0" w:afterAutospacing="0"/>
                    <w:ind w:right="0"/>
                    <w:jc w:val="center"/>
                    <w:rPr>
                      <w:rFonts w:hint="default"/>
                      <w:color w:val="auto"/>
                      <w:highlight w:val="none"/>
                      <w:lang w:val="en-US" w:eastAsia="zh-CN"/>
                    </w:rPr>
                  </w:pPr>
                  <w:r>
                    <w:rPr>
                      <w:rFonts w:hint="eastAsia" w:cs="Times New Roman"/>
                      <w:color w:val="auto"/>
                      <w:highlight w:val="none"/>
                      <w:lang w:val="en-US" w:eastAsia="zh-CN"/>
                    </w:rPr>
                    <w:t>非甲烷总烃</w:t>
                  </w:r>
                </w:p>
              </w:tc>
              <w:tc>
                <w:tcPr>
                  <w:tcW w:w="1154" w:type="dxa"/>
                  <w:tcBorders>
                    <w:tl2br w:val="nil"/>
                    <w:tr2bl w:val="nil"/>
                  </w:tcBorders>
                  <w:vAlign w:val="center"/>
                </w:tcPr>
                <w:p w14:paraId="64291C44">
                  <w:pPr>
                    <w:pStyle w:val="6"/>
                    <w:keepNext w:val="0"/>
                    <w:keepLines w:val="0"/>
                    <w:suppressLineNumbers w:val="0"/>
                    <w:bidi w:val="0"/>
                    <w:spacing w:before="0" w:beforeAutospacing="0" w:after="0" w:afterAutospacing="0"/>
                    <w:ind w:right="0"/>
                    <w:jc w:val="center"/>
                    <w:rPr>
                      <w:rFonts w:hint="eastAsia"/>
                      <w:color w:val="auto"/>
                      <w:highlight w:val="none"/>
                    </w:rPr>
                  </w:pPr>
                  <w:r>
                    <w:rPr>
                      <w:rFonts w:hint="default"/>
                      <w:color w:val="auto"/>
                      <w:highlight w:val="none"/>
                    </w:rPr>
                    <w:t>1次/</w:t>
                  </w:r>
                  <w:r>
                    <w:rPr>
                      <w:rFonts w:hint="eastAsia"/>
                      <w:color w:val="auto"/>
                      <w:highlight w:val="none"/>
                      <w:lang w:val="en-US" w:eastAsia="zh-CN"/>
                    </w:rPr>
                    <w:t>半年</w:t>
                  </w:r>
                </w:p>
              </w:tc>
              <w:tc>
                <w:tcPr>
                  <w:tcW w:w="3877" w:type="dxa"/>
                  <w:tcBorders>
                    <w:tl2br w:val="nil"/>
                    <w:tr2bl w:val="nil"/>
                  </w:tcBorders>
                  <w:vAlign w:val="center"/>
                </w:tcPr>
                <w:p w14:paraId="2DA61BF6">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lang w:val="en-US" w:eastAsia="zh-CN"/>
                    </w:rPr>
                    <w:t>《挥发性有机物排放标准第4部分：塑料制品业》（DB36/1101.4-2019）</w:t>
                  </w:r>
                  <w:r>
                    <w:rPr>
                      <w:rFonts w:hint="eastAsia"/>
                      <w:color w:val="auto"/>
                      <w:highlight w:val="none"/>
                      <w:lang w:val="en-US" w:eastAsia="zh-CN"/>
                    </w:rPr>
                    <w:t>、</w:t>
                  </w:r>
                  <w:r>
                    <w:rPr>
                      <w:rFonts w:hint="eastAsia" w:cs="Times New Roman"/>
                      <w:color w:val="auto"/>
                      <w:spacing w:val="0"/>
                      <w:kern w:val="2"/>
                      <w:sz w:val="21"/>
                      <w:szCs w:val="21"/>
                      <w:highlight w:val="none"/>
                      <w:lang w:val="en-US" w:eastAsia="zh-CN" w:bidi="ar-SA"/>
                    </w:rPr>
                    <w:t>《合成树脂工业污染物排放标准》（GB 3157-2015，含2024年修改单）</w:t>
                  </w:r>
                </w:p>
              </w:tc>
            </w:tr>
            <w:tr w14:paraId="349029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71" w:hRule="atLeast"/>
                <w:jc w:val="center"/>
              </w:trPr>
              <w:tc>
                <w:tcPr>
                  <w:tcW w:w="1756" w:type="dxa"/>
                  <w:vMerge w:val="continue"/>
                  <w:tcBorders>
                    <w:tl2br w:val="nil"/>
                    <w:tr2bl w:val="nil"/>
                  </w:tcBorders>
                  <w:vAlign w:val="center"/>
                </w:tcPr>
                <w:p w14:paraId="448DFEA1">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highlight w:val="none"/>
                      <w:lang w:val="en-US" w:eastAsia="zh-CN"/>
                    </w:rPr>
                  </w:pPr>
                </w:p>
              </w:tc>
              <w:tc>
                <w:tcPr>
                  <w:tcW w:w="1661" w:type="dxa"/>
                  <w:tcBorders>
                    <w:tl2br w:val="nil"/>
                    <w:tr2bl w:val="nil"/>
                  </w:tcBorders>
                  <w:vAlign w:val="center"/>
                </w:tcPr>
                <w:p w14:paraId="3EF5914C">
                  <w:pPr>
                    <w:pStyle w:val="6"/>
                    <w:keepNext w:val="0"/>
                    <w:keepLines w:val="0"/>
                    <w:suppressLineNumbers w:val="0"/>
                    <w:bidi w:val="0"/>
                    <w:spacing w:before="0" w:beforeAutospacing="0" w:after="0" w:afterAutospacing="0"/>
                    <w:ind w:left="0" w:leftChars="0" w:right="0" w:rightChars="0" w:firstLine="0" w:firstLineChars="0"/>
                    <w:jc w:val="center"/>
                    <w:rPr>
                      <w:rFonts w:hint="default" w:cs="Times New Roman"/>
                      <w:color w:val="auto"/>
                      <w:highlight w:val="none"/>
                      <w:lang w:val="en-US" w:eastAsia="zh-CN"/>
                    </w:rPr>
                  </w:pPr>
                  <w:r>
                    <w:rPr>
                      <w:rFonts w:hint="eastAsia" w:cs="Times New Roman"/>
                      <w:color w:val="auto"/>
                      <w:highlight w:val="none"/>
                      <w:lang w:val="en-US" w:eastAsia="zh-CN"/>
                    </w:rPr>
                    <w:t>氨、臭气浓度</w:t>
                  </w:r>
                </w:p>
              </w:tc>
              <w:tc>
                <w:tcPr>
                  <w:tcW w:w="1154" w:type="dxa"/>
                  <w:tcBorders>
                    <w:tl2br w:val="nil"/>
                    <w:tr2bl w:val="nil"/>
                  </w:tcBorders>
                  <w:vAlign w:val="center"/>
                </w:tcPr>
                <w:p w14:paraId="2A8398FE">
                  <w:pPr>
                    <w:pStyle w:val="6"/>
                    <w:keepNext w:val="0"/>
                    <w:keepLines w:val="0"/>
                    <w:suppressLineNumbers w:val="0"/>
                    <w:bidi w:val="0"/>
                    <w:spacing w:before="0" w:beforeAutospacing="0" w:after="0" w:afterAutospacing="0"/>
                    <w:ind w:left="0" w:leftChars="0" w:right="0" w:rightChars="0" w:firstLine="0" w:firstLineChars="0"/>
                    <w:jc w:val="center"/>
                    <w:rPr>
                      <w:rFonts w:hint="default"/>
                      <w:color w:val="auto"/>
                      <w:highlight w:val="none"/>
                    </w:rPr>
                  </w:pPr>
                  <w:r>
                    <w:rPr>
                      <w:rFonts w:hint="default"/>
                      <w:color w:val="auto"/>
                      <w:highlight w:val="none"/>
                    </w:rPr>
                    <w:t>1次/</w:t>
                  </w:r>
                  <w:r>
                    <w:rPr>
                      <w:rFonts w:hint="eastAsia"/>
                      <w:color w:val="auto"/>
                      <w:highlight w:val="none"/>
                      <w:lang w:val="en-US" w:eastAsia="zh-CN"/>
                    </w:rPr>
                    <w:t>年</w:t>
                  </w:r>
                </w:p>
              </w:tc>
              <w:tc>
                <w:tcPr>
                  <w:tcW w:w="3877" w:type="dxa"/>
                  <w:tcBorders>
                    <w:tl2br w:val="nil"/>
                    <w:tr2bl w:val="nil"/>
                  </w:tcBorders>
                  <w:vAlign w:val="center"/>
                </w:tcPr>
                <w:p w14:paraId="53285968">
                  <w:pPr>
                    <w:pStyle w:val="6"/>
                    <w:keepNext w:val="0"/>
                    <w:keepLines w:val="0"/>
                    <w:suppressLineNumbers w:val="0"/>
                    <w:bidi w:val="0"/>
                    <w:spacing w:before="0" w:beforeAutospacing="0" w:after="0" w:afterAutospacing="0"/>
                    <w:ind w:left="0" w:leftChars="0" w:right="0" w:rightChars="0" w:firstLine="0" w:firstLineChars="0"/>
                    <w:jc w:val="center"/>
                    <w:rPr>
                      <w:rFonts w:hint="default"/>
                      <w:color w:val="auto"/>
                      <w:highlight w:val="none"/>
                      <w:lang w:val="en-US" w:eastAsia="zh-CN"/>
                    </w:rPr>
                  </w:pPr>
                  <w:r>
                    <w:rPr>
                      <w:rFonts w:hint="eastAsia" w:cs="Times New Roman"/>
                      <w:color w:val="auto"/>
                      <w:spacing w:val="0"/>
                      <w:kern w:val="2"/>
                      <w:sz w:val="21"/>
                      <w:szCs w:val="21"/>
                      <w:highlight w:val="none"/>
                      <w:lang w:val="en-US" w:eastAsia="zh-CN" w:bidi="ar-SA"/>
                    </w:rPr>
                    <w:t>《合成树脂工业污染物排放标准》（GB 3157-2015，含2024年修改单）、</w:t>
                  </w:r>
                  <w:r>
                    <w:rPr>
                      <w:rFonts w:hint="default"/>
                      <w:color w:val="auto"/>
                      <w:highlight w:val="none"/>
                      <w:lang w:val="en-US" w:eastAsia="zh-CN"/>
                    </w:rPr>
                    <w:t>《恶臭污染物排放标准》（GB14554-93）</w:t>
                  </w:r>
                </w:p>
              </w:tc>
            </w:tr>
            <w:tr w14:paraId="50C55A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71" w:hRule="atLeast"/>
                <w:jc w:val="center"/>
              </w:trPr>
              <w:tc>
                <w:tcPr>
                  <w:tcW w:w="1756" w:type="dxa"/>
                  <w:tcBorders>
                    <w:tl2br w:val="nil"/>
                    <w:tr2bl w:val="nil"/>
                  </w:tcBorders>
                  <w:vAlign w:val="center"/>
                </w:tcPr>
                <w:p w14:paraId="47F6FF7F">
                  <w:pPr>
                    <w:pStyle w:val="6"/>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rPr>
                    <w:t>厂界</w:t>
                  </w:r>
                </w:p>
              </w:tc>
              <w:tc>
                <w:tcPr>
                  <w:tcW w:w="1661" w:type="dxa"/>
                  <w:tcBorders>
                    <w:tl2br w:val="nil"/>
                    <w:tr2bl w:val="nil"/>
                  </w:tcBorders>
                  <w:vAlign w:val="center"/>
                </w:tcPr>
                <w:p w14:paraId="5BDEB7D2">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非甲烷总烃、氨、臭气浓度</w:t>
                  </w:r>
                </w:p>
              </w:tc>
              <w:tc>
                <w:tcPr>
                  <w:tcW w:w="1154" w:type="dxa"/>
                  <w:tcBorders>
                    <w:tl2br w:val="nil"/>
                    <w:tr2bl w:val="nil"/>
                  </w:tcBorders>
                  <w:vAlign w:val="center"/>
                </w:tcPr>
                <w:p w14:paraId="588C757C">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color w:val="auto"/>
                      <w:highlight w:val="none"/>
                    </w:rPr>
                    <w:t>1次/</w:t>
                  </w:r>
                  <w:r>
                    <w:rPr>
                      <w:rFonts w:hint="eastAsia"/>
                      <w:color w:val="auto"/>
                      <w:highlight w:val="none"/>
                      <w:lang w:val="en-US" w:eastAsia="zh-CN"/>
                    </w:rPr>
                    <w:t>年</w:t>
                  </w:r>
                </w:p>
              </w:tc>
              <w:tc>
                <w:tcPr>
                  <w:tcW w:w="3877" w:type="dxa"/>
                  <w:tcBorders>
                    <w:tl2br w:val="nil"/>
                    <w:tr2bl w:val="nil"/>
                  </w:tcBorders>
                  <w:vAlign w:val="center"/>
                </w:tcPr>
                <w:p w14:paraId="3B3CF8CC">
                  <w:pPr>
                    <w:pStyle w:val="6"/>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《江西省挥发性有机物排放标准 第2部分：有机化工业》（DB36_T1101.2-2019）</w:t>
                  </w:r>
                  <w:r>
                    <w:rPr>
                      <w:rFonts w:hint="eastAsia" w:cs="Times New Roman"/>
                      <w:color w:val="auto"/>
                      <w:kern w:val="2"/>
                      <w:sz w:val="21"/>
                      <w:szCs w:val="24"/>
                      <w:highlight w:val="none"/>
                      <w:lang w:val="en-US" w:eastAsia="zh-CN" w:bidi="ar-SA"/>
                    </w:rPr>
                    <w:t>、《恶臭污染物排放标准》（GB14554-93）</w:t>
                  </w:r>
                </w:p>
              </w:tc>
            </w:tr>
          </w:tbl>
          <w:p w14:paraId="4D0968E5">
            <w:pPr>
              <w:pStyle w:val="42"/>
              <w:keepNext w:val="0"/>
              <w:keepLines w:val="0"/>
              <w:suppressLineNumbers w:val="0"/>
              <w:spacing w:before="0" w:beforeAutospacing="0" w:after="0" w:afterAutospacing="0"/>
              <w:ind w:left="0" w:leftChars="0" w:right="0" w:firstLine="0" w:firstLineChars="0"/>
              <w:rPr>
                <w:rFonts w:hint="default"/>
                <w:color w:val="auto"/>
                <w:highlight w:val="none"/>
              </w:rPr>
            </w:pPr>
          </w:p>
        </w:tc>
      </w:tr>
    </w:tbl>
    <w:p w14:paraId="175ADE84">
      <w:pPr>
        <w:rPr>
          <w:rFonts w:hint="default"/>
          <w:color w:val="auto"/>
          <w:highlight w:val="none"/>
        </w:rPr>
        <w:sectPr>
          <w:pgSz w:w="11907" w:h="16840"/>
          <w:pgMar w:top="1701" w:right="1417" w:bottom="2127" w:left="1417"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32"/>
        <w:tblW w:w="1391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97"/>
        <w:gridCol w:w="13614"/>
      </w:tblGrid>
      <w:tr w14:paraId="6EEA35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8790" w:hRule="atLeast"/>
          <w:jc w:val="center"/>
        </w:trPr>
        <w:tc>
          <w:tcPr>
            <w:tcW w:w="297" w:type="dxa"/>
            <w:tcMar>
              <w:left w:w="28" w:type="dxa"/>
              <w:right w:w="28" w:type="dxa"/>
            </w:tcMar>
            <w:vAlign w:val="center"/>
          </w:tcPr>
          <w:p w14:paraId="5C308E8F">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eastAsia" w:ascii="Times New Roman" w:hAnsi="Times New Roman" w:cs="Times New Roman"/>
                <w:b/>
                <w:bCs/>
                <w:color w:val="auto"/>
                <w:highlight w:val="none"/>
                <w:lang w:val="en-US" w:eastAsia="zh-CN"/>
              </w:rPr>
              <w:t>运营</w:t>
            </w:r>
            <w:r>
              <w:rPr>
                <w:rFonts w:hint="default" w:ascii="Times New Roman" w:hAnsi="Times New Roman" w:cs="Times New Roman"/>
                <w:b/>
                <w:bCs/>
                <w:color w:val="auto"/>
                <w:highlight w:val="none"/>
              </w:rPr>
              <w:t>期</w:t>
            </w:r>
          </w:p>
          <w:p w14:paraId="0FB43AF8">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环</w:t>
            </w:r>
          </w:p>
          <w:p w14:paraId="4FBA7070">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境</w:t>
            </w:r>
          </w:p>
          <w:p w14:paraId="2E287844">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保</w:t>
            </w:r>
          </w:p>
          <w:p w14:paraId="0064F276">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护</w:t>
            </w:r>
          </w:p>
          <w:p w14:paraId="53A5188B">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措</w:t>
            </w:r>
          </w:p>
          <w:p w14:paraId="6D52E48A">
            <w:pPr>
              <w:pStyle w:val="22"/>
              <w:keepNext w:val="0"/>
              <w:keepLines w:val="0"/>
              <w:suppressLineNumbers w:val="0"/>
              <w:bidi w:val="0"/>
              <w:spacing w:before="0" w:after="0"/>
              <w:ind w:left="0" w:right="0"/>
              <w:rPr>
                <w:rFonts w:hint="default" w:ascii="Times New Roman" w:hAnsi="Times New Roman" w:cs="Times New Roman"/>
                <w:b/>
                <w:bCs/>
                <w:color w:val="auto"/>
                <w:kern w:val="2"/>
                <w:szCs w:val="21"/>
                <w:highlight w:val="none"/>
              </w:rPr>
            </w:pPr>
            <w:r>
              <w:rPr>
                <w:rFonts w:hint="default" w:ascii="Times New Roman" w:hAnsi="Times New Roman" w:cs="Times New Roman"/>
                <w:b/>
                <w:bCs/>
                <w:color w:val="auto"/>
                <w:highlight w:val="none"/>
              </w:rPr>
              <w:t>施</w:t>
            </w:r>
          </w:p>
        </w:tc>
        <w:tc>
          <w:tcPr>
            <w:tcW w:w="13614" w:type="dxa"/>
            <w:vAlign w:val="center"/>
          </w:tcPr>
          <w:p w14:paraId="6A75FF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b/>
                <w:bCs/>
                <w:color w:val="auto"/>
                <w:highlight w:val="none"/>
              </w:rPr>
            </w:pPr>
            <w:r>
              <w:rPr>
                <w:rFonts w:hint="eastAsia"/>
                <w:b/>
                <w:bCs/>
                <w:color w:val="auto"/>
                <w:highlight w:val="none"/>
                <w:lang w:val="en-US" w:eastAsia="zh-CN"/>
              </w:rPr>
              <w:t>2、</w:t>
            </w:r>
            <w:r>
              <w:rPr>
                <w:rFonts w:hint="default"/>
                <w:b/>
                <w:bCs/>
                <w:color w:val="auto"/>
                <w:highlight w:val="none"/>
              </w:rPr>
              <w:t>废水</w:t>
            </w:r>
          </w:p>
          <w:p w14:paraId="46A600F4">
            <w:pPr>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default"/>
                <w:color w:val="auto"/>
                <w:highlight w:val="none"/>
              </w:rPr>
              <w:t>废水污染源情况</w:t>
            </w:r>
          </w:p>
          <w:p w14:paraId="2FE6BC8A">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本项目废水污染源产排情况见表4-7。</w:t>
            </w:r>
          </w:p>
          <w:p w14:paraId="1547517B">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21"/>
                <w:szCs w:val="21"/>
                <w:highlight w:val="none"/>
                <w:lang w:val="en-US" w:eastAsia="zh-CN"/>
              </w:rPr>
              <w:t>表</w:t>
            </w:r>
            <w:r>
              <w:rPr>
                <w:rFonts w:hint="eastAsia"/>
                <w:b/>
                <w:bCs/>
                <w:color w:val="auto"/>
                <w:sz w:val="21"/>
                <w:szCs w:val="21"/>
                <w:highlight w:val="none"/>
                <w:lang w:val="en-US" w:eastAsia="zh-CN"/>
              </w:rPr>
              <w:t xml:space="preserve">4-7   </w:t>
            </w:r>
            <w:r>
              <w:rPr>
                <w:rFonts w:hint="default"/>
                <w:b/>
                <w:bCs/>
                <w:color w:val="auto"/>
                <w:sz w:val="21"/>
                <w:szCs w:val="21"/>
                <w:highlight w:val="none"/>
                <w:lang w:val="en-US" w:eastAsia="zh-CN"/>
              </w:rPr>
              <w:t>废水污染源产生、排放汇总表</w:t>
            </w:r>
          </w:p>
          <w:tbl>
            <w:tblPr>
              <w:tblStyle w:val="32"/>
              <w:tblW w:w="1339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76"/>
              <w:gridCol w:w="397"/>
              <w:gridCol w:w="746"/>
              <w:gridCol w:w="711"/>
              <w:gridCol w:w="792"/>
              <w:gridCol w:w="787"/>
              <w:gridCol w:w="675"/>
              <w:gridCol w:w="576"/>
              <w:gridCol w:w="546"/>
              <w:gridCol w:w="414"/>
              <w:gridCol w:w="711"/>
              <w:gridCol w:w="794"/>
              <w:gridCol w:w="787"/>
              <w:gridCol w:w="407"/>
              <w:gridCol w:w="417"/>
              <w:gridCol w:w="649"/>
              <w:gridCol w:w="992"/>
              <w:gridCol w:w="412"/>
              <w:gridCol w:w="1378"/>
              <w:gridCol w:w="631"/>
            </w:tblGrid>
            <w:tr w14:paraId="35ECD6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vMerge w:val="restart"/>
                  <w:vAlign w:val="center"/>
                </w:tcPr>
                <w:p w14:paraId="75DBEE63">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产排污环节</w:t>
                  </w:r>
                </w:p>
              </w:tc>
              <w:tc>
                <w:tcPr>
                  <w:tcW w:w="397" w:type="dxa"/>
                  <w:vMerge w:val="restart"/>
                  <w:vAlign w:val="center"/>
                </w:tcPr>
                <w:p w14:paraId="1B76A87F">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类别</w:t>
                  </w:r>
                </w:p>
              </w:tc>
              <w:tc>
                <w:tcPr>
                  <w:tcW w:w="746" w:type="dxa"/>
                  <w:vMerge w:val="restart"/>
                  <w:vAlign w:val="center"/>
                </w:tcPr>
                <w:p w14:paraId="6B3A0C3B">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污染物</w:t>
                  </w:r>
                </w:p>
                <w:p w14:paraId="43380E8C">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种类</w:t>
                  </w:r>
                </w:p>
              </w:tc>
              <w:tc>
                <w:tcPr>
                  <w:tcW w:w="2290" w:type="dxa"/>
                  <w:gridSpan w:val="3"/>
                  <w:vAlign w:val="center"/>
                </w:tcPr>
                <w:p w14:paraId="2450FF62">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污染物产生量和浓度</w:t>
                  </w:r>
                </w:p>
              </w:tc>
              <w:tc>
                <w:tcPr>
                  <w:tcW w:w="2211" w:type="dxa"/>
                  <w:gridSpan w:val="4"/>
                  <w:vAlign w:val="center"/>
                </w:tcPr>
                <w:p w14:paraId="0D384A17">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污染治理设施</w:t>
                  </w:r>
                </w:p>
              </w:tc>
              <w:tc>
                <w:tcPr>
                  <w:tcW w:w="2292" w:type="dxa"/>
                  <w:gridSpan w:val="3"/>
                  <w:vAlign w:val="center"/>
                </w:tcPr>
                <w:p w14:paraId="43201FD0">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污染物排放量和浓度</w:t>
                  </w:r>
                </w:p>
              </w:tc>
              <w:tc>
                <w:tcPr>
                  <w:tcW w:w="4255" w:type="dxa"/>
                  <w:gridSpan w:val="6"/>
                  <w:vAlign w:val="center"/>
                </w:tcPr>
                <w:p w14:paraId="25A74288">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排放口基本情况</w:t>
                  </w:r>
                </w:p>
              </w:tc>
              <w:tc>
                <w:tcPr>
                  <w:tcW w:w="631" w:type="dxa"/>
                  <w:vAlign w:val="center"/>
                </w:tcPr>
                <w:p w14:paraId="705D3A5E">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排放标准</w:t>
                  </w:r>
                </w:p>
              </w:tc>
            </w:tr>
            <w:tr w14:paraId="0A445A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vMerge w:val="continue"/>
                  <w:vAlign w:val="center"/>
                </w:tcPr>
                <w:p w14:paraId="3DEB7BD7">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p>
              </w:tc>
              <w:tc>
                <w:tcPr>
                  <w:tcW w:w="397" w:type="dxa"/>
                  <w:vMerge w:val="continue"/>
                  <w:vAlign w:val="center"/>
                </w:tcPr>
                <w:p w14:paraId="4BEEE2AB">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p>
              </w:tc>
              <w:tc>
                <w:tcPr>
                  <w:tcW w:w="746" w:type="dxa"/>
                  <w:vMerge w:val="continue"/>
                  <w:vAlign w:val="center"/>
                </w:tcPr>
                <w:p w14:paraId="49F4A242">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p>
              </w:tc>
              <w:tc>
                <w:tcPr>
                  <w:tcW w:w="711" w:type="dxa"/>
                  <w:vAlign w:val="center"/>
                </w:tcPr>
                <w:p w14:paraId="79D50CAC">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废水量</w:t>
                  </w:r>
                </w:p>
              </w:tc>
              <w:tc>
                <w:tcPr>
                  <w:tcW w:w="792" w:type="dxa"/>
                  <w:vAlign w:val="center"/>
                </w:tcPr>
                <w:p w14:paraId="755AC555">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产生浓度</w:t>
                  </w:r>
                </w:p>
              </w:tc>
              <w:tc>
                <w:tcPr>
                  <w:tcW w:w="787" w:type="dxa"/>
                  <w:vAlign w:val="center"/>
                </w:tcPr>
                <w:p w14:paraId="63596764">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产生量</w:t>
                  </w:r>
                </w:p>
              </w:tc>
              <w:tc>
                <w:tcPr>
                  <w:tcW w:w="675" w:type="dxa"/>
                  <w:vAlign w:val="center"/>
                </w:tcPr>
                <w:p w14:paraId="5218A83F">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处理能力</w:t>
                  </w:r>
                </w:p>
              </w:tc>
              <w:tc>
                <w:tcPr>
                  <w:tcW w:w="576" w:type="dxa"/>
                  <w:vMerge w:val="restart"/>
                  <w:vAlign w:val="center"/>
                </w:tcPr>
                <w:p w14:paraId="27A2CBB6">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主要治理工艺</w:t>
                  </w:r>
                </w:p>
              </w:tc>
              <w:tc>
                <w:tcPr>
                  <w:tcW w:w="546" w:type="dxa"/>
                  <w:vAlign w:val="center"/>
                </w:tcPr>
                <w:p w14:paraId="10E8BBBD">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去除效率</w:t>
                  </w:r>
                </w:p>
              </w:tc>
              <w:tc>
                <w:tcPr>
                  <w:tcW w:w="414" w:type="dxa"/>
                  <w:vMerge w:val="restart"/>
                  <w:vAlign w:val="center"/>
                </w:tcPr>
                <w:p w14:paraId="7066DA98">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是否可行技术</w:t>
                  </w:r>
                </w:p>
              </w:tc>
              <w:tc>
                <w:tcPr>
                  <w:tcW w:w="711" w:type="dxa"/>
                  <w:vAlign w:val="center"/>
                </w:tcPr>
                <w:p w14:paraId="5A1A386D">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废水量</w:t>
                  </w:r>
                </w:p>
              </w:tc>
              <w:tc>
                <w:tcPr>
                  <w:tcW w:w="794" w:type="dxa"/>
                  <w:vAlign w:val="center"/>
                </w:tcPr>
                <w:p w14:paraId="6A34198A">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排放浓度</w:t>
                  </w:r>
                </w:p>
              </w:tc>
              <w:tc>
                <w:tcPr>
                  <w:tcW w:w="787" w:type="dxa"/>
                  <w:vAlign w:val="center"/>
                </w:tcPr>
                <w:p w14:paraId="5CBB2E64">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排放量</w:t>
                  </w:r>
                </w:p>
              </w:tc>
              <w:tc>
                <w:tcPr>
                  <w:tcW w:w="407" w:type="dxa"/>
                  <w:vAlign w:val="center"/>
                </w:tcPr>
                <w:p w14:paraId="0C851088">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排放</w:t>
                  </w:r>
                </w:p>
                <w:p w14:paraId="7EC5E3C8">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方式</w:t>
                  </w:r>
                </w:p>
              </w:tc>
              <w:tc>
                <w:tcPr>
                  <w:tcW w:w="417" w:type="dxa"/>
                  <w:vAlign w:val="center"/>
                </w:tcPr>
                <w:p w14:paraId="7E283789">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排放去向</w:t>
                  </w:r>
                </w:p>
              </w:tc>
              <w:tc>
                <w:tcPr>
                  <w:tcW w:w="649" w:type="dxa"/>
                  <w:vAlign w:val="center"/>
                </w:tcPr>
                <w:p w14:paraId="1C27433D">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排放规律</w:t>
                  </w:r>
                </w:p>
              </w:tc>
              <w:tc>
                <w:tcPr>
                  <w:tcW w:w="992" w:type="dxa"/>
                  <w:vAlign w:val="center"/>
                </w:tcPr>
                <w:p w14:paraId="04CC54EA">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排放编号及名称</w:t>
                  </w:r>
                </w:p>
              </w:tc>
              <w:tc>
                <w:tcPr>
                  <w:tcW w:w="412" w:type="dxa"/>
                  <w:vAlign w:val="center"/>
                </w:tcPr>
                <w:p w14:paraId="44B571B0">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排放类型</w:t>
                  </w:r>
                </w:p>
              </w:tc>
              <w:tc>
                <w:tcPr>
                  <w:tcW w:w="1378" w:type="dxa"/>
                  <w:vAlign w:val="center"/>
                </w:tcPr>
                <w:p w14:paraId="6F8C6CF1">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地理</w:t>
                  </w:r>
                </w:p>
                <w:p w14:paraId="6E715930">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坐标</w:t>
                  </w:r>
                </w:p>
              </w:tc>
              <w:tc>
                <w:tcPr>
                  <w:tcW w:w="631" w:type="dxa"/>
                  <w:vMerge w:val="restart"/>
                  <w:vAlign w:val="center"/>
                </w:tcPr>
                <w:p w14:paraId="5019DA0F">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浓度</w:t>
                  </w:r>
                </w:p>
                <w:p w14:paraId="0795953B">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mg/</w:t>
                  </w:r>
                  <w:r>
                    <w:rPr>
                      <w:rFonts w:hint="eastAsia"/>
                      <w:b/>
                      <w:bCs/>
                      <w:color w:val="auto"/>
                      <w:sz w:val="18"/>
                      <w:szCs w:val="18"/>
                      <w:highlight w:val="none"/>
                      <w:lang w:val="en-US" w:eastAsia="zh-CN"/>
                    </w:rPr>
                    <w:t>L</w:t>
                  </w:r>
                </w:p>
              </w:tc>
            </w:tr>
            <w:tr w14:paraId="5B395D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vMerge w:val="continue"/>
                  <w:tcBorders>
                    <w:bottom w:val="single" w:color="auto" w:sz="12" w:space="0"/>
                  </w:tcBorders>
                  <w:vAlign w:val="center"/>
                </w:tcPr>
                <w:p w14:paraId="15C7AF6F">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p>
              </w:tc>
              <w:tc>
                <w:tcPr>
                  <w:tcW w:w="397" w:type="dxa"/>
                  <w:vMerge w:val="continue"/>
                  <w:tcBorders>
                    <w:bottom w:val="single" w:color="auto" w:sz="12" w:space="0"/>
                  </w:tcBorders>
                  <w:vAlign w:val="center"/>
                </w:tcPr>
                <w:p w14:paraId="64CB1B5B">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p>
              </w:tc>
              <w:tc>
                <w:tcPr>
                  <w:tcW w:w="746" w:type="dxa"/>
                  <w:vMerge w:val="continue"/>
                  <w:tcBorders>
                    <w:bottom w:val="single" w:color="auto" w:sz="12" w:space="0"/>
                  </w:tcBorders>
                  <w:vAlign w:val="center"/>
                </w:tcPr>
                <w:p w14:paraId="7ED336F0">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p>
              </w:tc>
              <w:tc>
                <w:tcPr>
                  <w:tcW w:w="711" w:type="dxa"/>
                  <w:tcBorders>
                    <w:bottom w:val="single" w:color="auto" w:sz="12" w:space="0"/>
                  </w:tcBorders>
                  <w:vAlign w:val="center"/>
                </w:tcPr>
                <w:p w14:paraId="1BC64511">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m</w:t>
                  </w:r>
                  <w:r>
                    <w:rPr>
                      <w:rFonts w:hint="default"/>
                      <w:b/>
                      <w:bCs/>
                      <w:color w:val="auto"/>
                      <w:sz w:val="18"/>
                      <w:szCs w:val="18"/>
                      <w:highlight w:val="none"/>
                      <w:vertAlign w:val="superscript"/>
                      <w:lang w:val="en-US" w:eastAsia="zh-CN"/>
                    </w:rPr>
                    <w:t>3</w:t>
                  </w:r>
                  <w:r>
                    <w:rPr>
                      <w:rFonts w:hint="default"/>
                      <w:b/>
                      <w:bCs/>
                      <w:color w:val="auto"/>
                      <w:sz w:val="18"/>
                      <w:szCs w:val="18"/>
                      <w:highlight w:val="none"/>
                      <w:lang w:val="en-US" w:eastAsia="zh-CN"/>
                    </w:rPr>
                    <w:t>/a</w:t>
                  </w:r>
                </w:p>
              </w:tc>
              <w:tc>
                <w:tcPr>
                  <w:tcW w:w="792" w:type="dxa"/>
                  <w:tcBorders>
                    <w:bottom w:val="single" w:color="auto" w:sz="12" w:space="0"/>
                  </w:tcBorders>
                  <w:vAlign w:val="center"/>
                </w:tcPr>
                <w:p w14:paraId="4B29012A">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mg/</w:t>
                  </w:r>
                  <w:r>
                    <w:rPr>
                      <w:rFonts w:hint="eastAsia"/>
                      <w:b/>
                      <w:bCs/>
                      <w:color w:val="auto"/>
                      <w:sz w:val="18"/>
                      <w:szCs w:val="18"/>
                      <w:highlight w:val="none"/>
                      <w:lang w:val="en-US" w:eastAsia="zh-CN"/>
                    </w:rPr>
                    <w:t>L</w:t>
                  </w:r>
                </w:p>
              </w:tc>
              <w:tc>
                <w:tcPr>
                  <w:tcW w:w="787" w:type="dxa"/>
                  <w:tcBorders>
                    <w:bottom w:val="single" w:color="auto" w:sz="12" w:space="0"/>
                  </w:tcBorders>
                  <w:vAlign w:val="center"/>
                </w:tcPr>
                <w:p w14:paraId="68DA543C">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t/a</w:t>
                  </w:r>
                </w:p>
              </w:tc>
              <w:tc>
                <w:tcPr>
                  <w:tcW w:w="675" w:type="dxa"/>
                  <w:tcBorders>
                    <w:bottom w:val="single" w:color="auto" w:sz="12" w:space="0"/>
                  </w:tcBorders>
                  <w:vAlign w:val="center"/>
                </w:tcPr>
                <w:p w14:paraId="1C3F4E0B">
                  <w:pPr>
                    <w:pStyle w:val="6"/>
                    <w:keepNext w:val="0"/>
                    <w:keepLines w:val="0"/>
                    <w:suppressLineNumbers w:val="0"/>
                    <w:bidi w:val="0"/>
                    <w:spacing w:before="0" w:beforeAutospacing="0" w:after="0" w:afterAutospacing="0"/>
                    <w:ind w:right="0"/>
                    <w:rPr>
                      <w:rFonts w:hint="eastAsia"/>
                      <w:b/>
                      <w:bCs/>
                      <w:color w:val="auto"/>
                      <w:sz w:val="18"/>
                      <w:szCs w:val="18"/>
                      <w:highlight w:val="none"/>
                      <w:lang w:val="en-US" w:eastAsia="zh-CN"/>
                    </w:rPr>
                  </w:pPr>
                  <w:r>
                    <w:rPr>
                      <w:rFonts w:hint="default"/>
                      <w:b/>
                      <w:bCs/>
                      <w:color w:val="auto"/>
                      <w:sz w:val="18"/>
                      <w:szCs w:val="18"/>
                      <w:highlight w:val="none"/>
                      <w:lang w:val="en-US" w:eastAsia="zh-CN"/>
                    </w:rPr>
                    <w:t>m</w:t>
                  </w:r>
                  <w:r>
                    <w:rPr>
                      <w:rFonts w:hint="default"/>
                      <w:b/>
                      <w:bCs/>
                      <w:color w:val="auto"/>
                      <w:sz w:val="18"/>
                      <w:szCs w:val="18"/>
                      <w:highlight w:val="none"/>
                      <w:vertAlign w:val="superscript"/>
                      <w:lang w:val="en-US" w:eastAsia="zh-CN"/>
                    </w:rPr>
                    <w:t>3</w:t>
                  </w:r>
                  <w:r>
                    <w:rPr>
                      <w:rFonts w:hint="default"/>
                      <w:b/>
                      <w:bCs/>
                      <w:color w:val="auto"/>
                      <w:sz w:val="18"/>
                      <w:szCs w:val="18"/>
                      <w:highlight w:val="none"/>
                      <w:lang w:val="en-US" w:eastAsia="zh-CN"/>
                    </w:rPr>
                    <w:t>/</w:t>
                  </w:r>
                  <w:r>
                    <w:rPr>
                      <w:rFonts w:hint="eastAsia"/>
                      <w:b/>
                      <w:bCs/>
                      <w:color w:val="auto"/>
                      <w:sz w:val="18"/>
                      <w:szCs w:val="18"/>
                      <w:highlight w:val="none"/>
                      <w:lang w:val="en-US" w:eastAsia="zh-CN"/>
                    </w:rPr>
                    <w:t>d</w:t>
                  </w:r>
                </w:p>
              </w:tc>
              <w:tc>
                <w:tcPr>
                  <w:tcW w:w="576" w:type="dxa"/>
                  <w:vMerge w:val="continue"/>
                  <w:tcBorders>
                    <w:bottom w:val="single" w:color="auto" w:sz="12" w:space="0"/>
                  </w:tcBorders>
                  <w:vAlign w:val="center"/>
                </w:tcPr>
                <w:p w14:paraId="309EE9BC">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p>
              </w:tc>
              <w:tc>
                <w:tcPr>
                  <w:tcW w:w="546" w:type="dxa"/>
                  <w:tcBorders>
                    <w:bottom w:val="single" w:color="auto" w:sz="12" w:space="0"/>
                  </w:tcBorders>
                  <w:vAlign w:val="center"/>
                </w:tcPr>
                <w:p w14:paraId="16583B94">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w:t>
                  </w:r>
                </w:p>
              </w:tc>
              <w:tc>
                <w:tcPr>
                  <w:tcW w:w="414" w:type="dxa"/>
                  <w:vMerge w:val="continue"/>
                  <w:tcBorders>
                    <w:bottom w:val="single" w:color="auto" w:sz="12" w:space="0"/>
                  </w:tcBorders>
                  <w:vAlign w:val="center"/>
                </w:tcPr>
                <w:p w14:paraId="370B6428">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p>
              </w:tc>
              <w:tc>
                <w:tcPr>
                  <w:tcW w:w="711" w:type="dxa"/>
                  <w:tcBorders>
                    <w:bottom w:val="single" w:color="auto" w:sz="12" w:space="0"/>
                  </w:tcBorders>
                  <w:vAlign w:val="center"/>
                </w:tcPr>
                <w:p w14:paraId="5652167C">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m</w:t>
                  </w:r>
                  <w:r>
                    <w:rPr>
                      <w:rFonts w:hint="default"/>
                      <w:b/>
                      <w:bCs/>
                      <w:color w:val="auto"/>
                      <w:sz w:val="18"/>
                      <w:szCs w:val="18"/>
                      <w:highlight w:val="none"/>
                      <w:vertAlign w:val="superscript"/>
                      <w:lang w:val="en-US" w:eastAsia="zh-CN"/>
                    </w:rPr>
                    <w:t>3</w:t>
                  </w:r>
                  <w:r>
                    <w:rPr>
                      <w:rFonts w:hint="default"/>
                      <w:b/>
                      <w:bCs/>
                      <w:color w:val="auto"/>
                      <w:sz w:val="18"/>
                      <w:szCs w:val="18"/>
                      <w:highlight w:val="none"/>
                      <w:lang w:val="en-US" w:eastAsia="zh-CN"/>
                    </w:rPr>
                    <w:t>/a</w:t>
                  </w:r>
                </w:p>
              </w:tc>
              <w:tc>
                <w:tcPr>
                  <w:tcW w:w="794" w:type="dxa"/>
                  <w:tcBorders>
                    <w:bottom w:val="single" w:color="auto" w:sz="12" w:space="0"/>
                  </w:tcBorders>
                  <w:vAlign w:val="center"/>
                </w:tcPr>
                <w:p w14:paraId="302A2680">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mg/</w:t>
                  </w:r>
                  <w:r>
                    <w:rPr>
                      <w:rFonts w:hint="eastAsia"/>
                      <w:b/>
                      <w:bCs/>
                      <w:color w:val="auto"/>
                      <w:sz w:val="18"/>
                      <w:szCs w:val="18"/>
                      <w:highlight w:val="none"/>
                      <w:lang w:val="en-US" w:eastAsia="zh-CN"/>
                    </w:rPr>
                    <w:t>L</w:t>
                  </w:r>
                </w:p>
              </w:tc>
              <w:tc>
                <w:tcPr>
                  <w:tcW w:w="787" w:type="dxa"/>
                  <w:tcBorders>
                    <w:bottom w:val="single" w:color="auto" w:sz="12" w:space="0"/>
                  </w:tcBorders>
                  <w:vAlign w:val="center"/>
                </w:tcPr>
                <w:p w14:paraId="37EC31A1">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t/a</w:t>
                  </w:r>
                </w:p>
              </w:tc>
              <w:tc>
                <w:tcPr>
                  <w:tcW w:w="407" w:type="dxa"/>
                  <w:tcBorders>
                    <w:bottom w:val="single" w:color="auto" w:sz="12" w:space="0"/>
                  </w:tcBorders>
                  <w:vAlign w:val="center"/>
                </w:tcPr>
                <w:p w14:paraId="1CF7CCB7">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w:t>
                  </w:r>
                </w:p>
              </w:tc>
              <w:tc>
                <w:tcPr>
                  <w:tcW w:w="417" w:type="dxa"/>
                  <w:tcBorders>
                    <w:bottom w:val="single" w:color="auto" w:sz="12" w:space="0"/>
                  </w:tcBorders>
                  <w:vAlign w:val="center"/>
                </w:tcPr>
                <w:p w14:paraId="407031B9">
                  <w:pPr>
                    <w:pStyle w:val="6"/>
                    <w:keepNext w:val="0"/>
                    <w:keepLines w:val="0"/>
                    <w:suppressLineNumbers w:val="0"/>
                    <w:bidi w:val="0"/>
                    <w:spacing w:before="0" w:beforeAutospacing="0" w:after="0" w:afterAutospacing="0"/>
                    <w:ind w:right="0"/>
                    <w:rPr>
                      <w:rFonts w:hint="eastAsia"/>
                      <w:b/>
                      <w:bCs/>
                      <w:color w:val="auto"/>
                      <w:sz w:val="18"/>
                      <w:szCs w:val="18"/>
                      <w:highlight w:val="none"/>
                      <w:lang w:val="en-US" w:eastAsia="zh-CN"/>
                    </w:rPr>
                  </w:pPr>
                  <w:r>
                    <w:rPr>
                      <w:rFonts w:hint="eastAsia"/>
                      <w:b/>
                      <w:bCs/>
                      <w:color w:val="auto"/>
                      <w:sz w:val="18"/>
                      <w:szCs w:val="18"/>
                      <w:highlight w:val="none"/>
                      <w:lang w:val="en-US" w:eastAsia="zh-CN"/>
                    </w:rPr>
                    <w:t>/</w:t>
                  </w:r>
                </w:p>
              </w:tc>
              <w:tc>
                <w:tcPr>
                  <w:tcW w:w="649" w:type="dxa"/>
                  <w:tcBorders>
                    <w:bottom w:val="single" w:color="auto" w:sz="12" w:space="0"/>
                  </w:tcBorders>
                  <w:vAlign w:val="center"/>
                </w:tcPr>
                <w:p w14:paraId="2EEFCC5F">
                  <w:pPr>
                    <w:pStyle w:val="6"/>
                    <w:keepNext w:val="0"/>
                    <w:keepLines w:val="0"/>
                    <w:suppressLineNumbers w:val="0"/>
                    <w:bidi w:val="0"/>
                    <w:spacing w:before="0" w:beforeAutospacing="0" w:after="0" w:afterAutospacing="0"/>
                    <w:ind w:right="0"/>
                    <w:rPr>
                      <w:rFonts w:hint="eastAsia"/>
                      <w:b/>
                      <w:bCs/>
                      <w:color w:val="auto"/>
                      <w:sz w:val="18"/>
                      <w:szCs w:val="18"/>
                      <w:highlight w:val="none"/>
                      <w:lang w:val="en-US" w:eastAsia="zh-CN"/>
                    </w:rPr>
                  </w:pPr>
                  <w:r>
                    <w:rPr>
                      <w:rFonts w:hint="eastAsia"/>
                      <w:b/>
                      <w:bCs/>
                      <w:color w:val="auto"/>
                      <w:sz w:val="18"/>
                      <w:szCs w:val="18"/>
                      <w:highlight w:val="none"/>
                      <w:lang w:val="en-US" w:eastAsia="zh-CN"/>
                    </w:rPr>
                    <w:t>/</w:t>
                  </w:r>
                </w:p>
              </w:tc>
              <w:tc>
                <w:tcPr>
                  <w:tcW w:w="992" w:type="dxa"/>
                  <w:tcBorders>
                    <w:bottom w:val="single" w:color="auto" w:sz="12" w:space="0"/>
                  </w:tcBorders>
                  <w:vAlign w:val="center"/>
                </w:tcPr>
                <w:p w14:paraId="2714807E">
                  <w:pPr>
                    <w:pStyle w:val="6"/>
                    <w:keepNext w:val="0"/>
                    <w:keepLines w:val="0"/>
                    <w:suppressLineNumbers w:val="0"/>
                    <w:bidi w:val="0"/>
                    <w:spacing w:before="0" w:beforeAutospacing="0" w:after="0" w:afterAutospacing="0"/>
                    <w:ind w:right="0"/>
                    <w:rPr>
                      <w:rFonts w:hint="eastAsia"/>
                      <w:b/>
                      <w:bCs/>
                      <w:color w:val="auto"/>
                      <w:sz w:val="18"/>
                      <w:szCs w:val="18"/>
                      <w:highlight w:val="none"/>
                      <w:lang w:val="en-US" w:eastAsia="zh-CN"/>
                    </w:rPr>
                  </w:pPr>
                  <w:r>
                    <w:rPr>
                      <w:rFonts w:hint="eastAsia"/>
                      <w:b/>
                      <w:bCs/>
                      <w:color w:val="auto"/>
                      <w:sz w:val="18"/>
                      <w:szCs w:val="18"/>
                      <w:highlight w:val="none"/>
                      <w:lang w:val="en-US" w:eastAsia="zh-CN"/>
                    </w:rPr>
                    <w:t>/</w:t>
                  </w:r>
                </w:p>
              </w:tc>
              <w:tc>
                <w:tcPr>
                  <w:tcW w:w="412" w:type="dxa"/>
                  <w:tcBorders>
                    <w:bottom w:val="single" w:color="auto" w:sz="12" w:space="0"/>
                  </w:tcBorders>
                  <w:vAlign w:val="center"/>
                </w:tcPr>
                <w:p w14:paraId="1E910B95">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w:t>
                  </w:r>
                </w:p>
              </w:tc>
              <w:tc>
                <w:tcPr>
                  <w:tcW w:w="1378" w:type="dxa"/>
                  <w:tcBorders>
                    <w:bottom w:val="single" w:color="auto" w:sz="12" w:space="0"/>
                  </w:tcBorders>
                  <w:vAlign w:val="center"/>
                </w:tcPr>
                <w:p w14:paraId="493EA1AE">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r>
                    <w:rPr>
                      <w:rFonts w:hint="default"/>
                      <w:b/>
                      <w:bCs/>
                      <w:color w:val="auto"/>
                      <w:sz w:val="18"/>
                      <w:szCs w:val="18"/>
                      <w:highlight w:val="none"/>
                      <w:lang w:val="en-US" w:eastAsia="zh-CN"/>
                    </w:rPr>
                    <w:t>/</w:t>
                  </w:r>
                </w:p>
              </w:tc>
              <w:tc>
                <w:tcPr>
                  <w:tcW w:w="631" w:type="dxa"/>
                  <w:vMerge w:val="continue"/>
                  <w:tcBorders>
                    <w:bottom w:val="single" w:color="auto" w:sz="12" w:space="0"/>
                  </w:tcBorders>
                  <w:vAlign w:val="center"/>
                </w:tcPr>
                <w:p w14:paraId="642F9034">
                  <w:pPr>
                    <w:pStyle w:val="6"/>
                    <w:keepNext w:val="0"/>
                    <w:keepLines w:val="0"/>
                    <w:suppressLineNumbers w:val="0"/>
                    <w:bidi w:val="0"/>
                    <w:spacing w:before="0" w:beforeAutospacing="0" w:after="0" w:afterAutospacing="0"/>
                    <w:ind w:right="0"/>
                    <w:rPr>
                      <w:rFonts w:hint="default"/>
                      <w:b/>
                      <w:bCs/>
                      <w:color w:val="auto"/>
                      <w:sz w:val="18"/>
                      <w:szCs w:val="18"/>
                      <w:highlight w:val="none"/>
                      <w:lang w:val="en-US" w:eastAsia="zh-CN"/>
                    </w:rPr>
                  </w:pPr>
                </w:p>
              </w:tc>
            </w:tr>
            <w:tr w14:paraId="219C9F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576" w:type="dxa"/>
                  <w:vMerge w:val="restart"/>
                  <w:tcBorders>
                    <w:tl2br w:val="nil"/>
                    <w:tr2bl w:val="nil"/>
                  </w:tcBorders>
                  <w:vAlign w:val="center"/>
                </w:tcPr>
                <w:p w14:paraId="3582D204">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员工生活</w:t>
                  </w:r>
                </w:p>
              </w:tc>
              <w:tc>
                <w:tcPr>
                  <w:tcW w:w="397" w:type="dxa"/>
                  <w:vMerge w:val="restart"/>
                  <w:tcBorders>
                    <w:tl2br w:val="nil"/>
                    <w:tr2bl w:val="nil"/>
                  </w:tcBorders>
                  <w:vAlign w:val="center"/>
                </w:tcPr>
                <w:p w14:paraId="5A7A413B">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生活污水</w:t>
                  </w:r>
                </w:p>
              </w:tc>
              <w:tc>
                <w:tcPr>
                  <w:tcW w:w="746" w:type="dxa"/>
                  <w:tcBorders>
                    <w:tl2br w:val="nil"/>
                    <w:tr2bl w:val="nil"/>
                  </w:tcBorders>
                  <w:vAlign w:val="center"/>
                </w:tcPr>
                <w:p w14:paraId="28B09D72">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default"/>
                      <w:color w:val="auto"/>
                      <w:sz w:val="18"/>
                      <w:szCs w:val="18"/>
                      <w:highlight w:val="none"/>
                      <w:lang w:val="en-US" w:eastAsia="zh-CN"/>
                    </w:rPr>
                    <w:t>pH</w:t>
                  </w:r>
                </w:p>
              </w:tc>
              <w:tc>
                <w:tcPr>
                  <w:tcW w:w="711" w:type="dxa"/>
                  <w:vMerge w:val="restart"/>
                  <w:tcBorders>
                    <w:tl2br w:val="nil"/>
                    <w:tr2bl w:val="nil"/>
                  </w:tcBorders>
                  <w:vAlign w:val="center"/>
                </w:tcPr>
                <w:p w14:paraId="203B4C51">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576</w:t>
                  </w:r>
                </w:p>
              </w:tc>
              <w:tc>
                <w:tcPr>
                  <w:tcW w:w="792" w:type="dxa"/>
                  <w:tcBorders>
                    <w:tl2br w:val="nil"/>
                    <w:tr2bl w:val="nil"/>
                  </w:tcBorders>
                  <w:vAlign w:val="center"/>
                </w:tcPr>
                <w:p w14:paraId="1869345D">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default"/>
                      <w:color w:val="auto"/>
                      <w:sz w:val="18"/>
                      <w:szCs w:val="18"/>
                      <w:highlight w:val="none"/>
                      <w:lang w:val="en-US" w:eastAsia="zh-CN"/>
                    </w:rPr>
                    <w:t>6~9</w:t>
                  </w:r>
                </w:p>
              </w:tc>
              <w:tc>
                <w:tcPr>
                  <w:tcW w:w="787" w:type="dxa"/>
                  <w:tcBorders>
                    <w:tl2br w:val="nil"/>
                    <w:tr2bl w:val="nil"/>
                  </w:tcBorders>
                  <w:vAlign w:val="center"/>
                </w:tcPr>
                <w:p w14:paraId="6FE953E1">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w:t>
                  </w:r>
                </w:p>
              </w:tc>
              <w:tc>
                <w:tcPr>
                  <w:tcW w:w="675" w:type="dxa"/>
                  <w:vMerge w:val="restart"/>
                  <w:tcBorders>
                    <w:tl2br w:val="nil"/>
                    <w:tr2bl w:val="nil"/>
                  </w:tcBorders>
                  <w:vAlign w:val="center"/>
                </w:tcPr>
                <w:p w14:paraId="2FB1DCEA">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40</w:t>
                  </w:r>
                </w:p>
              </w:tc>
              <w:tc>
                <w:tcPr>
                  <w:tcW w:w="576" w:type="dxa"/>
                  <w:vMerge w:val="restart"/>
                  <w:tcBorders>
                    <w:tl2br w:val="nil"/>
                    <w:tr2bl w:val="nil"/>
                  </w:tcBorders>
                  <w:vAlign w:val="center"/>
                </w:tcPr>
                <w:p w14:paraId="1336CE17">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隔油池+化粪池</w:t>
                  </w:r>
                </w:p>
              </w:tc>
              <w:tc>
                <w:tcPr>
                  <w:tcW w:w="546" w:type="dxa"/>
                  <w:tcBorders>
                    <w:tl2br w:val="nil"/>
                    <w:tr2bl w:val="nil"/>
                  </w:tcBorders>
                  <w:vAlign w:val="center"/>
                </w:tcPr>
                <w:p w14:paraId="4E5742D3">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w:t>
                  </w:r>
                </w:p>
              </w:tc>
              <w:tc>
                <w:tcPr>
                  <w:tcW w:w="414" w:type="dxa"/>
                  <w:vMerge w:val="restart"/>
                  <w:tcBorders>
                    <w:tl2br w:val="nil"/>
                    <w:tr2bl w:val="nil"/>
                  </w:tcBorders>
                  <w:vAlign w:val="center"/>
                </w:tcPr>
                <w:p w14:paraId="3C624C56">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是</w:t>
                  </w:r>
                </w:p>
              </w:tc>
              <w:tc>
                <w:tcPr>
                  <w:tcW w:w="711" w:type="dxa"/>
                  <w:vMerge w:val="restart"/>
                  <w:tcBorders>
                    <w:tl2br w:val="nil"/>
                    <w:tr2bl w:val="nil"/>
                  </w:tcBorders>
                  <w:vAlign w:val="center"/>
                </w:tcPr>
                <w:p w14:paraId="405A8F41">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576</w:t>
                  </w:r>
                </w:p>
              </w:tc>
              <w:tc>
                <w:tcPr>
                  <w:tcW w:w="794" w:type="dxa"/>
                  <w:tcBorders>
                    <w:tl2br w:val="nil"/>
                    <w:tr2bl w:val="nil"/>
                  </w:tcBorders>
                  <w:vAlign w:val="center"/>
                </w:tcPr>
                <w:p w14:paraId="2DFC4230">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default"/>
                      <w:color w:val="auto"/>
                      <w:sz w:val="18"/>
                      <w:szCs w:val="18"/>
                      <w:highlight w:val="none"/>
                      <w:lang w:val="en-US" w:eastAsia="zh-CN"/>
                    </w:rPr>
                    <w:t>6~9</w:t>
                  </w:r>
                </w:p>
              </w:tc>
              <w:tc>
                <w:tcPr>
                  <w:tcW w:w="787" w:type="dxa"/>
                  <w:tcBorders>
                    <w:tl2br w:val="nil"/>
                    <w:tr2bl w:val="nil"/>
                  </w:tcBorders>
                  <w:vAlign w:val="center"/>
                </w:tcPr>
                <w:p w14:paraId="5C763EE6">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w:t>
                  </w:r>
                </w:p>
              </w:tc>
              <w:tc>
                <w:tcPr>
                  <w:tcW w:w="407" w:type="dxa"/>
                  <w:vMerge w:val="restart"/>
                  <w:tcBorders>
                    <w:tl2br w:val="nil"/>
                    <w:tr2bl w:val="nil"/>
                  </w:tcBorders>
                  <w:vAlign w:val="center"/>
                </w:tcPr>
                <w:p w14:paraId="5C1685FF">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r>
                    <w:rPr>
                      <w:rFonts w:hint="eastAsia"/>
                      <w:color w:val="auto"/>
                      <w:sz w:val="18"/>
                      <w:szCs w:val="18"/>
                      <w:highlight w:val="none"/>
                      <w:lang w:val="en-US" w:eastAsia="zh-CN"/>
                    </w:rPr>
                    <w:t>间接排放</w:t>
                  </w:r>
                </w:p>
              </w:tc>
              <w:tc>
                <w:tcPr>
                  <w:tcW w:w="417" w:type="dxa"/>
                  <w:vMerge w:val="restart"/>
                  <w:tcBorders>
                    <w:tl2br w:val="nil"/>
                    <w:tr2bl w:val="nil"/>
                  </w:tcBorders>
                  <w:vAlign w:val="center"/>
                </w:tcPr>
                <w:p w14:paraId="6CBE98CC">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default"/>
                      <w:color w:val="auto"/>
                      <w:sz w:val="18"/>
                      <w:szCs w:val="18"/>
                      <w:highlight w:val="none"/>
                      <w:lang w:val="en-US" w:eastAsia="zh-CN"/>
                    </w:rPr>
                    <w:t>江西安义高新技术产业园区污水处理厂</w:t>
                  </w:r>
                </w:p>
              </w:tc>
              <w:tc>
                <w:tcPr>
                  <w:tcW w:w="649" w:type="dxa"/>
                  <w:vMerge w:val="restart"/>
                  <w:tcBorders>
                    <w:tl2br w:val="nil"/>
                    <w:tr2bl w:val="nil"/>
                  </w:tcBorders>
                  <w:vAlign w:val="center"/>
                </w:tcPr>
                <w:p w14:paraId="3E2F7D5D">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default"/>
                      <w:color w:val="auto"/>
                      <w:sz w:val="18"/>
                      <w:szCs w:val="18"/>
                      <w:highlight w:val="none"/>
                      <w:lang w:val="en-US" w:eastAsia="zh-CN"/>
                    </w:rPr>
                    <w:t>间断排放，排放期间流量不稳定，但有周期性规律</w:t>
                  </w:r>
                </w:p>
              </w:tc>
              <w:tc>
                <w:tcPr>
                  <w:tcW w:w="992" w:type="dxa"/>
                  <w:vMerge w:val="restart"/>
                  <w:tcBorders>
                    <w:tl2br w:val="nil"/>
                    <w:tr2bl w:val="nil"/>
                  </w:tcBorders>
                  <w:vAlign w:val="center"/>
                </w:tcPr>
                <w:p w14:paraId="4224636D">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DW001，生活污水排放口（依托）</w:t>
                  </w:r>
                </w:p>
              </w:tc>
              <w:tc>
                <w:tcPr>
                  <w:tcW w:w="412" w:type="dxa"/>
                  <w:vMerge w:val="restart"/>
                  <w:tcBorders>
                    <w:tl2br w:val="nil"/>
                    <w:tr2bl w:val="nil"/>
                  </w:tcBorders>
                  <w:vAlign w:val="center"/>
                </w:tcPr>
                <w:p w14:paraId="4D6213EB">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default"/>
                      <w:color w:val="auto"/>
                      <w:sz w:val="18"/>
                      <w:szCs w:val="18"/>
                      <w:highlight w:val="none"/>
                      <w:lang w:val="en-US" w:eastAsia="zh-CN"/>
                    </w:rPr>
                    <w:t>一般排放口</w:t>
                  </w:r>
                </w:p>
              </w:tc>
              <w:tc>
                <w:tcPr>
                  <w:tcW w:w="1378" w:type="dxa"/>
                  <w:vMerge w:val="restart"/>
                  <w:tcBorders>
                    <w:tl2br w:val="nil"/>
                    <w:tr2bl w:val="nil"/>
                  </w:tcBorders>
                  <w:vAlign w:val="center"/>
                </w:tcPr>
                <w:p w14:paraId="70CC2C19">
                  <w:pPr>
                    <w:pStyle w:val="6"/>
                    <w:keepNext w:val="0"/>
                    <w:keepLines w:val="0"/>
                    <w:suppressLineNumbers w:val="0"/>
                    <w:bidi w:val="0"/>
                    <w:spacing w:before="0" w:beforeAutospacing="0" w:after="0" w:afterAutospacing="0"/>
                    <w:ind w:right="0"/>
                    <w:rPr>
                      <w:rFonts w:hint="default" w:eastAsia="宋体"/>
                      <w:color w:val="auto"/>
                      <w:sz w:val="18"/>
                      <w:szCs w:val="18"/>
                      <w:highlight w:val="none"/>
                      <w:lang w:val="en-US" w:eastAsia="zh-CN"/>
                    </w:rPr>
                  </w:pPr>
                  <w:r>
                    <w:rPr>
                      <w:rFonts w:hint="default"/>
                      <w:color w:val="auto"/>
                      <w:sz w:val="18"/>
                      <w:szCs w:val="18"/>
                      <w:highlight w:val="none"/>
                      <w:lang w:val="en-US" w:eastAsia="zh-CN"/>
                    </w:rPr>
                    <w:t>E</w:t>
                  </w:r>
                  <w:r>
                    <w:rPr>
                      <w:rFonts w:hint="default"/>
                      <w:color w:val="auto"/>
                      <w:sz w:val="18"/>
                      <w:szCs w:val="18"/>
                      <w:highlight w:val="none"/>
                    </w:rPr>
                    <w:t>115</w:t>
                  </w:r>
                  <w:r>
                    <w:rPr>
                      <w:rFonts w:hint="eastAsia"/>
                      <w:color w:val="auto"/>
                      <w:sz w:val="18"/>
                      <w:szCs w:val="18"/>
                      <w:highlight w:val="none"/>
                      <w:lang w:val="en-US" w:eastAsia="zh-CN"/>
                    </w:rPr>
                    <w:t>.592802</w:t>
                  </w:r>
                </w:p>
                <w:p w14:paraId="099F4896">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color w:val="auto"/>
                      <w:sz w:val="18"/>
                      <w:szCs w:val="18"/>
                      <w:highlight w:val="none"/>
                      <w:lang w:val="en-US" w:eastAsia="zh-CN"/>
                    </w:rPr>
                    <w:t>N</w:t>
                  </w:r>
                  <w:r>
                    <w:rPr>
                      <w:rFonts w:hint="default"/>
                      <w:color w:val="auto"/>
                      <w:sz w:val="18"/>
                      <w:szCs w:val="18"/>
                      <w:highlight w:val="none"/>
                    </w:rPr>
                    <w:t>28</w:t>
                  </w:r>
                  <w:r>
                    <w:rPr>
                      <w:rFonts w:hint="eastAsia"/>
                      <w:color w:val="auto"/>
                      <w:sz w:val="18"/>
                      <w:szCs w:val="18"/>
                      <w:highlight w:val="none"/>
                      <w:lang w:val="en-US" w:eastAsia="zh-CN"/>
                    </w:rPr>
                    <w:t>.873459</w:t>
                  </w:r>
                </w:p>
              </w:tc>
              <w:tc>
                <w:tcPr>
                  <w:tcW w:w="631" w:type="dxa"/>
                  <w:tcBorders>
                    <w:tl2br w:val="nil"/>
                    <w:tr2bl w:val="nil"/>
                  </w:tcBorders>
                  <w:vAlign w:val="center"/>
                </w:tcPr>
                <w:p w14:paraId="59ED44FD">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default"/>
                      <w:color w:val="auto"/>
                      <w:sz w:val="18"/>
                      <w:szCs w:val="18"/>
                      <w:highlight w:val="none"/>
                      <w:lang w:val="en-US" w:eastAsia="zh-CN"/>
                    </w:rPr>
                    <w:t>6~9</w:t>
                  </w:r>
                </w:p>
              </w:tc>
            </w:tr>
            <w:tr w14:paraId="1A367A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576" w:type="dxa"/>
                  <w:vMerge w:val="continue"/>
                  <w:tcBorders>
                    <w:tl2br w:val="nil"/>
                    <w:tr2bl w:val="nil"/>
                  </w:tcBorders>
                  <w:vAlign w:val="center"/>
                </w:tcPr>
                <w:p w14:paraId="513ECE33">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397" w:type="dxa"/>
                  <w:vMerge w:val="continue"/>
                  <w:tcBorders>
                    <w:tl2br w:val="nil"/>
                    <w:tr2bl w:val="nil"/>
                  </w:tcBorders>
                  <w:vAlign w:val="center"/>
                </w:tcPr>
                <w:p w14:paraId="38A90E0F">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46" w:type="dxa"/>
                  <w:tcBorders>
                    <w:tl2br w:val="nil"/>
                    <w:tr2bl w:val="nil"/>
                  </w:tcBorders>
                  <w:vAlign w:val="center"/>
                </w:tcPr>
                <w:p w14:paraId="2AC45740">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default"/>
                      <w:color w:val="auto"/>
                      <w:sz w:val="18"/>
                      <w:szCs w:val="18"/>
                      <w:highlight w:val="none"/>
                      <w:lang w:val="en-US" w:eastAsia="zh-CN"/>
                    </w:rPr>
                    <w:t>COD</w:t>
                  </w:r>
                  <w:r>
                    <w:rPr>
                      <w:rFonts w:hint="eastAsia"/>
                      <w:color w:val="auto"/>
                      <w:sz w:val="18"/>
                      <w:szCs w:val="18"/>
                      <w:highlight w:val="none"/>
                      <w:vertAlign w:val="subscript"/>
                      <w:lang w:val="en-US" w:eastAsia="zh-CN"/>
                    </w:rPr>
                    <w:t>Cr</w:t>
                  </w:r>
                </w:p>
              </w:tc>
              <w:tc>
                <w:tcPr>
                  <w:tcW w:w="711" w:type="dxa"/>
                  <w:vMerge w:val="continue"/>
                  <w:tcBorders>
                    <w:tl2br w:val="nil"/>
                    <w:tr2bl w:val="nil"/>
                  </w:tcBorders>
                  <w:vAlign w:val="center"/>
                </w:tcPr>
                <w:p w14:paraId="197BF78C">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2" w:type="dxa"/>
                  <w:tcBorders>
                    <w:tl2br w:val="nil"/>
                    <w:tr2bl w:val="nil"/>
                  </w:tcBorders>
                  <w:vAlign w:val="center"/>
                </w:tcPr>
                <w:p w14:paraId="012CBABA">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25</w:t>
                  </w:r>
                  <w:r>
                    <w:rPr>
                      <w:rFonts w:hint="default"/>
                      <w:color w:val="auto"/>
                      <w:sz w:val="18"/>
                      <w:szCs w:val="18"/>
                      <w:highlight w:val="none"/>
                      <w:lang w:val="en-US" w:eastAsia="zh-CN"/>
                    </w:rPr>
                    <w:t>0</w:t>
                  </w:r>
                </w:p>
              </w:tc>
              <w:tc>
                <w:tcPr>
                  <w:tcW w:w="787" w:type="dxa"/>
                  <w:tcBorders>
                    <w:tl2br w:val="nil"/>
                    <w:tr2bl w:val="nil"/>
                  </w:tcBorders>
                  <w:vAlign w:val="center"/>
                </w:tcPr>
                <w:p w14:paraId="6D1E676B">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0.144</w:t>
                  </w:r>
                </w:p>
              </w:tc>
              <w:tc>
                <w:tcPr>
                  <w:tcW w:w="675" w:type="dxa"/>
                  <w:vMerge w:val="continue"/>
                  <w:tcBorders>
                    <w:tl2br w:val="nil"/>
                    <w:tr2bl w:val="nil"/>
                  </w:tcBorders>
                  <w:vAlign w:val="center"/>
                </w:tcPr>
                <w:p w14:paraId="27CCA4A1">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76" w:type="dxa"/>
                  <w:vMerge w:val="continue"/>
                  <w:tcBorders>
                    <w:tl2br w:val="nil"/>
                    <w:tr2bl w:val="nil"/>
                  </w:tcBorders>
                  <w:vAlign w:val="center"/>
                </w:tcPr>
                <w:p w14:paraId="414B9173">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46" w:type="dxa"/>
                  <w:tcBorders>
                    <w:tl2br w:val="nil"/>
                    <w:tr2bl w:val="nil"/>
                  </w:tcBorders>
                  <w:vAlign w:val="center"/>
                </w:tcPr>
                <w:p w14:paraId="757498F6">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20</w:t>
                  </w:r>
                </w:p>
              </w:tc>
              <w:tc>
                <w:tcPr>
                  <w:tcW w:w="414" w:type="dxa"/>
                  <w:vMerge w:val="continue"/>
                  <w:tcBorders>
                    <w:tl2br w:val="nil"/>
                    <w:tr2bl w:val="nil"/>
                  </w:tcBorders>
                  <w:vAlign w:val="center"/>
                </w:tcPr>
                <w:p w14:paraId="036A5E7A">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11" w:type="dxa"/>
                  <w:vMerge w:val="continue"/>
                  <w:tcBorders>
                    <w:tl2br w:val="nil"/>
                    <w:tr2bl w:val="nil"/>
                  </w:tcBorders>
                  <w:vAlign w:val="center"/>
                </w:tcPr>
                <w:p w14:paraId="312330E6">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4" w:type="dxa"/>
                  <w:tcBorders>
                    <w:tl2br w:val="nil"/>
                    <w:tr2bl w:val="nil"/>
                  </w:tcBorders>
                  <w:vAlign w:val="center"/>
                </w:tcPr>
                <w:p w14:paraId="7A2DD4CB">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default"/>
                      <w:color w:val="auto"/>
                      <w:sz w:val="18"/>
                      <w:szCs w:val="18"/>
                      <w:highlight w:val="none"/>
                      <w:lang w:val="en-US" w:eastAsia="zh-CN"/>
                    </w:rPr>
                    <w:t>200</w:t>
                  </w:r>
                </w:p>
              </w:tc>
              <w:tc>
                <w:tcPr>
                  <w:tcW w:w="787" w:type="dxa"/>
                  <w:tcBorders>
                    <w:tl2br w:val="nil"/>
                    <w:tr2bl w:val="nil"/>
                  </w:tcBorders>
                  <w:vAlign w:val="center"/>
                </w:tcPr>
                <w:p w14:paraId="190757DD">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0.115</w:t>
                  </w:r>
                </w:p>
              </w:tc>
              <w:tc>
                <w:tcPr>
                  <w:tcW w:w="407" w:type="dxa"/>
                  <w:vMerge w:val="continue"/>
                  <w:tcBorders>
                    <w:tl2br w:val="nil"/>
                    <w:tr2bl w:val="nil"/>
                  </w:tcBorders>
                  <w:vAlign w:val="center"/>
                </w:tcPr>
                <w:p w14:paraId="5373D444">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7" w:type="dxa"/>
                  <w:vMerge w:val="continue"/>
                  <w:tcBorders>
                    <w:tl2br w:val="nil"/>
                    <w:tr2bl w:val="nil"/>
                  </w:tcBorders>
                  <w:vAlign w:val="center"/>
                </w:tcPr>
                <w:p w14:paraId="6554F50D">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649" w:type="dxa"/>
                  <w:vMerge w:val="continue"/>
                  <w:tcBorders>
                    <w:tl2br w:val="nil"/>
                    <w:tr2bl w:val="nil"/>
                  </w:tcBorders>
                  <w:vAlign w:val="center"/>
                </w:tcPr>
                <w:p w14:paraId="4E3D0660">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992" w:type="dxa"/>
                  <w:vMerge w:val="continue"/>
                  <w:tcBorders>
                    <w:tl2br w:val="nil"/>
                    <w:tr2bl w:val="nil"/>
                  </w:tcBorders>
                  <w:vAlign w:val="center"/>
                </w:tcPr>
                <w:p w14:paraId="7C4A0727">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2" w:type="dxa"/>
                  <w:vMerge w:val="continue"/>
                  <w:tcBorders>
                    <w:tl2br w:val="nil"/>
                    <w:tr2bl w:val="nil"/>
                  </w:tcBorders>
                  <w:vAlign w:val="center"/>
                </w:tcPr>
                <w:p w14:paraId="2A6605BE">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1378" w:type="dxa"/>
                  <w:vMerge w:val="continue"/>
                  <w:tcBorders>
                    <w:tl2br w:val="nil"/>
                    <w:tr2bl w:val="nil"/>
                  </w:tcBorders>
                  <w:vAlign w:val="center"/>
                </w:tcPr>
                <w:p w14:paraId="6603EC9F">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p>
              </w:tc>
              <w:tc>
                <w:tcPr>
                  <w:tcW w:w="631" w:type="dxa"/>
                  <w:tcBorders>
                    <w:tl2br w:val="nil"/>
                    <w:tr2bl w:val="nil"/>
                  </w:tcBorders>
                  <w:vAlign w:val="center"/>
                </w:tcPr>
                <w:p w14:paraId="1110C621">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500</w:t>
                  </w:r>
                </w:p>
              </w:tc>
            </w:tr>
            <w:tr w14:paraId="6F7C98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576" w:type="dxa"/>
                  <w:vMerge w:val="continue"/>
                  <w:tcBorders>
                    <w:tl2br w:val="nil"/>
                    <w:tr2bl w:val="nil"/>
                  </w:tcBorders>
                  <w:vAlign w:val="center"/>
                </w:tcPr>
                <w:p w14:paraId="08E47F62">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397" w:type="dxa"/>
                  <w:vMerge w:val="continue"/>
                  <w:tcBorders>
                    <w:tl2br w:val="nil"/>
                    <w:tr2bl w:val="nil"/>
                  </w:tcBorders>
                  <w:vAlign w:val="center"/>
                </w:tcPr>
                <w:p w14:paraId="6B01D95C">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46" w:type="dxa"/>
                  <w:tcBorders>
                    <w:tl2br w:val="nil"/>
                    <w:tr2bl w:val="nil"/>
                  </w:tcBorders>
                  <w:vAlign w:val="center"/>
                </w:tcPr>
                <w:p w14:paraId="53C06C79">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default"/>
                      <w:color w:val="auto"/>
                      <w:sz w:val="18"/>
                      <w:szCs w:val="18"/>
                      <w:highlight w:val="none"/>
                      <w:lang w:val="en-US" w:eastAsia="zh-CN"/>
                    </w:rPr>
                    <w:t>BOD</w:t>
                  </w:r>
                  <w:r>
                    <w:rPr>
                      <w:rFonts w:hint="eastAsia"/>
                      <w:color w:val="auto"/>
                      <w:sz w:val="18"/>
                      <w:szCs w:val="18"/>
                      <w:highlight w:val="none"/>
                      <w:vertAlign w:val="subscript"/>
                      <w:lang w:val="en-US" w:eastAsia="zh-CN"/>
                    </w:rPr>
                    <w:t>5</w:t>
                  </w:r>
                </w:p>
              </w:tc>
              <w:tc>
                <w:tcPr>
                  <w:tcW w:w="711" w:type="dxa"/>
                  <w:vMerge w:val="continue"/>
                  <w:tcBorders>
                    <w:tl2br w:val="nil"/>
                    <w:tr2bl w:val="nil"/>
                  </w:tcBorders>
                  <w:vAlign w:val="center"/>
                </w:tcPr>
                <w:p w14:paraId="3D03B706">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2" w:type="dxa"/>
                  <w:tcBorders>
                    <w:tl2br w:val="nil"/>
                    <w:tr2bl w:val="nil"/>
                  </w:tcBorders>
                  <w:vAlign w:val="center"/>
                </w:tcPr>
                <w:p w14:paraId="14D45155">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10</w:t>
                  </w:r>
                  <w:r>
                    <w:rPr>
                      <w:rFonts w:hint="default"/>
                      <w:color w:val="auto"/>
                      <w:sz w:val="18"/>
                      <w:szCs w:val="18"/>
                      <w:highlight w:val="none"/>
                      <w:lang w:val="en-US" w:eastAsia="zh-CN"/>
                    </w:rPr>
                    <w:t>0</w:t>
                  </w:r>
                </w:p>
              </w:tc>
              <w:tc>
                <w:tcPr>
                  <w:tcW w:w="787" w:type="dxa"/>
                  <w:tcBorders>
                    <w:tl2br w:val="nil"/>
                    <w:tr2bl w:val="nil"/>
                  </w:tcBorders>
                  <w:vAlign w:val="center"/>
                </w:tcPr>
                <w:p w14:paraId="2399C5B1">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0.058</w:t>
                  </w:r>
                </w:p>
              </w:tc>
              <w:tc>
                <w:tcPr>
                  <w:tcW w:w="675" w:type="dxa"/>
                  <w:vMerge w:val="continue"/>
                  <w:tcBorders>
                    <w:tl2br w:val="nil"/>
                    <w:tr2bl w:val="nil"/>
                  </w:tcBorders>
                  <w:vAlign w:val="center"/>
                </w:tcPr>
                <w:p w14:paraId="66A08125">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76" w:type="dxa"/>
                  <w:vMerge w:val="continue"/>
                  <w:tcBorders>
                    <w:tl2br w:val="nil"/>
                    <w:tr2bl w:val="nil"/>
                  </w:tcBorders>
                  <w:vAlign w:val="center"/>
                </w:tcPr>
                <w:p w14:paraId="51225AB1">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46" w:type="dxa"/>
                  <w:tcBorders>
                    <w:tl2br w:val="nil"/>
                    <w:tr2bl w:val="nil"/>
                  </w:tcBorders>
                  <w:vAlign w:val="center"/>
                </w:tcPr>
                <w:p w14:paraId="236A45D1">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20</w:t>
                  </w:r>
                </w:p>
              </w:tc>
              <w:tc>
                <w:tcPr>
                  <w:tcW w:w="414" w:type="dxa"/>
                  <w:vMerge w:val="continue"/>
                  <w:tcBorders>
                    <w:tl2br w:val="nil"/>
                    <w:tr2bl w:val="nil"/>
                  </w:tcBorders>
                  <w:vAlign w:val="center"/>
                </w:tcPr>
                <w:p w14:paraId="490E2A6C">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11" w:type="dxa"/>
                  <w:vMerge w:val="continue"/>
                  <w:tcBorders>
                    <w:tl2br w:val="nil"/>
                    <w:tr2bl w:val="nil"/>
                  </w:tcBorders>
                  <w:vAlign w:val="center"/>
                </w:tcPr>
                <w:p w14:paraId="5677595B">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4" w:type="dxa"/>
                  <w:tcBorders>
                    <w:tl2br w:val="nil"/>
                    <w:tr2bl w:val="nil"/>
                  </w:tcBorders>
                  <w:vAlign w:val="center"/>
                </w:tcPr>
                <w:p w14:paraId="421153C1">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80</w:t>
                  </w:r>
                </w:p>
              </w:tc>
              <w:tc>
                <w:tcPr>
                  <w:tcW w:w="787" w:type="dxa"/>
                  <w:tcBorders>
                    <w:tl2br w:val="nil"/>
                    <w:tr2bl w:val="nil"/>
                  </w:tcBorders>
                  <w:vAlign w:val="center"/>
                </w:tcPr>
                <w:p w14:paraId="0CE596F8">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0.046</w:t>
                  </w:r>
                </w:p>
              </w:tc>
              <w:tc>
                <w:tcPr>
                  <w:tcW w:w="407" w:type="dxa"/>
                  <w:vMerge w:val="continue"/>
                  <w:tcBorders>
                    <w:tl2br w:val="nil"/>
                    <w:tr2bl w:val="nil"/>
                  </w:tcBorders>
                  <w:vAlign w:val="center"/>
                </w:tcPr>
                <w:p w14:paraId="223FD844">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7" w:type="dxa"/>
                  <w:vMerge w:val="continue"/>
                  <w:tcBorders>
                    <w:tl2br w:val="nil"/>
                    <w:tr2bl w:val="nil"/>
                  </w:tcBorders>
                  <w:vAlign w:val="center"/>
                </w:tcPr>
                <w:p w14:paraId="322100F0">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649" w:type="dxa"/>
                  <w:vMerge w:val="continue"/>
                  <w:tcBorders>
                    <w:tl2br w:val="nil"/>
                    <w:tr2bl w:val="nil"/>
                  </w:tcBorders>
                  <w:vAlign w:val="center"/>
                </w:tcPr>
                <w:p w14:paraId="41302962">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992" w:type="dxa"/>
                  <w:vMerge w:val="continue"/>
                  <w:tcBorders>
                    <w:tl2br w:val="nil"/>
                    <w:tr2bl w:val="nil"/>
                  </w:tcBorders>
                  <w:vAlign w:val="center"/>
                </w:tcPr>
                <w:p w14:paraId="70CB1703">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2" w:type="dxa"/>
                  <w:vMerge w:val="continue"/>
                  <w:tcBorders>
                    <w:tl2br w:val="nil"/>
                    <w:tr2bl w:val="nil"/>
                  </w:tcBorders>
                  <w:vAlign w:val="center"/>
                </w:tcPr>
                <w:p w14:paraId="42709905">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1378" w:type="dxa"/>
                  <w:vMerge w:val="continue"/>
                  <w:tcBorders>
                    <w:tl2br w:val="nil"/>
                    <w:tr2bl w:val="nil"/>
                  </w:tcBorders>
                  <w:vAlign w:val="center"/>
                </w:tcPr>
                <w:p w14:paraId="2F2C81FF">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p>
              </w:tc>
              <w:tc>
                <w:tcPr>
                  <w:tcW w:w="631" w:type="dxa"/>
                  <w:tcBorders>
                    <w:tl2br w:val="nil"/>
                    <w:tr2bl w:val="nil"/>
                  </w:tcBorders>
                  <w:vAlign w:val="center"/>
                </w:tcPr>
                <w:p w14:paraId="06B3F668">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300</w:t>
                  </w:r>
                </w:p>
              </w:tc>
            </w:tr>
            <w:tr w14:paraId="08E96C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576" w:type="dxa"/>
                  <w:vMerge w:val="continue"/>
                  <w:tcBorders>
                    <w:tl2br w:val="nil"/>
                    <w:tr2bl w:val="nil"/>
                  </w:tcBorders>
                  <w:vAlign w:val="center"/>
                </w:tcPr>
                <w:p w14:paraId="03C0AD0F">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397" w:type="dxa"/>
                  <w:vMerge w:val="continue"/>
                  <w:tcBorders>
                    <w:tl2br w:val="nil"/>
                    <w:tr2bl w:val="nil"/>
                  </w:tcBorders>
                  <w:vAlign w:val="center"/>
                </w:tcPr>
                <w:p w14:paraId="5F0ECC03">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46" w:type="dxa"/>
                  <w:tcBorders>
                    <w:tl2br w:val="nil"/>
                    <w:tr2bl w:val="nil"/>
                  </w:tcBorders>
                  <w:vAlign w:val="center"/>
                </w:tcPr>
                <w:p w14:paraId="204FFBBF">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default"/>
                      <w:color w:val="auto"/>
                      <w:sz w:val="18"/>
                      <w:szCs w:val="18"/>
                      <w:highlight w:val="none"/>
                      <w:lang w:val="en-US" w:eastAsia="zh-CN"/>
                    </w:rPr>
                    <w:t>SS</w:t>
                  </w:r>
                </w:p>
              </w:tc>
              <w:tc>
                <w:tcPr>
                  <w:tcW w:w="711" w:type="dxa"/>
                  <w:vMerge w:val="continue"/>
                  <w:tcBorders>
                    <w:tl2br w:val="nil"/>
                    <w:tr2bl w:val="nil"/>
                  </w:tcBorders>
                  <w:vAlign w:val="center"/>
                </w:tcPr>
                <w:p w14:paraId="1B313AA4">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2" w:type="dxa"/>
                  <w:tcBorders>
                    <w:tl2br w:val="nil"/>
                    <w:tr2bl w:val="nil"/>
                  </w:tcBorders>
                  <w:vAlign w:val="center"/>
                </w:tcPr>
                <w:p w14:paraId="05227156">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150</w:t>
                  </w:r>
                </w:p>
              </w:tc>
              <w:tc>
                <w:tcPr>
                  <w:tcW w:w="787" w:type="dxa"/>
                  <w:tcBorders>
                    <w:tl2br w:val="nil"/>
                    <w:tr2bl w:val="nil"/>
                  </w:tcBorders>
                  <w:vAlign w:val="center"/>
                </w:tcPr>
                <w:p w14:paraId="52B2E9B9">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0.086</w:t>
                  </w:r>
                </w:p>
              </w:tc>
              <w:tc>
                <w:tcPr>
                  <w:tcW w:w="675" w:type="dxa"/>
                  <w:vMerge w:val="continue"/>
                  <w:tcBorders>
                    <w:tl2br w:val="nil"/>
                    <w:tr2bl w:val="nil"/>
                  </w:tcBorders>
                  <w:vAlign w:val="center"/>
                </w:tcPr>
                <w:p w14:paraId="4EB54196">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76" w:type="dxa"/>
                  <w:vMerge w:val="continue"/>
                  <w:tcBorders>
                    <w:tl2br w:val="nil"/>
                    <w:tr2bl w:val="nil"/>
                  </w:tcBorders>
                  <w:vAlign w:val="center"/>
                </w:tcPr>
                <w:p w14:paraId="67C50638">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46" w:type="dxa"/>
                  <w:tcBorders>
                    <w:tl2br w:val="nil"/>
                    <w:tr2bl w:val="nil"/>
                  </w:tcBorders>
                  <w:vAlign w:val="center"/>
                </w:tcPr>
                <w:p w14:paraId="30EDDB30">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30</w:t>
                  </w:r>
                </w:p>
              </w:tc>
              <w:tc>
                <w:tcPr>
                  <w:tcW w:w="414" w:type="dxa"/>
                  <w:vMerge w:val="continue"/>
                  <w:tcBorders>
                    <w:tl2br w:val="nil"/>
                    <w:tr2bl w:val="nil"/>
                  </w:tcBorders>
                  <w:vAlign w:val="center"/>
                </w:tcPr>
                <w:p w14:paraId="2DAB033A">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11" w:type="dxa"/>
                  <w:vMerge w:val="continue"/>
                  <w:tcBorders>
                    <w:tl2br w:val="nil"/>
                    <w:tr2bl w:val="nil"/>
                  </w:tcBorders>
                  <w:vAlign w:val="center"/>
                </w:tcPr>
                <w:p w14:paraId="16349B7A">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4" w:type="dxa"/>
                  <w:tcBorders>
                    <w:tl2br w:val="nil"/>
                    <w:tr2bl w:val="nil"/>
                  </w:tcBorders>
                  <w:vAlign w:val="center"/>
                </w:tcPr>
                <w:p w14:paraId="2D2CCA61">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default"/>
                      <w:color w:val="auto"/>
                      <w:sz w:val="18"/>
                      <w:szCs w:val="18"/>
                      <w:highlight w:val="none"/>
                      <w:lang w:val="en-US" w:eastAsia="zh-CN"/>
                    </w:rPr>
                    <w:t>1</w:t>
                  </w:r>
                  <w:r>
                    <w:rPr>
                      <w:rFonts w:hint="eastAsia"/>
                      <w:color w:val="auto"/>
                      <w:sz w:val="18"/>
                      <w:szCs w:val="18"/>
                      <w:highlight w:val="none"/>
                      <w:lang w:val="en-US" w:eastAsia="zh-CN"/>
                    </w:rPr>
                    <w:t>05</w:t>
                  </w:r>
                </w:p>
              </w:tc>
              <w:tc>
                <w:tcPr>
                  <w:tcW w:w="787" w:type="dxa"/>
                  <w:tcBorders>
                    <w:tl2br w:val="nil"/>
                    <w:tr2bl w:val="nil"/>
                  </w:tcBorders>
                  <w:vAlign w:val="center"/>
                </w:tcPr>
                <w:p w14:paraId="3AB7B1C9">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0.060</w:t>
                  </w:r>
                </w:p>
              </w:tc>
              <w:tc>
                <w:tcPr>
                  <w:tcW w:w="407" w:type="dxa"/>
                  <w:vMerge w:val="continue"/>
                  <w:tcBorders>
                    <w:tl2br w:val="nil"/>
                    <w:tr2bl w:val="nil"/>
                  </w:tcBorders>
                  <w:vAlign w:val="center"/>
                </w:tcPr>
                <w:p w14:paraId="13E620F6">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7" w:type="dxa"/>
                  <w:vMerge w:val="continue"/>
                  <w:tcBorders>
                    <w:tl2br w:val="nil"/>
                    <w:tr2bl w:val="nil"/>
                  </w:tcBorders>
                  <w:vAlign w:val="center"/>
                </w:tcPr>
                <w:p w14:paraId="6F4269C1">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649" w:type="dxa"/>
                  <w:vMerge w:val="continue"/>
                  <w:tcBorders>
                    <w:tl2br w:val="nil"/>
                    <w:tr2bl w:val="nil"/>
                  </w:tcBorders>
                  <w:vAlign w:val="center"/>
                </w:tcPr>
                <w:p w14:paraId="0E594C96">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992" w:type="dxa"/>
                  <w:vMerge w:val="continue"/>
                  <w:tcBorders>
                    <w:tl2br w:val="nil"/>
                    <w:tr2bl w:val="nil"/>
                  </w:tcBorders>
                  <w:vAlign w:val="center"/>
                </w:tcPr>
                <w:p w14:paraId="00FD96EB">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2" w:type="dxa"/>
                  <w:vMerge w:val="continue"/>
                  <w:tcBorders>
                    <w:tl2br w:val="nil"/>
                    <w:tr2bl w:val="nil"/>
                  </w:tcBorders>
                  <w:vAlign w:val="center"/>
                </w:tcPr>
                <w:p w14:paraId="57ECAFD3">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1378" w:type="dxa"/>
                  <w:vMerge w:val="continue"/>
                  <w:tcBorders>
                    <w:tl2br w:val="nil"/>
                    <w:tr2bl w:val="nil"/>
                  </w:tcBorders>
                  <w:vAlign w:val="center"/>
                </w:tcPr>
                <w:p w14:paraId="500D5A92">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p>
              </w:tc>
              <w:tc>
                <w:tcPr>
                  <w:tcW w:w="631" w:type="dxa"/>
                  <w:tcBorders>
                    <w:tl2br w:val="nil"/>
                    <w:tr2bl w:val="nil"/>
                  </w:tcBorders>
                  <w:vAlign w:val="center"/>
                </w:tcPr>
                <w:p w14:paraId="77580277">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300</w:t>
                  </w:r>
                </w:p>
              </w:tc>
            </w:tr>
            <w:tr w14:paraId="32788F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576" w:type="dxa"/>
                  <w:vMerge w:val="continue"/>
                  <w:tcBorders>
                    <w:tl2br w:val="nil"/>
                    <w:tr2bl w:val="nil"/>
                  </w:tcBorders>
                  <w:vAlign w:val="center"/>
                </w:tcPr>
                <w:p w14:paraId="79F30231">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397" w:type="dxa"/>
                  <w:vMerge w:val="continue"/>
                  <w:tcBorders>
                    <w:tl2br w:val="nil"/>
                    <w:tr2bl w:val="nil"/>
                  </w:tcBorders>
                  <w:vAlign w:val="center"/>
                </w:tcPr>
                <w:p w14:paraId="73323CE7">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46" w:type="dxa"/>
                  <w:tcBorders>
                    <w:tl2br w:val="nil"/>
                    <w:tr2bl w:val="nil"/>
                  </w:tcBorders>
                  <w:vAlign w:val="center"/>
                </w:tcPr>
                <w:p w14:paraId="4A96667E">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default"/>
                      <w:color w:val="auto"/>
                      <w:sz w:val="18"/>
                      <w:szCs w:val="18"/>
                      <w:highlight w:val="none"/>
                      <w:lang w:val="en-US" w:eastAsia="zh-CN"/>
                    </w:rPr>
                    <w:t>NH</w:t>
                  </w:r>
                  <w:r>
                    <w:rPr>
                      <w:rFonts w:hint="eastAsia"/>
                      <w:color w:val="auto"/>
                      <w:sz w:val="18"/>
                      <w:szCs w:val="18"/>
                      <w:highlight w:val="none"/>
                      <w:vertAlign w:val="subscript"/>
                      <w:lang w:val="en-US" w:eastAsia="zh-CN"/>
                    </w:rPr>
                    <w:t>3</w:t>
                  </w:r>
                  <w:r>
                    <w:rPr>
                      <w:rFonts w:hint="eastAsia"/>
                      <w:color w:val="auto"/>
                      <w:sz w:val="18"/>
                      <w:szCs w:val="18"/>
                      <w:highlight w:val="none"/>
                      <w:lang w:val="en-US" w:eastAsia="zh-CN"/>
                    </w:rPr>
                    <w:t>-N</w:t>
                  </w:r>
                </w:p>
              </w:tc>
              <w:tc>
                <w:tcPr>
                  <w:tcW w:w="711" w:type="dxa"/>
                  <w:vMerge w:val="continue"/>
                  <w:tcBorders>
                    <w:tl2br w:val="nil"/>
                    <w:tr2bl w:val="nil"/>
                  </w:tcBorders>
                  <w:vAlign w:val="center"/>
                </w:tcPr>
                <w:p w14:paraId="53EED6B5">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2" w:type="dxa"/>
                  <w:tcBorders>
                    <w:tl2br w:val="nil"/>
                    <w:tr2bl w:val="nil"/>
                  </w:tcBorders>
                  <w:vAlign w:val="center"/>
                </w:tcPr>
                <w:p w14:paraId="66B45D91">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default"/>
                      <w:color w:val="auto"/>
                      <w:sz w:val="18"/>
                      <w:szCs w:val="18"/>
                      <w:highlight w:val="none"/>
                      <w:lang w:val="en-US" w:eastAsia="zh-CN"/>
                    </w:rPr>
                    <w:t>25</w:t>
                  </w:r>
                </w:p>
              </w:tc>
              <w:tc>
                <w:tcPr>
                  <w:tcW w:w="787" w:type="dxa"/>
                  <w:tcBorders>
                    <w:tl2br w:val="nil"/>
                    <w:tr2bl w:val="nil"/>
                  </w:tcBorders>
                  <w:vAlign w:val="center"/>
                </w:tcPr>
                <w:p w14:paraId="7F79DEAD">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0.014</w:t>
                  </w:r>
                </w:p>
              </w:tc>
              <w:tc>
                <w:tcPr>
                  <w:tcW w:w="675" w:type="dxa"/>
                  <w:vMerge w:val="continue"/>
                  <w:tcBorders>
                    <w:tl2br w:val="nil"/>
                    <w:tr2bl w:val="nil"/>
                  </w:tcBorders>
                  <w:vAlign w:val="center"/>
                </w:tcPr>
                <w:p w14:paraId="792B7102">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76" w:type="dxa"/>
                  <w:vMerge w:val="continue"/>
                  <w:tcBorders>
                    <w:tl2br w:val="nil"/>
                    <w:tr2bl w:val="nil"/>
                  </w:tcBorders>
                  <w:vAlign w:val="center"/>
                </w:tcPr>
                <w:p w14:paraId="4B4165B0">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46" w:type="dxa"/>
                  <w:tcBorders>
                    <w:tl2br w:val="nil"/>
                    <w:tr2bl w:val="nil"/>
                  </w:tcBorders>
                  <w:vAlign w:val="center"/>
                </w:tcPr>
                <w:p w14:paraId="5A328FBC">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w:t>
                  </w:r>
                </w:p>
              </w:tc>
              <w:tc>
                <w:tcPr>
                  <w:tcW w:w="414" w:type="dxa"/>
                  <w:vMerge w:val="continue"/>
                  <w:tcBorders>
                    <w:tl2br w:val="nil"/>
                    <w:tr2bl w:val="nil"/>
                  </w:tcBorders>
                  <w:vAlign w:val="center"/>
                </w:tcPr>
                <w:p w14:paraId="35628D3B">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11" w:type="dxa"/>
                  <w:vMerge w:val="continue"/>
                  <w:tcBorders>
                    <w:tl2br w:val="nil"/>
                    <w:tr2bl w:val="nil"/>
                  </w:tcBorders>
                  <w:vAlign w:val="center"/>
                </w:tcPr>
                <w:p w14:paraId="6125C175">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4" w:type="dxa"/>
                  <w:tcBorders>
                    <w:tl2br w:val="nil"/>
                    <w:tr2bl w:val="nil"/>
                  </w:tcBorders>
                  <w:vAlign w:val="center"/>
                </w:tcPr>
                <w:p w14:paraId="0C779017">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default"/>
                      <w:color w:val="auto"/>
                      <w:sz w:val="18"/>
                      <w:szCs w:val="18"/>
                      <w:highlight w:val="none"/>
                      <w:lang w:val="en-US" w:eastAsia="zh-CN"/>
                    </w:rPr>
                    <w:t>25</w:t>
                  </w:r>
                </w:p>
              </w:tc>
              <w:tc>
                <w:tcPr>
                  <w:tcW w:w="787" w:type="dxa"/>
                  <w:tcBorders>
                    <w:tl2br w:val="nil"/>
                    <w:tr2bl w:val="nil"/>
                  </w:tcBorders>
                  <w:vAlign w:val="center"/>
                </w:tcPr>
                <w:p w14:paraId="5543ECCF">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0.014</w:t>
                  </w:r>
                </w:p>
              </w:tc>
              <w:tc>
                <w:tcPr>
                  <w:tcW w:w="407" w:type="dxa"/>
                  <w:vMerge w:val="continue"/>
                  <w:tcBorders>
                    <w:tl2br w:val="nil"/>
                    <w:tr2bl w:val="nil"/>
                  </w:tcBorders>
                  <w:vAlign w:val="center"/>
                </w:tcPr>
                <w:p w14:paraId="4F9E9FD6">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7" w:type="dxa"/>
                  <w:vMerge w:val="continue"/>
                  <w:tcBorders>
                    <w:tl2br w:val="nil"/>
                    <w:tr2bl w:val="nil"/>
                  </w:tcBorders>
                  <w:vAlign w:val="center"/>
                </w:tcPr>
                <w:p w14:paraId="7393A7F5">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649" w:type="dxa"/>
                  <w:vMerge w:val="continue"/>
                  <w:tcBorders>
                    <w:tl2br w:val="nil"/>
                    <w:tr2bl w:val="nil"/>
                  </w:tcBorders>
                  <w:vAlign w:val="center"/>
                </w:tcPr>
                <w:p w14:paraId="2D56FC80">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992" w:type="dxa"/>
                  <w:vMerge w:val="continue"/>
                  <w:tcBorders>
                    <w:tl2br w:val="nil"/>
                    <w:tr2bl w:val="nil"/>
                  </w:tcBorders>
                  <w:vAlign w:val="center"/>
                </w:tcPr>
                <w:p w14:paraId="1681760D">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2" w:type="dxa"/>
                  <w:vMerge w:val="continue"/>
                  <w:tcBorders>
                    <w:tl2br w:val="nil"/>
                    <w:tr2bl w:val="nil"/>
                  </w:tcBorders>
                  <w:vAlign w:val="center"/>
                </w:tcPr>
                <w:p w14:paraId="4CC0981F">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1378" w:type="dxa"/>
                  <w:vMerge w:val="continue"/>
                  <w:tcBorders>
                    <w:tl2br w:val="nil"/>
                    <w:tr2bl w:val="nil"/>
                  </w:tcBorders>
                  <w:vAlign w:val="center"/>
                </w:tcPr>
                <w:p w14:paraId="154A8466">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p>
              </w:tc>
              <w:tc>
                <w:tcPr>
                  <w:tcW w:w="631" w:type="dxa"/>
                  <w:tcBorders>
                    <w:tl2br w:val="nil"/>
                    <w:tr2bl w:val="nil"/>
                  </w:tcBorders>
                  <w:vAlign w:val="center"/>
                </w:tcPr>
                <w:p w14:paraId="550E2868">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45</w:t>
                  </w:r>
                </w:p>
              </w:tc>
            </w:tr>
            <w:tr w14:paraId="15E770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576" w:type="dxa"/>
                  <w:vMerge w:val="continue"/>
                  <w:tcBorders>
                    <w:tl2br w:val="nil"/>
                    <w:tr2bl w:val="nil"/>
                  </w:tcBorders>
                  <w:vAlign w:val="center"/>
                </w:tcPr>
                <w:p w14:paraId="4E81532A">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397" w:type="dxa"/>
                  <w:vMerge w:val="continue"/>
                  <w:tcBorders>
                    <w:tl2br w:val="nil"/>
                    <w:tr2bl w:val="nil"/>
                  </w:tcBorders>
                  <w:vAlign w:val="center"/>
                </w:tcPr>
                <w:p w14:paraId="50EC500A">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46" w:type="dxa"/>
                  <w:tcBorders>
                    <w:tl2br w:val="nil"/>
                    <w:tr2bl w:val="nil"/>
                  </w:tcBorders>
                  <w:vAlign w:val="center"/>
                </w:tcPr>
                <w:p w14:paraId="4E658F1A">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TP</w:t>
                  </w:r>
                </w:p>
              </w:tc>
              <w:tc>
                <w:tcPr>
                  <w:tcW w:w="711" w:type="dxa"/>
                  <w:vMerge w:val="continue"/>
                  <w:tcBorders>
                    <w:tl2br w:val="nil"/>
                    <w:tr2bl w:val="nil"/>
                  </w:tcBorders>
                  <w:vAlign w:val="center"/>
                </w:tcPr>
                <w:p w14:paraId="6DF42FB4">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2" w:type="dxa"/>
                  <w:tcBorders>
                    <w:tl2br w:val="nil"/>
                    <w:tr2bl w:val="nil"/>
                  </w:tcBorders>
                  <w:shd w:val="clear" w:color="auto" w:fill="auto"/>
                  <w:vAlign w:val="center"/>
                </w:tcPr>
                <w:p w14:paraId="59336B27">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color w:val="auto"/>
                      <w:sz w:val="18"/>
                      <w:szCs w:val="18"/>
                      <w:highlight w:val="none"/>
                      <w:lang w:val="en-US" w:eastAsia="zh-CN"/>
                    </w:rPr>
                    <w:t>5</w:t>
                  </w:r>
                </w:p>
              </w:tc>
              <w:tc>
                <w:tcPr>
                  <w:tcW w:w="787" w:type="dxa"/>
                  <w:tcBorders>
                    <w:tl2br w:val="nil"/>
                    <w:tr2bl w:val="nil"/>
                  </w:tcBorders>
                  <w:shd w:val="clear" w:color="auto" w:fill="auto"/>
                  <w:vAlign w:val="center"/>
                </w:tcPr>
                <w:p w14:paraId="236B2245">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color w:val="auto"/>
                      <w:sz w:val="18"/>
                      <w:szCs w:val="18"/>
                      <w:highlight w:val="none"/>
                      <w:lang w:val="en-US" w:eastAsia="zh-CN"/>
                    </w:rPr>
                    <w:t>0.003</w:t>
                  </w:r>
                </w:p>
              </w:tc>
              <w:tc>
                <w:tcPr>
                  <w:tcW w:w="675" w:type="dxa"/>
                  <w:vMerge w:val="continue"/>
                  <w:tcBorders>
                    <w:tl2br w:val="nil"/>
                    <w:tr2bl w:val="nil"/>
                  </w:tcBorders>
                  <w:vAlign w:val="center"/>
                </w:tcPr>
                <w:p w14:paraId="34309A54">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76" w:type="dxa"/>
                  <w:vMerge w:val="continue"/>
                  <w:tcBorders>
                    <w:tl2br w:val="nil"/>
                    <w:tr2bl w:val="nil"/>
                  </w:tcBorders>
                  <w:vAlign w:val="center"/>
                </w:tcPr>
                <w:p w14:paraId="1F6B5AF3">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46" w:type="dxa"/>
                  <w:tcBorders>
                    <w:tl2br w:val="nil"/>
                    <w:tr2bl w:val="nil"/>
                  </w:tcBorders>
                  <w:vAlign w:val="center"/>
                </w:tcPr>
                <w:p w14:paraId="35ECA7C3">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w:t>
                  </w:r>
                </w:p>
              </w:tc>
              <w:tc>
                <w:tcPr>
                  <w:tcW w:w="414" w:type="dxa"/>
                  <w:vMerge w:val="continue"/>
                  <w:tcBorders>
                    <w:tl2br w:val="nil"/>
                    <w:tr2bl w:val="nil"/>
                  </w:tcBorders>
                  <w:vAlign w:val="center"/>
                </w:tcPr>
                <w:p w14:paraId="36DD18B3">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11" w:type="dxa"/>
                  <w:vMerge w:val="continue"/>
                  <w:tcBorders>
                    <w:tl2br w:val="nil"/>
                    <w:tr2bl w:val="nil"/>
                  </w:tcBorders>
                  <w:vAlign w:val="center"/>
                </w:tcPr>
                <w:p w14:paraId="644BB081">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4" w:type="dxa"/>
                  <w:tcBorders>
                    <w:tl2br w:val="nil"/>
                    <w:tr2bl w:val="nil"/>
                  </w:tcBorders>
                  <w:shd w:val="clear" w:color="auto" w:fill="auto"/>
                  <w:vAlign w:val="center"/>
                </w:tcPr>
                <w:p w14:paraId="23CB91A7">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color w:val="auto"/>
                      <w:sz w:val="18"/>
                      <w:szCs w:val="18"/>
                      <w:highlight w:val="none"/>
                      <w:lang w:val="en-US" w:eastAsia="zh-CN"/>
                    </w:rPr>
                    <w:t>5</w:t>
                  </w:r>
                </w:p>
              </w:tc>
              <w:tc>
                <w:tcPr>
                  <w:tcW w:w="787" w:type="dxa"/>
                  <w:tcBorders>
                    <w:tl2br w:val="nil"/>
                    <w:tr2bl w:val="nil"/>
                  </w:tcBorders>
                  <w:shd w:val="clear" w:color="auto" w:fill="auto"/>
                  <w:vAlign w:val="center"/>
                </w:tcPr>
                <w:p w14:paraId="211B8A17">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color w:val="auto"/>
                      <w:sz w:val="18"/>
                      <w:szCs w:val="18"/>
                      <w:highlight w:val="none"/>
                      <w:lang w:val="en-US" w:eastAsia="zh-CN"/>
                    </w:rPr>
                    <w:t>0.003</w:t>
                  </w:r>
                </w:p>
              </w:tc>
              <w:tc>
                <w:tcPr>
                  <w:tcW w:w="407" w:type="dxa"/>
                  <w:vMerge w:val="continue"/>
                  <w:tcBorders>
                    <w:tl2br w:val="nil"/>
                    <w:tr2bl w:val="nil"/>
                  </w:tcBorders>
                  <w:vAlign w:val="center"/>
                </w:tcPr>
                <w:p w14:paraId="5D1E19F0">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7" w:type="dxa"/>
                  <w:vMerge w:val="continue"/>
                  <w:tcBorders>
                    <w:tl2br w:val="nil"/>
                    <w:tr2bl w:val="nil"/>
                  </w:tcBorders>
                  <w:vAlign w:val="center"/>
                </w:tcPr>
                <w:p w14:paraId="6E4ECFEC">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649" w:type="dxa"/>
                  <w:vMerge w:val="continue"/>
                  <w:tcBorders>
                    <w:tl2br w:val="nil"/>
                    <w:tr2bl w:val="nil"/>
                  </w:tcBorders>
                  <w:vAlign w:val="center"/>
                </w:tcPr>
                <w:p w14:paraId="70FBE943">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992" w:type="dxa"/>
                  <w:vMerge w:val="continue"/>
                  <w:tcBorders>
                    <w:tl2br w:val="nil"/>
                    <w:tr2bl w:val="nil"/>
                  </w:tcBorders>
                  <w:vAlign w:val="center"/>
                </w:tcPr>
                <w:p w14:paraId="212CD709">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2" w:type="dxa"/>
                  <w:vMerge w:val="continue"/>
                  <w:tcBorders>
                    <w:tl2br w:val="nil"/>
                    <w:tr2bl w:val="nil"/>
                  </w:tcBorders>
                  <w:vAlign w:val="center"/>
                </w:tcPr>
                <w:p w14:paraId="49ED9F0A">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1378" w:type="dxa"/>
                  <w:vMerge w:val="continue"/>
                  <w:tcBorders>
                    <w:tl2br w:val="nil"/>
                    <w:tr2bl w:val="nil"/>
                  </w:tcBorders>
                  <w:vAlign w:val="center"/>
                </w:tcPr>
                <w:p w14:paraId="0E0B66FA">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p>
              </w:tc>
              <w:tc>
                <w:tcPr>
                  <w:tcW w:w="631" w:type="dxa"/>
                  <w:tcBorders>
                    <w:tl2br w:val="nil"/>
                    <w:tr2bl w:val="nil"/>
                  </w:tcBorders>
                  <w:vAlign w:val="center"/>
                </w:tcPr>
                <w:p w14:paraId="2A803CA1">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8</w:t>
                  </w:r>
                </w:p>
              </w:tc>
            </w:tr>
            <w:tr w14:paraId="0E0353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576" w:type="dxa"/>
                  <w:vMerge w:val="continue"/>
                  <w:tcBorders>
                    <w:tl2br w:val="nil"/>
                    <w:tr2bl w:val="nil"/>
                  </w:tcBorders>
                  <w:vAlign w:val="center"/>
                </w:tcPr>
                <w:p w14:paraId="51A6E0BC">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397" w:type="dxa"/>
                  <w:vMerge w:val="continue"/>
                  <w:tcBorders>
                    <w:tl2br w:val="nil"/>
                    <w:tr2bl w:val="nil"/>
                  </w:tcBorders>
                  <w:vAlign w:val="center"/>
                </w:tcPr>
                <w:p w14:paraId="4604D060">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46" w:type="dxa"/>
                  <w:tcBorders>
                    <w:tl2br w:val="nil"/>
                    <w:tr2bl w:val="nil"/>
                  </w:tcBorders>
                  <w:vAlign w:val="center"/>
                </w:tcPr>
                <w:p w14:paraId="1F44BCE8">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总氮</w:t>
                  </w:r>
                </w:p>
              </w:tc>
              <w:tc>
                <w:tcPr>
                  <w:tcW w:w="711" w:type="dxa"/>
                  <w:vMerge w:val="continue"/>
                  <w:tcBorders>
                    <w:tl2br w:val="nil"/>
                    <w:tr2bl w:val="nil"/>
                  </w:tcBorders>
                  <w:vAlign w:val="center"/>
                </w:tcPr>
                <w:p w14:paraId="383FDA32">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2" w:type="dxa"/>
                  <w:tcBorders>
                    <w:tl2br w:val="nil"/>
                    <w:tr2bl w:val="nil"/>
                  </w:tcBorders>
                  <w:shd w:val="clear" w:color="auto" w:fill="auto"/>
                  <w:vAlign w:val="center"/>
                </w:tcPr>
                <w:p w14:paraId="11EF6AAC">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30</w:t>
                  </w:r>
                </w:p>
              </w:tc>
              <w:tc>
                <w:tcPr>
                  <w:tcW w:w="787" w:type="dxa"/>
                  <w:tcBorders>
                    <w:tl2br w:val="nil"/>
                    <w:tr2bl w:val="nil"/>
                  </w:tcBorders>
                  <w:shd w:val="clear" w:color="auto" w:fill="auto"/>
                  <w:vAlign w:val="center"/>
                </w:tcPr>
                <w:p w14:paraId="3B4CC1EB">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0.017</w:t>
                  </w:r>
                </w:p>
              </w:tc>
              <w:tc>
                <w:tcPr>
                  <w:tcW w:w="675" w:type="dxa"/>
                  <w:vMerge w:val="continue"/>
                  <w:tcBorders>
                    <w:tl2br w:val="nil"/>
                    <w:tr2bl w:val="nil"/>
                  </w:tcBorders>
                  <w:vAlign w:val="center"/>
                </w:tcPr>
                <w:p w14:paraId="26EF96A1">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76" w:type="dxa"/>
                  <w:vMerge w:val="continue"/>
                  <w:tcBorders>
                    <w:tl2br w:val="nil"/>
                    <w:tr2bl w:val="nil"/>
                  </w:tcBorders>
                  <w:vAlign w:val="center"/>
                </w:tcPr>
                <w:p w14:paraId="402DF4AE">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46" w:type="dxa"/>
                  <w:tcBorders>
                    <w:tl2br w:val="nil"/>
                    <w:tr2bl w:val="nil"/>
                  </w:tcBorders>
                  <w:vAlign w:val="center"/>
                </w:tcPr>
                <w:p w14:paraId="4589C743">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w:t>
                  </w:r>
                </w:p>
              </w:tc>
              <w:tc>
                <w:tcPr>
                  <w:tcW w:w="414" w:type="dxa"/>
                  <w:vMerge w:val="continue"/>
                  <w:tcBorders>
                    <w:tl2br w:val="nil"/>
                    <w:tr2bl w:val="nil"/>
                  </w:tcBorders>
                  <w:vAlign w:val="center"/>
                </w:tcPr>
                <w:p w14:paraId="2DB1B14D">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11" w:type="dxa"/>
                  <w:vMerge w:val="continue"/>
                  <w:tcBorders>
                    <w:tl2br w:val="nil"/>
                    <w:tr2bl w:val="nil"/>
                  </w:tcBorders>
                  <w:vAlign w:val="center"/>
                </w:tcPr>
                <w:p w14:paraId="7B793881">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4" w:type="dxa"/>
                  <w:tcBorders>
                    <w:tl2br w:val="nil"/>
                    <w:tr2bl w:val="nil"/>
                  </w:tcBorders>
                  <w:shd w:val="clear" w:color="auto" w:fill="auto"/>
                  <w:vAlign w:val="center"/>
                </w:tcPr>
                <w:p w14:paraId="6A1810FE">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30</w:t>
                  </w:r>
                </w:p>
              </w:tc>
              <w:tc>
                <w:tcPr>
                  <w:tcW w:w="787" w:type="dxa"/>
                  <w:tcBorders>
                    <w:tl2br w:val="nil"/>
                    <w:tr2bl w:val="nil"/>
                  </w:tcBorders>
                  <w:shd w:val="clear" w:color="auto" w:fill="auto"/>
                  <w:vAlign w:val="center"/>
                </w:tcPr>
                <w:p w14:paraId="5A48687B">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0.017</w:t>
                  </w:r>
                </w:p>
              </w:tc>
              <w:tc>
                <w:tcPr>
                  <w:tcW w:w="407" w:type="dxa"/>
                  <w:vMerge w:val="continue"/>
                  <w:tcBorders>
                    <w:tl2br w:val="nil"/>
                    <w:tr2bl w:val="nil"/>
                  </w:tcBorders>
                  <w:vAlign w:val="center"/>
                </w:tcPr>
                <w:p w14:paraId="75C4533A">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7" w:type="dxa"/>
                  <w:vMerge w:val="continue"/>
                  <w:tcBorders>
                    <w:tl2br w:val="nil"/>
                    <w:tr2bl w:val="nil"/>
                  </w:tcBorders>
                  <w:vAlign w:val="center"/>
                </w:tcPr>
                <w:p w14:paraId="1F93403C">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649" w:type="dxa"/>
                  <w:vMerge w:val="continue"/>
                  <w:tcBorders>
                    <w:tl2br w:val="nil"/>
                    <w:tr2bl w:val="nil"/>
                  </w:tcBorders>
                  <w:vAlign w:val="center"/>
                </w:tcPr>
                <w:p w14:paraId="5084D824">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992" w:type="dxa"/>
                  <w:vMerge w:val="continue"/>
                  <w:tcBorders>
                    <w:tl2br w:val="nil"/>
                    <w:tr2bl w:val="nil"/>
                  </w:tcBorders>
                  <w:vAlign w:val="center"/>
                </w:tcPr>
                <w:p w14:paraId="671A24B5">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2" w:type="dxa"/>
                  <w:vMerge w:val="continue"/>
                  <w:tcBorders>
                    <w:tl2br w:val="nil"/>
                    <w:tr2bl w:val="nil"/>
                  </w:tcBorders>
                  <w:vAlign w:val="center"/>
                </w:tcPr>
                <w:p w14:paraId="5A084D8B">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1378" w:type="dxa"/>
                  <w:vMerge w:val="continue"/>
                  <w:tcBorders>
                    <w:tl2br w:val="nil"/>
                    <w:tr2bl w:val="nil"/>
                  </w:tcBorders>
                  <w:vAlign w:val="center"/>
                </w:tcPr>
                <w:p w14:paraId="05CCB821">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p>
              </w:tc>
              <w:tc>
                <w:tcPr>
                  <w:tcW w:w="631" w:type="dxa"/>
                  <w:tcBorders>
                    <w:tl2br w:val="nil"/>
                    <w:tr2bl w:val="nil"/>
                  </w:tcBorders>
                  <w:vAlign w:val="center"/>
                </w:tcPr>
                <w:p w14:paraId="59BA80A7">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70</w:t>
                  </w:r>
                </w:p>
              </w:tc>
            </w:tr>
            <w:tr w14:paraId="376099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576" w:type="dxa"/>
                  <w:vMerge w:val="continue"/>
                  <w:tcBorders>
                    <w:tl2br w:val="nil"/>
                    <w:tr2bl w:val="nil"/>
                  </w:tcBorders>
                  <w:vAlign w:val="center"/>
                </w:tcPr>
                <w:p w14:paraId="72E8B4C2">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397" w:type="dxa"/>
                  <w:vMerge w:val="continue"/>
                  <w:tcBorders>
                    <w:tl2br w:val="nil"/>
                    <w:tr2bl w:val="nil"/>
                  </w:tcBorders>
                  <w:vAlign w:val="center"/>
                </w:tcPr>
                <w:p w14:paraId="4296F261">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46" w:type="dxa"/>
                  <w:tcBorders>
                    <w:tl2br w:val="nil"/>
                    <w:tr2bl w:val="nil"/>
                  </w:tcBorders>
                  <w:vAlign w:val="center"/>
                </w:tcPr>
                <w:p w14:paraId="214AE661">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动植物油</w:t>
                  </w:r>
                </w:p>
              </w:tc>
              <w:tc>
                <w:tcPr>
                  <w:tcW w:w="711" w:type="dxa"/>
                  <w:vMerge w:val="continue"/>
                  <w:tcBorders>
                    <w:tl2br w:val="nil"/>
                    <w:tr2bl w:val="nil"/>
                  </w:tcBorders>
                  <w:vAlign w:val="center"/>
                </w:tcPr>
                <w:p w14:paraId="47D53433">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2" w:type="dxa"/>
                  <w:tcBorders>
                    <w:tl2br w:val="nil"/>
                    <w:tr2bl w:val="nil"/>
                  </w:tcBorders>
                  <w:shd w:val="clear" w:color="auto" w:fill="auto"/>
                  <w:vAlign w:val="center"/>
                </w:tcPr>
                <w:p w14:paraId="043E1BE7">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color w:val="auto"/>
                      <w:sz w:val="18"/>
                      <w:szCs w:val="18"/>
                      <w:highlight w:val="none"/>
                      <w:lang w:val="en-US" w:eastAsia="zh-CN"/>
                    </w:rPr>
                    <w:t>30</w:t>
                  </w:r>
                </w:p>
              </w:tc>
              <w:tc>
                <w:tcPr>
                  <w:tcW w:w="787" w:type="dxa"/>
                  <w:tcBorders>
                    <w:tl2br w:val="nil"/>
                    <w:tr2bl w:val="nil"/>
                  </w:tcBorders>
                  <w:shd w:val="clear" w:color="auto" w:fill="auto"/>
                  <w:vAlign w:val="center"/>
                </w:tcPr>
                <w:p w14:paraId="2241FBFA">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color w:val="auto"/>
                      <w:sz w:val="18"/>
                      <w:szCs w:val="18"/>
                      <w:highlight w:val="none"/>
                      <w:lang w:val="en-US" w:eastAsia="zh-CN"/>
                    </w:rPr>
                    <w:t>0.017</w:t>
                  </w:r>
                </w:p>
              </w:tc>
              <w:tc>
                <w:tcPr>
                  <w:tcW w:w="675" w:type="dxa"/>
                  <w:vMerge w:val="continue"/>
                  <w:tcBorders>
                    <w:tl2br w:val="nil"/>
                    <w:tr2bl w:val="nil"/>
                  </w:tcBorders>
                  <w:vAlign w:val="center"/>
                </w:tcPr>
                <w:p w14:paraId="261CB28E">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76" w:type="dxa"/>
                  <w:vMerge w:val="continue"/>
                  <w:tcBorders>
                    <w:tl2br w:val="nil"/>
                    <w:tr2bl w:val="nil"/>
                  </w:tcBorders>
                  <w:vAlign w:val="center"/>
                </w:tcPr>
                <w:p w14:paraId="481EE1F5">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46" w:type="dxa"/>
                  <w:tcBorders>
                    <w:tl2br w:val="nil"/>
                    <w:tr2bl w:val="nil"/>
                  </w:tcBorders>
                  <w:vAlign w:val="center"/>
                </w:tcPr>
                <w:p w14:paraId="090FF140">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90</w:t>
                  </w:r>
                </w:p>
              </w:tc>
              <w:tc>
                <w:tcPr>
                  <w:tcW w:w="414" w:type="dxa"/>
                  <w:vMerge w:val="continue"/>
                  <w:tcBorders>
                    <w:tl2br w:val="nil"/>
                    <w:tr2bl w:val="nil"/>
                  </w:tcBorders>
                  <w:vAlign w:val="center"/>
                </w:tcPr>
                <w:p w14:paraId="06A04A2C">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11" w:type="dxa"/>
                  <w:vMerge w:val="continue"/>
                  <w:tcBorders>
                    <w:tl2br w:val="nil"/>
                    <w:tr2bl w:val="nil"/>
                  </w:tcBorders>
                  <w:vAlign w:val="center"/>
                </w:tcPr>
                <w:p w14:paraId="01522C83">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4" w:type="dxa"/>
                  <w:tcBorders>
                    <w:tl2br w:val="nil"/>
                    <w:tr2bl w:val="nil"/>
                  </w:tcBorders>
                  <w:shd w:val="clear" w:color="auto" w:fill="auto"/>
                  <w:vAlign w:val="center"/>
                </w:tcPr>
                <w:p w14:paraId="610B2CBD">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color w:val="auto"/>
                      <w:sz w:val="18"/>
                      <w:szCs w:val="18"/>
                      <w:highlight w:val="none"/>
                      <w:lang w:val="en-US" w:eastAsia="zh-CN"/>
                    </w:rPr>
                    <w:t>3</w:t>
                  </w:r>
                </w:p>
              </w:tc>
              <w:tc>
                <w:tcPr>
                  <w:tcW w:w="787" w:type="dxa"/>
                  <w:tcBorders>
                    <w:tl2br w:val="nil"/>
                    <w:tr2bl w:val="nil"/>
                  </w:tcBorders>
                  <w:shd w:val="clear" w:color="auto" w:fill="auto"/>
                  <w:vAlign w:val="center"/>
                </w:tcPr>
                <w:p w14:paraId="169929C3">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18"/>
                      <w:szCs w:val="18"/>
                      <w:highlight w:val="none"/>
                      <w:lang w:val="en-US" w:eastAsia="zh-CN" w:bidi="ar-SA"/>
                    </w:rPr>
                  </w:pPr>
                  <w:r>
                    <w:rPr>
                      <w:rFonts w:hint="eastAsia"/>
                      <w:color w:val="auto"/>
                      <w:sz w:val="18"/>
                      <w:szCs w:val="18"/>
                      <w:highlight w:val="none"/>
                      <w:lang w:val="en-US" w:eastAsia="zh-CN"/>
                    </w:rPr>
                    <w:t>0.002</w:t>
                  </w:r>
                </w:p>
              </w:tc>
              <w:tc>
                <w:tcPr>
                  <w:tcW w:w="407" w:type="dxa"/>
                  <w:vMerge w:val="continue"/>
                  <w:tcBorders>
                    <w:tl2br w:val="nil"/>
                    <w:tr2bl w:val="nil"/>
                  </w:tcBorders>
                  <w:vAlign w:val="center"/>
                </w:tcPr>
                <w:p w14:paraId="12D4CCFD">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7" w:type="dxa"/>
                  <w:vMerge w:val="continue"/>
                  <w:tcBorders>
                    <w:tl2br w:val="nil"/>
                    <w:tr2bl w:val="nil"/>
                  </w:tcBorders>
                  <w:vAlign w:val="center"/>
                </w:tcPr>
                <w:p w14:paraId="5AFAEA60">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649" w:type="dxa"/>
                  <w:vMerge w:val="continue"/>
                  <w:tcBorders>
                    <w:tl2br w:val="nil"/>
                    <w:tr2bl w:val="nil"/>
                  </w:tcBorders>
                  <w:vAlign w:val="center"/>
                </w:tcPr>
                <w:p w14:paraId="0A6F750F">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992" w:type="dxa"/>
                  <w:vMerge w:val="continue"/>
                  <w:tcBorders>
                    <w:tl2br w:val="nil"/>
                    <w:tr2bl w:val="nil"/>
                  </w:tcBorders>
                  <w:vAlign w:val="center"/>
                </w:tcPr>
                <w:p w14:paraId="35A3CE16">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2" w:type="dxa"/>
                  <w:vMerge w:val="continue"/>
                  <w:tcBorders>
                    <w:tl2br w:val="nil"/>
                    <w:tr2bl w:val="nil"/>
                  </w:tcBorders>
                  <w:vAlign w:val="center"/>
                </w:tcPr>
                <w:p w14:paraId="5B36A549">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1378" w:type="dxa"/>
                  <w:vMerge w:val="continue"/>
                  <w:tcBorders>
                    <w:tl2br w:val="nil"/>
                    <w:tr2bl w:val="nil"/>
                  </w:tcBorders>
                  <w:vAlign w:val="center"/>
                </w:tcPr>
                <w:p w14:paraId="5781AEEF">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p>
              </w:tc>
              <w:tc>
                <w:tcPr>
                  <w:tcW w:w="631" w:type="dxa"/>
                  <w:tcBorders>
                    <w:tl2br w:val="nil"/>
                    <w:tr2bl w:val="nil"/>
                  </w:tcBorders>
                  <w:vAlign w:val="center"/>
                </w:tcPr>
                <w:p w14:paraId="50D20551">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100</w:t>
                  </w:r>
                </w:p>
              </w:tc>
            </w:tr>
            <w:tr w14:paraId="746806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76" w:type="dxa"/>
                  <w:vMerge w:val="continue"/>
                  <w:tcBorders>
                    <w:tl2br w:val="nil"/>
                    <w:tr2bl w:val="nil"/>
                  </w:tcBorders>
                  <w:vAlign w:val="center"/>
                </w:tcPr>
                <w:p w14:paraId="56275F4A">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397" w:type="dxa"/>
                  <w:vMerge w:val="continue"/>
                  <w:tcBorders>
                    <w:tl2br w:val="nil"/>
                    <w:tr2bl w:val="nil"/>
                  </w:tcBorders>
                  <w:vAlign w:val="center"/>
                </w:tcPr>
                <w:p w14:paraId="32345299">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46" w:type="dxa"/>
                  <w:tcBorders>
                    <w:tl2br w:val="nil"/>
                    <w:tr2bl w:val="nil"/>
                  </w:tcBorders>
                  <w:vAlign w:val="center"/>
                </w:tcPr>
                <w:p w14:paraId="175B34C5">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石油类</w:t>
                  </w:r>
                </w:p>
              </w:tc>
              <w:tc>
                <w:tcPr>
                  <w:tcW w:w="711" w:type="dxa"/>
                  <w:vMerge w:val="continue"/>
                  <w:tcBorders>
                    <w:tl2br w:val="nil"/>
                    <w:tr2bl w:val="nil"/>
                  </w:tcBorders>
                  <w:vAlign w:val="center"/>
                </w:tcPr>
                <w:p w14:paraId="1DFCDE56">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2" w:type="dxa"/>
                  <w:tcBorders>
                    <w:tl2br w:val="nil"/>
                    <w:tr2bl w:val="nil"/>
                  </w:tcBorders>
                  <w:vAlign w:val="center"/>
                </w:tcPr>
                <w:p w14:paraId="291AAE89">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1</w:t>
                  </w:r>
                </w:p>
              </w:tc>
              <w:tc>
                <w:tcPr>
                  <w:tcW w:w="787" w:type="dxa"/>
                  <w:tcBorders>
                    <w:tl2br w:val="nil"/>
                    <w:tr2bl w:val="nil"/>
                  </w:tcBorders>
                  <w:vAlign w:val="center"/>
                </w:tcPr>
                <w:p w14:paraId="44063147">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0.001</w:t>
                  </w:r>
                </w:p>
              </w:tc>
              <w:tc>
                <w:tcPr>
                  <w:tcW w:w="675" w:type="dxa"/>
                  <w:vMerge w:val="continue"/>
                  <w:tcBorders>
                    <w:tl2br w:val="nil"/>
                    <w:tr2bl w:val="nil"/>
                  </w:tcBorders>
                  <w:vAlign w:val="center"/>
                </w:tcPr>
                <w:p w14:paraId="2DC15813">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76" w:type="dxa"/>
                  <w:vMerge w:val="continue"/>
                  <w:tcBorders>
                    <w:tl2br w:val="nil"/>
                    <w:tr2bl w:val="nil"/>
                  </w:tcBorders>
                  <w:vAlign w:val="center"/>
                </w:tcPr>
                <w:p w14:paraId="2D70D121">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46" w:type="dxa"/>
                  <w:tcBorders>
                    <w:tl2br w:val="nil"/>
                    <w:tr2bl w:val="nil"/>
                  </w:tcBorders>
                  <w:vAlign w:val="center"/>
                </w:tcPr>
                <w:p w14:paraId="374A09B6">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w:t>
                  </w:r>
                </w:p>
              </w:tc>
              <w:tc>
                <w:tcPr>
                  <w:tcW w:w="414" w:type="dxa"/>
                  <w:vMerge w:val="continue"/>
                  <w:tcBorders>
                    <w:tl2br w:val="nil"/>
                    <w:tr2bl w:val="nil"/>
                  </w:tcBorders>
                  <w:vAlign w:val="center"/>
                </w:tcPr>
                <w:p w14:paraId="3A659108">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11" w:type="dxa"/>
                  <w:vMerge w:val="continue"/>
                  <w:tcBorders>
                    <w:tl2br w:val="nil"/>
                    <w:tr2bl w:val="nil"/>
                  </w:tcBorders>
                  <w:vAlign w:val="center"/>
                </w:tcPr>
                <w:p w14:paraId="2EE5D43D">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4" w:type="dxa"/>
                  <w:tcBorders>
                    <w:tl2br w:val="nil"/>
                    <w:tr2bl w:val="nil"/>
                  </w:tcBorders>
                  <w:vAlign w:val="center"/>
                </w:tcPr>
                <w:p w14:paraId="670808D1">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1</w:t>
                  </w:r>
                </w:p>
              </w:tc>
              <w:tc>
                <w:tcPr>
                  <w:tcW w:w="787" w:type="dxa"/>
                  <w:tcBorders>
                    <w:tl2br w:val="nil"/>
                    <w:tr2bl w:val="nil"/>
                  </w:tcBorders>
                  <w:vAlign w:val="center"/>
                </w:tcPr>
                <w:p w14:paraId="74E60C59">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0.001</w:t>
                  </w:r>
                </w:p>
              </w:tc>
              <w:tc>
                <w:tcPr>
                  <w:tcW w:w="407" w:type="dxa"/>
                  <w:vMerge w:val="continue"/>
                  <w:tcBorders>
                    <w:tl2br w:val="nil"/>
                    <w:tr2bl w:val="nil"/>
                  </w:tcBorders>
                  <w:vAlign w:val="center"/>
                </w:tcPr>
                <w:p w14:paraId="6B395498">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7" w:type="dxa"/>
                  <w:vMerge w:val="continue"/>
                  <w:tcBorders>
                    <w:tl2br w:val="nil"/>
                    <w:tr2bl w:val="nil"/>
                  </w:tcBorders>
                  <w:vAlign w:val="center"/>
                </w:tcPr>
                <w:p w14:paraId="6A8900FF">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649" w:type="dxa"/>
                  <w:vMerge w:val="continue"/>
                  <w:tcBorders>
                    <w:tl2br w:val="nil"/>
                    <w:tr2bl w:val="nil"/>
                  </w:tcBorders>
                  <w:vAlign w:val="center"/>
                </w:tcPr>
                <w:p w14:paraId="7E2B7536">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992" w:type="dxa"/>
                  <w:vMerge w:val="continue"/>
                  <w:tcBorders>
                    <w:tl2br w:val="nil"/>
                    <w:tr2bl w:val="nil"/>
                  </w:tcBorders>
                  <w:vAlign w:val="center"/>
                </w:tcPr>
                <w:p w14:paraId="535C66B7">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2" w:type="dxa"/>
                  <w:vMerge w:val="continue"/>
                  <w:tcBorders>
                    <w:tl2br w:val="nil"/>
                    <w:tr2bl w:val="nil"/>
                  </w:tcBorders>
                  <w:vAlign w:val="center"/>
                </w:tcPr>
                <w:p w14:paraId="607505BA">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1378" w:type="dxa"/>
                  <w:vMerge w:val="continue"/>
                  <w:tcBorders>
                    <w:tl2br w:val="nil"/>
                    <w:tr2bl w:val="nil"/>
                  </w:tcBorders>
                  <w:vAlign w:val="center"/>
                </w:tcPr>
                <w:p w14:paraId="1603BF5A">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p>
              </w:tc>
              <w:tc>
                <w:tcPr>
                  <w:tcW w:w="631" w:type="dxa"/>
                  <w:tcBorders>
                    <w:tl2br w:val="nil"/>
                    <w:tr2bl w:val="nil"/>
                  </w:tcBorders>
                  <w:vAlign w:val="center"/>
                </w:tcPr>
                <w:p w14:paraId="50207CD4">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30</w:t>
                  </w:r>
                </w:p>
              </w:tc>
            </w:tr>
            <w:tr w14:paraId="5A8680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76" w:type="dxa"/>
                  <w:vMerge w:val="restart"/>
                  <w:tcBorders>
                    <w:tl2br w:val="nil"/>
                    <w:tr2bl w:val="nil"/>
                  </w:tcBorders>
                  <w:vAlign w:val="center"/>
                </w:tcPr>
                <w:p w14:paraId="07372B40">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冷却</w:t>
                  </w:r>
                </w:p>
              </w:tc>
              <w:tc>
                <w:tcPr>
                  <w:tcW w:w="397" w:type="dxa"/>
                  <w:vMerge w:val="restart"/>
                  <w:tcBorders>
                    <w:tl2br w:val="nil"/>
                    <w:tr2bl w:val="nil"/>
                  </w:tcBorders>
                  <w:vAlign w:val="center"/>
                </w:tcPr>
                <w:p w14:paraId="14448D5A">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冷却水定排水</w:t>
                  </w:r>
                </w:p>
              </w:tc>
              <w:tc>
                <w:tcPr>
                  <w:tcW w:w="746" w:type="dxa"/>
                  <w:tcBorders>
                    <w:tl2br w:val="nil"/>
                    <w:tr2bl w:val="nil"/>
                  </w:tcBorders>
                  <w:vAlign w:val="center"/>
                </w:tcPr>
                <w:p w14:paraId="365A6CFF">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COD</w:t>
                  </w:r>
                  <w:r>
                    <w:rPr>
                      <w:rFonts w:hint="eastAsia"/>
                      <w:color w:val="auto"/>
                      <w:sz w:val="18"/>
                      <w:szCs w:val="18"/>
                      <w:highlight w:val="none"/>
                      <w:vertAlign w:val="subscript"/>
                      <w:lang w:val="en-US" w:eastAsia="zh-CN"/>
                    </w:rPr>
                    <w:t>Cr</w:t>
                  </w:r>
                </w:p>
              </w:tc>
              <w:tc>
                <w:tcPr>
                  <w:tcW w:w="711" w:type="dxa"/>
                  <w:vMerge w:val="restart"/>
                  <w:tcBorders>
                    <w:tl2br w:val="nil"/>
                    <w:tr2bl w:val="nil"/>
                  </w:tcBorders>
                  <w:vAlign w:val="center"/>
                </w:tcPr>
                <w:p w14:paraId="1FF6A024">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17.54</w:t>
                  </w:r>
                </w:p>
              </w:tc>
              <w:tc>
                <w:tcPr>
                  <w:tcW w:w="792" w:type="dxa"/>
                  <w:tcBorders>
                    <w:tl2br w:val="nil"/>
                    <w:tr2bl w:val="nil"/>
                  </w:tcBorders>
                  <w:vAlign w:val="center"/>
                </w:tcPr>
                <w:p w14:paraId="697C2D70">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100</w:t>
                  </w:r>
                </w:p>
              </w:tc>
              <w:tc>
                <w:tcPr>
                  <w:tcW w:w="787" w:type="dxa"/>
                  <w:tcBorders>
                    <w:tl2br w:val="nil"/>
                    <w:tr2bl w:val="nil"/>
                  </w:tcBorders>
                  <w:vAlign w:val="center"/>
                </w:tcPr>
                <w:p w14:paraId="4D71BBC8">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0.002</w:t>
                  </w:r>
                </w:p>
              </w:tc>
              <w:tc>
                <w:tcPr>
                  <w:tcW w:w="675" w:type="dxa"/>
                  <w:vMerge w:val="restart"/>
                  <w:tcBorders>
                    <w:tl2br w:val="nil"/>
                    <w:tr2bl w:val="nil"/>
                  </w:tcBorders>
                  <w:vAlign w:val="center"/>
                </w:tcPr>
                <w:p w14:paraId="21EFA8E5">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40</w:t>
                  </w:r>
                </w:p>
              </w:tc>
              <w:tc>
                <w:tcPr>
                  <w:tcW w:w="576" w:type="dxa"/>
                  <w:vMerge w:val="restart"/>
                  <w:tcBorders>
                    <w:tl2br w:val="nil"/>
                    <w:tr2bl w:val="nil"/>
                  </w:tcBorders>
                  <w:vAlign w:val="center"/>
                </w:tcPr>
                <w:p w14:paraId="4ECD3A32">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冷却塔、循环水池</w:t>
                  </w:r>
                </w:p>
              </w:tc>
              <w:tc>
                <w:tcPr>
                  <w:tcW w:w="546" w:type="dxa"/>
                  <w:tcBorders>
                    <w:tl2br w:val="nil"/>
                    <w:tr2bl w:val="nil"/>
                  </w:tcBorders>
                  <w:vAlign w:val="center"/>
                </w:tcPr>
                <w:p w14:paraId="1EDE4050">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w:t>
                  </w:r>
                </w:p>
              </w:tc>
              <w:tc>
                <w:tcPr>
                  <w:tcW w:w="414" w:type="dxa"/>
                  <w:vMerge w:val="restart"/>
                  <w:tcBorders>
                    <w:tl2br w:val="nil"/>
                    <w:tr2bl w:val="nil"/>
                  </w:tcBorders>
                  <w:vAlign w:val="center"/>
                </w:tcPr>
                <w:p w14:paraId="62EA14DA">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是</w:t>
                  </w:r>
                </w:p>
              </w:tc>
              <w:tc>
                <w:tcPr>
                  <w:tcW w:w="711" w:type="dxa"/>
                  <w:vMerge w:val="restart"/>
                  <w:tcBorders>
                    <w:tl2br w:val="nil"/>
                    <w:tr2bl w:val="nil"/>
                  </w:tcBorders>
                  <w:vAlign w:val="center"/>
                </w:tcPr>
                <w:p w14:paraId="2BE2CE6F">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17.54</w:t>
                  </w:r>
                </w:p>
              </w:tc>
              <w:tc>
                <w:tcPr>
                  <w:tcW w:w="794" w:type="dxa"/>
                  <w:tcBorders>
                    <w:tl2br w:val="nil"/>
                    <w:tr2bl w:val="nil"/>
                  </w:tcBorders>
                  <w:vAlign w:val="center"/>
                </w:tcPr>
                <w:p w14:paraId="755FB10C">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100</w:t>
                  </w:r>
                </w:p>
              </w:tc>
              <w:tc>
                <w:tcPr>
                  <w:tcW w:w="787" w:type="dxa"/>
                  <w:tcBorders>
                    <w:tl2br w:val="nil"/>
                    <w:tr2bl w:val="nil"/>
                  </w:tcBorders>
                  <w:vAlign w:val="center"/>
                </w:tcPr>
                <w:p w14:paraId="64737B04">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0.002</w:t>
                  </w:r>
                </w:p>
              </w:tc>
              <w:tc>
                <w:tcPr>
                  <w:tcW w:w="407" w:type="dxa"/>
                  <w:vMerge w:val="continue"/>
                  <w:tcBorders>
                    <w:tl2br w:val="nil"/>
                    <w:tr2bl w:val="nil"/>
                  </w:tcBorders>
                  <w:vAlign w:val="center"/>
                </w:tcPr>
                <w:p w14:paraId="2D2F1119">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7" w:type="dxa"/>
                  <w:vMerge w:val="continue"/>
                  <w:tcBorders>
                    <w:tl2br w:val="nil"/>
                    <w:tr2bl w:val="nil"/>
                  </w:tcBorders>
                  <w:vAlign w:val="center"/>
                </w:tcPr>
                <w:p w14:paraId="6F391780">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649" w:type="dxa"/>
                  <w:vMerge w:val="continue"/>
                  <w:tcBorders>
                    <w:tl2br w:val="nil"/>
                    <w:tr2bl w:val="nil"/>
                  </w:tcBorders>
                  <w:vAlign w:val="center"/>
                </w:tcPr>
                <w:p w14:paraId="38EE9D26">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992" w:type="dxa"/>
                  <w:vMerge w:val="continue"/>
                  <w:tcBorders>
                    <w:tl2br w:val="nil"/>
                    <w:tr2bl w:val="nil"/>
                  </w:tcBorders>
                  <w:vAlign w:val="center"/>
                </w:tcPr>
                <w:p w14:paraId="47D02D99">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2" w:type="dxa"/>
                  <w:vMerge w:val="continue"/>
                  <w:tcBorders>
                    <w:tl2br w:val="nil"/>
                    <w:tr2bl w:val="nil"/>
                  </w:tcBorders>
                  <w:vAlign w:val="center"/>
                </w:tcPr>
                <w:p w14:paraId="41527049">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1378" w:type="dxa"/>
                  <w:vMerge w:val="continue"/>
                  <w:tcBorders>
                    <w:tl2br w:val="nil"/>
                    <w:tr2bl w:val="nil"/>
                  </w:tcBorders>
                  <w:vAlign w:val="center"/>
                </w:tcPr>
                <w:p w14:paraId="762D2CF0">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p>
              </w:tc>
              <w:tc>
                <w:tcPr>
                  <w:tcW w:w="631" w:type="dxa"/>
                  <w:tcBorders>
                    <w:tl2br w:val="nil"/>
                    <w:tr2bl w:val="nil"/>
                  </w:tcBorders>
                  <w:vAlign w:val="center"/>
                </w:tcPr>
                <w:p w14:paraId="650179D4">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500</w:t>
                  </w:r>
                </w:p>
              </w:tc>
            </w:tr>
            <w:tr w14:paraId="0AC3EA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76" w:type="dxa"/>
                  <w:vMerge w:val="continue"/>
                  <w:tcBorders>
                    <w:tl2br w:val="nil"/>
                    <w:tr2bl w:val="nil"/>
                  </w:tcBorders>
                  <w:vAlign w:val="center"/>
                </w:tcPr>
                <w:p w14:paraId="49C7E69B">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397" w:type="dxa"/>
                  <w:vMerge w:val="continue"/>
                  <w:tcBorders>
                    <w:tl2br w:val="nil"/>
                    <w:tr2bl w:val="nil"/>
                  </w:tcBorders>
                  <w:vAlign w:val="center"/>
                </w:tcPr>
                <w:p w14:paraId="40AE81CA">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46" w:type="dxa"/>
                  <w:tcBorders>
                    <w:tl2br w:val="nil"/>
                    <w:tr2bl w:val="nil"/>
                  </w:tcBorders>
                  <w:vAlign w:val="center"/>
                </w:tcPr>
                <w:p w14:paraId="16DC22C7">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SS</w:t>
                  </w:r>
                </w:p>
              </w:tc>
              <w:tc>
                <w:tcPr>
                  <w:tcW w:w="711" w:type="dxa"/>
                  <w:vMerge w:val="continue"/>
                  <w:tcBorders>
                    <w:tl2br w:val="nil"/>
                    <w:tr2bl w:val="nil"/>
                  </w:tcBorders>
                  <w:vAlign w:val="center"/>
                </w:tcPr>
                <w:p w14:paraId="3F07C982">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2" w:type="dxa"/>
                  <w:tcBorders>
                    <w:tl2br w:val="nil"/>
                    <w:tr2bl w:val="nil"/>
                  </w:tcBorders>
                  <w:vAlign w:val="center"/>
                </w:tcPr>
                <w:p w14:paraId="03B698D9">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100</w:t>
                  </w:r>
                </w:p>
              </w:tc>
              <w:tc>
                <w:tcPr>
                  <w:tcW w:w="787" w:type="dxa"/>
                  <w:tcBorders>
                    <w:tl2br w:val="nil"/>
                    <w:tr2bl w:val="nil"/>
                  </w:tcBorders>
                  <w:vAlign w:val="center"/>
                </w:tcPr>
                <w:p w14:paraId="29D4FD3C">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0.002</w:t>
                  </w:r>
                </w:p>
              </w:tc>
              <w:tc>
                <w:tcPr>
                  <w:tcW w:w="675" w:type="dxa"/>
                  <w:vMerge w:val="continue"/>
                  <w:tcBorders>
                    <w:tl2br w:val="nil"/>
                    <w:tr2bl w:val="nil"/>
                  </w:tcBorders>
                  <w:vAlign w:val="center"/>
                </w:tcPr>
                <w:p w14:paraId="59B0A286">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76" w:type="dxa"/>
                  <w:vMerge w:val="continue"/>
                  <w:tcBorders>
                    <w:tl2br w:val="nil"/>
                    <w:tr2bl w:val="nil"/>
                  </w:tcBorders>
                  <w:vAlign w:val="center"/>
                </w:tcPr>
                <w:p w14:paraId="58AF973D">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46" w:type="dxa"/>
                  <w:tcBorders>
                    <w:tl2br w:val="nil"/>
                    <w:tr2bl w:val="nil"/>
                  </w:tcBorders>
                  <w:vAlign w:val="center"/>
                </w:tcPr>
                <w:p w14:paraId="05F86611">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w:t>
                  </w:r>
                </w:p>
              </w:tc>
              <w:tc>
                <w:tcPr>
                  <w:tcW w:w="414" w:type="dxa"/>
                  <w:vMerge w:val="continue"/>
                  <w:tcBorders>
                    <w:tl2br w:val="nil"/>
                    <w:tr2bl w:val="nil"/>
                  </w:tcBorders>
                  <w:vAlign w:val="center"/>
                </w:tcPr>
                <w:p w14:paraId="0A548E69">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11" w:type="dxa"/>
                  <w:vMerge w:val="continue"/>
                  <w:tcBorders>
                    <w:tl2br w:val="nil"/>
                    <w:tr2bl w:val="nil"/>
                  </w:tcBorders>
                  <w:vAlign w:val="center"/>
                </w:tcPr>
                <w:p w14:paraId="25D6B2AA">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4" w:type="dxa"/>
                  <w:tcBorders>
                    <w:tl2br w:val="nil"/>
                    <w:tr2bl w:val="nil"/>
                  </w:tcBorders>
                  <w:vAlign w:val="center"/>
                </w:tcPr>
                <w:p w14:paraId="0D600EED">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100</w:t>
                  </w:r>
                </w:p>
              </w:tc>
              <w:tc>
                <w:tcPr>
                  <w:tcW w:w="787" w:type="dxa"/>
                  <w:tcBorders>
                    <w:tl2br w:val="nil"/>
                    <w:tr2bl w:val="nil"/>
                  </w:tcBorders>
                  <w:vAlign w:val="center"/>
                </w:tcPr>
                <w:p w14:paraId="50D32E33">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0.002</w:t>
                  </w:r>
                </w:p>
              </w:tc>
              <w:tc>
                <w:tcPr>
                  <w:tcW w:w="407" w:type="dxa"/>
                  <w:vMerge w:val="continue"/>
                  <w:tcBorders>
                    <w:tl2br w:val="nil"/>
                    <w:tr2bl w:val="nil"/>
                  </w:tcBorders>
                  <w:vAlign w:val="center"/>
                </w:tcPr>
                <w:p w14:paraId="45F87A88">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7" w:type="dxa"/>
                  <w:vMerge w:val="continue"/>
                  <w:tcBorders>
                    <w:tl2br w:val="nil"/>
                    <w:tr2bl w:val="nil"/>
                  </w:tcBorders>
                  <w:vAlign w:val="center"/>
                </w:tcPr>
                <w:p w14:paraId="06BBCAAD">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649" w:type="dxa"/>
                  <w:vMerge w:val="continue"/>
                  <w:tcBorders>
                    <w:tl2br w:val="nil"/>
                    <w:tr2bl w:val="nil"/>
                  </w:tcBorders>
                  <w:vAlign w:val="center"/>
                </w:tcPr>
                <w:p w14:paraId="435BCE73">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992" w:type="dxa"/>
                  <w:vMerge w:val="continue"/>
                  <w:tcBorders>
                    <w:tl2br w:val="nil"/>
                    <w:tr2bl w:val="nil"/>
                  </w:tcBorders>
                  <w:vAlign w:val="center"/>
                </w:tcPr>
                <w:p w14:paraId="6DE4A7F3">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2" w:type="dxa"/>
                  <w:vMerge w:val="continue"/>
                  <w:tcBorders>
                    <w:tl2br w:val="nil"/>
                    <w:tr2bl w:val="nil"/>
                  </w:tcBorders>
                  <w:vAlign w:val="center"/>
                </w:tcPr>
                <w:p w14:paraId="34353DAC">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1378" w:type="dxa"/>
                  <w:vMerge w:val="continue"/>
                  <w:tcBorders>
                    <w:tl2br w:val="nil"/>
                    <w:tr2bl w:val="nil"/>
                  </w:tcBorders>
                  <w:vAlign w:val="center"/>
                </w:tcPr>
                <w:p w14:paraId="19153AD1">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p>
              </w:tc>
              <w:tc>
                <w:tcPr>
                  <w:tcW w:w="631" w:type="dxa"/>
                  <w:tcBorders>
                    <w:tl2br w:val="nil"/>
                    <w:tr2bl w:val="nil"/>
                  </w:tcBorders>
                  <w:vAlign w:val="center"/>
                </w:tcPr>
                <w:p w14:paraId="02B2D4AA">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300</w:t>
                  </w:r>
                </w:p>
              </w:tc>
            </w:tr>
            <w:tr w14:paraId="6DEA7E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76" w:type="dxa"/>
                  <w:vMerge w:val="restart"/>
                  <w:tcBorders>
                    <w:tl2br w:val="nil"/>
                    <w:tr2bl w:val="nil"/>
                  </w:tcBorders>
                  <w:vAlign w:val="center"/>
                </w:tcPr>
                <w:p w14:paraId="0E17A3E2">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员工生活、冷却</w:t>
                  </w:r>
                </w:p>
              </w:tc>
              <w:tc>
                <w:tcPr>
                  <w:tcW w:w="397" w:type="dxa"/>
                  <w:vMerge w:val="restart"/>
                  <w:tcBorders>
                    <w:tl2br w:val="nil"/>
                    <w:tr2bl w:val="nil"/>
                  </w:tcBorders>
                  <w:vAlign w:val="center"/>
                </w:tcPr>
                <w:p w14:paraId="7F7F2322">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综合废水</w:t>
                  </w:r>
                </w:p>
              </w:tc>
              <w:tc>
                <w:tcPr>
                  <w:tcW w:w="746" w:type="dxa"/>
                  <w:tcBorders>
                    <w:tl2br w:val="nil"/>
                    <w:tr2bl w:val="nil"/>
                  </w:tcBorders>
                  <w:vAlign w:val="center"/>
                </w:tcPr>
                <w:p w14:paraId="2EC53D8A">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default"/>
                      <w:color w:val="auto"/>
                      <w:sz w:val="18"/>
                      <w:szCs w:val="18"/>
                      <w:highlight w:val="none"/>
                      <w:lang w:val="en-US" w:eastAsia="zh-CN"/>
                    </w:rPr>
                    <w:t>pH</w:t>
                  </w:r>
                </w:p>
              </w:tc>
              <w:tc>
                <w:tcPr>
                  <w:tcW w:w="711" w:type="dxa"/>
                  <w:vMerge w:val="restart"/>
                  <w:tcBorders>
                    <w:tl2br w:val="nil"/>
                    <w:tr2bl w:val="nil"/>
                  </w:tcBorders>
                  <w:vAlign w:val="center"/>
                </w:tcPr>
                <w:p w14:paraId="23042FE4">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593.54</w:t>
                  </w:r>
                </w:p>
              </w:tc>
              <w:tc>
                <w:tcPr>
                  <w:tcW w:w="792" w:type="dxa"/>
                  <w:tcBorders>
                    <w:tl2br w:val="nil"/>
                    <w:tr2bl w:val="nil"/>
                  </w:tcBorders>
                  <w:vAlign w:val="center"/>
                </w:tcPr>
                <w:p w14:paraId="4E48EC50">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default"/>
                      <w:color w:val="auto"/>
                      <w:sz w:val="18"/>
                      <w:szCs w:val="18"/>
                      <w:highlight w:val="none"/>
                      <w:lang w:val="en-US" w:eastAsia="zh-CN"/>
                    </w:rPr>
                    <w:t>6~9</w:t>
                  </w:r>
                </w:p>
              </w:tc>
              <w:tc>
                <w:tcPr>
                  <w:tcW w:w="787" w:type="dxa"/>
                  <w:tcBorders>
                    <w:tl2br w:val="nil"/>
                    <w:tr2bl w:val="nil"/>
                  </w:tcBorders>
                  <w:vAlign w:val="center"/>
                </w:tcPr>
                <w:p w14:paraId="5755651A">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w:t>
                  </w:r>
                </w:p>
              </w:tc>
              <w:tc>
                <w:tcPr>
                  <w:tcW w:w="675" w:type="dxa"/>
                  <w:vMerge w:val="restart"/>
                  <w:tcBorders>
                    <w:tl2br w:val="nil"/>
                    <w:tr2bl w:val="nil"/>
                  </w:tcBorders>
                  <w:vAlign w:val="center"/>
                </w:tcPr>
                <w:p w14:paraId="10888416">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40</w:t>
                  </w:r>
                </w:p>
              </w:tc>
              <w:tc>
                <w:tcPr>
                  <w:tcW w:w="576" w:type="dxa"/>
                  <w:vMerge w:val="restart"/>
                  <w:tcBorders>
                    <w:tl2br w:val="nil"/>
                    <w:tr2bl w:val="nil"/>
                  </w:tcBorders>
                  <w:vAlign w:val="center"/>
                </w:tcPr>
                <w:p w14:paraId="20679091">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r>
                    <w:rPr>
                      <w:rFonts w:hint="eastAsia"/>
                      <w:color w:val="auto"/>
                      <w:sz w:val="18"/>
                      <w:szCs w:val="18"/>
                      <w:highlight w:val="none"/>
                      <w:lang w:val="en-US" w:eastAsia="zh-CN"/>
                    </w:rPr>
                    <w:t>隔油池+化粪池</w:t>
                  </w:r>
                </w:p>
              </w:tc>
              <w:tc>
                <w:tcPr>
                  <w:tcW w:w="546" w:type="dxa"/>
                  <w:tcBorders>
                    <w:tl2br w:val="nil"/>
                    <w:tr2bl w:val="nil"/>
                  </w:tcBorders>
                  <w:vAlign w:val="center"/>
                </w:tcPr>
                <w:p w14:paraId="5FFDF65F">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w:t>
                  </w:r>
                </w:p>
              </w:tc>
              <w:tc>
                <w:tcPr>
                  <w:tcW w:w="414" w:type="dxa"/>
                  <w:vMerge w:val="restart"/>
                  <w:tcBorders>
                    <w:tl2br w:val="nil"/>
                    <w:tr2bl w:val="nil"/>
                  </w:tcBorders>
                  <w:vAlign w:val="center"/>
                </w:tcPr>
                <w:p w14:paraId="0EBBF36B">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是</w:t>
                  </w:r>
                </w:p>
              </w:tc>
              <w:tc>
                <w:tcPr>
                  <w:tcW w:w="711" w:type="dxa"/>
                  <w:vMerge w:val="restart"/>
                  <w:tcBorders>
                    <w:tl2br w:val="nil"/>
                    <w:tr2bl w:val="nil"/>
                  </w:tcBorders>
                  <w:vAlign w:val="center"/>
                </w:tcPr>
                <w:p w14:paraId="68CD7F31">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r>
                    <w:rPr>
                      <w:rFonts w:hint="eastAsia"/>
                      <w:color w:val="auto"/>
                      <w:sz w:val="18"/>
                      <w:szCs w:val="18"/>
                      <w:highlight w:val="none"/>
                      <w:lang w:val="en-US" w:eastAsia="zh-CN"/>
                    </w:rPr>
                    <w:t>593.54</w:t>
                  </w:r>
                </w:p>
              </w:tc>
              <w:tc>
                <w:tcPr>
                  <w:tcW w:w="794" w:type="dxa"/>
                  <w:tcBorders>
                    <w:tl2br w:val="nil"/>
                    <w:tr2bl w:val="nil"/>
                  </w:tcBorders>
                  <w:vAlign w:val="center"/>
                </w:tcPr>
                <w:p w14:paraId="360D8D3F">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default"/>
                      <w:color w:val="auto"/>
                      <w:sz w:val="18"/>
                      <w:szCs w:val="18"/>
                      <w:highlight w:val="none"/>
                      <w:lang w:val="en-US" w:eastAsia="zh-CN"/>
                    </w:rPr>
                    <w:t>6~9</w:t>
                  </w:r>
                </w:p>
              </w:tc>
              <w:tc>
                <w:tcPr>
                  <w:tcW w:w="787" w:type="dxa"/>
                  <w:tcBorders>
                    <w:tl2br w:val="nil"/>
                    <w:tr2bl w:val="nil"/>
                  </w:tcBorders>
                  <w:vAlign w:val="center"/>
                </w:tcPr>
                <w:p w14:paraId="7A10A62D">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w:t>
                  </w:r>
                </w:p>
              </w:tc>
              <w:tc>
                <w:tcPr>
                  <w:tcW w:w="407" w:type="dxa"/>
                  <w:vMerge w:val="continue"/>
                  <w:tcBorders>
                    <w:tl2br w:val="nil"/>
                    <w:tr2bl w:val="nil"/>
                  </w:tcBorders>
                  <w:vAlign w:val="center"/>
                </w:tcPr>
                <w:p w14:paraId="7EC59006">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7" w:type="dxa"/>
                  <w:vMerge w:val="continue"/>
                  <w:tcBorders>
                    <w:tl2br w:val="nil"/>
                    <w:tr2bl w:val="nil"/>
                  </w:tcBorders>
                  <w:vAlign w:val="center"/>
                </w:tcPr>
                <w:p w14:paraId="6C276FF7">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649" w:type="dxa"/>
                  <w:vMerge w:val="continue"/>
                  <w:tcBorders>
                    <w:tl2br w:val="nil"/>
                    <w:tr2bl w:val="nil"/>
                  </w:tcBorders>
                  <w:vAlign w:val="center"/>
                </w:tcPr>
                <w:p w14:paraId="02AEAB44">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992" w:type="dxa"/>
                  <w:vMerge w:val="continue"/>
                  <w:tcBorders>
                    <w:tl2br w:val="nil"/>
                    <w:tr2bl w:val="nil"/>
                  </w:tcBorders>
                  <w:vAlign w:val="center"/>
                </w:tcPr>
                <w:p w14:paraId="0767B397">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2" w:type="dxa"/>
                  <w:vMerge w:val="continue"/>
                  <w:tcBorders>
                    <w:tl2br w:val="nil"/>
                    <w:tr2bl w:val="nil"/>
                  </w:tcBorders>
                  <w:vAlign w:val="center"/>
                </w:tcPr>
                <w:p w14:paraId="28D84DA8">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1378" w:type="dxa"/>
                  <w:vMerge w:val="continue"/>
                  <w:tcBorders>
                    <w:tl2br w:val="nil"/>
                    <w:tr2bl w:val="nil"/>
                  </w:tcBorders>
                  <w:vAlign w:val="center"/>
                </w:tcPr>
                <w:p w14:paraId="70D06DC8">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p>
              </w:tc>
              <w:tc>
                <w:tcPr>
                  <w:tcW w:w="631" w:type="dxa"/>
                  <w:tcBorders>
                    <w:tl2br w:val="nil"/>
                    <w:tr2bl w:val="nil"/>
                  </w:tcBorders>
                  <w:vAlign w:val="center"/>
                </w:tcPr>
                <w:p w14:paraId="5BA9681E">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default"/>
                      <w:color w:val="auto"/>
                      <w:sz w:val="18"/>
                      <w:szCs w:val="18"/>
                      <w:highlight w:val="none"/>
                      <w:lang w:val="en-US" w:eastAsia="zh-CN"/>
                    </w:rPr>
                    <w:t>6~9</w:t>
                  </w:r>
                </w:p>
              </w:tc>
            </w:tr>
            <w:tr w14:paraId="4DAB97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76" w:type="dxa"/>
                  <w:vMerge w:val="continue"/>
                  <w:tcBorders>
                    <w:tl2br w:val="nil"/>
                    <w:tr2bl w:val="nil"/>
                  </w:tcBorders>
                  <w:vAlign w:val="center"/>
                </w:tcPr>
                <w:p w14:paraId="497D8DEF">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397" w:type="dxa"/>
                  <w:vMerge w:val="continue"/>
                  <w:tcBorders>
                    <w:tl2br w:val="nil"/>
                    <w:tr2bl w:val="nil"/>
                  </w:tcBorders>
                  <w:vAlign w:val="center"/>
                </w:tcPr>
                <w:p w14:paraId="1E6CD30C">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46" w:type="dxa"/>
                  <w:tcBorders>
                    <w:tl2br w:val="nil"/>
                    <w:tr2bl w:val="nil"/>
                  </w:tcBorders>
                  <w:vAlign w:val="center"/>
                </w:tcPr>
                <w:p w14:paraId="36688D34">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default"/>
                      <w:color w:val="auto"/>
                      <w:sz w:val="18"/>
                      <w:szCs w:val="18"/>
                      <w:highlight w:val="none"/>
                      <w:lang w:val="en-US" w:eastAsia="zh-CN"/>
                    </w:rPr>
                    <w:t>COD</w:t>
                  </w:r>
                  <w:r>
                    <w:rPr>
                      <w:rFonts w:hint="eastAsia"/>
                      <w:color w:val="auto"/>
                      <w:sz w:val="18"/>
                      <w:szCs w:val="18"/>
                      <w:highlight w:val="none"/>
                      <w:vertAlign w:val="subscript"/>
                      <w:lang w:val="en-US" w:eastAsia="zh-CN"/>
                    </w:rPr>
                    <w:t>Cr</w:t>
                  </w:r>
                </w:p>
              </w:tc>
              <w:tc>
                <w:tcPr>
                  <w:tcW w:w="711" w:type="dxa"/>
                  <w:vMerge w:val="continue"/>
                  <w:tcBorders>
                    <w:tl2br w:val="nil"/>
                    <w:tr2bl w:val="nil"/>
                  </w:tcBorders>
                  <w:vAlign w:val="center"/>
                </w:tcPr>
                <w:p w14:paraId="729CEF6F">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2" w:type="dxa"/>
                  <w:tcBorders>
                    <w:tl2br w:val="nil"/>
                    <w:tr2bl w:val="nil"/>
                  </w:tcBorders>
                  <w:vAlign w:val="center"/>
                </w:tcPr>
                <w:p w14:paraId="2E24EA47">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245.98</w:t>
                  </w:r>
                </w:p>
              </w:tc>
              <w:tc>
                <w:tcPr>
                  <w:tcW w:w="787" w:type="dxa"/>
                  <w:tcBorders>
                    <w:tl2br w:val="nil"/>
                    <w:tr2bl w:val="nil"/>
                  </w:tcBorders>
                  <w:vAlign w:val="center"/>
                </w:tcPr>
                <w:p w14:paraId="63ACA659">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0.146</w:t>
                  </w:r>
                </w:p>
              </w:tc>
              <w:tc>
                <w:tcPr>
                  <w:tcW w:w="675" w:type="dxa"/>
                  <w:vMerge w:val="continue"/>
                  <w:tcBorders>
                    <w:tl2br w:val="nil"/>
                    <w:tr2bl w:val="nil"/>
                  </w:tcBorders>
                  <w:vAlign w:val="center"/>
                </w:tcPr>
                <w:p w14:paraId="49D3D1E7">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76" w:type="dxa"/>
                  <w:vMerge w:val="continue"/>
                  <w:tcBorders>
                    <w:tl2br w:val="nil"/>
                    <w:tr2bl w:val="nil"/>
                  </w:tcBorders>
                  <w:vAlign w:val="center"/>
                </w:tcPr>
                <w:p w14:paraId="364ABEE2">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46" w:type="dxa"/>
                  <w:tcBorders>
                    <w:tl2br w:val="nil"/>
                    <w:tr2bl w:val="nil"/>
                  </w:tcBorders>
                  <w:vAlign w:val="center"/>
                </w:tcPr>
                <w:p w14:paraId="4EBE4707">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20%</w:t>
                  </w:r>
                </w:p>
              </w:tc>
              <w:tc>
                <w:tcPr>
                  <w:tcW w:w="414" w:type="dxa"/>
                  <w:vMerge w:val="continue"/>
                  <w:tcBorders>
                    <w:tl2br w:val="nil"/>
                    <w:tr2bl w:val="nil"/>
                  </w:tcBorders>
                  <w:vAlign w:val="center"/>
                </w:tcPr>
                <w:p w14:paraId="3D052CED">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11" w:type="dxa"/>
                  <w:vMerge w:val="continue"/>
                  <w:tcBorders>
                    <w:tl2br w:val="nil"/>
                    <w:tr2bl w:val="nil"/>
                  </w:tcBorders>
                  <w:vAlign w:val="center"/>
                </w:tcPr>
                <w:p w14:paraId="7E512A45">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4" w:type="dxa"/>
                  <w:tcBorders>
                    <w:tl2br w:val="nil"/>
                    <w:tr2bl w:val="nil"/>
                  </w:tcBorders>
                  <w:vAlign w:val="center"/>
                </w:tcPr>
                <w:p w14:paraId="09858038">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197.12</w:t>
                  </w:r>
                </w:p>
              </w:tc>
              <w:tc>
                <w:tcPr>
                  <w:tcW w:w="787" w:type="dxa"/>
                  <w:tcBorders>
                    <w:tl2br w:val="nil"/>
                    <w:tr2bl w:val="nil"/>
                  </w:tcBorders>
                  <w:vAlign w:val="center"/>
                </w:tcPr>
                <w:p w14:paraId="5BB44029">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0.117</w:t>
                  </w:r>
                </w:p>
              </w:tc>
              <w:tc>
                <w:tcPr>
                  <w:tcW w:w="407" w:type="dxa"/>
                  <w:vMerge w:val="continue"/>
                  <w:tcBorders>
                    <w:tl2br w:val="nil"/>
                    <w:tr2bl w:val="nil"/>
                  </w:tcBorders>
                  <w:vAlign w:val="center"/>
                </w:tcPr>
                <w:p w14:paraId="307FFBA2">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7" w:type="dxa"/>
                  <w:vMerge w:val="continue"/>
                  <w:tcBorders>
                    <w:tl2br w:val="nil"/>
                    <w:tr2bl w:val="nil"/>
                  </w:tcBorders>
                  <w:vAlign w:val="center"/>
                </w:tcPr>
                <w:p w14:paraId="0BBCA6D9">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649" w:type="dxa"/>
                  <w:vMerge w:val="continue"/>
                  <w:tcBorders>
                    <w:tl2br w:val="nil"/>
                    <w:tr2bl w:val="nil"/>
                  </w:tcBorders>
                  <w:vAlign w:val="center"/>
                </w:tcPr>
                <w:p w14:paraId="05D99EA1">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992" w:type="dxa"/>
                  <w:vMerge w:val="continue"/>
                  <w:tcBorders>
                    <w:tl2br w:val="nil"/>
                    <w:tr2bl w:val="nil"/>
                  </w:tcBorders>
                  <w:vAlign w:val="center"/>
                </w:tcPr>
                <w:p w14:paraId="24523650">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2" w:type="dxa"/>
                  <w:vMerge w:val="continue"/>
                  <w:tcBorders>
                    <w:tl2br w:val="nil"/>
                    <w:tr2bl w:val="nil"/>
                  </w:tcBorders>
                  <w:vAlign w:val="center"/>
                </w:tcPr>
                <w:p w14:paraId="42D4EA48">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1378" w:type="dxa"/>
                  <w:vMerge w:val="continue"/>
                  <w:tcBorders>
                    <w:tl2br w:val="nil"/>
                    <w:tr2bl w:val="nil"/>
                  </w:tcBorders>
                  <w:vAlign w:val="center"/>
                </w:tcPr>
                <w:p w14:paraId="06DBC11C">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p>
              </w:tc>
              <w:tc>
                <w:tcPr>
                  <w:tcW w:w="631" w:type="dxa"/>
                  <w:tcBorders>
                    <w:tl2br w:val="nil"/>
                    <w:tr2bl w:val="nil"/>
                  </w:tcBorders>
                  <w:vAlign w:val="center"/>
                </w:tcPr>
                <w:p w14:paraId="10A3696C">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500</w:t>
                  </w:r>
                </w:p>
              </w:tc>
            </w:tr>
            <w:tr w14:paraId="4E57DB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76" w:type="dxa"/>
                  <w:vMerge w:val="continue"/>
                  <w:tcBorders>
                    <w:tl2br w:val="nil"/>
                    <w:tr2bl w:val="nil"/>
                  </w:tcBorders>
                  <w:vAlign w:val="center"/>
                </w:tcPr>
                <w:p w14:paraId="06C48A76">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397" w:type="dxa"/>
                  <w:vMerge w:val="continue"/>
                  <w:tcBorders>
                    <w:tl2br w:val="nil"/>
                    <w:tr2bl w:val="nil"/>
                  </w:tcBorders>
                  <w:vAlign w:val="center"/>
                </w:tcPr>
                <w:p w14:paraId="03EA53DF">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46" w:type="dxa"/>
                  <w:tcBorders>
                    <w:tl2br w:val="nil"/>
                    <w:tr2bl w:val="nil"/>
                  </w:tcBorders>
                  <w:vAlign w:val="center"/>
                </w:tcPr>
                <w:p w14:paraId="0D3ECB3C">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default"/>
                      <w:color w:val="auto"/>
                      <w:sz w:val="18"/>
                      <w:szCs w:val="18"/>
                      <w:highlight w:val="none"/>
                      <w:lang w:val="en-US" w:eastAsia="zh-CN"/>
                    </w:rPr>
                    <w:t>BOD</w:t>
                  </w:r>
                  <w:r>
                    <w:rPr>
                      <w:rFonts w:hint="eastAsia"/>
                      <w:color w:val="auto"/>
                      <w:sz w:val="18"/>
                      <w:szCs w:val="18"/>
                      <w:highlight w:val="none"/>
                      <w:vertAlign w:val="subscript"/>
                      <w:lang w:val="en-US" w:eastAsia="zh-CN"/>
                    </w:rPr>
                    <w:t>5</w:t>
                  </w:r>
                </w:p>
              </w:tc>
              <w:tc>
                <w:tcPr>
                  <w:tcW w:w="711" w:type="dxa"/>
                  <w:vMerge w:val="continue"/>
                  <w:tcBorders>
                    <w:tl2br w:val="nil"/>
                    <w:tr2bl w:val="nil"/>
                  </w:tcBorders>
                  <w:vAlign w:val="center"/>
                </w:tcPr>
                <w:p w14:paraId="164758F2">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2" w:type="dxa"/>
                  <w:tcBorders>
                    <w:tl2br w:val="nil"/>
                    <w:tr2bl w:val="nil"/>
                  </w:tcBorders>
                  <w:vAlign w:val="center"/>
                </w:tcPr>
                <w:p w14:paraId="6DE00E9A">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97.72</w:t>
                  </w:r>
                </w:p>
              </w:tc>
              <w:tc>
                <w:tcPr>
                  <w:tcW w:w="787" w:type="dxa"/>
                  <w:tcBorders>
                    <w:tl2br w:val="nil"/>
                    <w:tr2bl w:val="nil"/>
                  </w:tcBorders>
                  <w:vAlign w:val="center"/>
                </w:tcPr>
                <w:p w14:paraId="56F9B035">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0.058</w:t>
                  </w:r>
                </w:p>
              </w:tc>
              <w:tc>
                <w:tcPr>
                  <w:tcW w:w="675" w:type="dxa"/>
                  <w:vMerge w:val="continue"/>
                  <w:tcBorders>
                    <w:tl2br w:val="nil"/>
                    <w:tr2bl w:val="nil"/>
                  </w:tcBorders>
                  <w:vAlign w:val="center"/>
                </w:tcPr>
                <w:p w14:paraId="64C1FD50">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76" w:type="dxa"/>
                  <w:vMerge w:val="continue"/>
                  <w:tcBorders>
                    <w:tl2br w:val="nil"/>
                    <w:tr2bl w:val="nil"/>
                  </w:tcBorders>
                  <w:vAlign w:val="center"/>
                </w:tcPr>
                <w:p w14:paraId="0EA7EC81">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46" w:type="dxa"/>
                  <w:tcBorders>
                    <w:tl2br w:val="nil"/>
                    <w:tr2bl w:val="nil"/>
                  </w:tcBorders>
                  <w:vAlign w:val="center"/>
                </w:tcPr>
                <w:p w14:paraId="706E8492">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21%</w:t>
                  </w:r>
                </w:p>
              </w:tc>
              <w:tc>
                <w:tcPr>
                  <w:tcW w:w="414" w:type="dxa"/>
                  <w:vMerge w:val="continue"/>
                  <w:tcBorders>
                    <w:tl2br w:val="nil"/>
                    <w:tr2bl w:val="nil"/>
                  </w:tcBorders>
                  <w:vAlign w:val="center"/>
                </w:tcPr>
                <w:p w14:paraId="53F374C1">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11" w:type="dxa"/>
                  <w:vMerge w:val="continue"/>
                  <w:tcBorders>
                    <w:tl2br w:val="nil"/>
                    <w:tr2bl w:val="nil"/>
                  </w:tcBorders>
                  <w:vAlign w:val="center"/>
                </w:tcPr>
                <w:p w14:paraId="3F61C467">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4" w:type="dxa"/>
                  <w:tcBorders>
                    <w:tl2br w:val="nil"/>
                    <w:tr2bl w:val="nil"/>
                  </w:tcBorders>
                  <w:vAlign w:val="center"/>
                </w:tcPr>
                <w:p w14:paraId="4C065DC6">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77.50</w:t>
                  </w:r>
                </w:p>
              </w:tc>
              <w:tc>
                <w:tcPr>
                  <w:tcW w:w="787" w:type="dxa"/>
                  <w:tcBorders>
                    <w:tl2br w:val="nil"/>
                    <w:tr2bl w:val="nil"/>
                  </w:tcBorders>
                  <w:vAlign w:val="center"/>
                </w:tcPr>
                <w:p w14:paraId="5E4F7109">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0.046</w:t>
                  </w:r>
                </w:p>
              </w:tc>
              <w:tc>
                <w:tcPr>
                  <w:tcW w:w="407" w:type="dxa"/>
                  <w:vMerge w:val="continue"/>
                  <w:tcBorders>
                    <w:tl2br w:val="nil"/>
                    <w:tr2bl w:val="nil"/>
                  </w:tcBorders>
                  <w:vAlign w:val="center"/>
                </w:tcPr>
                <w:p w14:paraId="782E8047">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7" w:type="dxa"/>
                  <w:vMerge w:val="continue"/>
                  <w:tcBorders>
                    <w:tl2br w:val="nil"/>
                    <w:tr2bl w:val="nil"/>
                  </w:tcBorders>
                  <w:vAlign w:val="center"/>
                </w:tcPr>
                <w:p w14:paraId="2EE19ACC">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649" w:type="dxa"/>
                  <w:vMerge w:val="continue"/>
                  <w:tcBorders>
                    <w:tl2br w:val="nil"/>
                    <w:tr2bl w:val="nil"/>
                  </w:tcBorders>
                  <w:vAlign w:val="center"/>
                </w:tcPr>
                <w:p w14:paraId="3F50DDD8">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992" w:type="dxa"/>
                  <w:vMerge w:val="continue"/>
                  <w:tcBorders>
                    <w:tl2br w:val="nil"/>
                    <w:tr2bl w:val="nil"/>
                  </w:tcBorders>
                  <w:vAlign w:val="center"/>
                </w:tcPr>
                <w:p w14:paraId="20299227">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2" w:type="dxa"/>
                  <w:vMerge w:val="continue"/>
                  <w:tcBorders>
                    <w:tl2br w:val="nil"/>
                    <w:tr2bl w:val="nil"/>
                  </w:tcBorders>
                  <w:vAlign w:val="center"/>
                </w:tcPr>
                <w:p w14:paraId="65BD1A16">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1378" w:type="dxa"/>
                  <w:vMerge w:val="continue"/>
                  <w:tcBorders>
                    <w:tl2br w:val="nil"/>
                    <w:tr2bl w:val="nil"/>
                  </w:tcBorders>
                  <w:vAlign w:val="center"/>
                </w:tcPr>
                <w:p w14:paraId="1151E702">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p>
              </w:tc>
              <w:tc>
                <w:tcPr>
                  <w:tcW w:w="631" w:type="dxa"/>
                  <w:tcBorders>
                    <w:tl2br w:val="nil"/>
                    <w:tr2bl w:val="nil"/>
                  </w:tcBorders>
                  <w:vAlign w:val="center"/>
                </w:tcPr>
                <w:p w14:paraId="31D1EAA9">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300</w:t>
                  </w:r>
                </w:p>
              </w:tc>
            </w:tr>
            <w:tr w14:paraId="6E08B1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76" w:type="dxa"/>
                  <w:vMerge w:val="continue"/>
                  <w:tcBorders>
                    <w:tl2br w:val="nil"/>
                    <w:tr2bl w:val="nil"/>
                  </w:tcBorders>
                  <w:vAlign w:val="center"/>
                </w:tcPr>
                <w:p w14:paraId="7798337D">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397" w:type="dxa"/>
                  <w:vMerge w:val="continue"/>
                  <w:tcBorders>
                    <w:tl2br w:val="nil"/>
                    <w:tr2bl w:val="nil"/>
                  </w:tcBorders>
                  <w:vAlign w:val="center"/>
                </w:tcPr>
                <w:p w14:paraId="167459DE">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46" w:type="dxa"/>
                  <w:tcBorders>
                    <w:tl2br w:val="nil"/>
                    <w:tr2bl w:val="nil"/>
                  </w:tcBorders>
                  <w:vAlign w:val="center"/>
                </w:tcPr>
                <w:p w14:paraId="656762F3">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default"/>
                      <w:color w:val="auto"/>
                      <w:sz w:val="18"/>
                      <w:szCs w:val="18"/>
                      <w:highlight w:val="none"/>
                      <w:lang w:val="en-US" w:eastAsia="zh-CN"/>
                    </w:rPr>
                    <w:t>SS</w:t>
                  </w:r>
                </w:p>
              </w:tc>
              <w:tc>
                <w:tcPr>
                  <w:tcW w:w="711" w:type="dxa"/>
                  <w:vMerge w:val="continue"/>
                  <w:tcBorders>
                    <w:tl2br w:val="nil"/>
                    <w:tr2bl w:val="nil"/>
                  </w:tcBorders>
                  <w:vAlign w:val="center"/>
                </w:tcPr>
                <w:p w14:paraId="6BFBF496">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2" w:type="dxa"/>
                  <w:tcBorders>
                    <w:tl2br w:val="nil"/>
                    <w:tr2bl w:val="nil"/>
                  </w:tcBorders>
                  <w:vAlign w:val="center"/>
                </w:tcPr>
                <w:p w14:paraId="2FC0A54B">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148.26</w:t>
                  </w:r>
                </w:p>
              </w:tc>
              <w:tc>
                <w:tcPr>
                  <w:tcW w:w="787" w:type="dxa"/>
                  <w:tcBorders>
                    <w:tl2br w:val="nil"/>
                    <w:tr2bl w:val="nil"/>
                  </w:tcBorders>
                  <w:vAlign w:val="center"/>
                </w:tcPr>
                <w:p w14:paraId="6BE63507">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0.088</w:t>
                  </w:r>
                </w:p>
              </w:tc>
              <w:tc>
                <w:tcPr>
                  <w:tcW w:w="675" w:type="dxa"/>
                  <w:vMerge w:val="continue"/>
                  <w:tcBorders>
                    <w:tl2br w:val="nil"/>
                    <w:tr2bl w:val="nil"/>
                  </w:tcBorders>
                  <w:vAlign w:val="center"/>
                </w:tcPr>
                <w:p w14:paraId="3A748A93">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76" w:type="dxa"/>
                  <w:vMerge w:val="continue"/>
                  <w:tcBorders>
                    <w:tl2br w:val="nil"/>
                    <w:tr2bl w:val="nil"/>
                  </w:tcBorders>
                  <w:vAlign w:val="center"/>
                </w:tcPr>
                <w:p w14:paraId="63231014">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46" w:type="dxa"/>
                  <w:tcBorders>
                    <w:tl2br w:val="nil"/>
                    <w:tr2bl w:val="nil"/>
                  </w:tcBorders>
                  <w:vAlign w:val="center"/>
                </w:tcPr>
                <w:p w14:paraId="6E3C216C">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30%</w:t>
                  </w:r>
                </w:p>
              </w:tc>
              <w:tc>
                <w:tcPr>
                  <w:tcW w:w="414" w:type="dxa"/>
                  <w:vMerge w:val="continue"/>
                  <w:tcBorders>
                    <w:tl2br w:val="nil"/>
                    <w:tr2bl w:val="nil"/>
                  </w:tcBorders>
                  <w:vAlign w:val="center"/>
                </w:tcPr>
                <w:p w14:paraId="0B4FDF92">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11" w:type="dxa"/>
                  <w:vMerge w:val="continue"/>
                  <w:tcBorders>
                    <w:tl2br w:val="nil"/>
                    <w:tr2bl w:val="nil"/>
                  </w:tcBorders>
                  <w:vAlign w:val="center"/>
                </w:tcPr>
                <w:p w14:paraId="4FFD1F36">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4" w:type="dxa"/>
                  <w:tcBorders>
                    <w:tl2br w:val="nil"/>
                    <w:tr2bl w:val="nil"/>
                  </w:tcBorders>
                  <w:vAlign w:val="center"/>
                </w:tcPr>
                <w:p w14:paraId="5174214A">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104.46</w:t>
                  </w:r>
                </w:p>
              </w:tc>
              <w:tc>
                <w:tcPr>
                  <w:tcW w:w="787" w:type="dxa"/>
                  <w:tcBorders>
                    <w:tl2br w:val="nil"/>
                    <w:tr2bl w:val="nil"/>
                  </w:tcBorders>
                  <w:vAlign w:val="center"/>
                </w:tcPr>
                <w:p w14:paraId="5ECEE61D">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0.062</w:t>
                  </w:r>
                </w:p>
              </w:tc>
              <w:tc>
                <w:tcPr>
                  <w:tcW w:w="407" w:type="dxa"/>
                  <w:vMerge w:val="continue"/>
                  <w:tcBorders>
                    <w:tl2br w:val="nil"/>
                    <w:tr2bl w:val="nil"/>
                  </w:tcBorders>
                  <w:vAlign w:val="center"/>
                </w:tcPr>
                <w:p w14:paraId="141CB6CB">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7" w:type="dxa"/>
                  <w:vMerge w:val="continue"/>
                  <w:tcBorders>
                    <w:tl2br w:val="nil"/>
                    <w:tr2bl w:val="nil"/>
                  </w:tcBorders>
                  <w:vAlign w:val="center"/>
                </w:tcPr>
                <w:p w14:paraId="2C7617CE">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649" w:type="dxa"/>
                  <w:vMerge w:val="continue"/>
                  <w:tcBorders>
                    <w:tl2br w:val="nil"/>
                    <w:tr2bl w:val="nil"/>
                  </w:tcBorders>
                  <w:vAlign w:val="center"/>
                </w:tcPr>
                <w:p w14:paraId="45DAB4E1">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992" w:type="dxa"/>
                  <w:vMerge w:val="continue"/>
                  <w:tcBorders>
                    <w:tl2br w:val="nil"/>
                    <w:tr2bl w:val="nil"/>
                  </w:tcBorders>
                  <w:vAlign w:val="center"/>
                </w:tcPr>
                <w:p w14:paraId="3097E94C">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2" w:type="dxa"/>
                  <w:vMerge w:val="continue"/>
                  <w:tcBorders>
                    <w:tl2br w:val="nil"/>
                    <w:tr2bl w:val="nil"/>
                  </w:tcBorders>
                  <w:vAlign w:val="center"/>
                </w:tcPr>
                <w:p w14:paraId="2752B8C4">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1378" w:type="dxa"/>
                  <w:vMerge w:val="continue"/>
                  <w:tcBorders>
                    <w:tl2br w:val="nil"/>
                    <w:tr2bl w:val="nil"/>
                  </w:tcBorders>
                  <w:vAlign w:val="center"/>
                </w:tcPr>
                <w:p w14:paraId="08E2F7B9">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p>
              </w:tc>
              <w:tc>
                <w:tcPr>
                  <w:tcW w:w="631" w:type="dxa"/>
                  <w:tcBorders>
                    <w:tl2br w:val="nil"/>
                    <w:tr2bl w:val="nil"/>
                  </w:tcBorders>
                  <w:vAlign w:val="center"/>
                </w:tcPr>
                <w:p w14:paraId="46E613C2">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300</w:t>
                  </w:r>
                </w:p>
              </w:tc>
            </w:tr>
            <w:tr w14:paraId="0DC9AF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76" w:type="dxa"/>
                  <w:vMerge w:val="continue"/>
                  <w:tcBorders>
                    <w:tl2br w:val="nil"/>
                    <w:tr2bl w:val="nil"/>
                  </w:tcBorders>
                  <w:vAlign w:val="center"/>
                </w:tcPr>
                <w:p w14:paraId="5770337C">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397" w:type="dxa"/>
                  <w:vMerge w:val="continue"/>
                  <w:tcBorders>
                    <w:tl2br w:val="nil"/>
                    <w:tr2bl w:val="nil"/>
                  </w:tcBorders>
                  <w:vAlign w:val="center"/>
                </w:tcPr>
                <w:p w14:paraId="1EB5F212">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46" w:type="dxa"/>
                  <w:tcBorders>
                    <w:tl2br w:val="nil"/>
                    <w:tr2bl w:val="nil"/>
                  </w:tcBorders>
                  <w:vAlign w:val="center"/>
                </w:tcPr>
                <w:p w14:paraId="0059FF44">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default"/>
                      <w:color w:val="auto"/>
                      <w:sz w:val="18"/>
                      <w:szCs w:val="18"/>
                      <w:highlight w:val="none"/>
                      <w:lang w:val="en-US" w:eastAsia="zh-CN"/>
                    </w:rPr>
                    <w:t>NH</w:t>
                  </w:r>
                  <w:r>
                    <w:rPr>
                      <w:rFonts w:hint="eastAsia"/>
                      <w:color w:val="auto"/>
                      <w:sz w:val="18"/>
                      <w:szCs w:val="18"/>
                      <w:highlight w:val="none"/>
                      <w:vertAlign w:val="subscript"/>
                      <w:lang w:val="en-US" w:eastAsia="zh-CN"/>
                    </w:rPr>
                    <w:t>3</w:t>
                  </w:r>
                  <w:r>
                    <w:rPr>
                      <w:rFonts w:hint="eastAsia"/>
                      <w:color w:val="auto"/>
                      <w:sz w:val="18"/>
                      <w:szCs w:val="18"/>
                      <w:highlight w:val="none"/>
                      <w:lang w:val="en-US" w:eastAsia="zh-CN"/>
                    </w:rPr>
                    <w:t>-N</w:t>
                  </w:r>
                </w:p>
              </w:tc>
              <w:tc>
                <w:tcPr>
                  <w:tcW w:w="711" w:type="dxa"/>
                  <w:vMerge w:val="continue"/>
                  <w:tcBorders>
                    <w:tl2br w:val="nil"/>
                    <w:tr2bl w:val="nil"/>
                  </w:tcBorders>
                  <w:vAlign w:val="center"/>
                </w:tcPr>
                <w:p w14:paraId="55C15076">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2" w:type="dxa"/>
                  <w:tcBorders>
                    <w:tl2br w:val="nil"/>
                    <w:tr2bl w:val="nil"/>
                  </w:tcBorders>
                  <w:vAlign w:val="center"/>
                </w:tcPr>
                <w:p w14:paraId="018BE891">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23.59</w:t>
                  </w:r>
                </w:p>
              </w:tc>
              <w:tc>
                <w:tcPr>
                  <w:tcW w:w="787" w:type="dxa"/>
                  <w:tcBorders>
                    <w:tl2br w:val="nil"/>
                    <w:tr2bl w:val="nil"/>
                  </w:tcBorders>
                  <w:vAlign w:val="center"/>
                </w:tcPr>
                <w:p w14:paraId="7436A14D">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0.014</w:t>
                  </w:r>
                </w:p>
              </w:tc>
              <w:tc>
                <w:tcPr>
                  <w:tcW w:w="675" w:type="dxa"/>
                  <w:vMerge w:val="continue"/>
                  <w:tcBorders>
                    <w:tl2br w:val="nil"/>
                    <w:tr2bl w:val="nil"/>
                  </w:tcBorders>
                  <w:vAlign w:val="center"/>
                </w:tcPr>
                <w:p w14:paraId="4CD5BED5">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76" w:type="dxa"/>
                  <w:vMerge w:val="continue"/>
                  <w:tcBorders>
                    <w:tl2br w:val="nil"/>
                    <w:tr2bl w:val="nil"/>
                  </w:tcBorders>
                  <w:vAlign w:val="center"/>
                </w:tcPr>
                <w:p w14:paraId="755230B2">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46" w:type="dxa"/>
                  <w:tcBorders>
                    <w:tl2br w:val="nil"/>
                    <w:tr2bl w:val="nil"/>
                  </w:tcBorders>
                  <w:vAlign w:val="center"/>
                </w:tcPr>
                <w:p w14:paraId="1E7D162A">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0</w:t>
                  </w:r>
                </w:p>
              </w:tc>
              <w:tc>
                <w:tcPr>
                  <w:tcW w:w="414" w:type="dxa"/>
                  <w:vMerge w:val="continue"/>
                  <w:tcBorders>
                    <w:tl2br w:val="nil"/>
                    <w:tr2bl w:val="nil"/>
                  </w:tcBorders>
                  <w:vAlign w:val="center"/>
                </w:tcPr>
                <w:p w14:paraId="404F87EC">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11" w:type="dxa"/>
                  <w:vMerge w:val="continue"/>
                  <w:tcBorders>
                    <w:tl2br w:val="nil"/>
                    <w:tr2bl w:val="nil"/>
                  </w:tcBorders>
                  <w:vAlign w:val="center"/>
                </w:tcPr>
                <w:p w14:paraId="785F2877">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4" w:type="dxa"/>
                  <w:tcBorders>
                    <w:tl2br w:val="nil"/>
                    <w:tr2bl w:val="nil"/>
                  </w:tcBorders>
                  <w:vAlign w:val="center"/>
                </w:tcPr>
                <w:p w14:paraId="1093477E">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23.59</w:t>
                  </w:r>
                </w:p>
              </w:tc>
              <w:tc>
                <w:tcPr>
                  <w:tcW w:w="787" w:type="dxa"/>
                  <w:tcBorders>
                    <w:tl2br w:val="nil"/>
                    <w:tr2bl w:val="nil"/>
                  </w:tcBorders>
                  <w:vAlign w:val="center"/>
                </w:tcPr>
                <w:p w14:paraId="052791D6">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0.014</w:t>
                  </w:r>
                </w:p>
              </w:tc>
              <w:tc>
                <w:tcPr>
                  <w:tcW w:w="407" w:type="dxa"/>
                  <w:vMerge w:val="continue"/>
                  <w:tcBorders>
                    <w:tl2br w:val="nil"/>
                    <w:tr2bl w:val="nil"/>
                  </w:tcBorders>
                  <w:vAlign w:val="center"/>
                </w:tcPr>
                <w:p w14:paraId="0CAF9554">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7" w:type="dxa"/>
                  <w:vMerge w:val="continue"/>
                  <w:tcBorders>
                    <w:tl2br w:val="nil"/>
                    <w:tr2bl w:val="nil"/>
                  </w:tcBorders>
                  <w:vAlign w:val="center"/>
                </w:tcPr>
                <w:p w14:paraId="47048525">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649" w:type="dxa"/>
                  <w:vMerge w:val="continue"/>
                  <w:tcBorders>
                    <w:tl2br w:val="nil"/>
                    <w:tr2bl w:val="nil"/>
                  </w:tcBorders>
                  <w:vAlign w:val="center"/>
                </w:tcPr>
                <w:p w14:paraId="1D9A2CCD">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992" w:type="dxa"/>
                  <w:vMerge w:val="continue"/>
                  <w:tcBorders>
                    <w:tl2br w:val="nil"/>
                    <w:tr2bl w:val="nil"/>
                  </w:tcBorders>
                  <w:vAlign w:val="center"/>
                </w:tcPr>
                <w:p w14:paraId="0FA23BFE">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2" w:type="dxa"/>
                  <w:vMerge w:val="continue"/>
                  <w:tcBorders>
                    <w:tl2br w:val="nil"/>
                    <w:tr2bl w:val="nil"/>
                  </w:tcBorders>
                  <w:vAlign w:val="center"/>
                </w:tcPr>
                <w:p w14:paraId="23969F6E">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1378" w:type="dxa"/>
                  <w:vMerge w:val="continue"/>
                  <w:tcBorders>
                    <w:tl2br w:val="nil"/>
                    <w:tr2bl w:val="nil"/>
                  </w:tcBorders>
                  <w:vAlign w:val="center"/>
                </w:tcPr>
                <w:p w14:paraId="6B73639C">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p>
              </w:tc>
              <w:tc>
                <w:tcPr>
                  <w:tcW w:w="631" w:type="dxa"/>
                  <w:tcBorders>
                    <w:tl2br w:val="nil"/>
                    <w:tr2bl w:val="nil"/>
                  </w:tcBorders>
                  <w:vAlign w:val="center"/>
                </w:tcPr>
                <w:p w14:paraId="12EF68D2">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45</w:t>
                  </w:r>
                </w:p>
              </w:tc>
            </w:tr>
            <w:tr w14:paraId="1BD847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76" w:type="dxa"/>
                  <w:vMerge w:val="continue"/>
                  <w:tcBorders>
                    <w:tl2br w:val="nil"/>
                    <w:tr2bl w:val="nil"/>
                  </w:tcBorders>
                  <w:vAlign w:val="center"/>
                </w:tcPr>
                <w:p w14:paraId="6773D5C9">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397" w:type="dxa"/>
                  <w:vMerge w:val="continue"/>
                  <w:tcBorders>
                    <w:tl2br w:val="nil"/>
                    <w:tr2bl w:val="nil"/>
                  </w:tcBorders>
                  <w:vAlign w:val="center"/>
                </w:tcPr>
                <w:p w14:paraId="1AAF4F30">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46" w:type="dxa"/>
                  <w:tcBorders>
                    <w:tl2br w:val="nil"/>
                    <w:tr2bl w:val="nil"/>
                  </w:tcBorders>
                  <w:vAlign w:val="center"/>
                </w:tcPr>
                <w:p w14:paraId="6FBE67E5">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TP</w:t>
                  </w:r>
                </w:p>
              </w:tc>
              <w:tc>
                <w:tcPr>
                  <w:tcW w:w="711" w:type="dxa"/>
                  <w:vMerge w:val="continue"/>
                  <w:tcBorders>
                    <w:tl2br w:val="nil"/>
                    <w:tr2bl w:val="nil"/>
                  </w:tcBorders>
                  <w:vAlign w:val="center"/>
                </w:tcPr>
                <w:p w14:paraId="67A37FCD">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2" w:type="dxa"/>
                  <w:tcBorders>
                    <w:tl2br w:val="nil"/>
                    <w:tr2bl w:val="nil"/>
                  </w:tcBorders>
                  <w:vAlign w:val="center"/>
                </w:tcPr>
                <w:p w14:paraId="70934374">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5.05</w:t>
                  </w:r>
                </w:p>
              </w:tc>
              <w:tc>
                <w:tcPr>
                  <w:tcW w:w="787" w:type="dxa"/>
                  <w:tcBorders>
                    <w:tl2br w:val="nil"/>
                    <w:tr2bl w:val="nil"/>
                  </w:tcBorders>
                  <w:vAlign w:val="center"/>
                </w:tcPr>
                <w:p w14:paraId="12A67BE1">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0.003</w:t>
                  </w:r>
                </w:p>
              </w:tc>
              <w:tc>
                <w:tcPr>
                  <w:tcW w:w="675" w:type="dxa"/>
                  <w:vMerge w:val="continue"/>
                  <w:tcBorders>
                    <w:tl2br w:val="nil"/>
                    <w:tr2bl w:val="nil"/>
                  </w:tcBorders>
                  <w:vAlign w:val="center"/>
                </w:tcPr>
                <w:p w14:paraId="073DA9B1">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76" w:type="dxa"/>
                  <w:vMerge w:val="continue"/>
                  <w:tcBorders>
                    <w:tl2br w:val="nil"/>
                    <w:tr2bl w:val="nil"/>
                  </w:tcBorders>
                  <w:vAlign w:val="center"/>
                </w:tcPr>
                <w:p w14:paraId="5FC717F2">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46" w:type="dxa"/>
                  <w:tcBorders>
                    <w:tl2br w:val="nil"/>
                    <w:tr2bl w:val="nil"/>
                  </w:tcBorders>
                  <w:vAlign w:val="center"/>
                </w:tcPr>
                <w:p w14:paraId="4E220904">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0</w:t>
                  </w:r>
                </w:p>
              </w:tc>
              <w:tc>
                <w:tcPr>
                  <w:tcW w:w="414" w:type="dxa"/>
                  <w:vMerge w:val="continue"/>
                  <w:tcBorders>
                    <w:tl2br w:val="nil"/>
                    <w:tr2bl w:val="nil"/>
                  </w:tcBorders>
                  <w:vAlign w:val="center"/>
                </w:tcPr>
                <w:p w14:paraId="3A563B52">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11" w:type="dxa"/>
                  <w:vMerge w:val="continue"/>
                  <w:tcBorders>
                    <w:tl2br w:val="nil"/>
                    <w:tr2bl w:val="nil"/>
                  </w:tcBorders>
                  <w:vAlign w:val="center"/>
                </w:tcPr>
                <w:p w14:paraId="0C4CE3E9">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4" w:type="dxa"/>
                  <w:tcBorders>
                    <w:tl2br w:val="nil"/>
                    <w:tr2bl w:val="nil"/>
                  </w:tcBorders>
                  <w:vAlign w:val="center"/>
                </w:tcPr>
                <w:p w14:paraId="7EB2048D">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5.05</w:t>
                  </w:r>
                </w:p>
              </w:tc>
              <w:tc>
                <w:tcPr>
                  <w:tcW w:w="787" w:type="dxa"/>
                  <w:tcBorders>
                    <w:tl2br w:val="nil"/>
                    <w:tr2bl w:val="nil"/>
                  </w:tcBorders>
                  <w:vAlign w:val="center"/>
                </w:tcPr>
                <w:p w14:paraId="41E2874E">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0.003</w:t>
                  </w:r>
                </w:p>
              </w:tc>
              <w:tc>
                <w:tcPr>
                  <w:tcW w:w="407" w:type="dxa"/>
                  <w:vMerge w:val="continue"/>
                  <w:tcBorders>
                    <w:tl2br w:val="nil"/>
                    <w:tr2bl w:val="nil"/>
                  </w:tcBorders>
                  <w:vAlign w:val="center"/>
                </w:tcPr>
                <w:p w14:paraId="7DEE0164">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7" w:type="dxa"/>
                  <w:vMerge w:val="continue"/>
                  <w:tcBorders>
                    <w:tl2br w:val="nil"/>
                    <w:tr2bl w:val="nil"/>
                  </w:tcBorders>
                  <w:vAlign w:val="center"/>
                </w:tcPr>
                <w:p w14:paraId="1CCA2B42">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649" w:type="dxa"/>
                  <w:vMerge w:val="continue"/>
                  <w:tcBorders>
                    <w:tl2br w:val="nil"/>
                    <w:tr2bl w:val="nil"/>
                  </w:tcBorders>
                  <w:vAlign w:val="center"/>
                </w:tcPr>
                <w:p w14:paraId="336E4D8D">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992" w:type="dxa"/>
                  <w:vMerge w:val="continue"/>
                  <w:tcBorders>
                    <w:tl2br w:val="nil"/>
                    <w:tr2bl w:val="nil"/>
                  </w:tcBorders>
                  <w:vAlign w:val="center"/>
                </w:tcPr>
                <w:p w14:paraId="59FB06AE">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2" w:type="dxa"/>
                  <w:vMerge w:val="continue"/>
                  <w:tcBorders>
                    <w:tl2br w:val="nil"/>
                    <w:tr2bl w:val="nil"/>
                  </w:tcBorders>
                  <w:vAlign w:val="center"/>
                </w:tcPr>
                <w:p w14:paraId="11EC5F0E">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1378" w:type="dxa"/>
                  <w:vMerge w:val="continue"/>
                  <w:tcBorders>
                    <w:tl2br w:val="nil"/>
                    <w:tr2bl w:val="nil"/>
                  </w:tcBorders>
                  <w:vAlign w:val="center"/>
                </w:tcPr>
                <w:p w14:paraId="7838E2FF">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p>
              </w:tc>
              <w:tc>
                <w:tcPr>
                  <w:tcW w:w="631" w:type="dxa"/>
                  <w:tcBorders>
                    <w:tl2br w:val="nil"/>
                    <w:tr2bl w:val="nil"/>
                  </w:tcBorders>
                  <w:vAlign w:val="center"/>
                </w:tcPr>
                <w:p w14:paraId="67B517A2">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8</w:t>
                  </w:r>
                </w:p>
              </w:tc>
            </w:tr>
            <w:tr w14:paraId="7015BE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76" w:type="dxa"/>
                  <w:vMerge w:val="continue"/>
                  <w:tcBorders>
                    <w:tl2br w:val="nil"/>
                    <w:tr2bl w:val="nil"/>
                  </w:tcBorders>
                  <w:vAlign w:val="center"/>
                </w:tcPr>
                <w:p w14:paraId="034296F6">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397" w:type="dxa"/>
                  <w:vMerge w:val="continue"/>
                  <w:tcBorders>
                    <w:tl2br w:val="nil"/>
                    <w:tr2bl w:val="nil"/>
                  </w:tcBorders>
                  <w:vAlign w:val="center"/>
                </w:tcPr>
                <w:p w14:paraId="5C5F90A9">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46" w:type="dxa"/>
                  <w:tcBorders>
                    <w:tl2br w:val="nil"/>
                    <w:tr2bl w:val="nil"/>
                  </w:tcBorders>
                  <w:vAlign w:val="center"/>
                </w:tcPr>
                <w:p w14:paraId="344912CB">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总氮</w:t>
                  </w:r>
                </w:p>
              </w:tc>
              <w:tc>
                <w:tcPr>
                  <w:tcW w:w="711" w:type="dxa"/>
                  <w:vMerge w:val="continue"/>
                  <w:tcBorders>
                    <w:tl2br w:val="nil"/>
                    <w:tr2bl w:val="nil"/>
                  </w:tcBorders>
                  <w:vAlign w:val="center"/>
                </w:tcPr>
                <w:p w14:paraId="45609FB4">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2" w:type="dxa"/>
                  <w:tcBorders>
                    <w:tl2br w:val="nil"/>
                    <w:tr2bl w:val="nil"/>
                  </w:tcBorders>
                  <w:vAlign w:val="center"/>
                </w:tcPr>
                <w:p w14:paraId="25B23FA6">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58.64</w:t>
                  </w:r>
                </w:p>
              </w:tc>
              <w:tc>
                <w:tcPr>
                  <w:tcW w:w="787" w:type="dxa"/>
                  <w:tcBorders>
                    <w:tl2br w:val="nil"/>
                    <w:tr2bl w:val="nil"/>
                  </w:tcBorders>
                  <w:vAlign w:val="center"/>
                </w:tcPr>
                <w:p w14:paraId="5CEAA1F7">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0.017</w:t>
                  </w:r>
                </w:p>
              </w:tc>
              <w:tc>
                <w:tcPr>
                  <w:tcW w:w="675" w:type="dxa"/>
                  <w:vMerge w:val="continue"/>
                  <w:tcBorders>
                    <w:tl2br w:val="nil"/>
                    <w:tr2bl w:val="nil"/>
                  </w:tcBorders>
                  <w:vAlign w:val="center"/>
                </w:tcPr>
                <w:p w14:paraId="40F4E376">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76" w:type="dxa"/>
                  <w:vMerge w:val="continue"/>
                  <w:tcBorders>
                    <w:tl2br w:val="nil"/>
                    <w:tr2bl w:val="nil"/>
                  </w:tcBorders>
                  <w:vAlign w:val="center"/>
                </w:tcPr>
                <w:p w14:paraId="745F8504">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46" w:type="dxa"/>
                  <w:tcBorders>
                    <w:tl2br w:val="nil"/>
                    <w:tr2bl w:val="nil"/>
                  </w:tcBorders>
                  <w:vAlign w:val="center"/>
                </w:tcPr>
                <w:p w14:paraId="02BBADAC">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0</w:t>
                  </w:r>
                </w:p>
              </w:tc>
              <w:tc>
                <w:tcPr>
                  <w:tcW w:w="414" w:type="dxa"/>
                  <w:vMerge w:val="continue"/>
                  <w:tcBorders>
                    <w:tl2br w:val="nil"/>
                    <w:tr2bl w:val="nil"/>
                  </w:tcBorders>
                  <w:vAlign w:val="center"/>
                </w:tcPr>
                <w:p w14:paraId="5088622C">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11" w:type="dxa"/>
                  <w:vMerge w:val="continue"/>
                  <w:tcBorders>
                    <w:tl2br w:val="nil"/>
                    <w:tr2bl w:val="nil"/>
                  </w:tcBorders>
                  <w:vAlign w:val="center"/>
                </w:tcPr>
                <w:p w14:paraId="2AD255C3">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4" w:type="dxa"/>
                  <w:tcBorders>
                    <w:tl2br w:val="nil"/>
                    <w:tr2bl w:val="nil"/>
                  </w:tcBorders>
                  <w:vAlign w:val="center"/>
                </w:tcPr>
                <w:p w14:paraId="24F9B292">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58.64</w:t>
                  </w:r>
                </w:p>
              </w:tc>
              <w:tc>
                <w:tcPr>
                  <w:tcW w:w="787" w:type="dxa"/>
                  <w:tcBorders>
                    <w:tl2br w:val="nil"/>
                    <w:tr2bl w:val="nil"/>
                  </w:tcBorders>
                  <w:vAlign w:val="center"/>
                </w:tcPr>
                <w:p w14:paraId="0B4507BD">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0.017</w:t>
                  </w:r>
                </w:p>
              </w:tc>
              <w:tc>
                <w:tcPr>
                  <w:tcW w:w="407" w:type="dxa"/>
                  <w:vMerge w:val="continue"/>
                  <w:tcBorders>
                    <w:tl2br w:val="nil"/>
                    <w:tr2bl w:val="nil"/>
                  </w:tcBorders>
                  <w:vAlign w:val="center"/>
                </w:tcPr>
                <w:p w14:paraId="491CAAFB">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7" w:type="dxa"/>
                  <w:vMerge w:val="continue"/>
                  <w:tcBorders>
                    <w:tl2br w:val="nil"/>
                    <w:tr2bl w:val="nil"/>
                  </w:tcBorders>
                  <w:vAlign w:val="center"/>
                </w:tcPr>
                <w:p w14:paraId="064A1243">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649" w:type="dxa"/>
                  <w:vMerge w:val="continue"/>
                  <w:tcBorders>
                    <w:tl2br w:val="nil"/>
                    <w:tr2bl w:val="nil"/>
                  </w:tcBorders>
                  <w:vAlign w:val="center"/>
                </w:tcPr>
                <w:p w14:paraId="37810B59">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992" w:type="dxa"/>
                  <w:vMerge w:val="continue"/>
                  <w:tcBorders>
                    <w:tl2br w:val="nil"/>
                    <w:tr2bl w:val="nil"/>
                  </w:tcBorders>
                  <w:vAlign w:val="center"/>
                </w:tcPr>
                <w:p w14:paraId="026DA98F">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2" w:type="dxa"/>
                  <w:vMerge w:val="continue"/>
                  <w:tcBorders>
                    <w:tl2br w:val="nil"/>
                    <w:tr2bl w:val="nil"/>
                  </w:tcBorders>
                  <w:vAlign w:val="center"/>
                </w:tcPr>
                <w:p w14:paraId="52A98F8B">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1378" w:type="dxa"/>
                  <w:vMerge w:val="continue"/>
                  <w:tcBorders>
                    <w:tl2br w:val="nil"/>
                    <w:tr2bl w:val="nil"/>
                  </w:tcBorders>
                  <w:vAlign w:val="center"/>
                </w:tcPr>
                <w:p w14:paraId="3D7DAC21">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p>
              </w:tc>
              <w:tc>
                <w:tcPr>
                  <w:tcW w:w="631" w:type="dxa"/>
                  <w:tcBorders>
                    <w:tl2br w:val="nil"/>
                    <w:tr2bl w:val="nil"/>
                  </w:tcBorders>
                  <w:vAlign w:val="center"/>
                </w:tcPr>
                <w:p w14:paraId="47C47247">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70</w:t>
                  </w:r>
                </w:p>
              </w:tc>
            </w:tr>
            <w:tr w14:paraId="16F762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76" w:type="dxa"/>
                  <w:vMerge w:val="continue"/>
                  <w:tcBorders>
                    <w:tl2br w:val="nil"/>
                    <w:tr2bl w:val="nil"/>
                  </w:tcBorders>
                  <w:vAlign w:val="center"/>
                </w:tcPr>
                <w:p w14:paraId="52192AE0">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397" w:type="dxa"/>
                  <w:vMerge w:val="continue"/>
                  <w:tcBorders>
                    <w:tl2br w:val="nil"/>
                    <w:tr2bl w:val="nil"/>
                  </w:tcBorders>
                  <w:vAlign w:val="center"/>
                </w:tcPr>
                <w:p w14:paraId="5D2F4900">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46" w:type="dxa"/>
                  <w:tcBorders>
                    <w:tl2br w:val="nil"/>
                    <w:tr2bl w:val="nil"/>
                  </w:tcBorders>
                  <w:vAlign w:val="center"/>
                </w:tcPr>
                <w:p w14:paraId="754E7C3D">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动植物油</w:t>
                  </w:r>
                </w:p>
              </w:tc>
              <w:tc>
                <w:tcPr>
                  <w:tcW w:w="711" w:type="dxa"/>
                  <w:vMerge w:val="continue"/>
                  <w:tcBorders>
                    <w:tl2br w:val="nil"/>
                    <w:tr2bl w:val="nil"/>
                  </w:tcBorders>
                  <w:vAlign w:val="center"/>
                </w:tcPr>
                <w:p w14:paraId="63F658A1">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2" w:type="dxa"/>
                  <w:tcBorders>
                    <w:tl2br w:val="nil"/>
                    <w:tr2bl w:val="nil"/>
                  </w:tcBorders>
                  <w:vAlign w:val="center"/>
                </w:tcPr>
                <w:p w14:paraId="75853FD5">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58.64</w:t>
                  </w:r>
                </w:p>
              </w:tc>
              <w:tc>
                <w:tcPr>
                  <w:tcW w:w="787" w:type="dxa"/>
                  <w:tcBorders>
                    <w:tl2br w:val="nil"/>
                    <w:tr2bl w:val="nil"/>
                  </w:tcBorders>
                  <w:vAlign w:val="center"/>
                </w:tcPr>
                <w:p w14:paraId="5B0B2704">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0.017</w:t>
                  </w:r>
                </w:p>
              </w:tc>
              <w:tc>
                <w:tcPr>
                  <w:tcW w:w="675" w:type="dxa"/>
                  <w:vMerge w:val="continue"/>
                  <w:tcBorders>
                    <w:tl2br w:val="nil"/>
                    <w:tr2bl w:val="nil"/>
                  </w:tcBorders>
                  <w:vAlign w:val="center"/>
                </w:tcPr>
                <w:p w14:paraId="77867D7B">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76" w:type="dxa"/>
                  <w:vMerge w:val="continue"/>
                  <w:tcBorders>
                    <w:tl2br w:val="nil"/>
                    <w:tr2bl w:val="nil"/>
                  </w:tcBorders>
                  <w:vAlign w:val="center"/>
                </w:tcPr>
                <w:p w14:paraId="2455B9E9">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46" w:type="dxa"/>
                  <w:tcBorders>
                    <w:tl2br w:val="nil"/>
                    <w:tr2bl w:val="nil"/>
                  </w:tcBorders>
                  <w:vAlign w:val="center"/>
                </w:tcPr>
                <w:p w14:paraId="70F88C6B">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94%</w:t>
                  </w:r>
                </w:p>
              </w:tc>
              <w:tc>
                <w:tcPr>
                  <w:tcW w:w="414" w:type="dxa"/>
                  <w:vMerge w:val="continue"/>
                  <w:tcBorders>
                    <w:tl2br w:val="nil"/>
                    <w:tr2bl w:val="nil"/>
                  </w:tcBorders>
                  <w:vAlign w:val="center"/>
                </w:tcPr>
                <w:p w14:paraId="7445C7F9">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11" w:type="dxa"/>
                  <w:vMerge w:val="continue"/>
                  <w:tcBorders>
                    <w:tl2br w:val="nil"/>
                    <w:tr2bl w:val="nil"/>
                  </w:tcBorders>
                  <w:vAlign w:val="center"/>
                </w:tcPr>
                <w:p w14:paraId="5946731F">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4" w:type="dxa"/>
                  <w:tcBorders>
                    <w:tl2br w:val="nil"/>
                    <w:tr2bl w:val="nil"/>
                  </w:tcBorders>
                  <w:vAlign w:val="center"/>
                </w:tcPr>
                <w:p w14:paraId="5AB77081">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3.37</w:t>
                  </w:r>
                </w:p>
              </w:tc>
              <w:tc>
                <w:tcPr>
                  <w:tcW w:w="787" w:type="dxa"/>
                  <w:tcBorders>
                    <w:tl2br w:val="nil"/>
                    <w:tr2bl w:val="nil"/>
                  </w:tcBorders>
                  <w:vAlign w:val="center"/>
                </w:tcPr>
                <w:p w14:paraId="58092EC1">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0.002</w:t>
                  </w:r>
                </w:p>
              </w:tc>
              <w:tc>
                <w:tcPr>
                  <w:tcW w:w="407" w:type="dxa"/>
                  <w:vMerge w:val="continue"/>
                  <w:tcBorders>
                    <w:tl2br w:val="nil"/>
                    <w:tr2bl w:val="nil"/>
                  </w:tcBorders>
                  <w:vAlign w:val="center"/>
                </w:tcPr>
                <w:p w14:paraId="51B4D2FC">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7" w:type="dxa"/>
                  <w:vMerge w:val="continue"/>
                  <w:tcBorders>
                    <w:tl2br w:val="nil"/>
                    <w:tr2bl w:val="nil"/>
                  </w:tcBorders>
                  <w:vAlign w:val="center"/>
                </w:tcPr>
                <w:p w14:paraId="382E51EC">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649" w:type="dxa"/>
                  <w:vMerge w:val="continue"/>
                  <w:tcBorders>
                    <w:tl2br w:val="nil"/>
                    <w:tr2bl w:val="nil"/>
                  </w:tcBorders>
                  <w:vAlign w:val="center"/>
                </w:tcPr>
                <w:p w14:paraId="16E93569">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992" w:type="dxa"/>
                  <w:vMerge w:val="continue"/>
                  <w:tcBorders>
                    <w:tl2br w:val="nil"/>
                    <w:tr2bl w:val="nil"/>
                  </w:tcBorders>
                  <w:vAlign w:val="center"/>
                </w:tcPr>
                <w:p w14:paraId="1F9E084D">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2" w:type="dxa"/>
                  <w:vMerge w:val="continue"/>
                  <w:tcBorders>
                    <w:tl2br w:val="nil"/>
                    <w:tr2bl w:val="nil"/>
                  </w:tcBorders>
                  <w:vAlign w:val="center"/>
                </w:tcPr>
                <w:p w14:paraId="44E620C9">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1378" w:type="dxa"/>
                  <w:vMerge w:val="continue"/>
                  <w:tcBorders>
                    <w:tl2br w:val="nil"/>
                    <w:tr2bl w:val="nil"/>
                  </w:tcBorders>
                  <w:vAlign w:val="center"/>
                </w:tcPr>
                <w:p w14:paraId="63693E67">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p>
              </w:tc>
              <w:tc>
                <w:tcPr>
                  <w:tcW w:w="631" w:type="dxa"/>
                  <w:tcBorders>
                    <w:tl2br w:val="nil"/>
                    <w:tr2bl w:val="nil"/>
                  </w:tcBorders>
                  <w:vAlign w:val="center"/>
                </w:tcPr>
                <w:p w14:paraId="6D1B3BE8">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100</w:t>
                  </w:r>
                </w:p>
              </w:tc>
            </w:tr>
            <w:tr w14:paraId="257442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76" w:type="dxa"/>
                  <w:vMerge w:val="continue"/>
                  <w:tcBorders>
                    <w:tl2br w:val="nil"/>
                    <w:tr2bl w:val="nil"/>
                  </w:tcBorders>
                  <w:vAlign w:val="center"/>
                </w:tcPr>
                <w:p w14:paraId="081ABE0F">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397" w:type="dxa"/>
                  <w:vMerge w:val="continue"/>
                  <w:tcBorders>
                    <w:tl2br w:val="nil"/>
                    <w:tr2bl w:val="nil"/>
                  </w:tcBorders>
                  <w:vAlign w:val="center"/>
                </w:tcPr>
                <w:p w14:paraId="5777D3D8">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46" w:type="dxa"/>
                  <w:tcBorders>
                    <w:tl2br w:val="nil"/>
                    <w:tr2bl w:val="nil"/>
                  </w:tcBorders>
                  <w:vAlign w:val="center"/>
                </w:tcPr>
                <w:p w14:paraId="4BF6FDEF">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石油类</w:t>
                  </w:r>
                </w:p>
              </w:tc>
              <w:tc>
                <w:tcPr>
                  <w:tcW w:w="711" w:type="dxa"/>
                  <w:vMerge w:val="continue"/>
                  <w:tcBorders>
                    <w:tl2br w:val="nil"/>
                    <w:tr2bl w:val="nil"/>
                  </w:tcBorders>
                  <w:vAlign w:val="center"/>
                </w:tcPr>
                <w:p w14:paraId="747D9C39">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2" w:type="dxa"/>
                  <w:tcBorders>
                    <w:tl2br w:val="nil"/>
                    <w:tr2bl w:val="nil"/>
                  </w:tcBorders>
                  <w:vAlign w:val="center"/>
                </w:tcPr>
                <w:p w14:paraId="15B74EF6">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1.68</w:t>
                  </w:r>
                </w:p>
              </w:tc>
              <w:tc>
                <w:tcPr>
                  <w:tcW w:w="787" w:type="dxa"/>
                  <w:tcBorders>
                    <w:tl2br w:val="nil"/>
                    <w:tr2bl w:val="nil"/>
                  </w:tcBorders>
                  <w:vAlign w:val="center"/>
                </w:tcPr>
                <w:p w14:paraId="64EFCCE3">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0.001</w:t>
                  </w:r>
                </w:p>
              </w:tc>
              <w:tc>
                <w:tcPr>
                  <w:tcW w:w="675" w:type="dxa"/>
                  <w:vMerge w:val="continue"/>
                  <w:tcBorders>
                    <w:tl2br w:val="nil"/>
                    <w:tr2bl w:val="nil"/>
                  </w:tcBorders>
                  <w:vAlign w:val="center"/>
                </w:tcPr>
                <w:p w14:paraId="665589B3">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76" w:type="dxa"/>
                  <w:vMerge w:val="continue"/>
                  <w:tcBorders>
                    <w:tl2br w:val="nil"/>
                    <w:tr2bl w:val="nil"/>
                  </w:tcBorders>
                  <w:vAlign w:val="center"/>
                </w:tcPr>
                <w:p w14:paraId="6B785BBD">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546" w:type="dxa"/>
                  <w:tcBorders>
                    <w:tl2br w:val="nil"/>
                    <w:tr2bl w:val="nil"/>
                  </w:tcBorders>
                  <w:vAlign w:val="center"/>
                </w:tcPr>
                <w:p w14:paraId="250D7243">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0</w:t>
                  </w:r>
                </w:p>
              </w:tc>
              <w:tc>
                <w:tcPr>
                  <w:tcW w:w="414" w:type="dxa"/>
                  <w:vMerge w:val="continue"/>
                  <w:tcBorders>
                    <w:tl2br w:val="nil"/>
                    <w:tr2bl w:val="nil"/>
                  </w:tcBorders>
                  <w:vAlign w:val="center"/>
                </w:tcPr>
                <w:p w14:paraId="05989BBE">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11" w:type="dxa"/>
                  <w:vMerge w:val="continue"/>
                  <w:tcBorders>
                    <w:tl2br w:val="nil"/>
                    <w:tr2bl w:val="nil"/>
                  </w:tcBorders>
                  <w:vAlign w:val="center"/>
                </w:tcPr>
                <w:p w14:paraId="2B682CB5">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794" w:type="dxa"/>
                  <w:tcBorders>
                    <w:tl2br w:val="nil"/>
                    <w:tr2bl w:val="nil"/>
                  </w:tcBorders>
                  <w:vAlign w:val="center"/>
                </w:tcPr>
                <w:p w14:paraId="53536D48">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1.68</w:t>
                  </w:r>
                </w:p>
              </w:tc>
              <w:tc>
                <w:tcPr>
                  <w:tcW w:w="787" w:type="dxa"/>
                  <w:tcBorders>
                    <w:tl2br w:val="nil"/>
                    <w:tr2bl w:val="nil"/>
                  </w:tcBorders>
                  <w:vAlign w:val="center"/>
                </w:tcPr>
                <w:p w14:paraId="5F8B52A5">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0.001</w:t>
                  </w:r>
                </w:p>
              </w:tc>
              <w:tc>
                <w:tcPr>
                  <w:tcW w:w="407" w:type="dxa"/>
                  <w:vMerge w:val="continue"/>
                  <w:tcBorders>
                    <w:tl2br w:val="nil"/>
                    <w:tr2bl w:val="nil"/>
                  </w:tcBorders>
                  <w:vAlign w:val="center"/>
                </w:tcPr>
                <w:p w14:paraId="6E4E8909">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7" w:type="dxa"/>
                  <w:vMerge w:val="continue"/>
                  <w:tcBorders>
                    <w:tl2br w:val="nil"/>
                    <w:tr2bl w:val="nil"/>
                  </w:tcBorders>
                  <w:vAlign w:val="center"/>
                </w:tcPr>
                <w:p w14:paraId="43052B3E">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649" w:type="dxa"/>
                  <w:vMerge w:val="continue"/>
                  <w:tcBorders>
                    <w:tl2br w:val="nil"/>
                    <w:tr2bl w:val="nil"/>
                  </w:tcBorders>
                  <w:vAlign w:val="center"/>
                </w:tcPr>
                <w:p w14:paraId="77E7E2D9">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992" w:type="dxa"/>
                  <w:vMerge w:val="continue"/>
                  <w:tcBorders>
                    <w:tl2br w:val="nil"/>
                    <w:tr2bl w:val="nil"/>
                  </w:tcBorders>
                  <w:vAlign w:val="center"/>
                </w:tcPr>
                <w:p w14:paraId="7B54B727">
                  <w:pPr>
                    <w:pStyle w:val="6"/>
                    <w:keepNext w:val="0"/>
                    <w:keepLines w:val="0"/>
                    <w:suppressLineNumbers w:val="0"/>
                    <w:bidi w:val="0"/>
                    <w:spacing w:before="0" w:beforeAutospacing="0" w:after="0" w:afterAutospacing="0"/>
                    <w:ind w:right="0"/>
                    <w:rPr>
                      <w:rFonts w:hint="eastAsia"/>
                      <w:color w:val="auto"/>
                      <w:sz w:val="18"/>
                      <w:szCs w:val="18"/>
                      <w:highlight w:val="none"/>
                      <w:lang w:val="en-US" w:eastAsia="zh-CN"/>
                    </w:rPr>
                  </w:pPr>
                </w:p>
              </w:tc>
              <w:tc>
                <w:tcPr>
                  <w:tcW w:w="412" w:type="dxa"/>
                  <w:vMerge w:val="continue"/>
                  <w:tcBorders>
                    <w:tl2br w:val="nil"/>
                    <w:tr2bl w:val="nil"/>
                  </w:tcBorders>
                  <w:vAlign w:val="center"/>
                </w:tcPr>
                <w:p w14:paraId="2FBF26EC">
                  <w:pPr>
                    <w:pStyle w:val="6"/>
                    <w:keepNext w:val="0"/>
                    <w:keepLines w:val="0"/>
                    <w:suppressLineNumbers w:val="0"/>
                    <w:bidi w:val="0"/>
                    <w:spacing w:before="0" w:beforeAutospacing="0" w:after="0" w:afterAutospacing="0"/>
                    <w:ind w:right="0"/>
                    <w:rPr>
                      <w:rFonts w:hint="default"/>
                      <w:color w:val="auto"/>
                      <w:sz w:val="18"/>
                      <w:szCs w:val="18"/>
                      <w:highlight w:val="none"/>
                      <w:lang w:val="en-US" w:eastAsia="zh-CN"/>
                    </w:rPr>
                  </w:pPr>
                </w:p>
              </w:tc>
              <w:tc>
                <w:tcPr>
                  <w:tcW w:w="1378" w:type="dxa"/>
                  <w:vMerge w:val="continue"/>
                  <w:tcBorders>
                    <w:tl2br w:val="nil"/>
                    <w:tr2bl w:val="nil"/>
                  </w:tcBorders>
                  <w:vAlign w:val="center"/>
                </w:tcPr>
                <w:p w14:paraId="2DCF27C3">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18"/>
                      <w:szCs w:val="18"/>
                      <w:highlight w:val="none"/>
                      <w:lang w:val="en-US" w:eastAsia="zh-CN"/>
                    </w:rPr>
                  </w:pPr>
                </w:p>
              </w:tc>
              <w:tc>
                <w:tcPr>
                  <w:tcW w:w="631" w:type="dxa"/>
                  <w:tcBorders>
                    <w:tl2br w:val="nil"/>
                    <w:tr2bl w:val="nil"/>
                  </w:tcBorders>
                  <w:vAlign w:val="center"/>
                </w:tcPr>
                <w:p w14:paraId="391A2460">
                  <w:pPr>
                    <w:pStyle w:val="6"/>
                    <w:keepNext w:val="0"/>
                    <w:keepLines w:val="0"/>
                    <w:suppressLineNumbers w:val="0"/>
                    <w:bidi w:val="0"/>
                    <w:spacing w:before="0" w:beforeAutospacing="0" w:after="0" w:afterAutospacing="0"/>
                    <w:ind w:left="0" w:leftChars="0" w:right="0" w:rightChars="0"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30</w:t>
                  </w:r>
                </w:p>
              </w:tc>
            </w:tr>
          </w:tbl>
          <w:p w14:paraId="5F0A6955">
            <w:pPr>
              <w:pStyle w:val="13"/>
              <w:keepNext w:val="0"/>
              <w:keepLines w:val="0"/>
              <w:suppressLineNumbers w:val="0"/>
              <w:spacing w:before="0" w:beforeAutospacing="0" w:after="0" w:afterAutospacing="0"/>
              <w:ind w:left="0" w:leftChars="0" w:right="0" w:firstLine="0" w:firstLineChars="0"/>
              <w:jc w:val="center"/>
              <w:rPr>
                <w:rFonts w:hint="default"/>
                <w:b/>
                <w:bCs/>
                <w:color w:val="auto"/>
                <w:sz w:val="21"/>
                <w:szCs w:val="21"/>
                <w:highlight w:val="none"/>
                <w:lang w:val="en-US" w:eastAsia="zh-CN"/>
              </w:rPr>
            </w:pPr>
          </w:p>
          <w:p w14:paraId="0B4148B9">
            <w:pPr>
              <w:pStyle w:val="19"/>
              <w:keepNext w:val="0"/>
              <w:keepLines w:val="0"/>
              <w:suppressLineNumbers w:val="0"/>
              <w:spacing w:before="0" w:beforeAutospacing="0" w:after="0" w:afterAutospacing="0"/>
              <w:ind w:left="0" w:leftChars="0" w:right="0" w:firstLine="0" w:firstLineChars="0"/>
              <w:rPr>
                <w:rFonts w:hint="default"/>
                <w:color w:val="auto"/>
                <w:highlight w:val="none"/>
              </w:rPr>
            </w:pPr>
          </w:p>
        </w:tc>
      </w:tr>
    </w:tbl>
    <w:p w14:paraId="24C5888C">
      <w:pPr>
        <w:pStyle w:val="53"/>
        <w:rPr>
          <w:rFonts w:hint="default"/>
          <w:color w:val="auto"/>
          <w:highlight w:val="none"/>
        </w:rPr>
        <w:sectPr>
          <w:pgSz w:w="16840" w:h="11907" w:orient="landscape"/>
          <w:pgMar w:top="1531" w:right="1531" w:bottom="1531"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32"/>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97"/>
        <w:gridCol w:w="8682"/>
      </w:tblGrid>
      <w:tr w14:paraId="059DC9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2976" w:hRule="atLeast"/>
          <w:jc w:val="center"/>
        </w:trPr>
        <w:tc>
          <w:tcPr>
            <w:tcW w:w="165" w:type="pct"/>
            <w:tcMar>
              <w:left w:w="28" w:type="dxa"/>
              <w:right w:w="28" w:type="dxa"/>
            </w:tcMar>
            <w:vAlign w:val="center"/>
          </w:tcPr>
          <w:p w14:paraId="169DAA47">
            <w:pPr>
              <w:pStyle w:val="22"/>
              <w:keepNext w:val="0"/>
              <w:keepLines w:val="0"/>
              <w:suppressLineNumbers w:val="0"/>
              <w:bidi w:val="0"/>
              <w:spacing w:before="0" w:after="0"/>
              <w:ind w:left="0" w:right="0"/>
              <w:rPr>
                <w:rFonts w:hint="eastAsia" w:ascii="Times New Roman" w:hAnsi="Times New Roman" w:cs="Times New Roman"/>
                <w:b/>
                <w:bCs/>
                <w:color w:val="auto"/>
                <w:highlight w:val="none"/>
                <w:lang w:val="en-US" w:eastAsia="zh-CN"/>
              </w:rPr>
            </w:pPr>
            <w:r>
              <w:rPr>
                <w:rFonts w:hint="eastAsia" w:ascii="Times New Roman" w:hAnsi="Times New Roman" w:cs="Times New Roman"/>
                <w:b/>
                <w:bCs/>
                <w:color w:val="auto"/>
                <w:highlight w:val="none"/>
                <w:lang w:val="en-US" w:eastAsia="zh-CN"/>
              </w:rPr>
              <w:t>运</w:t>
            </w:r>
          </w:p>
          <w:p w14:paraId="73652F94">
            <w:pPr>
              <w:pStyle w:val="22"/>
              <w:keepNext w:val="0"/>
              <w:keepLines w:val="0"/>
              <w:suppressLineNumbers w:val="0"/>
              <w:bidi w:val="0"/>
              <w:spacing w:before="0" w:after="0"/>
              <w:ind w:left="0" w:right="0"/>
              <w:rPr>
                <w:rFonts w:hint="eastAsia" w:ascii="Times New Roman" w:hAnsi="Times New Roman" w:cs="Times New Roman"/>
                <w:b/>
                <w:bCs/>
                <w:color w:val="auto"/>
                <w:highlight w:val="none"/>
                <w:lang w:val="en-US" w:eastAsia="zh-CN"/>
              </w:rPr>
            </w:pPr>
            <w:r>
              <w:rPr>
                <w:rFonts w:hint="eastAsia" w:ascii="Times New Roman" w:hAnsi="Times New Roman" w:cs="Times New Roman"/>
                <w:b/>
                <w:bCs/>
                <w:color w:val="auto"/>
                <w:highlight w:val="none"/>
                <w:lang w:val="en-US" w:eastAsia="zh-CN"/>
              </w:rPr>
              <w:t>营</w:t>
            </w:r>
          </w:p>
          <w:p w14:paraId="24C927A8">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期</w:t>
            </w:r>
          </w:p>
          <w:p w14:paraId="26C801F5">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环</w:t>
            </w:r>
          </w:p>
          <w:p w14:paraId="337B6610">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境</w:t>
            </w:r>
          </w:p>
          <w:p w14:paraId="702FA808">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保</w:t>
            </w:r>
          </w:p>
          <w:p w14:paraId="5CFF1BA3">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护</w:t>
            </w:r>
          </w:p>
          <w:p w14:paraId="18E930DD">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措</w:t>
            </w:r>
          </w:p>
          <w:p w14:paraId="0ABE50AE">
            <w:pPr>
              <w:pStyle w:val="22"/>
              <w:keepNext w:val="0"/>
              <w:keepLines w:val="0"/>
              <w:suppressLineNumbers w:val="0"/>
              <w:bidi w:val="0"/>
              <w:spacing w:before="0" w:after="0"/>
              <w:ind w:left="0" w:right="0"/>
              <w:rPr>
                <w:rFonts w:hint="default" w:ascii="Times New Roman" w:hAnsi="Times New Roman" w:cs="Times New Roman"/>
                <w:b/>
                <w:bCs/>
                <w:color w:val="auto"/>
                <w:kern w:val="2"/>
                <w:szCs w:val="21"/>
                <w:highlight w:val="none"/>
              </w:rPr>
            </w:pPr>
            <w:r>
              <w:rPr>
                <w:rFonts w:hint="default" w:ascii="Times New Roman" w:hAnsi="Times New Roman" w:cs="Times New Roman"/>
                <w:b/>
                <w:bCs/>
                <w:color w:val="auto"/>
                <w:highlight w:val="none"/>
              </w:rPr>
              <w:t>施</w:t>
            </w:r>
          </w:p>
        </w:tc>
        <w:tc>
          <w:tcPr>
            <w:tcW w:w="4834" w:type="pct"/>
            <w:vAlign w:val="center"/>
          </w:tcPr>
          <w:p w14:paraId="564039BB">
            <w:pPr>
              <w:keepNext w:val="0"/>
              <w:keepLines w:val="0"/>
              <w:suppressLineNumbers w:val="0"/>
              <w:bidi w:val="0"/>
              <w:spacing w:before="0" w:beforeAutospacing="0" w:after="0" w:afterAutospacing="0" w:line="360" w:lineRule="auto"/>
              <w:ind w:left="0" w:right="0" w:firstLine="480" w:firstLineChars="200"/>
              <w:rPr>
                <w:rFonts w:hint="eastAsia"/>
                <w:color w:val="auto"/>
                <w:sz w:val="24"/>
                <w:highlight w:val="none"/>
                <w:lang w:val="en-US" w:eastAsia="zh-CN"/>
              </w:rPr>
            </w:pPr>
            <w:r>
              <w:rPr>
                <w:rFonts w:hint="eastAsia" w:ascii="Times New Roman" w:eastAsia="宋体"/>
                <w:color w:val="auto"/>
                <w:sz w:val="24"/>
                <w:highlight w:val="none"/>
                <w:lang w:val="en-US" w:eastAsia="zh-CN"/>
              </w:rPr>
              <w:t>（2）废水污染物源强核算过程</w:t>
            </w:r>
          </w:p>
          <w:p w14:paraId="3D3432B2">
            <w:pPr>
              <w:keepNext w:val="0"/>
              <w:keepLines w:val="0"/>
              <w:suppressLineNumbers w:val="0"/>
              <w:bidi w:val="0"/>
              <w:spacing w:before="0" w:beforeAutospacing="0" w:after="0" w:afterAutospacing="0" w:line="360" w:lineRule="auto"/>
              <w:ind w:left="0" w:right="0" w:firstLine="480" w:firstLineChars="200"/>
              <w:rPr>
                <w:rFonts w:hint="default"/>
                <w:color w:val="auto"/>
                <w:sz w:val="24"/>
                <w:highlight w:val="none"/>
                <w:lang w:val="en-US"/>
              </w:rPr>
            </w:pPr>
            <w:r>
              <w:rPr>
                <w:rFonts w:hint="eastAsia" w:ascii="Times New Roman" w:eastAsia="宋体"/>
                <w:color w:val="auto"/>
                <w:sz w:val="24"/>
                <w:highlight w:val="none"/>
                <w:lang w:val="en-US" w:eastAsia="zh-CN"/>
              </w:rPr>
              <w:t>本项</w:t>
            </w:r>
            <w:r>
              <w:rPr>
                <w:rFonts w:hint="eastAsia" w:ascii="Times New Roman" w:eastAsia="宋体"/>
                <w:color w:val="000000" w:themeColor="text1"/>
                <w:sz w:val="24"/>
                <w:highlight w:val="none"/>
                <w:lang w:val="en-US" w:eastAsia="zh-CN"/>
                <w14:textFill>
                  <w14:solidFill>
                    <w14:schemeClr w14:val="tx1"/>
                  </w14:solidFill>
                </w14:textFill>
              </w:rPr>
              <w:t>目外排废水主要为</w:t>
            </w:r>
            <w:r>
              <w:rPr>
                <w:rFonts w:hint="eastAsia"/>
                <w:color w:val="000000" w:themeColor="text1"/>
                <w:sz w:val="24"/>
                <w:highlight w:val="none"/>
                <w:lang w:val="en-US" w:eastAsia="zh-CN"/>
                <w14:textFill>
                  <w14:solidFill>
                    <w14:schemeClr w14:val="tx1"/>
                  </w14:solidFill>
                </w14:textFill>
              </w:rPr>
              <w:t>生活污水和冷却水定排水，项目生活污水经隔油池+化粪池预处理达《污水综合排放标准》(GB8978-1996)表4中三级标准及</w:t>
            </w:r>
            <w:r>
              <w:rPr>
                <w:rFonts w:hint="default" w:ascii="Times New Roman" w:hAnsi="Times New Roman" w:cs="Times New Roman"/>
                <w:color w:val="000000" w:themeColor="text1"/>
                <w:highlight w:val="none"/>
                <w:lang w:val="en-US" w:eastAsia="zh-CN"/>
                <w14:textFill>
                  <w14:solidFill>
                    <w14:schemeClr w14:val="tx1"/>
                  </w14:solidFill>
                </w14:textFill>
              </w:rPr>
              <w:t>江西安义</w:t>
            </w:r>
            <w:r>
              <w:rPr>
                <w:rFonts w:hint="default" w:ascii="Times New Roman" w:hAnsi="Times New Roman" w:cs="Times New Roman"/>
                <w:color w:val="000000" w:themeColor="text1"/>
                <w:highlight w:val="none"/>
                <w:lang w:eastAsia="zh-CN"/>
                <w14:textFill>
                  <w14:solidFill>
                    <w14:schemeClr w14:val="tx1"/>
                  </w14:solidFill>
                </w14:textFill>
              </w:rPr>
              <w:t>高新技术产业园区</w:t>
            </w:r>
            <w:r>
              <w:rPr>
                <w:rFonts w:hint="eastAsia"/>
                <w:color w:val="000000" w:themeColor="text1"/>
                <w:highlight w:val="none"/>
                <w:lang w:val="en-US" w:eastAsia="zh-CN"/>
                <w14:textFill>
                  <w14:solidFill>
                    <w14:schemeClr w14:val="tx1"/>
                  </w14:solidFill>
                </w14:textFill>
              </w:rPr>
              <w:t>污水处理厂</w:t>
            </w:r>
            <w:r>
              <w:rPr>
                <w:rFonts w:hint="eastAsia"/>
                <w:color w:val="000000" w:themeColor="text1"/>
                <w:sz w:val="24"/>
                <w:highlight w:val="none"/>
                <w:lang w:val="en-US" w:eastAsia="zh-CN"/>
                <w14:textFill>
                  <w14:solidFill>
                    <w14:schemeClr w14:val="tx1"/>
                  </w14:solidFill>
                </w14:textFill>
              </w:rPr>
              <w:t>接管标准后通过</w:t>
            </w:r>
            <w:r>
              <w:rPr>
                <w:rFonts w:hint="eastAsia"/>
                <w:color w:val="auto"/>
                <w:sz w:val="24"/>
                <w:highlight w:val="none"/>
                <w:lang w:val="en-US" w:eastAsia="zh-CN"/>
              </w:rPr>
              <w:t>园区污水管网排入</w:t>
            </w:r>
            <w:r>
              <w:rPr>
                <w:rFonts w:hint="default" w:ascii="Times New Roman" w:hAnsi="Times New Roman" w:cs="Times New Roman"/>
                <w:color w:val="auto"/>
                <w:highlight w:val="none"/>
                <w:lang w:val="en-US" w:eastAsia="zh-CN"/>
              </w:rPr>
              <w:t>江西安义</w:t>
            </w:r>
            <w:r>
              <w:rPr>
                <w:rFonts w:hint="default" w:ascii="Times New Roman" w:hAnsi="Times New Roman" w:cs="Times New Roman"/>
                <w:color w:val="auto"/>
                <w:highlight w:val="none"/>
                <w:lang w:eastAsia="zh-CN"/>
              </w:rPr>
              <w:t>高新技术产业园区</w:t>
            </w:r>
            <w:r>
              <w:rPr>
                <w:rFonts w:hint="eastAsia"/>
                <w:color w:val="auto"/>
                <w:highlight w:val="none"/>
                <w:lang w:val="en-US" w:eastAsia="zh-CN"/>
              </w:rPr>
              <w:t>污水处理厂</w:t>
            </w:r>
            <w:r>
              <w:rPr>
                <w:rFonts w:hint="eastAsia"/>
                <w:color w:val="auto"/>
                <w:sz w:val="24"/>
                <w:highlight w:val="none"/>
                <w:lang w:val="en-US" w:eastAsia="zh-CN"/>
              </w:rPr>
              <w:t>深度处理。</w:t>
            </w:r>
          </w:p>
          <w:p w14:paraId="394A5A63">
            <w:pPr>
              <w:keepNext w:val="0"/>
              <w:keepLines w:val="0"/>
              <w:suppressLineNumbers w:val="0"/>
              <w:bidi w:val="0"/>
              <w:spacing w:before="0" w:beforeAutospacing="0" w:after="0" w:afterAutospacing="0" w:line="360" w:lineRule="auto"/>
              <w:ind w:left="0" w:right="0" w:firstLine="480" w:firstLineChars="200"/>
              <w:rPr>
                <w:rFonts w:hint="default"/>
                <w:color w:val="auto"/>
                <w:sz w:val="24"/>
                <w:highlight w:val="none"/>
              </w:rPr>
            </w:pPr>
            <w:r>
              <w:rPr>
                <w:rFonts w:hint="eastAsia" w:ascii="Times New Roman" w:eastAsia="宋体"/>
                <w:color w:val="auto"/>
                <w:sz w:val="24"/>
                <w:highlight w:val="none"/>
                <w:lang w:val="en-US" w:eastAsia="zh-CN"/>
              </w:rPr>
              <w:t>1）生活污水</w:t>
            </w:r>
          </w:p>
          <w:p w14:paraId="555C24E8">
            <w:pPr>
              <w:keepNext w:val="0"/>
              <w:keepLines w:val="0"/>
              <w:suppressLineNumbers w:val="0"/>
              <w:spacing w:before="0" w:beforeAutospacing="0" w:after="0" w:afterAutospacing="0" w:line="360" w:lineRule="auto"/>
              <w:ind w:left="0" w:right="0" w:firstLine="480" w:firstLineChars="200"/>
              <w:rPr>
                <w:rFonts w:hint="default"/>
                <w:color w:val="auto"/>
                <w:sz w:val="24"/>
                <w:highlight w:val="none"/>
              </w:rPr>
            </w:pPr>
            <w:r>
              <w:rPr>
                <w:rFonts w:hint="eastAsia" w:ascii="Times New Roman" w:eastAsia="宋体"/>
                <w:color w:val="auto"/>
                <w:sz w:val="24"/>
                <w:highlight w:val="none"/>
                <w:lang w:val="en-US" w:eastAsia="zh-CN"/>
              </w:rPr>
              <w:t>根据建设单位提供的资料，</w:t>
            </w:r>
            <w:r>
              <w:rPr>
                <w:rFonts w:hint="eastAsia" w:ascii="Times New Roman"/>
                <w:color w:val="auto"/>
                <w:sz w:val="24"/>
                <w:highlight w:val="none"/>
                <w:lang w:val="en-US" w:eastAsia="zh-CN"/>
              </w:rPr>
              <w:t>本</w:t>
            </w:r>
            <w:r>
              <w:rPr>
                <w:rFonts w:hint="eastAsia" w:ascii="Times New Roman" w:eastAsia="宋体"/>
                <w:color w:val="auto"/>
                <w:sz w:val="24"/>
                <w:highlight w:val="none"/>
                <w:lang w:val="en-US" w:eastAsia="zh-CN"/>
              </w:rPr>
              <w:t>项目</w:t>
            </w:r>
            <w:r>
              <w:rPr>
                <w:rFonts w:hint="eastAsia"/>
                <w:color w:val="auto"/>
                <w:sz w:val="24"/>
                <w:highlight w:val="none"/>
                <w:lang w:val="en-US" w:eastAsia="zh-CN"/>
              </w:rPr>
              <w:t>新增</w:t>
            </w:r>
            <w:r>
              <w:rPr>
                <w:rFonts w:hint="eastAsia" w:ascii="Times New Roman" w:eastAsia="宋体"/>
                <w:color w:val="auto"/>
                <w:sz w:val="24"/>
                <w:highlight w:val="none"/>
                <w:lang w:val="en-US" w:eastAsia="zh-CN"/>
              </w:rPr>
              <w:t>工作人员</w:t>
            </w:r>
            <w:r>
              <w:rPr>
                <w:rFonts w:hint="eastAsia"/>
                <w:color w:val="auto"/>
                <w:sz w:val="24"/>
                <w:highlight w:val="none"/>
                <w:lang w:val="en-US" w:eastAsia="zh-CN"/>
              </w:rPr>
              <w:t>15</w:t>
            </w:r>
            <w:r>
              <w:rPr>
                <w:rFonts w:hint="eastAsia" w:ascii="Times New Roman" w:eastAsia="宋体"/>
                <w:color w:val="auto"/>
                <w:sz w:val="24"/>
                <w:highlight w:val="none"/>
                <w:lang w:val="en-US" w:eastAsia="zh-CN"/>
              </w:rPr>
              <w:t>人，</w:t>
            </w:r>
            <w:r>
              <w:rPr>
                <w:rFonts w:hint="eastAsia"/>
                <w:color w:val="auto"/>
                <w:sz w:val="24"/>
                <w:highlight w:val="none"/>
                <w:lang w:val="en-US" w:eastAsia="zh-CN"/>
              </w:rPr>
              <w:t>均在厂区食宿，</w:t>
            </w:r>
            <w:r>
              <w:rPr>
                <w:rFonts w:hint="eastAsia" w:cs="Times New Roman"/>
                <w:color w:val="auto"/>
                <w:spacing w:val="0"/>
                <w:kern w:val="2"/>
                <w:sz w:val="24"/>
                <w:szCs w:val="24"/>
                <w:highlight w:val="none"/>
                <w:lang w:val="en-US" w:eastAsia="zh-CN" w:bidi="ar-SA"/>
              </w:rPr>
              <w:t>参照</w:t>
            </w:r>
            <w:r>
              <w:rPr>
                <w:rFonts w:hint="default" w:ascii="Times New Roman" w:hAnsi="Times New Roman" w:eastAsia="宋体" w:cs="Times New Roman"/>
                <w:color w:val="auto"/>
                <w:spacing w:val="0"/>
                <w:kern w:val="2"/>
                <w:sz w:val="24"/>
                <w:szCs w:val="24"/>
                <w:highlight w:val="none"/>
                <w:lang w:val="en-US" w:eastAsia="en-US" w:bidi="ar-SA"/>
              </w:rPr>
              <w:t>《生活及服务业用水定额</w:t>
            </w:r>
            <w:r>
              <w:rPr>
                <w:rFonts w:hint="eastAsia" w:cs="Times New Roman"/>
                <w:color w:val="auto"/>
                <w:spacing w:val="0"/>
                <w:kern w:val="2"/>
                <w:sz w:val="24"/>
                <w:szCs w:val="24"/>
                <w:highlight w:val="none"/>
                <w:lang w:val="en-US" w:eastAsia="zh-CN" w:bidi="ar-SA"/>
              </w:rPr>
              <w:t xml:space="preserve"> </w:t>
            </w:r>
            <w:r>
              <w:rPr>
                <w:rFonts w:hint="default" w:ascii="Times New Roman" w:hAnsi="Times New Roman" w:eastAsia="宋体" w:cs="Times New Roman"/>
                <w:color w:val="auto"/>
                <w:spacing w:val="0"/>
                <w:kern w:val="2"/>
                <w:sz w:val="24"/>
                <w:szCs w:val="24"/>
                <w:highlight w:val="none"/>
                <w:lang w:val="en-US" w:eastAsia="en-US" w:bidi="ar-SA"/>
              </w:rPr>
              <w:t>第2部分：服务业、居民生活和建筑业》</w:t>
            </w:r>
            <w:r>
              <w:rPr>
                <w:rFonts w:hint="eastAsia" w:cs="Times New Roman"/>
                <w:color w:val="auto"/>
                <w:spacing w:val="0"/>
                <w:kern w:val="2"/>
                <w:sz w:val="24"/>
                <w:szCs w:val="24"/>
                <w:highlight w:val="none"/>
                <w:lang w:val="en-US" w:eastAsia="zh-CN" w:bidi="ar-SA"/>
              </w:rPr>
              <w:t>中城镇居民生活用水定额指标16</w:t>
            </w:r>
            <w:r>
              <w:rPr>
                <w:rFonts w:hint="default" w:ascii="Times New Roman" w:hAnsi="Times New Roman" w:eastAsia="Times New Roman" w:cs="Times New Roman"/>
                <w:color w:val="auto"/>
                <w:spacing w:val="0"/>
                <w:kern w:val="2"/>
                <w:sz w:val="24"/>
                <w:szCs w:val="24"/>
                <w:highlight w:val="none"/>
                <w:lang w:val="en-US" w:eastAsia="en-US" w:bidi="ar-SA"/>
              </w:rPr>
              <w:t>0L/</w:t>
            </w:r>
            <w:r>
              <w:rPr>
                <w:rFonts w:hint="default" w:ascii="Times New Roman" w:hAnsi="Times New Roman" w:eastAsia="宋体" w:cs="Times New Roman"/>
                <w:color w:val="auto"/>
                <w:spacing w:val="0"/>
                <w:kern w:val="2"/>
                <w:sz w:val="24"/>
                <w:szCs w:val="24"/>
                <w:highlight w:val="none"/>
                <w:lang w:val="en-US" w:eastAsia="en-US" w:bidi="ar-SA"/>
              </w:rPr>
              <w:t>人·</w:t>
            </w:r>
            <w:r>
              <w:rPr>
                <w:rFonts w:hint="default" w:ascii="Times New Roman" w:hAnsi="Times New Roman" w:eastAsia="Times New Roman" w:cs="Times New Roman"/>
                <w:color w:val="auto"/>
                <w:spacing w:val="0"/>
                <w:kern w:val="2"/>
                <w:sz w:val="24"/>
                <w:szCs w:val="24"/>
                <w:highlight w:val="none"/>
                <w:lang w:val="en-US" w:eastAsia="en-US" w:bidi="ar-SA"/>
              </w:rPr>
              <w:t>d</w:t>
            </w:r>
            <w:r>
              <w:rPr>
                <w:rFonts w:hint="default" w:ascii="Times New Roman" w:hAnsi="Times New Roman" w:eastAsia="宋体" w:cs="Times New Roman"/>
                <w:color w:val="auto"/>
                <w:spacing w:val="0"/>
                <w:kern w:val="2"/>
                <w:sz w:val="24"/>
                <w:szCs w:val="24"/>
                <w:highlight w:val="none"/>
                <w:lang w:val="en-US" w:eastAsia="en-US" w:bidi="ar-SA"/>
              </w:rPr>
              <w:t>计算，</w:t>
            </w:r>
            <w:r>
              <w:rPr>
                <w:rFonts w:hint="eastAsia" w:ascii="Times New Roman" w:eastAsia="宋体"/>
                <w:color w:val="auto"/>
                <w:sz w:val="24"/>
                <w:highlight w:val="none"/>
                <w:lang w:val="en-US" w:eastAsia="zh-CN"/>
              </w:rPr>
              <w:t>生活污水产生系数为0.8</w:t>
            </w:r>
            <w:r>
              <w:rPr>
                <w:rFonts w:hint="eastAsia"/>
                <w:color w:val="auto"/>
                <w:sz w:val="24"/>
                <w:highlight w:val="none"/>
                <w:lang w:val="en-US" w:eastAsia="zh-CN"/>
              </w:rPr>
              <w:t>，</w:t>
            </w:r>
            <w:r>
              <w:rPr>
                <w:rFonts w:hint="eastAsia" w:ascii="Times New Roman" w:eastAsia="宋体"/>
                <w:color w:val="auto"/>
                <w:sz w:val="24"/>
                <w:highlight w:val="none"/>
                <w:lang w:val="en-US" w:eastAsia="zh-CN"/>
              </w:rPr>
              <w:t>年工作天数以</w:t>
            </w:r>
            <w:r>
              <w:rPr>
                <w:rFonts w:hint="default"/>
                <w:color w:val="auto"/>
                <w:sz w:val="24"/>
                <w:highlight w:val="none"/>
                <w:lang w:val="en-US" w:eastAsia="zh-CN"/>
              </w:rPr>
              <w:t>3</w:t>
            </w:r>
            <w:r>
              <w:rPr>
                <w:rFonts w:hint="eastAsia"/>
                <w:color w:val="auto"/>
                <w:sz w:val="24"/>
                <w:highlight w:val="none"/>
                <w:lang w:val="en-US" w:eastAsia="zh-CN"/>
              </w:rPr>
              <w:t>00</w:t>
            </w:r>
            <w:r>
              <w:rPr>
                <w:rFonts w:hint="eastAsia" w:ascii="Times New Roman" w:eastAsia="宋体"/>
                <w:color w:val="auto"/>
                <w:sz w:val="24"/>
                <w:highlight w:val="none"/>
                <w:lang w:val="en-US" w:eastAsia="zh-CN"/>
              </w:rPr>
              <w:t>天计，则工作人员生活用水量为</w:t>
            </w:r>
            <w:r>
              <w:rPr>
                <w:rFonts w:hint="eastAsia"/>
                <w:color w:val="auto"/>
                <w:sz w:val="24"/>
                <w:highlight w:val="none"/>
                <w:lang w:val="en-US" w:eastAsia="zh-CN"/>
              </w:rPr>
              <w:t>720</w:t>
            </w:r>
            <w:r>
              <w:rPr>
                <w:rFonts w:hint="default"/>
                <w:color w:val="auto"/>
                <w:sz w:val="24"/>
                <w:highlight w:val="none"/>
                <w:lang w:val="en-US" w:eastAsia="zh-CN"/>
              </w:rPr>
              <w:t>m</w:t>
            </w:r>
            <w:r>
              <w:rPr>
                <w:rFonts w:hint="default"/>
                <w:color w:val="auto"/>
                <w:sz w:val="24"/>
                <w:highlight w:val="none"/>
                <w:vertAlign w:val="superscript"/>
                <w:lang w:val="en-US" w:eastAsia="zh-CN"/>
              </w:rPr>
              <w:t>3</w:t>
            </w:r>
            <w:r>
              <w:rPr>
                <w:rFonts w:hint="default"/>
                <w:color w:val="auto"/>
                <w:sz w:val="24"/>
                <w:highlight w:val="none"/>
                <w:lang w:val="en-US" w:eastAsia="zh-CN"/>
              </w:rPr>
              <w:t>/a</w:t>
            </w:r>
            <w:r>
              <w:rPr>
                <w:rFonts w:hint="eastAsia" w:ascii="Times New Roman" w:eastAsia="宋体"/>
                <w:color w:val="auto"/>
                <w:sz w:val="24"/>
                <w:highlight w:val="none"/>
                <w:lang w:val="en-US" w:eastAsia="zh-CN"/>
              </w:rPr>
              <w:t>（</w:t>
            </w:r>
            <w:r>
              <w:rPr>
                <w:rFonts w:hint="eastAsia"/>
                <w:color w:val="auto"/>
                <w:sz w:val="24"/>
                <w:highlight w:val="none"/>
                <w:lang w:val="en-US" w:eastAsia="zh-CN"/>
              </w:rPr>
              <w:t>2.4</w:t>
            </w:r>
            <w:r>
              <w:rPr>
                <w:rFonts w:hint="default"/>
                <w:color w:val="auto"/>
                <w:sz w:val="24"/>
                <w:highlight w:val="none"/>
                <w:lang w:val="en-US" w:eastAsia="zh-CN"/>
              </w:rPr>
              <w:t>m</w:t>
            </w:r>
            <w:r>
              <w:rPr>
                <w:rFonts w:hint="default"/>
                <w:color w:val="auto"/>
                <w:sz w:val="24"/>
                <w:highlight w:val="none"/>
                <w:vertAlign w:val="superscript"/>
                <w:lang w:val="en-US" w:eastAsia="zh-CN"/>
              </w:rPr>
              <w:t>3</w:t>
            </w:r>
            <w:r>
              <w:rPr>
                <w:rFonts w:hint="default"/>
                <w:color w:val="auto"/>
                <w:sz w:val="24"/>
                <w:highlight w:val="none"/>
                <w:lang w:val="en-US" w:eastAsia="zh-CN"/>
              </w:rPr>
              <w:t>/d</w:t>
            </w:r>
            <w:r>
              <w:rPr>
                <w:rFonts w:hint="eastAsia" w:ascii="Times New Roman" w:eastAsia="宋体"/>
                <w:color w:val="auto"/>
                <w:sz w:val="24"/>
                <w:highlight w:val="none"/>
                <w:lang w:val="en-US" w:eastAsia="zh-CN"/>
              </w:rPr>
              <w:t>），生活污水产生量为</w:t>
            </w:r>
            <w:r>
              <w:rPr>
                <w:rFonts w:hint="eastAsia"/>
                <w:color w:val="auto"/>
                <w:sz w:val="24"/>
                <w:highlight w:val="none"/>
                <w:lang w:val="en-US" w:eastAsia="zh-CN"/>
              </w:rPr>
              <w:t>576</w:t>
            </w:r>
            <w:r>
              <w:rPr>
                <w:rFonts w:hint="default"/>
                <w:color w:val="auto"/>
                <w:sz w:val="24"/>
                <w:highlight w:val="none"/>
                <w:lang w:val="en-US" w:eastAsia="zh-CN"/>
              </w:rPr>
              <w:t>m</w:t>
            </w:r>
            <w:r>
              <w:rPr>
                <w:rFonts w:hint="default"/>
                <w:color w:val="auto"/>
                <w:sz w:val="24"/>
                <w:highlight w:val="none"/>
                <w:vertAlign w:val="superscript"/>
                <w:lang w:val="en-US" w:eastAsia="zh-CN"/>
              </w:rPr>
              <w:t>3</w:t>
            </w:r>
            <w:r>
              <w:rPr>
                <w:rFonts w:hint="default"/>
                <w:color w:val="auto"/>
                <w:sz w:val="24"/>
                <w:highlight w:val="none"/>
                <w:lang w:val="en-US" w:eastAsia="zh-CN"/>
              </w:rPr>
              <w:t>/a</w:t>
            </w:r>
            <w:r>
              <w:rPr>
                <w:rFonts w:hint="eastAsia" w:ascii="Times New Roman" w:eastAsia="宋体"/>
                <w:color w:val="auto"/>
                <w:sz w:val="24"/>
                <w:highlight w:val="none"/>
                <w:lang w:val="en-US" w:eastAsia="zh-CN"/>
              </w:rPr>
              <w:t>（</w:t>
            </w:r>
            <w:r>
              <w:rPr>
                <w:rFonts w:hint="eastAsia"/>
                <w:color w:val="auto"/>
                <w:sz w:val="24"/>
                <w:highlight w:val="none"/>
                <w:lang w:val="en-US" w:eastAsia="zh-CN"/>
              </w:rPr>
              <w:t>1.92</w:t>
            </w:r>
            <w:r>
              <w:rPr>
                <w:rFonts w:hint="default"/>
                <w:color w:val="auto"/>
                <w:sz w:val="24"/>
                <w:highlight w:val="none"/>
                <w:lang w:val="en-US" w:eastAsia="zh-CN"/>
              </w:rPr>
              <w:t>m</w:t>
            </w:r>
            <w:r>
              <w:rPr>
                <w:rFonts w:hint="default"/>
                <w:color w:val="auto"/>
                <w:sz w:val="24"/>
                <w:highlight w:val="none"/>
                <w:vertAlign w:val="superscript"/>
                <w:lang w:val="en-US" w:eastAsia="zh-CN"/>
              </w:rPr>
              <w:t>3</w:t>
            </w:r>
            <w:r>
              <w:rPr>
                <w:rFonts w:hint="default"/>
                <w:color w:val="auto"/>
                <w:sz w:val="24"/>
                <w:highlight w:val="none"/>
                <w:lang w:val="en-US" w:eastAsia="zh-CN"/>
              </w:rPr>
              <w:t>/d</w:t>
            </w:r>
            <w:r>
              <w:rPr>
                <w:rFonts w:hint="eastAsia" w:ascii="Times New Roman" w:eastAsia="宋体"/>
                <w:color w:val="auto"/>
                <w:sz w:val="24"/>
                <w:highlight w:val="none"/>
                <w:lang w:val="en-US" w:eastAsia="zh-CN"/>
              </w:rPr>
              <w:t>）。</w:t>
            </w:r>
            <w:r>
              <w:rPr>
                <w:rFonts w:hint="default"/>
                <w:bCs/>
                <w:color w:val="auto"/>
                <w:sz w:val="24"/>
                <w:highlight w:val="none"/>
              </w:rPr>
              <w:t>项目生活污水水质参照《城市污水处理技术及工程实例》（化学工业出版社）中的中等浓度水质，COD</w:t>
            </w:r>
            <w:r>
              <w:rPr>
                <w:rFonts w:hint="eastAsia"/>
                <w:bCs/>
                <w:color w:val="auto"/>
                <w:sz w:val="24"/>
                <w:highlight w:val="none"/>
                <w:vertAlign w:val="subscript"/>
                <w:lang w:val="en-US" w:eastAsia="zh-CN"/>
              </w:rPr>
              <w:t>Cr</w:t>
            </w:r>
            <w:r>
              <w:rPr>
                <w:rFonts w:hint="default"/>
                <w:bCs/>
                <w:color w:val="auto"/>
                <w:sz w:val="24"/>
                <w:highlight w:val="none"/>
              </w:rPr>
              <w:t>、BOD</w:t>
            </w:r>
            <w:r>
              <w:rPr>
                <w:rFonts w:hint="default"/>
                <w:bCs/>
                <w:color w:val="auto"/>
                <w:sz w:val="24"/>
                <w:highlight w:val="none"/>
                <w:vertAlign w:val="subscript"/>
              </w:rPr>
              <w:t>5</w:t>
            </w:r>
            <w:r>
              <w:rPr>
                <w:rFonts w:hint="default"/>
                <w:bCs/>
                <w:color w:val="auto"/>
                <w:sz w:val="24"/>
                <w:highlight w:val="none"/>
              </w:rPr>
              <w:t>、SS</w:t>
            </w:r>
            <w:r>
              <w:rPr>
                <w:rFonts w:hint="eastAsia"/>
                <w:bCs/>
                <w:color w:val="auto"/>
                <w:sz w:val="24"/>
                <w:highlight w:val="none"/>
                <w:lang w:eastAsia="zh-CN"/>
              </w:rPr>
              <w:t>、</w:t>
            </w:r>
            <w:r>
              <w:rPr>
                <w:rFonts w:hint="default"/>
                <w:bCs/>
                <w:color w:val="auto"/>
                <w:sz w:val="24"/>
                <w:highlight w:val="none"/>
                <w:lang w:val="en-US" w:eastAsia="zh-CN"/>
              </w:rPr>
              <w:t>NH</w:t>
            </w:r>
            <w:r>
              <w:rPr>
                <w:rFonts w:hint="default"/>
                <w:bCs/>
                <w:color w:val="auto"/>
                <w:sz w:val="24"/>
                <w:highlight w:val="none"/>
                <w:vertAlign w:val="subscript"/>
                <w:lang w:val="en-US" w:eastAsia="zh-CN"/>
              </w:rPr>
              <w:t>3</w:t>
            </w:r>
            <w:r>
              <w:rPr>
                <w:rFonts w:hint="default"/>
                <w:bCs/>
                <w:color w:val="auto"/>
                <w:sz w:val="24"/>
                <w:highlight w:val="none"/>
                <w:lang w:val="en-US" w:eastAsia="zh-CN"/>
              </w:rPr>
              <w:t>-N</w:t>
            </w:r>
            <w:r>
              <w:rPr>
                <w:rFonts w:hint="eastAsia"/>
                <w:bCs/>
                <w:color w:val="auto"/>
                <w:sz w:val="24"/>
                <w:highlight w:val="none"/>
                <w:lang w:val="en-US" w:eastAsia="zh-CN"/>
              </w:rPr>
              <w:t>、TP、动植物油</w:t>
            </w:r>
            <w:r>
              <w:rPr>
                <w:rFonts w:hint="default"/>
                <w:bCs/>
                <w:color w:val="auto"/>
                <w:sz w:val="24"/>
                <w:highlight w:val="none"/>
              </w:rPr>
              <w:t>的污染物浓度分别为250mg/L、100mg/L、150mg/L、25mg/L、</w:t>
            </w:r>
            <w:r>
              <w:rPr>
                <w:rFonts w:hint="eastAsia"/>
                <w:bCs/>
                <w:color w:val="auto"/>
                <w:sz w:val="24"/>
                <w:highlight w:val="none"/>
                <w:lang w:val="en-US" w:eastAsia="zh-CN"/>
              </w:rPr>
              <w:t>5</w:t>
            </w:r>
            <w:r>
              <w:rPr>
                <w:rFonts w:hint="default"/>
                <w:bCs/>
                <w:color w:val="auto"/>
                <w:sz w:val="24"/>
                <w:highlight w:val="none"/>
              </w:rPr>
              <w:t>mg/L</w:t>
            </w:r>
            <w:r>
              <w:rPr>
                <w:rFonts w:hint="eastAsia"/>
                <w:bCs/>
                <w:color w:val="auto"/>
                <w:sz w:val="24"/>
                <w:highlight w:val="none"/>
                <w:lang w:eastAsia="zh-CN"/>
              </w:rPr>
              <w:t>、</w:t>
            </w:r>
            <w:r>
              <w:rPr>
                <w:rFonts w:hint="eastAsia"/>
                <w:bCs/>
                <w:color w:val="auto"/>
                <w:sz w:val="24"/>
                <w:highlight w:val="none"/>
                <w:lang w:val="en-US" w:eastAsia="zh-CN"/>
              </w:rPr>
              <w:t>30</w:t>
            </w:r>
            <w:r>
              <w:rPr>
                <w:rFonts w:hint="default"/>
                <w:bCs/>
                <w:color w:val="auto"/>
                <w:sz w:val="24"/>
                <w:highlight w:val="none"/>
              </w:rPr>
              <w:t>mg/L</w:t>
            </w:r>
            <w:r>
              <w:rPr>
                <w:rFonts w:hint="eastAsia"/>
                <w:bCs/>
                <w:color w:val="auto"/>
                <w:sz w:val="24"/>
                <w:highlight w:val="none"/>
                <w:lang w:eastAsia="zh-CN"/>
              </w:rPr>
              <w:t>。</w:t>
            </w:r>
          </w:p>
          <w:p w14:paraId="260FFFD9">
            <w:pPr>
              <w:keepNext w:val="0"/>
              <w:keepLines w:val="0"/>
              <w:suppressLineNumbers w:val="0"/>
              <w:spacing w:before="0" w:beforeAutospacing="0" w:after="0" w:afterAutospacing="0" w:line="360" w:lineRule="auto"/>
              <w:ind w:left="0" w:right="0" w:firstLine="470" w:firstLineChars="196"/>
              <w:rPr>
                <w:rFonts w:hint="eastAsia" w:ascii="Times New Roman" w:hAnsi="Times New Roman" w:eastAsia="宋体" w:cs="Times New Roman"/>
                <w:color w:val="auto"/>
                <w:kern w:val="0"/>
                <w:sz w:val="24"/>
                <w:szCs w:val="24"/>
                <w:highlight w:val="none"/>
                <w:lang w:eastAsia="zh-CN"/>
              </w:rPr>
            </w:pPr>
            <w:r>
              <w:rPr>
                <w:rFonts w:hint="eastAsia"/>
                <w:color w:val="auto"/>
                <w:sz w:val="24"/>
                <w:highlight w:val="none"/>
              </w:rPr>
              <w:t>本项目生活污水</w:t>
            </w:r>
            <w:r>
              <w:rPr>
                <w:rFonts w:hint="default"/>
                <w:color w:val="auto"/>
                <w:sz w:val="24"/>
                <w:highlight w:val="none"/>
              </w:rPr>
              <w:t>产排情况</w:t>
            </w:r>
            <w:r>
              <w:rPr>
                <w:rFonts w:hint="eastAsia"/>
                <w:color w:val="auto"/>
                <w:sz w:val="24"/>
                <w:highlight w:val="none"/>
              </w:rPr>
              <w:t>见</w:t>
            </w:r>
            <w:r>
              <w:rPr>
                <w:rFonts w:hint="default"/>
                <w:color w:val="auto"/>
                <w:sz w:val="24"/>
                <w:highlight w:val="none"/>
              </w:rPr>
              <w:t>表</w:t>
            </w:r>
            <w:r>
              <w:rPr>
                <w:rFonts w:hint="eastAsia"/>
                <w:color w:val="auto"/>
                <w:sz w:val="24"/>
                <w:highlight w:val="none"/>
              </w:rPr>
              <w:t>4</w:t>
            </w:r>
            <w:r>
              <w:rPr>
                <w:rFonts w:hint="default"/>
                <w:color w:val="auto"/>
                <w:sz w:val="24"/>
                <w:highlight w:val="none"/>
              </w:rPr>
              <w:t>-</w:t>
            </w:r>
            <w:r>
              <w:rPr>
                <w:rFonts w:hint="eastAsia"/>
                <w:color w:val="auto"/>
                <w:sz w:val="24"/>
                <w:highlight w:val="none"/>
                <w:lang w:val="en-US" w:eastAsia="zh-CN"/>
              </w:rPr>
              <w:t>8</w:t>
            </w:r>
            <w:r>
              <w:rPr>
                <w:rFonts w:hint="default"/>
                <w:color w:val="auto"/>
                <w:sz w:val="24"/>
                <w:highlight w:val="none"/>
              </w:rPr>
              <w:t>。</w:t>
            </w:r>
          </w:p>
          <w:p w14:paraId="3736F94D">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default"/>
                <w:b/>
                <w:bCs/>
                <w:color w:val="auto"/>
                <w:highlight w:val="none"/>
                <w:lang w:val="en-US" w:eastAsia="zh-CN"/>
              </w:rPr>
              <w:t>表</w:t>
            </w:r>
            <w:r>
              <w:rPr>
                <w:rFonts w:hint="eastAsia"/>
                <w:b/>
                <w:bCs/>
                <w:color w:val="auto"/>
                <w:highlight w:val="none"/>
                <w:lang w:val="en-US" w:eastAsia="zh-CN"/>
              </w:rPr>
              <w:t xml:space="preserve">4-8  </w:t>
            </w:r>
            <w:r>
              <w:rPr>
                <w:rFonts w:hint="default"/>
                <w:b/>
                <w:bCs/>
                <w:color w:val="auto"/>
                <w:highlight w:val="none"/>
                <w:lang w:val="en-US" w:eastAsia="zh-CN"/>
              </w:rPr>
              <w:t xml:space="preserve"> 项目</w:t>
            </w:r>
            <w:r>
              <w:rPr>
                <w:rFonts w:hint="eastAsia"/>
                <w:b/>
                <w:bCs/>
                <w:color w:val="auto"/>
                <w:highlight w:val="none"/>
                <w:lang w:val="en-US" w:eastAsia="zh-CN"/>
              </w:rPr>
              <w:t>生活污水</w:t>
            </w:r>
            <w:r>
              <w:rPr>
                <w:rFonts w:hint="default"/>
                <w:b/>
                <w:bCs/>
                <w:color w:val="auto"/>
                <w:highlight w:val="none"/>
                <w:lang w:val="en-US" w:eastAsia="zh-CN"/>
              </w:rPr>
              <w:t>产生和排放情况统计表</w:t>
            </w:r>
            <w:r>
              <w:rPr>
                <w:rFonts w:hint="eastAsia"/>
                <w:b/>
                <w:bCs/>
                <w:color w:val="auto"/>
                <w:highlight w:val="none"/>
                <w:lang w:val="en-US" w:eastAsia="zh-CN"/>
              </w:rPr>
              <w:t>（pH无量纲）</w:t>
            </w:r>
          </w:p>
          <w:tbl>
            <w:tblPr>
              <w:tblStyle w:val="32"/>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Layout w:type="autofit"/>
              <w:tblCellMar>
                <w:top w:w="0" w:type="dxa"/>
                <w:left w:w="108" w:type="dxa"/>
                <w:bottom w:w="0" w:type="dxa"/>
                <w:right w:w="108" w:type="dxa"/>
              </w:tblCellMar>
            </w:tblPr>
            <w:tblGrid>
              <w:gridCol w:w="914"/>
              <w:gridCol w:w="1091"/>
              <w:gridCol w:w="540"/>
              <w:gridCol w:w="842"/>
              <w:gridCol w:w="740"/>
              <w:gridCol w:w="689"/>
              <w:gridCol w:w="821"/>
              <w:gridCol w:w="689"/>
              <w:gridCol w:w="689"/>
              <w:gridCol w:w="720"/>
              <w:gridCol w:w="726"/>
            </w:tblGrid>
            <w:tr w14:paraId="321D9A50">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0" w:hRule="atLeast"/>
                <w:jc w:val="center"/>
              </w:trPr>
              <w:tc>
                <w:tcPr>
                  <w:tcW w:w="1184" w:type="pct"/>
                  <w:gridSpan w:val="2"/>
                  <w:tcBorders>
                    <w:bottom w:val="single" w:color="auto" w:sz="12" w:space="0"/>
                  </w:tcBorders>
                  <w:noWrap w:val="0"/>
                  <w:vAlign w:val="center"/>
                </w:tcPr>
                <w:p w14:paraId="4D4BB256">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default"/>
                      <w:b/>
                      <w:bCs/>
                      <w:color w:val="auto"/>
                      <w:highlight w:val="none"/>
                      <w:lang w:val="en-US" w:eastAsia="zh-CN"/>
                    </w:rPr>
                    <w:t>项目</w:t>
                  </w:r>
                </w:p>
              </w:tc>
              <w:tc>
                <w:tcPr>
                  <w:tcW w:w="319" w:type="pct"/>
                  <w:tcBorders>
                    <w:bottom w:val="single" w:color="auto" w:sz="12" w:space="0"/>
                  </w:tcBorders>
                  <w:noWrap w:val="0"/>
                  <w:vAlign w:val="center"/>
                </w:tcPr>
                <w:p w14:paraId="13FABB82">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eastAsia"/>
                      <w:b/>
                      <w:bCs/>
                      <w:color w:val="auto"/>
                      <w:highlight w:val="none"/>
                      <w:lang w:val="en-US" w:eastAsia="zh-CN"/>
                    </w:rPr>
                    <w:t>pH</w:t>
                  </w:r>
                </w:p>
              </w:tc>
              <w:tc>
                <w:tcPr>
                  <w:tcW w:w="497" w:type="pct"/>
                  <w:tcBorders>
                    <w:bottom w:val="single" w:color="auto" w:sz="12" w:space="0"/>
                  </w:tcBorders>
                  <w:noWrap w:val="0"/>
                  <w:vAlign w:val="center"/>
                </w:tcPr>
                <w:p w14:paraId="5B13105D">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default"/>
                      <w:b/>
                      <w:bCs/>
                      <w:color w:val="auto"/>
                      <w:sz w:val="21"/>
                      <w:szCs w:val="21"/>
                      <w:highlight w:val="none"/>
                    </w:rPr>
                    <w:t>COD</w:t>
                  </w:r>
                  <w:r>
                    <w:rPr>
                      <w:rFonts w:hint="eastAsia"/>
                      <w:b/>
                      <w:bCs/>
                      <w:color w:val="auto"/>
                      <w:sz w:val="21"/>
                      <w:szCs w:val="21"/>
                      <w:highlight w:val="none"/>
                      <w:vertAlign w:val="subscript"/>
                      <w:lang w:val="en-US" w:eastAsia="zh-CN"/>
                    </w:rPr>
                    <w:t>Cr</w:t>
                  </w:r>
                </w:p>
              </w:tc>
              <w:tc>
                <w:tcPr>
                  <w:tcW w:w="437" w:type="pct"/>
                  <w:tcBorders>
                    <w:bottom w:val="single" w:color="auto" w:sz="12" w:space="0"/>
                  </w:tcBorders>
                  <w:noWrap w:val="0"/>
                  <w:vAlign w:val="center"/>
                </w:tcPr>
                <w:p w14:paraId="292BF02C">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default"/>
                      <w:b/>
                      <w:bCs/>
                      <w:color w:val="auto"/>
                      <w:highlight w:val="none"/>
                      <w:lang w:val="en-US" w:eastAsia="zh-CN"/>
                    </w:rPr>
                    <w:t>BOD</w:t>
                  </w:r>
                  <w:r>
                    <w:rPr>
                      <w:rFonts w:hint="default"/>
                      <w:b/>
                      <w:bCs/>
                      <w:color w:val="auto"/>
                      <w:highlight w:val="none"/>
                      <w:vertAlign w:val="subscript"/>
                      <w:lang w:val="en-US" w:eastAsia="zh-CN"/>
                    </w:rPr>
                    <w:t>5</w:t>
                  </w:r>
                </w:p>
              </w:tc>
              <w:tc>
                <w:tcPr>
                  <w:tcW w:w="407" w:type="pct"/>
                  <w:tcBorders>
                    <w:bottom w:val="single" w:color="auto" w:sz="12" w:space="0"/>
                  </w:tcBorders>
                  <w:noWrap w:val="0"/>
                  <w:vAlign w:val="center"/>
                </w:tcPr>
                <w:p w14:paraId="217AD54A">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default"/>
                      <w:b/>
                      <w:bCs/>
                      <w:color w:val="auto"/>
                      <w:highlight w:val="none"/>
                      <w:lang w:val="en-US" w:eastAsia="zh-CN"/>
                    </w:rPr>
                    <w:t>SS</w:t>
                  </w:r>
                </w:p>
              </w:tc>
              <w:tc>
                <w:tcPr>
                  <w:tcW w:w="485" w:type="pct"/>
                  <w:tcBorders>
                    <w:bottom w:val="single" w:color="auto" w:sz="12" w:space="0"/>
                  </w:tcBorders>
                  <w:noWrap w:val="0"/>
                  <w:vAlign w:val="center"/>
                </w:tcPr>
                <w:p w14:paraId="10FDF1C7">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default"/>
                      <w:b/>
                      <w:bCs/>
                      <w:color w:val="auto"/>
                      <w:highlight w:val="none"/>
                      <w:lang w:val="en-US" w:eastAsia="zh-CN"/>
                    </w:rPr>
                    <w:t>NH</w:t>
                  </w:r>
                  <w:r>
                    <w:rPr>
                      <w:rFonts w:hint="default"/>
                      <w:b/>
                      <w:bCs/>
                      <w:color w:val="auto"/>
                      <w:highlight w:val="none"/>
                      <w:vertAlign w:val="subscript"/>
                      <w:lang w:val="en-US" w:eastAsia="zh-CN"/>
                    </w:rPr>
                    <w:t>3</w:t>
                  </w:r>
                  <w:r>
                    <w:rPr>
                      <w:rFonts w:hint="default"/>
                      <w:b/>
                      <w:bCs/>
                      <w:color w:val="auto"/>
                      <w:highlight w:val="none"/>
                      <w:lang w:val="en-US" w:eastAsia="zh-CN"/>
                    </w:rPr>
                    <w:t>-N</w:t>
                  </w:r>
                </w:p>
              </w:tc>
              <w:tc>
                <w:tcPr>
                  <w:tcW w:w="407" w:type="pct"/>
                  <w:tcBorders>
                    <w:bottom w:val="single" w:color="auto" w:sz="12" w:space="0"/>
                  </w:tcBorders>
                  <w:noWrap w:val="0"/>
                  <w:vAlign w:val="center"/>
                </w:tcPr>
                <w:p w14:paraId="293A2331">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eastAsia"/>
                      <w:b/>
                      <w:bCs/>
                      <w:color w:val="auto"/>
                      <w:highlight w:val="none"/>
                      <w:lang w:val="en-US" w:eastAsia="zh-CN"/>
                    </w:rPr>
                    <w:t>TP</w:t>
                  </w:r>
                </w:p>
              </w:tc>
              <w:tc>
                <w:tcPr>
                  <w:tcW w:w="400" w:type="pct"/>
                  <w:tcBorders>
                    <w:bottom w:val="single" w:color="auto" w:sz="12" w:space="0"/>
                  </w:tcBorders>
                  <w:noWrap w:val="0"/>
                  <w:vAlign w:val="center"/>
                </w:tcPr>
                <w:p w14:paraId="59BDCEA8">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eastAsia"/>
                      <w:b/>
                      <w:bCs/>
                      <w:color w:val="auto"/>
                      <w:highlight w:val="none"/>
                      <w:lang w:val="en-US" w:eastAsia="zh-CN"/>
                    </w:rPr>
                    <w:t>总氮</w:t>
                  </w:r>
                </w:p>
              </w:tc>
              <w:tc>
                <w:tcPr>
                  <w:tcW w:w="430" w:type="pct"/>
                  <w:tcBorders>
                    <w:bottom w:val="single" w:color="auto" w:sz="12" w:space="0"/>
                  </w:tcBorders>
                  <w:noWrap w:val="0"/>
                  <w:vAlign w:val="center"/>
                </w:tcPr>
                <w:p w14:paraId="7398E75E">
                  <w:pPr>
                    <w:pStyle w:val="6"/>
                    <w:keepNext w:val="0"/>
                    <w:keepLines w:val="0"/>
                    <w:suppressLineNumbers w:val="0"/>
                    <w:bidi w:val="0"/>
                    <w:spacing w:before="0" w:beforeAutospacing="0" w:after="0" w:afterAutospacing="0"/>
                    <w:ind w:left="0" w:leftChars="0" w:right="0" w:rightChars="0" w:firstLine="0" w:firstLineChars="0"/>
                    <w:rPr>
                      <w:rFonts w:hint="eastAsia"/>
                      <w:b/>
                      <w:bCs/>
                      <w:color w:val="auto"/>
                      <w:highlight w:val="none"/>
                      <w:lang w:val="en-US" w:eastAsia="zh-CN"/>
                    </w:rPr>
                  </w:pPr>
                  <w:r>
                    <w:rPr>
                      <w:rFonts w:hint="eastAsia"/>
                      <w:b/>
                      <w:bCs/>
                      <w:color w:val="auto"/>
                      <w:highlight w:val="none"/>
                      <w:lang w:val="en-US" w:eastAsia="zh-CN"/>
                    </w:rPr>
                    <w:t>动植物油</w:t>
                  </w:r>
                </w:p>
              </w:tc>
              <w:tc>
                <w:tcPr>
                  <w:tcW w:w="430" w:type="pct"/>
                  <w:tcBorders>
                    <w:bottom w:val="single" w:color="auto" w:sz="12" w:space="0"/>
                  </w:tcBorders>
                  <w:noWrap w:val="0"/>
                  <w:vAlign w:val="center"/>
                </w:tcPr>
                <w:p w14:paraId="6194017A">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eastAsia"/>
                      <w:b/>
                      <w:bCs/>
                      <w:color w:val="auto"/>
                      <w:highlight w:val="none"/>
                      <w:lang w:val="en-US" w:eastAsia="zh-CN"/>
                    </w:rPr>
                    <w:t>石油类</w:t>
                  </w:r>
                </w:p>
              </w:tc>
            </w:tr>
            <w:tr w14:paraId="1280286C">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0" w:hRule="atLeast"/>
                <w:jc w:val="center"/>
              </w:trPr>
              <w:tc>
                <w:tcPr>
                  <w:tcW w:w="540" w:type="pct"/>
                  <w:vMerge w:val="restart"/>
                  <w:tcBorders>
                    <w:top w:val="single" w:color="auto" w:sz="12" w:space="0"/>
                    <w:tl2br w:val="nil"/>
                    <w:tr2bl w:val="nil"/>
                  </w:tcBorders>
                  <w:noWrap w:val="0"/>
                  <w:vAlign w:val="center"/>
                </w:tcPr>
                <w:p w14:paraId="5150B676">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生活</w:t>
                  </w:r>
                </w:p>
                <w:p w14:paraId="00F32B0E">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污水</w:t>
                  </w:r>
                  <w:r>
                    <w:rPr>
                      <w:rFonts w:hint="eastAsia"/>
                      <w:color w:val="auto"/>
                      <w:highlight w:val="none"/>
                      <w:lang w:val="en-US" w:eastAsia="zh-CN"/>
                    </w:rPr>
                    <w:t>576m</w:t>
                  </w:r>
                  <w:r>
                    <w:rPr>
                      <w:rFonts w:hint="eastAsia"/>
                      <w:color w:val="auto"/>
                      <w:highlight w:val="none"/>
                      <w:vertAlign w:val="superscript"/>
                      <w:lang w:val="en-US" w:eastAsia="zh-CN"/>
                    </w:rPr>
                    <w:t>3</w:t>
                  </w:r>
                  <w:r>
                    <w:rPr>
                      <w:rFonts w:hint="default"/>
                      <w:color w:val="auto"/>
                      <w:highlight w:val="none"/>
                      <w:lang w:val="en-US" w:eastAsia="zh-CN"/>
                    </w:rPr>
                    <w:t>/a</w:t>
                  </w:r>
                </w:p>
              </w:tc>
              <w:tc>
                <w:tcPr>
                  <w:tcW w:w="644" w:type="pct"/>
                  <w:tcBorders>
                    <w:top w:val="single" w:color="auto" w:sz="12" w:space="0"/>
                    <w:tl2br w:val="nil"/>
                    <w:tr2bl w:val="nil"/>
                  </w:tcBorders>
                  <w:noWrap w:val="0"/>
                  <w:vAlign w:val="center"/>
                </w:tcPr>
                <w:p w14:paraId="05F44394">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产生浓度（mg/L）</w:t>
                  </w:r>
                </w:p>
              </w:tc>
              <w:tc>
                <w:tcPr>
                  <w:tcW w:w="319" w:type="pct"/>
                  <w:tcBorders>
                    <w:top w:val="single" w:color="auto" w:sz="12" w:space="0"/>
                    <w:tl2br w:val="nil"/>
                    <w:tr2bl w:val="nil"/>
                  </w:tcBorders>
                  <w:noWrap w:val="0"/>
                  <w:vAlign w:val="center"/>
                </w:tcPr>
                <w:p w14:paraId="1684F462">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6~9</w:t>
                  </w:r>
                </w:p>
              </w:tc>
              <w:tc>
                <w:tcPr>
                  <w:tcW w:w="497" w:type="pct"/>
                  <w:tcBorders>
                    <w:top w:val="single" w:color="auto" w:sz="12" w:space="0"/>
                    <w:tl2br w:val="nil"/>
                    <w:tr2bl w:val="nil"/>
                  </w:tcBorders>
                  <w:noWrap w:val="0"/>
                  <w:vAlign w:val="center"/>
                </w:tcPr>
                <w:p w14:paraId="039B65CD">
                  <w:pPr>
                    <w:pStyle w:val="6"/>
                    <w:keepNext w:val="0"/>
                    <w:keepLines w:val="0"/>
                    <w:suppressLineNumbers w:val="0"/>
                    <w:bidi w:val="0"/>
                    <w:spacing w:before="0" w:beforeAutospacing="0" w:after="0" w:afterAutospacing="0"/>
                    <w:ind w:right="0"/>
                    <w:rPr>
                      <w:rFonts w:hint="eastAsia"/>
                      <w:color w:val="auto"/>
                      <w:highlight w:val="none"/>
                      <w:lang w:val="en-US" w:eastAsia="zh-CN"/>
                    </w:rPr>
                  </w:pPr>
                  <w:r>
                    <w:rPr>
                      <w:rFonts w:hint="default"/>
                      <w:color w:val="auto"/>
                      <w:highlight w:val="none"/>
                      <w:lang w:val="en-US" w:eastAsia="zh-CN"/>
                    </w:rPr>
                    <w:t>250</w:t>
                  </w:r>
                </w:p>
              </w:tc>
              <w:tc>
                <w:tcPr>
                  <w:tcW w:w="437" w:type="pct"/>
                  <w:tcBorders>
                    <w:top w:val="single" w:color="auto" w:sz="12" w:space="0"/>
                    <w:tl2br w:val="nil"/>
                    <w:tr2bl w:val="nil"/>
                  </w:tcBorders>
                  <w:noWrap w:val="0"/>
                  <w:vAlign w:val="center"/>
                </w:tcPr>
                <w:p w14:paraId="4240DF9E">
                  <w:pPr>
                    <w:pStyle w:val="6"/>
                    <w:keepNext w:val="0"/>
                    <w:keepLines w:val="0"/>
                    <w:suppressLineNumbers w:val="0"/>
                    <w:bidi w:val="0"/>
                    <w:spacing w:before="0" w:beforeAutospacing="0" w:after="0" w:afterAutospacing="0"/>
                    <w:ind w:right="0"/>
                    <w:rPr>
                      <w:rFonts w:hint="eastAsia"/>
                      <w:color w:val="auto"/>
                      <w:highlight w:val="none"/>
                      <w:lang w:val="en-US" w:eastAsia="zh-CN"/>
                    </w:rPr>
                  </w:pPr>
                  <w:r>
                    <w:rPr>
                      <w:rFonts w:hint="default"/>
                      <w:color w:val="auto"/>
                      <w:highlight w:val="none"/>
                      <w:lang w:val="en-US" w:eastAsia="zh-CN"/>
                    </w:rPr>
                    <w:t>100</w:t>
                  </w:r>
                </w:p>
              </w:tc>
              <w:tc>
                <w:tcPr>
                  <w:tcW w:w="407" w:type="pct"/>
                  <w:tcBorders>
                    <w:top w:val="single" w:color="auto" w:sz="12" w:space="0"/>
                    <w:tl2br w:val="nil"/>
                    <w:tr2bl w:val="nil"/>
                  </w:tcBorders>
                  <w:noWrap w:val="0"/>
                  <w:vAlign w:val="center"/>
                </w:tcPr>
                <w:p w14:paraId="6F28C0FC">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150</w:t>
                  </w:r>
                </w:p>
              </w:tc>
              <w:tc>
                <w:tcPr>
                  <w:tcW w:w="485" w:type="pct"/>
                  <w:tcBorders>
                    <w:top w:val="single" w:color="auto" w:sz="12" w:space="0"/>
                    <w:tl2br w:val="nil"/>
                    <w:tr2bl w:val="nil"/>
                  </w:tcBorders>
                  <w:noWrap w:val="0"/>
                  <w:vAlign w:val="center"/>
                </w:tcPr>
                <w:p w14:paraId="0D8D854C">
                  <w:pPr>
                    <w:pStyle w:val="6"/>
                    <w:keepNext w:val="0"/>
                    <w:keepLines w:val="0"/>
                    <w:suppressLineNumbers w:val="0"/>
                    <w:bidi w:val="0"/>
                    <w:spacing w:before="0" w:beforeAutospacing="0" w:after="0" w:afterAutospacing="0"/>
                    <w:ind w:right="0"/>
                    <w:rPr>
                      <w:rFonts w:hint="eastAsia"/>
                      <w:color w:val="auto"/>
                      <w:highlight w:val="none"/>
                      <w:lang w:val="en-US" w:eastAsia="zh-CN"/>
                    </w:rPr>
                  </w:pPr>
                  <w:r>
                    <w:rPr>
                      <w:rFonts w:hint="default"/>
                      <w:color w:val="auto"/>
                      <w:highlight w:val="none"/>
                      <w:lang w:val="en-US" w:eastAsia="zh-CN"/>
                    </w:rPr>
                    <w:t>25</w:t>
                  </w:r>
                </w:p>
              </w:tc>
              <w:tc>
                <w:tcPr>
                  <w:tcW w:w="407" w:type="pct"/>
                  <w:tcBorders>
                    <w:top w:val="single" w:color="auto" w:sz="12" w:space="0"/>
                    <w:tl2br w:val="nil"/>
                    <w:tr2bl w:val="nil"/>
                  </w:tcBorders>
                  <w:noWrap w:val="0"/>
                  <w:vAlign w:val="center"/>
                </w:tcPr>
                <w:p w14:paraId="267DA756">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5</w:t>
                  </w:r>
                </w:p>
              </w:tc>
              <w:tc>
                <w:tcPr>
                  <w:tcW w:w="400" w:type="pct"/>
                  <w:tcBorders>
                    <w:top w:val="single" w:color="auto" w:sz="12" w:space="0"/>
                    <w:tl2br w:val="nil"/>
                    <w:tr2bl w:val="nil"/>
                  </w:tcBorders>
                  <w:noWrap w:val="0"/>
                  <w:vAlign w:val="center"/>
                </w:tcPr>
                <w:p w14:paraId="319813D7">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30</w:t>
                  </w:r>
                </w:p>
              </w:tc>
              <w:tc>
                <w:tcPr>
                  <w:tcW w:w="430" w:type="pct"/>
                  <w:tcBorders>
                    <w:top w:val="single" w:color="auto" w:sz="12" w:space="0"/>
                    <w:tl2br w:val="nil"/>
                    <w:tr2bl w:val="nil"/>
                  </w:tcBorders>
                  <w:noWrap w:val="0"/>
                  <w:vAlign w:val="center"/>
                </w:tcPr>
                <w:p w14:paraId="5E0F0A8D">
                  <w:pPr>
                    <w:pStyle w:val="6"/>
                    <w:keepNext w:val="0"/>
                    <w:keepLines w:val="0"/>
                    <w:suppressLineNumbers w:val="0"/>
                    <w:bidi w:val="0"/>
                    <w:spacing w:before="0" w:beforeAutospacing="0" w:after="0" w:afterAutospacing="0"/>
                    <w:ind w:left="0" w:leftChars="0" w:right="0" w:rightChars="0" w:firstLine="0" w:firstLineChars="0"/>
                    <w:rPr>
                      <w:rFonts w:hint="eastAsia"/>
                      <w:color w:val="auto"/>
                      <w:highlight w:val="none"/>
                      <w:lang w:val="en-US" w:eastAsia="zh-CN"/>
                    </w:rPr>
                  </w:pPr>
                  <w:r>
                    <w:rPr>
                      <w:rFonts w:hint="eastAsia"/>
                      <w:color w:val="auto"/>
                      <w:highlight w:val="none"/>
                      <w:lang w:val="en-US" w:eastAsia="zh-CN"/>
                    </w:rPr>
                    <w:t>30</w:t>
                  </w:r>
                </w:p>
              </w:tc>
              <w:tc>
                <w:tcPr>
                  <w:tcW w:w="430" w:type="pct"/>
                  <w:tcBorders>
                    <w:top w:val="single" w:color="auto" w:sz="12" w:space="0"/>
                    <w:tl2br w:val="nil"/>
                    <w:tr2bl w:val="nil"/>
                  </w:tcBorders>
                  <w:noWrap w:val="0"/>
                  <w:vAlign w:val="center"/>
                </w:tcPr>
                <w:p w14:paraId="705311C8">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1</w:t>
                  </w:r>
                </w:p>
              </w:tc>
            </w:tr>
            <w:tr w14:paraId="44FC0332">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0" w:hRule="atLeast"/>
                <w:jc w:val="center"/>
              </w:trPr>
              <w:tc>
                <w:tcPr>
                  <w:tcW w:w="540" w:type="pct"/>
                  <w:vMerge w:val="continue"/>
                  <w:tcBorders>
                    <w:tl2br w:val="nil"/>
                    <w:tr2bl w:val="nil"/>
                  </w:tcBorders>
                  <w:noWrap w:val="0"/>
                  <w:vAlign w:val="center"/>
                </w:tcPr>
                <w:p w14:paraId="0BC3A845">
                  <w:pPr>
                    <w:pStyle w:val="6"/>
                    <w:keepNext w:val="0"/>
                    <w:keepLines w:val="0"/>
                    <w:suppressLineNumbers w:val="0"/>
                    <w:bidi w:val="0"/>
                    <w:spacing w:before="0" w:beforeAutospacing="0" w:after="0" w:afterAutospacing="0"/>
                    <w:ind w:right="0"/>
                    <w:rPr>
                      <w:rFonts w:hint="default"/>
                      <w:color w:val="auto"/>
                      <w:highlight w:val="none"/>
                      <w:lang w:val="en-US" w:eastAsia="zh-CN"/>
                    </w:rPr>
                  </w:pPr>
                </w:p>
              </w:tc>
              <w:tc>
                <w:tcPr>
                  <w:tcW w:w="644" w:type="pct"/>
                  <w:tcBorders>
                    <w:tl2br w:val="nil"/>
                    <w:tr2bl w:val="nil"/>
                  </w:tcBorders>
                  <w:noWrap w:val="0"/>
                  <w:vAlign w:val="center"/>
                </w:tcPr>
                <w:p w14:paraId="7977E9D9">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产生量（t/a）</w:t>
                  </w:r>
                </w:p>
              </w:tc>
              <w:tc>
                <w:tcPr>
                  <w:tcW w:w="319" w:type="pct"/>
                  <w:tcBorders>
                    <w:tl2br w:val="nil"/>
                    <w:tr2bl w:val="nil"/>
                  </w:tcBorders>
                  <w:noWrap w:val="0"/>
                  <w:vAlign w:val="center"/>
                </w:tcPr>
                <w:p w14:paraId="43705BCE">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w:t>
                  </w:r>
                </w:p>
              </w:tc>
              <w:tc>
                <w:tcPr>
                  <w:tcW w:w="497" w:type="pct"/>
                  <w:tcBorders>
                    <w:tl2br w:val="nil"/>
                    <w:tr2bl w:val="nil"/>
                  </w:tcBorders>
                  <w:noWrap w:val="0"/>
                  <w:vAlign w:val="center"/>
                </w:tcPr>
                <w:p w14:paraId="4844118E">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0.144</w:t>
                  </w:r>
                </w:p>
              </w:tc>
              <w:tc>
                <w:tcPr>
                  <w:tcW w:w="437" w:type="pct"/>
                  <w:tcBorders>
                    <w:tl2br w:val="nil"/>
                    <w:tr2bl w:val="nil"/>
                  </w:tcBorders>
                  <w:noWrap w:val="0"/>
                  <w:vAlign w:val="center"/>
                </w:tcPr>
                <w:p w14:paraId="0A3618CC">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0.058</w:t>
                  </w:r>
                </w:p>
              </w:tc>
              <w:tc>
                <w:tcPr>
                  <w:tcW w:w="407" w:type="pct"/>
                  <w:tcBorders>
                    <w:tl2br w:val="nil"/>
                    <w:tr2bl w:val="nil"/>
                  </w:tcBorders>
                  <w:noWrap w:val="0"/>
                  <w:vAlign w:val="center"/>
                </w:tcPr>
                <w:p w14:paraId="44DC42E7">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0.086</w:t>
                  </w:r>
                </w:p>
              </w:tc>
              <w:tc>
                <w:tcPr>
                  <w:tcW w:w="485" w:type="pct"/>
                  <w:tcBorders>
                    <w:tl2br w:val="nil"/>
                    <w:tr2bl w:val="nil"/>
                  </w:tcBorders>
                  <w:noWrap w:val="0"/>
                  <w:vAlign w:val="center"/>
                </w:tcPr>
                <w:p w14:paraId="77378BCA">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0.014</w:t>
                  </w:r>
                </w:p>
              </w:tc>
              <w:tc>
                <w:tcPr>
                  <w:tcW w:w="407" w:type="pct"/>
                  <w:tcBorders>
                    <w:tl2br w:val="nil"/>
                    <w:tr2bl w:val="nil"/>
                  </w:tcBorders>
                  <w:noWrap w:val="0"/>
                  <w:vAlign w:val="center"/>
                </w:tcPr>
                <w:p w14:paraId="6C7AC4F4">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0.003</w:t>
                  </w:r>
                </w:p>
              </w:tc>
              <w:tc>
                <w:tcPr>
                  <w:tcW w:w="400" w:type="pct"/>
                  <w:tcBorders>
                    <w:tl2br w:val="nil"/>
                    <w:tr2bl w:val="nil"/>
                  </w:tcBorders>
                  <w:noWrap w:val="0"/>
                  <w:vAlign w:val="center"/>
                </w:tcPr>
                <w:p w14:paraId="72BB4070">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0.017</w:t>
                  </w:r>
                </w:p>
              </w:tc>
              <w:tc>
                <w:tcPr>
                  <w:tcW w:w="430" w:type="pct"/>
                  <w:tcBorders>
                    <w:tl2br w:val="nil"/>
                    <w:tr2bl w:val="nil"/>
                  </w:tcBorders>
                  <w:noWrap w:val="0"/>
                  <w:vAlign w:val="center"/>
                </w:tcPr>
                <w:p w14:paraId="2FDED0E7">
                  <w:pPr>
                    <w:pStyle w:val="6"/>
                    <w:keepNext w:val="0"/>
                    <w:keepLines w:val="0"/>
                    <w:suppressLineNumbers w:val="0"/>
                    <w:bidi w:val="0"/>
                    <w:spacing w:before="0" w:beforeAutospacing="0" w:after="0" w:afterAutospacing="0"/>
                    <w:ind w:left="0" w:leftChars="0" w:right="0" w:rightChars="0" w:firstLine="0" w:firstLineChars="0"/>
                    <w:rPr>
                      <w:rFonts w:hint="eastAsia"/>
                      <w:color w:val="auto"/>
                      <w:highlight w:val="none"/>
                      <w:lang w:val="en-US" w:eastAsia="zh-CN"/>
                    </w:rPr>
                  </w:pPr>
                  <w:r>
                    <w:rPr>
                      <w:rFonts w:hint="eastAsia"/>
                      <w:color w:val="auto"/>
                      <w:highlight w:val="none"/>
                      <w:lang w:val="en-US" w:eastAsia="zh-CN"/>
                    </w:rPr>
                    <w:t>0.017</w:t>
                  </w:r>
                </w:p>
              </w:tc>
              <w:tc>
                <w:tcPr>
                  <w:tcW w:w="430" w:type="pct"/>
                  <w:tcBorders>
                    <w:tl2br w:val="nil"/>
                    <w:tr2bl w:val="nil"/>
                  </w:tcBorders>
                  <w:noWrap w:val="0"/>
                  <w:vAlign w:val="center"/>
                </w:tcPr>
                <w:p w14:paraId="349737CE">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0.001</w:t>
                  </w:r>
                </w:p>
              </w:tc>
            </w:tr>
            <w:tr w14:paraId="5CB2EC6F">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0" w:hRule="atLeast"/>
                <w:jc w:val="center"/>
              </w:trPr>
              <w:tc>
                <w:tcPr>
                  <w:tcW w:w="540" w:type="pct"/>
                  <w:vMerge w:val="continue"/>
                  <w:tcBorders>
                    <w:tl2br w:val="nil"/>
                    <w:tr2bl w:val="nil"/>
                  </w:tcBorders>
                  <w:noWrap w:val="0"/>
                  <w:vAlign w:val="center"/>
                </w:tcPr>
                <w:p w14:paraId="24B46B9E">
                  <w:pPr>
                    <w:pStyle w:val="6"/>
                    <w:keepNext w:val="0"/>
                    <w:keepLines w:val="0"/>
                    <w:suppressLineNumbers w:val="0"/>
                    <w:bidi w:val="0"/>
                    <w:spacing w:before="0" w:beforeAutospacing="0" w:after="0" w:afterAutospacing="0"/>
                    <w:ind w:right="0"/>
                    <w:rPr>
                      <w:rFonts w:hint="default"/>
                      <w:color w:val="auto"/>
                      <w:highlight w:val="none"/>
                      <w:lang w:val="en-US" w:eastAsia="zh-CN"/>
                    </w:rPr>
                  </w:pPr>
                </w:p>
              </w:tc>
              <w:tc>
                <w:tcPr>
                  <w:tcW w:w="644" w:type="pct"/>
                  <w:tcBorders>
                    <w:tl2br w:val="nil"/>
                    <w:tr2bl w:val="nil"/>
                  </w:tcBorders>
                  <w:noWrap w:val="0"/>
                  <w:vAlign w:val="center"/>
                </w:tcPr>
                <w:p w14:paraId="40AF0C95">
                  <w:pPr>
                    <w:pStyle w:val="6"/>
                    <w:keepNext w:val="0"/>
                    <w:keepLines w:val="0"/>
                    <w:suppressLineNumbers w:val="0"/>
                    <w:bidi w:val="0"/>
                    <w:spacing w:before="0" w:beforeAutospacing="0" w:after="0" w:afterAutospacing="0"/>
                    <w:ind w:right="0"/>
                    <w:rPr>
                      <w:rFonts w:hint="eastAsia"/>
                      <w:color w:val="auto"/>
                      <w:highlight w:val="none"/>
                      <w:lang w:val="en-US" w:eastAsia="zh-CN"/>
                    </w:rPr>
                  </w:pPr>
                  <w:r>
                    <w:rPr>
                      <w:rFonts w:hint="eastAsia"/>
                      <w:color w:val="auto"/>
                      <w:highlight w:val="none"/>
                      <w:lang w:val="en-US" w:eastAsia="zh-CN"/>
                    </w:rPr>
                    <w:t>治理措施</w:t>
                  </w:r>
                </w:p>
              </w:tc>
              <w:tc>
                <w:tcPr>
                  <w:tcW w:w="3815" w:type="pct"/>
                  <w:gridSpan w:val="9"/>
                  <w:tcBorders>
                    <w:tl2br w:val="nil"/>
                    <w:tr2bl w:val="nil"/>
                  </w:tcBorders>
                  <w:noWrap w:val="0"/>
                  <w:vAlign w:val="center"/>
                </w:tcPr>
                <w:p w14:paraId="73CE0F88">
                  <w:pPr>
                    <w:pStyle w:val="6"/>
                    <w:keepNext w:val="0"/>
                    <w:keepLines w:val="0"/>
                    <w:suppressLineNumbers w:val="0"/>
                    <w:bidi w:val="0"/>
                    <w:spacing w:before="0" w:beforeAutospacing="0" w:after="0" w:afterAutospacing="0"/>
                    <w:ind w:right="0"/>
                    <w:rPr>
                      <w:rFonts w:hint="eastAsia"/>
                      <w:color w:val="auto"/>
                      <w:highlight w:val="none"/>
                      <w:lang w:val="en-US" w:eastAsia="zh-CN"/>
                    </w:rPr>
                  </w:pPr>
                  <w:r>
                    <w:rPr>
                      <w:rFonts w:hint="eastAsia"/>
                      <w:color w:val="auto"/>
                      <w:highlight w:val="none"/>
                      <w:lang w:val="en-US" w:eastAsia="zh-CN"/>
                    </w:rPr>
                    <w:t>隔油池+化粪池</w:t>
                  </w:r>
                </w:p>
              </w:tc>
            </w:tr>
            <w:tr w14:paraId="2DB837BD">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0" w:hRule="atLeast"/>
                <w:jc w:val="center"/>
              </w:trPr>
              <w:tc>
                <w:tcPr>
                  <w:tcW w:w="540" w:type="pct"/>
                  <w:vMerge w:val="continue"/>
                  <w:tcBorders>
                    <w:tl2br w:val="nil"/>
                    <w:tr2bl w:val="nil"/>
                  </w:tcBorders>
                  <w:noWrap w:val="0"/>
                  <w:vAlign w:val="center"/>
                </w:tcPr>
                <w:p w14:paraId="05C890A1">
                  <w:pPr>
                    <w:pStyle w:val="6"/>
                    <w:keepNext w:val="0"/>
                    <w:keepLines w:val="0"/>
                    <w:suppressLineNumbers w:val="0"/>
                    <w:bidi w:val="0"/>
                    <w:spacing w:before="0" w:beforeAutospacing="0" w:after="0" w:afterAutospacing="0"/>
                    <w:ind w:right="0"/>
                    <w:rPr>
                      <w:rFonts w:hint="eastAsia"/>
                      <w:color w:val="auto"/>
                      <w:highlight w:val="none"/>
                      <w:lang w:val="en-US" w:eastAsia="zh-CN"/>
                    </w:rPr>
                  </w:pPr>
                </w:p>
              </w:tc>
              <w:tc>
                <w:tcPr>
                  <w:tcW w:w="644" w:type="pct"/>
                  <w:tcBorders>
                    <w:tl2br w:val="nil"/>
                    <w:tr2bl w:val="nil"/>
                  </w:tcBorders>
                  <w:noWrap w:val="0"/>
                  <w:vAlign w:val="center"/>
                </w:tcPr>
                <w:p w14:paraId="61D954C1">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去除效率</w:t>
                  </w:r>
                </w:p>
              </w:tc>
              <w:tc>
                <w:tcPr>
                  <w:tcW w:w="319" w:type="pct"/>
                  <w:tcBorders>
                    <w:tl2br w:val="nil"/>
                    <w:tr2bl w:val="nil"/>
                  </w:tcBorders>
                  <w:noWrap w:val="0"/>
                  <w:vAlign w:val="center"/>
                </w:tcPr>
                <w:p w14:paraId="198ED0E7">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w:t>
                  </w:r>
                </w:p>
              </w:tc>
              <w:tc>
                <w:tcPr>
                  <w:tcW w:w="497" w:type="pct"/>
                  <w:tcBorders>
                    <w:tl2br w:val="nil"/>
                    <w:tr2bl w:val="nil"/>
                  </w:tcBorders>
                  <w:noWrap w:val="0"/>
                  <w:vAlign w:val="center"/>
                </w:tcPr>
                <w:p w14:paraId="7C7EBDD3">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20%</w:t>
                  </w:r>
                </w:p>
              </w:tc>
              <w:tc>
                <w:tcPr>
                  <w:tcW w:w="437" w:type="pct"/>
                  <w:tcBorders>
                    <w:tl2br w:val="nil"/>
                    <w:tr2bl w:val="nil"/>
                  </w:tcBorders>
                  <w:noWrap w:val="0"/>
                  <w:vAlign w:val="center"/>
                </w:tcPr>
                <w:p w14:paraId="3326F2E2">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20%</w:t>
                  </w:r>
                </w:p>
              </w:tc>
              <w:tc>
                <w:tcPr>
                  <w:tcW w:w="407" w:type="pct"/>
                  <w:tcBorders>
                    <w:tl2br w:val="nil"/>
                    <w:tr2bl w:val="nil"/>
                  </w:tcBorders>
                  <w:noWrap w:val="0"/>
                  <w:vAlign w:val="center"/>
                </w:tcPr>
                <w:p w14:paraId="6B5C36D4">
                  <w:pPr>
                    <w:pStyle w:val="6"/>
                    <w:keepNext w:val="0"/>
                    <w:keepLines w:val="0"/>
                    <w:suppressLineNumbers w:val="0"/>
                    <w:bidi w:val="0"/>
                    <w:spacing w:before="0" w:beforeAutospacing="0" w:after="0" w:afterAutospacing="0"/>
                    <w:ind w:right="0"/>
                    <w:rPr>
                      <w:rFonts w:hint="eastAsia"/>
                      <w:color w:val="auto"/>
                      <w:highlight w:val="none"/>
                      <w:lang w:val="en-US" w:eastAsia="zh-CN"/>
                    </w:rPr>
                  </w:pPr>
                  <w:r>
                    <w:rPr>
                      <w:rFonts w:hint="eastAsia"/>
                      <w:color w:val="auto"/>
                      <w:highlight w:val="none"/>
                      <w:lang w:val="en-US" w:eastAsia="zh-CN"/>
                    </w:rPr>
                    <w:t>30%</w:t>
                  </w:r>
                </w:p>
              </w:tc>
              <w:tc>
                <w:tcPr>
                  <w:tcW w:w="485" w:type="pct"/>
                  <w:tcBorders>
                    <w:tl2br w:val="nil"/>
                    <w:tr2bl w:val="nil"/>
                  </w:tcBorders>
                  <w:noWrap w:val="0"/>
                  <w:vAlign w:val="center"/>
                </w:tcPr>
                <w:p w14:paraId="05CC340F">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0</w:t>
                  </w:r>
                </w:p>
              </w:tc>
              <w:tc>
                <w:tcPr>
                  <w:tcW w:w="407" w:type="pct"/>
                  <w:tcBorders>
                    <w:tl2br w:val="nil"/>
                    <w:tr2bl w:val="nil"/>
                  </w:tcBorders>
                  <w:noWrap w:val="0"/>
                  <w:vAlign w:val="center"/>
                </w:tcPr>
                <w:p w14:paraId="53B32EC1">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0</w:t>
                  </w:r>
                </w:p>
              </w:tc>
              <w:tc>
                <w:tcPr>
                  <w:tcW w:w="400" w:type="pct"/>
                  <w:tcBorders>
                    <w:tl2br w:val="nil"/>
                    <w:tr2bl w:val="nil"/>
                  </w:tcBorders>
                  <w:noWrap w:val="0"/>
                  <w:vAlign w:val="center"/>
                </w:tcPr>
                <w:p w14:paraId="3339230E">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0</w:t>
                  </w:r>
                </w:p>
              </w:tc>
              <w:tc>
                <w:tcPr>
                  <w:tcW w:w="430" w:type="pct"/>
                  <w:tcBorders>
                    <w:tl2br w:val="nil"/>
                    <w:tr2bl w:val="nil"/>
                  </w:tcBorders>
                  <w:noWrap w:val="0"/>
                  <w:vAlign w:val="center"/>
                </w:tcPr>
                <w:p w14:paraId="402C782A">
                  <w:pPr>
                    <w:pStyle w:val="6"/>
                    <w:keepNext w:val="0"/>
                    <w:keepLines w:val="0"/>
                    <w:suppressLineNumbers w:val="0"/>
                    <w:bidi w:val="0"/>
                    <w:spacing w:before="0" w:beforeAutospacing="0" w:after="0" w:afterAutospacing="0"/>
                    <w:ind w:left="0" w:leftChars="0" w:right="0" w:rightChars="0" w:firstLine="0" w:firstLineChars="0"/>
                    <w:rPr>
                      <w:rFonts w:hint="eastAsia"/>
                      <w:color w:val="auto"/>
                      <w:highlight w:val="none"/>
                      <w:lang w:val="en-US" w:eastAsia="zh-CN"/>
                    </w:rPr>
                  </w:pPr>
                  <w:r>
                    <w:rPr>
                      <w:rFonts w:hint="eastAsia"/>
                      <w:color w:val="auto"/>
                      <w:highlight w:val="none"/>
                      <w:lang w:val="en-US" w:eastAsia="zh-CN"/>
                    </w:rPr>
                    <w:t>90%</w:t>
                  </w:r>
                </w:p>
              </w:tc>
              <w:tc>
                <w:tcPr>
                  <w:tcW w:w="430" w:type="pct"/>
                  <w:tcBorders>
                    <w:tl2br w:val="nil"/>
                    <w:tr2bl w:val="nil"/>
                  </w:tcBorders>
                  <w:noWrap w:val="0"/>
                  <w:vAlign w:val="center"/>
                </w:tcPr>
                <w:p w14:paraId="152B9E1C">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0</w:t>
                  </w:r>
                </w:p>
              </w:tc>
            </w:tr>
            <w:tr w14:paraId="7809B98E">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0" w:hRule="atLeast"/>
                <w:jc w:val="center"/>
              </w:trPr>
              <w:tc>
                <w:tcPr>
                  <w:tcW w:w="540" w:type="pct"/>
                  <w:vMerge w:val="continue"/>
                  <w:tcBorders>
                    <w:tl2br w:val="nil"/>
                    <w:tr2bl w:val="nil"/>
                  </w:tcBorders>
                  <w:noWrap w:val="0"/>
                  <w:vAlign w:val="center"/>
                </w:tcPr>
                <w:p w14:paraId="247D9C9A">
                  <w:pPr>
                    <w:pStyle w:val="6"/>
                    <w:keepNext w:val="0"/>
                    <w:keepLines w:val="0"/>
                    <w:suppressLineNumbers w:val="0"/>
                    <w:bidi w:val="0"/>
                    <w:spacing w:before="0" w:beforeAutospacing="0" w:after="0" w:afterAutospacing="0"/>
                    <w:ind w:right="0"/>
                    <w:rPr>
                      <w:rFonts w:hint="eastAsia"/>
                      <w:color w:val="auto"/>
                      <w:highlight w:val="none"/>
                      <w:lang w:val="en-US" w:eastAsia="zh-CN"/>
                    </w:rPr>
                  </w:pPr>
                </w:p>
              </w:tc>
              <w:tc>
                <w:tcPr>
                  <w:tcW w:w="644" w:type="pct"/>
                  <w:tcBorders>
                    <w:tl2br w:val="nil"/>
                    <w:tr2bl w:val="nil"/>
                  </w:tcBorders>
                  <w:noWrap w:val="0"/>
                  <w:vAlign w:val="center"/>
                </w:tcPr>
                <w:p w14:paraId="4A10F32A">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排放浓度</w:t>
                  </w:r>
                  <w:r>
                    <w:rPr>
                      <w:rFonts w:hint="eastAsia"/>
                      <w:color w:val="auto"/>
                      <w:highlight w:val="none"/>
                      <w:lang w:val="en-US" w:eastAsia="zh-CN"/>
                    </w:rPr>
                    <w:t>（</w:t>
                  </w:r>
                  <w:r>
                    <w:rPr>
                      <w:rFonts w:hint="default"/>
                      <w:color w:val="auto"/>
                      <w:highlight w:val="none"/>
                      <w:lang w:val="en-US" w:eastAsia="zh-CN"/>
                    </w:rPr>
                    <w:t>mg/</w:t>
                  </w:r>
                  <w:r>
                    <w:rPr>
                      <w:rFonts w:hint="eastAsia"/>
                      <w:color w:val="auto"/>
                      <w:highlight w:val="none"/>
                      <w:lang w:val="en-US" w:eastAsia="zh-CN"/>
                    </w:rPr>
                    <w:t>L）</w:t>
                  </w:r>
                </w:p>
              </w:tc>
              <w:tc>
                <w:tcPr>
                  <w:tcW w:w="319" w:type="pct"/>
                  <w:tcBorders>
                    <w:tl2br w:val="nil"/>
                    <w:tr2bl w:val="nil"/>
                  </w:tcBorders>
                  <w:noWrap w:val="0"/>
                  <w:vAlign w:val="center"/>
                </w:tcPr>
                <w:p w14:paraId="06678F67">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6~9</w:t>
                  </w:r>
                </w:p>
              </w:tc>
              <w:tc>
                <w:tcPr>
                  <w:tcW w:w="497" w:type="pct"/>
                  <w:tcBorders>
                    <w:tl2br w:val="nil"/>
                    <w:tr2bl w:val="nil"/>
                  </w:tcBorders>
                  <w:noWrap w:val="0"/>
                  <w:vAlign w:val="center"/>
                </w:tcPr>
                <w:p w14:paraId="03678B0F">
                  <w:pPr>
                    <w:pStyle w:val="6"/>
                    <w:keepNext w:val="0"/>
                    <w:keepLines w:val="0"/>
                    <w:suppressLineNumbers w:val="0"/>
                    <w:bidi w:val="0"/>
                    <w:spacing w:before="0" w:beforeAutospacing="0" w:after="0" w:afterAutospacing="0"/>
                    <w:ind w:right="0"/>
                    <w:rPr>
                      <w:rFonts w:hint="eastAsia"/>
                      <w:color w:val="auto"/>
                      <w:highlight w:val="none"/>
                      <w:lang w:val="en-US" w:eastAsia="zh-CN"/>
                    </w:rPr>
                  </w:pPr>
                  <w:r>
                    <w:rPr>
                      <w:rFonts w:hint="eastAsia"/>
                      <w:color w:val="auto"/>
                      <w:highlight w:val="none"/>
                      <w:lang w:val="en-US" w:eastAsia="zh-CN"/>
                    </w:rPr>
                    <w:t>200</w:t>
                  </w:r>
                </w:p>
              </w:tc>
              <w:tc>
                <w:tcPr>
                  <w:tcW w:w="437" w:type="pct"/>
                  <w:tcBorders>
                    <w:tl2br w:val="nil"/>
                    <w:tr2bl w:val="nil"/>
                  </w:tcBorders>
                  <w:noWrap w:val="0"/>
                  <w:vAlign w:val="center"/>
                </w:tcPr>
                <w:p w14:paraId="1FD3C8C5">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80</w:t>
                  </w:r>
                </w:p>
              </w:tc>
              <w:tc>
                <w:tcPr>
                  <w:tcW w:w="407" w:type="pct"/>
                  <w:tcBorders>
                    <w:tl2br w:val="nil"/>
                    <w:tr2bl w:val="nil"/>
                  </w:tcBorders>
                  <w:noWrap w:val="0"/>
                  <w:vAlign w:val="center"/>
                </w:tcPr>
                <w:p w14:paraId="67B9A798">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105</w:t>
                  </w:r>
                </w:p>
              </w:tc>
              <w:tc>
                <w:tcPr>
                  <w:tcW w:w="485" w:type="pct"/>
                  <w:tcBorders>
                    <w:tl2br w:val="nil"/>
                    <w:tr2bl w:val="nil"/>
                  </w:tcBorders>
                  <w:noWrap w:val="0"/>
                  <w:vAlign w:val="center"/>
                </w:tcPr>
                <w:p w14:paraId="10FCDD1B">
                  <w:pPr>
                    <w:pStyle w:val="6"/>
                    <w:keepNext w:val="0"/>
                    <w:keepLines w:val="0"/>
                    <w:suppressLineNumbers w:val="0"/>
                    <w:bidi w:val="0"/>
                    <w:spacing w:before="0" w:beforeAutospacing="0" w:after="0" w:afterAutospacing="0"/>
                    <w:ind w:right="0"/>
                    <w:rPr>
                      <w:rFonts w:hint="eastAsia"/>
                      <w:color w:val="auto"/>
                      <w:highlight w:val="none"/>
                      <w:lang w:val="en-US" w:eastAsia="zh-CN"/>
                    </w:rPr>
                  </w:pPr>
                  <w:r>
                    <w:rPr>
                      <w:rFonts w:hint="eastAsia"/>
                      <w:color w:val="auto"/>
                      <w:highlight w:val="none"/>
                      <w:lang w:val="en-US" w:eastAsia="zh-CN"/>
                    </w:rPr>
                    <w:t>25</w:t>
                  </w:r>
                </w:p>
              </w:tc>
              <w:tc>
                <w:tcPr>
                  <w:tcW w:w="407" w:type="pct"/>
                  <w:tcBorders>
                    <w:tl2br w:val="nil"/>
                    <w:tr2bl w:val="nil"/>
                  </w:tcBorders>
                  <w:noWrap w:val="0"/>
                  <w:vAlign w:val="center"/>
                </w:tcPr>
                <w:p w14:paraId="171522D2">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5</w:t>
                  </w:r>
                </w:p>
              </w:tc>
              <w:tc>
                <w:tcPr>
                  <w:tcW w:w="400" w:type="pct"/>
                  <w:tcBorders>
                    <w:tl2br w:val="nil"/>
                    <w:tr2bl w:val="nil"/>
                  </w:tcBorders>
                  <w:noWrap w:val="0"/>
                  <w:vAlign w:val="center"/>
                </w:tcPr>
                <w:p w14:paraId="6D5D3B10">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30</w:t>
                  </w:r>
                </w:p>
              </w:tc>
              <w:tc>
                <w:tcPr>
                  <w:tcW w:w="430" w:type="pct"/>
                  <w:tcBorders>
                    <w:tl2br w:val="nil"/>
                    <w:tr2bl w:val="nil"/>
                  </w:tcBorders>
                  <w:noWrap w:val="0"/>
                  <w:vAlign w:val="center"/>
                </w:tcPr>
                <w:p w14:paraId="6B370EE0">
                  <w:pPr>
                    <w:pStyle w:val="6"/>
                    <w:keepNext w:val="0"/>
                    <w:keepLines w:val="0"/>
                    <w:suppressLineNumbers w:val="0"/>
                    <w:bidi w:val="0"/>
                    <w:spacing w:before="0" w:beforeAutospacing="0" w:after="0" w:afterAutospacing="0"/>
                    <w:ind w:left="0" w:leftChars="0" w:right="0" w:rightChars="0" w:firstLine="0" w:firstLineChars="0"/>
                    <w:rPr>
                      <w:rFonts w:hint="eastAsia"/>
                      <w:color w:val="auto"/>
                      <w:highlight w:val="none"/>
                      <w:lang w:val="en-US" w:eastAsia="zh-CN"/>
                    </w:rPr>
                  </w:pPr>
                  <w:r>
                    <w:rPr>
                      <w:rFonts w:hint="eastAsia"/>
                      <w:color w:val="auto"/>
                      <w:highlight w:val="none"/>
                      <w:lang w:val="en-US" w:eastAsia="zh-CN"/>
                    </w:rPr>
                    <w:t>3</w:t>
                  </w:r>
                </w:p>
              </w:tc>
              <w:tc>
                <w:tcPr>
                  <w:tcW w:w="430" w:type="pct"/>
                  <w:tcBorders>
                    <w:tl2br w:val="nil"/>
                    <w:tr2bl w:val="nil"/>
                  </w:tcBorders>
                  <w:noWrap w:val="0"/>
                  <w:vAlign w:val="center"/>
                </w:tcPr>
                <w:p w14:paraId="502C57B5">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1</w:t>
                  </w:r>
                </w:p>
              </w:tc>
            </w:tr>
            <w:tr w14:paraId="128C9582">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90" w:hRule="atLeast"/>
                <w:jc w:val="center"/>
              </w:trPr>
              <w:tc>
                <w:tcPr>
                  <w:tcW w:w="540" w:type="pct"/>
                  <w:vMerge w:val="continue"/>
                  <w:tcBorders>
                    <w:tl2br w:val="nil"/>
                    <w:tr2bl w:val="nil"/>
                  </w:tcBorders>
                  <w:noWrap w:val="0"/>
                  <w:vAlign w:val="center"/>
                </w:tcPr>
                <w:p w14:paraId="564B84AA">
                  <w:pPr>
                    <w:pStyle w:val="6"/>
                    <w:keepNext w:val="0"/>
                    <w:keepLines w:val="0"/>
                    <w:suppressLineNumbers w:val="0"/>
                    <w:bidi w:val="0"/>
                    <w:spacing w:before="0" w:beforeAutospacing="0" w:after="0" w:afterAutospacing="0"/>
                    <w:ind w:right="0"/>
                    <w:rPr>
                      <w:rFonts w:hint="eastAsia"/>
                      <w:color w:val="auto"/>
                      <w:highlight w:val="none"/>
                      <w:lang w:val="en-US" w:eastAsia="zh-CN"/>
                    </w:rPr>
                  </w:pPr>
                </w:p>
              </w:tc>
              <w:tc>
                <w:tcPr>
                  <w:tcW w:w="644" w:type="pct"/>
                  <w:tcBorders>
                    <w:tl2br w:val="nil"/>
                    <w:tr2bl w:val="nil"/>
                  </w:tcBorders>
                  <w:noWrap w:val="0"/>
                  <w:vAlign w:val="center"/>
                </w:tcPr>
                <w:p w14:paraId="22703483">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排放量（t/a）</w:t>
                  </w:r>
                </w:p>
              </w:tc>
              <w:tc>
                <w:tcPr>
                  <w:tcW w:w="319" w:type="pct"/>
                  <w:tcBorders>
                    <w:tl2br w:val="nil"/>
                    <w:tr2bl w:val="nil"/>
                  </w:tcBorders>
                  <w:noWrap w:val="0"/>
                  <w:vAlign w:val="center"/>
                </w:tcPr>
                <w:p w14:paraId="4A530DA2">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w:t>
                  </w:r>
                </w:p>
              </w:tc>
              <w:tc>
                <w:tcPr>
                  <w:tcW w:w="497" w:type="pct"/>
                  <w:tcBorders>
                    <w:tl2br w:val="nil"/>
                    <w:tr2bl w:val="nil"/>
                  </w:tcBorders>
                  <w:noWrap w:val="0"/>
                  <w:vAlign w:val="center"/>
                </w:tcPr>
                <w:p w14:paraId="40855B5A">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0.115</w:t>
                  </w:r>
                </w:p>
              </w:tc>
              <w:tc>
                <w:tcPr>
                  <w:tcW w:w="437" w:type="pct"/>
                  <w:tcBorders>
                    <w:tl2br w:val="nil"/>
                    <w:tr2bl w:val="nil"/>
                  </w:tcBorders>
                  <w:noWrap w:val="0"/>
                  <w:vAlign w:val="center"/>
                </w:tcPr>
                <w:p w14:paraId="787CBCAF">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0.046</w:t>
                  </w:r>
                </w:p>
              </w:tc>
              <w:tc>
                <w:tcPr>
                  <w:tcW w:w="407" w:type="pct"/>
                  <w:tcBorders>
                    <w:tl2br w:val="nil"/>
                    <w:tr2bl w:val="nil"/>
                  </w:tcBorders>
                  <w:noWrap w:val="0"/>
                  <w:vAlign w:val="center"/>
                </w:tcPr>
                <w:p w14:paraId="193B6343">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0.060</w:t>
                  </w:r>
                </w:p>
              </w:tc>
              <w:tc>
                <w:tcPr>
                  <w:tcW w:w="485" w:type="pct"/>
                  <w:tcBorders>
                    <w:tl2br w:val="nil"/>
                    <w:tr2bl w:val="nil"/>
                  </w:tcBorders>
                  <w:noWrap w:val="0"/>
                  <w:vAlign w:val="center"/>
                </w:tcPr>
                <w:p w14:paraId="38C1463A">
                  <w:pPr>
                    <w:pStyle w:val="6"/>
                    <w:keepNext w:val="0"/>
                    <w:keepLines w:val="0"/>
                    <w:suppressLineNumbers w:val="0"/>
                    <w:bidi w:val="0"/>
                    <w:spacing w:before="0" w:beforeAutospacing="0" w:after="0" w:afterAutospacing="0"/>
                    <w:ind w:left="0" w:leftChars="0" w:right="0" w:rightChars="0" w:firstLine="0" w:firstLineChars="0"/>
                    <w:rPr>
                      <w:rFonts w:hint="default"/>
                      <w:color w:val="auto"/>
                      <w:highlight w:val="none"/>
                      <w:lang w:val="en-US" w:eastAsia="zh-CN"/>
                    </w:rPr>
                  </w:pPr>
                  <w:r>
                    <w:rPr>
                      <w:rFonts w:hint="eastAsia"/>
                      <w:color w:val="auto"/>
                      <w:highlight w:val="none"/>
                      <w:lang w:val="en-US" w:eastAsia="zh-CN"/>
                    </w:rPr>
                    <w:t>0.014</w:t>
                  </w:r>
                </w:p>
              </w:tc>
              <w:tc>
                <w:tcPr>
                  <w:tcW w:w="407" w:type="pct"/>
                  <w:tcBorders>
                    <w:tl2br w:val="nil"/>
                    <w:tr2bl w:val="nil"/>
                  </w:tcBorders>
                  <w:noWrap w:val="0"/>
                  <w:vAlign w:val="center"/>
                </w:tcPr>
                <w:p w14:paraId="2B721B52">
                  <w:pPr>
                    <w:pStyle w:val="6"/>
                    <w:keepNext w:val="0"/>
                    <w:keepLines w:val="0"/>
                    <w:suppressLineNumbers w:val="0"/>
                    <w:bidi w:val="0"/>
                    <w:spacing w:before="0" w:beforeAutospacing="0" w:after="0" w:afterAutospacing="0"/>
                    <w:ind w:left="0" w:leftChars="0" w:right="0" w:rightChars="0" w:firstLine="0" w:firstLineChars="0"/>
                    <w:rPr>
                      <w:rFonts w:hint="default"/>
                      <w:color w:val="auto"/>
                      <w:highlight w:val="none"/>
                      <w:lang w:val="en-US" w:eastAsia="zh-CN"/>
                    </w:rPr>
                  </w:pPr>
                  <w:r>
                    <w:rPr>
                      <w:rFonts w:hint="eastAsia"/>
                      <w:color w:val="auto"/>
                      <w:highlight w:val="none"/>
                      <w:lang w:val="en-US" w:eastAsia="zh-CN"/>
                    </w:rPr>
                    <w:t>0.003</w:t>
                  </w:r>
                </w:p>
              </w:tc>
              <w:tc>
                <w:tcPr>
                  <w:tcW w:w="400" w:type="pct"/>
                  <w:tcBorders>
                    <w:tl2br w:val="nil"/>
                    <w:tr2bl w:val="nil"/>
                  </w:tcBorders>
                  <w:noWrap w:val="0"/>
                  <w:vAlign w:val="center"/>
                </w:tcPr>
                <w:p w14:paraId="739E48BB">
                  <w:pPr>
                    <w:pStyle w:val="6"/>
                    <w:keepNext w:val="0"/>
                    <w:keepLines w:val="0"/>
                    <w:suppressLineNumbers w:val="0"/>
                    <w:bidi w:val="0"/>
                    <w:spacing w:before="0" w:beforeAutospacing="0" w:after="0" w:afterAutospacing="0"/>
                    <w:ind w:left="0" w:leftChars="0" w:right="0" w:rightChars="0" w:firstLine="0" w:firstLineChars="0"/>
                    <w:rPr>
                      <w:rFonts w:hint="default"/>
                      <w:color w:val="auto"/>
                      <w:highlight w:val="none"/>
                      <w:lang w:val="en-US" w:eastAsia="zh-CN"/>
                    </w:rPr>
                  </w:pPr>
                  <w:r>
                    <w:rPr>
                      <w:rFonts w:hint="eastAsia"/>
                      <w:color w:val="auto"/>
                      <w:highlight w:val="none"/>
                      <w:lang w:val="en-US" w:eastAsia="zh-CN"/>
                    </w:rPr>
                    <w:t>0.017</w:t>
                  </w:r>
                </w:p>
              </w:tc>
              <w:tc>
                <w:tcPr>
                  <w:tcW w:w="430" w:type="pct"/>
                  <w:tcBorders>
                    <w:tl2br w:val="nil"/>
                    <w:tr2bl w:val="nil"/>
                  </w:tcBorders>
                  <w:noWrap w:val="0"/>
                  <w:vAlign w:val="center"/>
                </w:tcPr>
                <w:p w14:paraId="7F60F7AF">
                  <w:pPr>
                    <w:pStyle w:val="6"/>
                    <w:keepNext w:val="0"/>
                    <w:keepLines w:val="0"/>
                    <w:suppressLineNumbers w:val="0"/>
                    <w:bidi w:val="0"/>
                    <w:spacing w:before="0" w:beforeAutospacing="0" w:after="0" w:afterAutospacing="0"/>
                    <w:ind w:left="0" w:leftChars="0" w:right="0" w:rightChars="0" w:firstLine="0" w:firstLineChars="0"/>
                    <w:rPr>
                      <w:rFonts w:hint="eastAsia"/>
                      <w:color w:val="auto"/>
                      <w:highlight w:val="none"/>
                      <w:lang w:val="en-US" w:eastAsia="zh-CN"/>
                    </w:rPr>
                  </w:pPr>
                  <w:r>
                    <w:rPr>
                      <w:rFonts w:hint="eastAsia"/>
                      <w:color w:val="auto"/>
                      <w:highlight w:val="none"/>
                      <w:lang w:val="en-US" w:eastAsia="zh-CN"/>
                    </w:rPr>
                    <w:t>0.002</w:t>
                  </w:r>
                </w:p>
              </w:tc>
              <w:tc>
                <w:tcPr>
                  <w:tcW w:w="430" w:type="pct"/>
                  <w:tcBorders>
                    <w:tl2br w:val="nil"/>
                    <w:tr2bl w:val="nil"/>
                  </w:tcBorders>
                  <w:noWrap w:val="0"/>
                  <w:vAlign w:val="center"/>
                </w:tcPr>
                <w:p w14:paraId="6E609B84">
                  <w:pPr>
                    <w:pStyle w:val="6"/>
                    <w:keepNext w:val="0"/>
                    <w:keepLines w:val="0"/>
                    <w:suppressLineNumbers w:val="0"/>
                    <w:bidi w:val="0"/>
                    <w:spacing w:before="0" w:beforeAutospacing="0" w:after="0" w:afterAutospacing="0"/>
                    <w:ind w:left="0" w:leftChars="0" w:right="0" w:rightChars="0" w:firstLine="0" w:firstLineChars="0"/>
                    <w:rPr>
                      <w:rFonts w:hint="default"/>
                      <w:color w:val="auto"/>
                      <w:highlight w:val="none"/>
                      <w:lang w:val="en-US" w:eastAsia="zh-CN"/>
                    </w:rPr>
                  </w:pPr>
                  <w:r>
                    <w:rPr>
                      <w:rFonts w:hint="eastAsia"/>
                      <w:color w:val="auto"/>
                      <w:highlight w:val="none"/>
                      <w:lang w:val="en-US" w:eastAsia="zh-CN"/>
                    </w:rPr>
                    <w:t>0.001</w:t>
                  </w:r>
                </w:p>
              </w:tc>
            </w:tr>
            <w:tr w14:paraId="583A73A4">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0" w:hRule="atLeast"/>
                <w:jc w:val="center"/>
              </w:trPr>
              <w:tc>
                <w:tcPr>
                  <w:tcW w:w="1184" w:type="pct"/>
                  <w:gridSpan w:val="2"/>
                  <w:tcBorders>
                    <w:tl2br w:val="nil"/>
                    <w:tr2bl w:val="nil"/>
                  </w:tcBorders>
                  <w:noWrap w:val="0"/>
                  <w:vAlign w:val="center"/>
                </w:tcPr>
                <w:p w14:paraId="528153E2">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排放限值</w:t>
                  </w:r>
                  <w:r>
                    <w:rPr>
                      <w:rFonts w:hint="default"/>
                      <w:color w:val="auto"/>
                      <w:highlight w:val="none"/>
                      <w:lang w:val="en-US" w:eastAsia="zh-CN"/>
                    </w:rPr>
                    <w:t>（mg/L）</w:t>
                  </w:r>
                </w:p>
              </w:tc>
              <w:tc>
                <w:tcPr>
                  <w:tcW w:w="319" w:type="pct"/>
                  <w:tcBorders>
                    <w:tl2br w:val="nil"/>
                    <w:tr2bl w:val="nil"/>
                  </w:tcBorders>
                  <w:noWrap w:val="0"/>
                  <w:vAlign w:val="center"/>
                </w:tcPr>
                <w:p w14:paraId="680EA026">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6~9</w:t>
                  </w:r>
                </w:p>
              </w:tc>
              <w:tc>
                <w:tcPr>
                  <w:tcW w:w="497" w:type="pct"/>
                  <w:tcBorders>
                    <w:tl2br w:val="nil"/>
                    <w:tr2bl w:val="nil"/>
                  </w:tcBorders>
                  <w:noWrap w:val="0"/>
                  <w:vAlign w:val="center"/>
                </w:tcPr>
                <w:p w14:paraId="02DFBDC7">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500</w:t>
                  </w:r>
                </w:p>
              </w:tc>
              <w:tc>
                <w:tcPr>
                  <w:tcW w:w="437" w:type="pct"/>
                  <w:tcBorders>
                    <w:tl2br w:val="nil"/>
                    <w:tr2bl w:val="nil"/>
                  </w:tcBorders>
                  <w:noWrap w:val="0"/>
                  <w:vAlign w:val="center"/>
                </w:tcPr>
                <w:p w14:paraId="77A7AF82">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300</w:t>
                  </w:r>
                </w:p>
              </w:tc>
              <w:tc>
                <w:tcPr>
                  <w:tcW w:w="407" w:type="pct"/>
                  <w:tcBorders>
                    <w:tl2br w:val="nil"/>
                    <w:tr2bl w:val="nil"/>
                  </w:tcBorders>
                  <w:noWrap w:val="0"/>
                  <w:vAlign w:val="center"/>
                </w:tcPr>
                <w:p w14:paraId="0C9EF1FC">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3</w:t>
                  </w:r>
                  <w:r>
                    <w:rPr>
                      <w:rFonts w:hint="default"/>
                      <w:color w:val="auto"/>
                      <w:highlight w:val="none"/>
                      <w:lang w:val="en-US" w:eastAsia="zh-CN"/>
                    </w:rPr>
                    <w:t>00</w:t>
                  </w:r>
                </w:p>
              </w:tc>
              <w:tc>
                <w:tcPr>
                  <w:tcW w:w="485" w:type="pct"/>
                  <w:tcBorders>
                    <w:tl2br w:val="nil"/>
                    <w:tr2bl w:val="nil"/>
                  </w:tcBorders>
                  <w:noWrap w:val="0"/>
                  <w:vAlign w:val="center"/>
                </w:tcPr>
                <w:p w14:paraId="752B30E6">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45</w:t>
                  </w:r>
                </w:p>
              </w:tc>
              <w:tc>
                <w:tcPr>
                  <w:tcW w:w="407" w:type="pct"/>
                  <w:tcBorders>
                    <w:tl2br w:val="nil"/>
                    <w:tr2bl w:val="nil"/>
                  </w:tcBorders>
                  <w:noWrap w:val="0"/>
                  <w:vAlign w:val="center"/>
                </w:tcPr>
                <w:p w14:paraId="67ED6A5F">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8</w:t>
                  </w:r>
                </w:p>
              </w:tc>
              <w:tc>
                <w:tcPr>
                  <w:tcW w:w="400" w:type="pct"/>
                  <w:tcBorders>
                    <w:tl2br w:val="nil"/>
                    <w:tr2bl w:val="nil"/>
                  </w:tcBorders>
                  <w:noWrap w:val="0"/>
                  <w:vAlign w:val="center"/>
                </w:tcPr>
                <w:p w14:paraId="4C48131C">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70</w:t>
                  </w:r>
                </w:p>
              </w:tc>
              <w:tc>
                <w:tcPr>
                  <w:tcW w:w="430" w:type="pct"/>
                  <w:tcBorders>
                    <w:tl2br w:val="nil"/>
                    <w:tr2bl w:val="nil"/>
                  </w:tcBorders>
                  <w:noWrap w:val="0"/>
                  <w:vAlign w:val="center"/>
                </w:tcPr>
                <w:p w14:paraId="4A1868CC">
                  <w:pPr>
                    <w:pStyle w:val="6"/>
                    <w:keepNext w:val="0"/>
                    <w:keepLines w:val="0"/>
                    <w:suppressLineNumbers w:val="0"/>
                    <w:bidi w:val="0"/>
                    <w:spacing w:before="0" w:beforeAutospacing="0" w:after="0" w:afterAutospacing="0"/>
                    <w:ind w:left="0" w:leftChars="0" w:right="0" w:rightChars="0" w:firstLine="0" w:firstLineChars="0"/>
                    <w:rPr>
                      <w:rFonts w:hint="eastAsia"/>
                      <w:color w:val="auto"/>
                      <w:highlight w:val="none"/>
                      <w:lang w:val="en-US" w:eastAsia="zh-CN"/>
                    </w:rPr>
                  </w:pPr>
                  <w:r>
                    <w:rPr>
                      <w:rFonts w:hint="eastAsia"/>
                      <w:color w:val="auto"/>
                      <w:highlight w:val="none"/>
                      <w:lang w:val="en-US" w:eastAsia="zh-CN"/>
                    </w:rPr>
                    <w:t>100</w:t>
                  </w:r>
                </w:p>
              </w:tc>
              <w:tc>
                <w:tcPr>
                  <w:tcW w:w="430" w:type="pct"/>
                  <w:tcBorders>
                    <w:tl2br w:val="nil"/>
                    <w:tr2bl w:val="nil"/>
                  </w:tcBorders>
                  <w:noWrap w:val="0"/>
                  <w:vAlign w:val="center"/>
                </w:tcPr>
                <w:p w14:paraId="201937DB">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30</w:t>
                  </w:r>
                </w:p>
              </w:tc>
            </w:tr>
          </w:tbl>
          <w:p w14:paraId="1C3AB2CC">
            <w:pPr>
              <w:keepNext w:val="0"/>
              <w:keepLines w:val="0"/>
              <w:suppressLineNumbers w:val="0"/>
              <w:bidi w:val="0"/>
              <w:spacing w:before="0" w:beforeAutospacing="0" w:after="0" w:afterAutospacing="0" w:line="360" w:lineRule="auto"/>
              <w:ind w:left="0" w:right="0" w:firstLine="480" w:firstLineChars="200"/>
              <w:rPr>
                <w:rFonts w:hint="default"/>
                <w:color w:val="auto"/>
                <w:sz w:val="24"/>
                <w:highlight w:val="none"/>
                <w:lang w:val="en-US" w:eastAsia="zh-CN"/>
              </w:rPr>
            </w:pPr>
            <w:r>
              <w:rPr>
                <w:rFonts w:hint="eastAsia"/>
                <w:color w:val="auto"/>
                <w:sz w:val="24"/>
                <w:highlight w:val="none"/>
                <w:lang w:val="en-US" w:eastAsia="zh-CN"/>
              </w:rPr>
              <w:t>2</w:t>
            </w:r>
            <w:r>
              <w:rPr>
                <w:rFonts w:hint="eastAsia" w:ascii="Times New Roman" w:eastAsia="宋体"/>
                <w:color w:val="auto"/>
                <w:sz w:val="24"/>
                <w:highlight w:val="none"/>
                <w:lang w:val="en-US" w:eastAsia="zh-CN"/>
              </w:rPr>
              <w:t>）</w:t>
            </w:r>
            <w:r>
              <w:rPr>
                <w:rFonts w:hint="eastAsia"/>
                <w:color w:val="auto"/>
                <w:sz w:val="24"/>
                <w:highlight w:val="none"/>
                <w:lang w:val="en-US" w:eastAsia="zh-CN"/>
              </w:rPr>
              <w:t>冷却水定排水</w:t>
            </w:r>
          </w:p>
          <w:p w14:paraId="7433A645">
            <w:pPr>
              <w:keepNext w:val="0"/>
              <w:keepLines w:val="0"/>
              <w:suppressLineNumbers w:val="0"/>
              <w:bidi w:val="0"/>
              <w:spacing w:before="0" w:beforeAutospacing="0" w:after="0" w:afterAutospacing="0" w:line="360" w:lineRule="auto"/>
              <w:ind w:left="0" w:right="0" w:firstLine="480" w:firstLineChars="200"/>
              <w:rPr>
                <w:rFonts w:hint="eastAsia"/>
                <w:color w:val="auto"/>
                <w:sz w:val="24"/>
                <w:highlight w:val="none"/>
                <w:lang w:val="en-US" w:eastAsia="zh-CN"/>
              </w:rPr>
            </w:pPr>
            <w:r>
              <w:rPr>
                <w:rFonts w:hint="eastAsia"/>
                <w:color w:val="auto"/>
                <w:sz w:val="24"/>
                <w:highlight w:val="none"/>
                <w:lang w:val="en-US" w:eastAsia="zh-CN"/>
              </w:rPr>
              <w:t>项目挤出机内配置设置1套循环冷却水系统，为间接冷却方式，自来水经管道连通挤出机，再经挤出机的管道流至模具内部进行冷却，使模具腔内的产品冷却成型，再从排水管排入冷却塔。</w:t>
            </w:r>
          </w:p>
          <w:p w14:paraId="68920A49">
            <w:pPr>
              <w:keepNext w:val="0"/>
              <w:keepLines w:val="0"/>
              <w:suppressLineNumbers w:val="0"/>
              <w:bidi w:val="0"/>
              <w:spacing w:before="0" w:beforeAutospacing="0" w:after="0" w:afterAutospacing="0" w:line="360" w:lineRule="auto"/>
              <w:ind w:left="0" w:right="0" w:firstLine="480" w:firstLineChars="200"/>
              <w:rPr>
                <w:rFonts w:hint="default" w:ascii="Times New Roman" w:eastAsia="宋体"/>
                <w:color w:val="auto"/>
                <w:sz w:val="24"/>
                <w:highlight w:val="none"/>
                <w:lang w:val="en-US" w:eastAsia="zh-CN"/>
              </w:rPr>
            </w:pPr>
            <w:r>
              <w:rPr>
                <w:rFonts w:hint="eastAsia" w:ascii="Times New Roman" w:eastAsia="宋体"/>
                <w:color w:val="auto"/>
                <w:sz w:val="24"/>
                <w:highlight w:val="none"/>
                <w:lang w:val="en-US" w:eastAsia="zh-CN"/>
              </w:rPr>
              <w:t>本项目共设置60台挤出机，单台产</w:t>
            </w:r>
            <w:r>
              <w:rPr>
                <w:rFonts w:hint="default" w:ascii="Times New Roman" w:hAnsi="Times New Roman" w:eastAsia="宋体" w:cs="Times New Roman"/>
                <w:color w:val="auto"/>
                <w:sz w:val="24"/>
                <w:highlight w:val="none"/>
                <w:lang w:val="en-US" w:eastAsia="zh-CN"/>
              </w:rPr>
              <w:t>量</w:t>
            </w:r>
            <w:r>
              <w:rPr>
                <w:rFonts w:hint="eastAsia" w:ascii="Times New Roman" w:hAnsi="Times New Roman" w:cs="Times New Roman"/>
                <w:color w:val="auto"/>
                <w:sz w:val="24"/>
                <w:highlight w:val="none"/>
                <w:lang w:val="en-US" w:eastAsia="zh-CN"/>
              </w:rPr>
              <w:t>2</w:t>
            </w:r>
            <w:r>
              <w:rPr>
                <w:rFonts w:hint="default" w:ascii="Times New Roman" w:hAnsi="Times New Roman" w:eastAsia="宋体" w:cs="Times New Roman"/>
                <w:color w:val="auto"/>
                <w:sz w:val="24"/>
                <w:highlight w:val="none"/>
                <w:lang w:val="en-US" w:eastAsia="zh-CN"/>
              </w:rPr>
              <w:t>0kg/h，物料总加工量</w:t>
            </w:r>
            <w:r>
              <w:rPr>
                <w:rFonts w:hint="eastAsia" w:ascii="Times New Roman" w:hAnsi="Times New Roman" w:cs="Times New Roman"/>
                <w:color w:val="auto"/>
                <w:sz w:val="24"/>
                <w:highlight w:val="none"/>
                <w:lang w:val="en-US" w:eastAsia="zh-CN"/>
              </w:rPr>
              <w:t>12</w:t>
            </w:r>
            <w:r>
              <w:rPr>
                <w:rFonts w:hint="default" w:ascii="Times New Roman" w:hAnsi="Times New Roman" w:cs="Times New Roman"/>
                <w:color w:val="auto"/>
                <w:sz w:val="24"/>
                <w:highlight w:val="none"/>
                <w:lang w:val="en-US" w:eastAsia="zh-CN"/>
              </w:rPr>
              <w:t>00</w:t>
            </w:r>
            <w:r>
              <w:rPr>
                <w:rFonts w:hint="default" w:ascii="Times New Roman" w:hAnsi="Times New Roman" w:eastAsia="宋体" w:cs="Times New Roman"/>
                <w:color w:val="auto"/>
                <w:sz w:val="24"/>
                <w:highlight w:val="none"/>
                <w:lang w:val="en-US" w:eastAsia="zh-CN"/>
              </w:rPr>
              <w:t>kg/h。PA66熔融物料温度约</w:t>
            </w:r>
            <w:r>
              <w:rPr>
                <w:rFonts w:hint="default" w:ascii="Times New Roman" w:hAnsi="Times New Roman" w:cs="Times New Roman"/>
                <w:color w:val="auto"/>
                <w:sz w:val="24"/>
                <w:highlight w:val="none"/>
                <w:lang w:val="en-US" w:eastAsia="zh-CN"/>
              </w:rPr>
              <w:t>2</w:t>
            </w:r>
            <w:r>
              <w:rPr>
                <w:rFonts w:hint="eastAsia" w:ascii="Times New Roman" w:hAnsi="Times New Roman" w:cs="Times New Roman"/>
                <w:color w:val="auto"/>
                <w:sz w:val="24"/>
                <w:highlight w:val="none"/>
                <w:lang w:val="en-US" w:eastAsia="zh-CN"/>
              </w:rPr>
              <w:t>4</w:t>
            </w:r>
            <w:r>
              <w:rPr>
                <w:rFonts w:hint="default" w:ascii="Times New Roman" w:hAnsi="Times New Roman" w:eastAsia="宋体" w:cs="Times New Roman"/>
                <w:color w:val="auto"/>
                <w:sz w:val="24"/>
                <w:highlight w:val="none"/>
                <w:lang w:val="en-US" w:eastAsia="zh-CN"/>
              </w:rPr>
              <w:t>0℃，经间接冷却至60℃，物料比热容取1.7kJ/</w:t>
            </w:r>
            <w:r>
              <w:rPr>
                <w:rFonts w:hint="eastAsia"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kg・℃</w:t>
            </w:r>
            <w:r>
              <w:rPr>
                <w:rFonts w:hint="eastAsia"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w:t>
            </w:r>
            <w:r>
              <w:rPr>
                <w:rFonts w:hint="eastAsia" w:ascii="Times New Roman" w:eastAsia="宋体"/>
                <w:color w:val="auto"/>
                <w:sz w:val="24"/>
                <w:highlight w:val="none"/>
                <w:lang w:val="en-US" w:eastAsia="zh-CN"/>
              </w:rPr>
              <w:t>工艺冷却水设计</w:t>
            </w:r>
            <w:r>
              <w:rPr>
                <w:rFonts w:hint="default" w:ascii="Times New Roman" w:hAnsi="Times New Roman" w:eastAsia="宋体" w:cs="Times New Roman"/>
                <w:color w:val="auto"/>
                <w:sz w:val="24"/>
                <w:highlight w:val="none"/>
                <w:lang w:val="en-US" w:eastAsia="zh-CN"/>
              </w:rPr>
              <w:t>进水温度2</w:t>
            </w:r>
            <w:r>
              <w:rPr>
                <w:rFonts w:hint="eastAsia" w:ascii="Times New Roman" w:hAnsi="Times New Roman" w:cs="Times New Roman"/>
                <w:color w:val="auto"/>
                <w:sz w:val="24"/>
                <w:highlight w:val="none"/>
                <w:lang w:val="en-US" w:eastAsia="zh-CN"/>
              </w:rPr>
              <w:t>5</w:t>
            </w:r>
            <w:r>
              <w:rPr>
                <w:rFonts w:hint="default" w:ascii="Times New Roman" w:hAnsi="Times New Roman" w:eastAsia="宋体" w:cs="Times New Roman"/>
                <w:color w:val="auto"/>
                <w:sz w:val="24"/>
                <w:highlight w:val="none"/>
                <w:lang w:val="en-US" w:eastAsia="zh-CN"/>
              </w:rPr>
              <w:t>℃、出水温度3</w:t>
            </w:r>
            <w:r>
              <w:rPr>
                <w:rFonts w:hint="eastAsia" w:ascii="Times New Roman" w:hAnsi="Times New Roman" w:cs="Times New Roman"/>
                <w:color w:val="auto"/>
                <w:sz w:val="24"/>
                <w:highlight w:val="none"/>
                <w:lang w:val="en-US" w:eastAsia="zh-CN"/>
              </w:rPr>
              <w:t>0</w:t>
            </w:r>
            <w:r>
              <w:rPr>
                <w:rFonts w:hint="default" w:ascii="Times New Roman" w:hAnsi="Times New Roman" w:eastAsia="宋体" w:cs="Times New Roman"/>
                <w:color w:val="auto"/>
                <w:sz w:val="24"/>
                <w:highlight w:val="none"/>
                <w:lang w:val="en-US" w:eastAsia="zh-CN"/>
              </w:rPr>
              <w:t>℃，冷却温差</w:t>
            </w:r>
            <w:r>
              <w:rPr>
                <w:rFonts w:hint="eastAsia" w:ascii="Times New Roman" w:hAnsi="Times New Roman" w:cs="Times New Roman"/>
                <w:color w:val="auto"/>
                <w:sz w:val="24"/>
                <w:highlight w:val="none"/>
                <w:lang w:val="en-US" w:eastAsia="zh-CN"/>
              </w:rPr>
              <w:t>5</w:t>
            </w:r>
            <w:r>
              <w:rPr>
                <w:rFonts w:hint="default" w:ascii="Times New Roman" w:hAnsi="Times New Roman" w:eastAsia="宋体" w:cs="Times New Roman"/>
                <w:color w:val="auto"/>
                <w:sz w:val="24"/>
                <w:highlight w:val="none"/>
                <w:lang w:val="en-US" w:eastAsia="zh-CN"/>
              </w:rPr>
              <w:t>℃；水密度1000kg/m</w:t>
            </w:r>
            <w:r>
              <w:rPr>
                <w:rFonts w:hint="eastAsia" w:ascii="Times New Roman" w:hAnsi="Times New Roman" w:cs="Times New Roman"/>
                <w:color w:val="auto"/>
                <w:sz w:val="24"/>
                <w:highlight w:val="none"/>
                <w:vertAlign w:val="superscript"/>
                <w:lang w:val="en-US" w:eastAsia="zh-CN"/>
              </w:rPr>
              <w:t>3</w:t>
            </w:r>
            <w:r>
              <w:rPr>
                <w:rFonts w:hint="default" w:ascii="Times New Roman" w:hAnsi="Times New Roman" w:eastAsia="宋体" w:cs="Times New Roman"/>
                <w:color w:val="auto"/>
                <w:sz w:val="24"/>
                <w:highlight w:val="none"/>
                <w:lang w:val="en-US" w:eastAsia="zh-CN"/>
              </w:rPr>
              <w:t>，水比热容4.186kJ/(kg・℃)。</w:t>
            </w:r>
            <w:r>
              <w:rPr>
                <w:rFonts w:hint="eastAsia"/>
                <w:color w:val="auto"/>
                <w:sz w:val="24"/>
                <w:highlight w:val="none"/>
                <w:lang w:val="en-US" w:eastAsia="zh-CN"/>
              </w:rPr>
              <w:t>根据以下循环冷却水流量计算公示，计算出本项目循环水量。</w:t>
            </w:r>
          </w:p>
          <w:p w14:paraId="21133D7C">
            <w:pPr>
              <w:keepNext w:val="0"/>
              <w:keepLines w:val="0"/>
              <w:suppressLineNumbers w:val="0"/>
              <w:bidi w:val="0"/>
              <w:spacing w:before="0" w:beforeAutospacing="0" w:after="0" w:afterAutospacing="0" w:line="360" w:lineRule="auto"/>
              <w:ind w:left="0" w:leftChars="0" w:right="0" w:firstLine="0" w:firstLineChars="0"/>
              <w:jc w:val="center"/>
              <w:rPr>
                <w:rFonts w:hint="eastAsia" w:ascii="Times New Roman" w:eastAsia="宋体"/>
                <w:color w:val="auto"/>
                <w:sz w:val="24"/>
                <w:highlight w:val="none"/>
                <w:lang w:val="en-US" w:eastAsia="zh-CN"/>
              </w:rPr>
            </w:pPr>
            <w:r>
              <w:rPr>
                <w:rFonts w:hint="eastAsia" w:ascii="Times New Roman" w:eastAsia="宋体"/>
                <w:color w:val="auto"/>
                <w:position w:val="-12"/>
                <w:sz w:val="24"/>
                <w:highlight w:val="none"/>
                <w:lang w:val="en-US" w:eastAsia="zh-CN"/>
              </w:rPr>
              <w:object>
                <v:shape id="_x0000_i1031" o:spt="75" type="#_x0000_t75" style="height:18pt;width:85.95pt;" o:ole="t" filled="f" o:preferrelative="t" stroked="f" coordsize="21600,21600">
                  <v:path/>
                  <v:fill on="f" focussize="0,0"/>
                  <v:stroke on="f"/>
                  <v:imagedata r:id="rId27" o:title=""/>
                  <o:lock v:ext="edit" aspectratio="t"/>
                  <w10:wrap type="none"/>
                  <w10:anchorlock/>
                </v:shape>
                <o:OLEObject Type="Embed" ProgID="Equation.KSEE3" ShapeID="_x0000_i1031" DrawAspect="Content" ObjectID="_1468075731" r:id="rId26">
                  <o:LockedField>false</o:LockedField>
                </o:OLEObject>
              </w:object>
            </w:r>
          </w:p>
          <w:p w14:paraId="0A941318">
            <w:pPr>
              <w:keepNext w:val="0"/>
              <w:keepLines w:val="0"/>
              <w:suppressLineNumbers w:val="0"/>
              <w:bidi w:val="0"/>
              <w:spacing w:before="0" w:beforeAutospacing="0" w:after="0" w:afterAutospacing="0" w:line="360" w:lineRule="auto"/>
              <w:ind w:left="0" w:right="0"/>
              <w:rPr>
                <w:rFonts w:hint="default"/>
                <w:color w:val="auto"/>
                <w:sz w:val="24"/>
                <w:highlight w:val="none"/>
                <w:lang w:val="en-US" w:eastAsia="zh-CN"/>
              </w:rPr>
            </w:pPr>
            <w:r>
              <w:rPr>
                <w:rFonts w:hint="eastAsia"/>
                <w:color w:val="auto"/>
                <w:sz w:val="24"/>
                <w:highlight w:val="none"/>
                <w:lang w:val="en-US" w:eastAsia="zh-CN"/>
              </w:rPr>
              <w:t>P：</w:t>
            </w:r>
            <w:r>
              <w:rPr>
                <w:rFonts w:hint="eastAsia" w:ascii="Times New Roman" w:eastAsia="宋体"/>
                <w:color w:val="auto"/>
                <w:sz w:val="24"/>
                <w:highlight w:val="none"/>
                <w:lang w:val="en-US" w:eastAsia="zh-CN"/>
              </w:rPr>
              <w:t>物料冷却释放热负荷</w:t>
            </w:r>
            <w:r>
              <w:rPr>
                <w:rFonts w:hint="eastAsia"/>
                <w:color w:val="auto"/>
                <w:sz w:val="24"/>
                <w:highlight w:val="none"/>
                <w:lang w:val="en-US" w:eastAsia="zh-CN"/>
              </w:rPr>
              <w:t>，KJ/h；</w:t>
            </w:r>
          </w:p>
          <w:p w14:paraId="2E03BB02">
            <w:pPr>
              <w:keepNext w:val="0"/>
              <w:keepLines w:val="0"/>
              <w:suppressLineNumbers w:val="0"/>
              <w:bidi w:val="0"/>
              <w:spacing w:before="0" w:beforeAutospacing="0" w:after="0" w:afterAutospacing="0" w:line="360" w:lineRule="auto"/>
              <w:ind w:left="0" w:right="0"/>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M：挤出产量kg/h，本项目取值1200kg/h；</w:t>
            </w:r>
          </w:p>
          <w:p w14:paraId="482C87DE">
            <w:pPr>
              <w:keepNext w:val="0"/>
              <w:keepLines w:val="0"/>
              <w:suppressLineNumbers w:val="0"/>
              <w:bidi w:val="0"/>
              <w:spacing w:before="0" w:beforeAutospacing="0" w:after="0" w:afterAutospacing="0" w:line="360" w:lineRule="auto"/>
              <w:ind w:left="0" w:right="0" w:firstLine="480" w:firstLineChars="200"/>
              <w:rPr>
                <w:rFonts w:hint="default" w:ascii="Times New Roman" w:eastAsia="宋体"/>
                <w:color w:val="auto"/>
                <w:sz w:val="24"/>
                <w:highlight w:val="none"/>
                <w:lang w:val="en-US" w:eastAsia="zh-CN"/>
              </w:rPr>
            </w:pPr>
            <w:r>
              <w:rPr>
                <w:rFonts w:hint="eastAsia"/>
                <w:color w:val="auto"/>
                <w:sz w:val="24"/>
                <w:highlight w:val="none"/>
                <w:lang w:val="en-US" w:eastAsia="zh-CN"/>
              </w:rPr>
              <w:t>c</w:t>
            </w:r>
            <w:r>
              <w:rPr>
                <w:rFonts w:hint="eastAsia"/>
                <w:color w:val="auto"/>
                <w:sz w:val="24"/>
                <w:highlight w:val="none"/>
                <w:vertAlign w:val="subscript"/>
                <w:lang w:val="en-US" w:eastAsia="zh-CN"/>
              </w:rPr>
              <w:t>p</w:t>
            </w:r>
            <w:r>
              <w:rPr>
                <w:rFonts w:hint="eastAsia"/>
                <w:color w:val="auto"/>
                <w:sz w:val="24"/>
                <w:highlight w:val="none"/>
                <w:lang w:val="en-US" w:eastAsia="zh-CN"/>
              </w:rPr>
              <w:t>：PA66比热容，约1.7KJ/（kg</w:t>
            </w:r>
            <w:r>
              <w:rPr>
                <w:rFonts w:hint="default"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w:t>
            </w:r>
            <w:r>
              <w:rPr>
                <w:rFonts w:hint="eastAsia"/>
                <w:color w:val="auto"/>
                <w:sz w:val="24"/>
                <w:highlight w:val="none"/>
                <w:lang w:val="en-US" w:eastAsia="zh-CN"/>
              </w:rPr>
              <w:t>）；</w:t>
            </w:r>
          </w:p>
          <w:p w14:paraId="43EFE38C">
            <w:pPr>
              <w:keepNext w:val="0"/>
              <w:keepLines w:val="0"/>
              <w:suppressLineNumbers w:val="0"/>
              <w:bidi w:val="0"/>
              <w:spacing w:before="0" w:beforeAutospacing="0" w:after="0" w:afterAutospacing="0" w:line="360" w:lineRule="auto"/>
              <w:ind w:left="0" w:right="0" w:firstLine="480" w:firstLineChars="200"/>
              <w:rPr>
                <w:rFonts w:hint="default" w:ascii="Times New Roman" w:eastAsia="宋体"/>
                <w:color w:val="auto"/>
                <w:sz w:val="24"/>
                <w:highlight w:val="none"/>
                <w:lang w:val="en-US" w:eastAsia="zh-CN"/>
              </w:rPr>
            </w:pPr>
            <w:r>
              <w:rPr>
                <w:rFonts w:hint="default" w:ascii="Times New Roman" w:hAnsi="Times New Roman" w:eastAsia="宋体" w:cs="Times New Roman"/>
                <w:color w:val="auto"/>
                <w:sz w:val="24"/>
                <w:highlight w:val="none"/>
                <w:lang w:val="en-US" w:eastAsia="zh-CN"/>
              </w:rPr>
              <w:t>△</w:t>
            </w:r>
            <w:r>
              <w:rPr>
                <w:rFonts w:hint="eastAsia" w:ascii="Times New Roman" w:hAnsi="Times New Roman" w:cs="Times New Roman"/>
                <w:color w:val="auto"/>
                <w:sz w:val="24"/>
                <w:highlight w:val="none"/>
                <w:lang w:val="en-US" w:eastAsia="zh-CN"/>
              </w:rPr>
              <w:t>t</w:t>
            </w:r>
            <w:r>
              <w:rPr>
                <w:rFonts w:hint="eastAsia"/>
                <w:color w:val="auto"/>
                <w:sz w:val="24"/>
                <w:highlight w:val="none"/>
                <w:lang w:val="en-US" w:eastAsia="zh-CN"/>
              </w:rPr>
              <w:t>：物料温升，</w:t>
            </w:r>
            <w:r>
              <w:rPr>
                <w:rFonts w:hint="default" w:ascii="Times New Roman" w:hAnsi="Times New Roman" w:eastAsia="宋体" w:cs="Times New Roman"/>
                <w:color w:val="auto"/>
                <w:sz w:val="24"/>
                <w:highlight w:val="none"/>
                <w:lang w:val="en-US" w:eastAsia="zh-CN"/>
              </w:rPr>
              <w:t>℃</w:t>
            </w:r>
            <w:r>
              <w:rPr>
                <w:rFonts w:hint="eastAsia"/>
                <w:color w:val="auto"/>
                <w:sz w:val="24"/>
                <w:highlight w:val="none"/>
                <w:lang w:val="en-US" w:eastAsia="zh-CN"/>
              </w:rPr>
              <w:t>；本项目取值180</w:t>
            </w:r>
            <w:r>
              <w:rPr>
                <w:rFonts w:hint="default" w:ascii="Times New Roman" w:hAnsi="Times New Roman" w:eastAsia="宋体" w:cs="Times New Roman"/>
                <w:color w:val="auto"/>
                <w:sz w:val="24"/>
                <w:highlight w:val="none"/>
                <w:lang w:val="en-US" w:eastAsia="zh-CN"/>
              </w:rPr>
              <w:t>℃</w:t>
            </w:r>
            <w:r>
              <w:rPr>
                <w:rFonts w:hint="eastAsia"/>
                <w:color w:val="auto"/>
                <w:sz w:val="24"/>
                <w:highlight w:val="none"/>
                <w:lang w:val="en-US" w:eastAsia="zh-CN"/>
              </w:rPr>
              <w:t>；</w:t>
            </w:r>
          </w:p>
          <w:p w14:paraId="0AD87D10">
            <w:pPr>
              <w:keepNext w:val="0"/>
              <w:keepLines w:val="0"/>
              <w:suppressLineNumbers w:val="0"/>
              <w:bidi w:val="0"/>
              <w:spacing w:before="0" w:beforeAutospacing="0" w:after="0" w:afterAutospacing="0" w:line="360" w:lineRule="auto"/>
              <w:ind w:left="0" w:leftChars="0" w:right="0" w:firstLine="0" w:firstLineChars="0"/>
              <w:jc w:val="center"/>
              <w:rPr>
                <w:rFonts w:hint="eastAsia" w:ascii="Times New Roman" w:eastAsia="宋体"/>
                <w:color w:val="auto"/>
                <w:sz w:val="24"/>
                <w:highlight w:val="none"/>
                <w:lang w:val="en-US" w:eastAsia="zh-CN"/>
              </w:rPr>
            </w:pPr>
            <w:r>
              <w:rPr>
                <w:rFonts w:hint="eastAsia" w:ascii="Times New Roman" w:eastAsia="宋体"/>
                <w:color w:val="auto"/>
                <w:position w:val="-32"/>
                <w:sz w:val="24"/>
                <w:highlight w:val="none"/>
                <w:lang w:val="en-US" w:eastAsia="zh-CN"/>
              </w:rPr>
              <w:object>
                <v:shape id="_x0000_i1032" o:spt="75" type="#_x0000_t75" style="height:35pt;width:78pt;" o:ole="t" filled="f" o:preferrelative="t" stroked="f" coordsize="21600,21600">
                  <v:path/>
                  <v:fill on="f" focussize="0,0"/>
                  <v:stroke on="f"/>
                  <v:imagedata r:id="rId29" o:title=""/>
                  <o:lock v:ext="edit" aspectratio="t"/>
                  <w10:wrap type="none"/>
                  <w10:anchorlock/>
                </v:shape>
                <o:OLEObject Type="Embed" ProgID="Equation.KSEE3" ShapeID="_x0000_i1032" DrawAspect="Content" ObjectID="_1468075732" r:id="rId28">
                  <o:LockedField>false</o:LockedField>
                </o:OLEObject>
              </w:object>
            </w:r>
          </w:p>
          <w:p w14:paraId="1F930520">
            <w:pPr>
              <w:keepNext w:val="0"/>
              <w:keepLines w:val="0"/>
              <w:suppressLineNumbers w:val="0"/>
              <w:bidi w:val="0"/>
              <w:spacing w:before="0" w:beforeAutospacing="0" w:after="0" w:afterAutospacing="0" w:line="360" w:lineRule="auto"/>
              <w:ind w:left="0" w:right="0"/>
              <w:rPr>
                <w:rFonts w:hint="eastAsia"/>
                <w:color w:val="auto"/>
                <w:sz w:val="24"/>
                <w:highlight w:val="none"/>
                <w:lang w:val="en-US" w:eastAsia="zh-CN"/>
              </w:rPr>
            </w:pPr>
            <w:r>
              <w:rPr>
                <w:rFonts w:hint="eastAsia"/>
                <w:color w:val="auto"/>
                <w:sz w:val="24"/>
                <w:highlight w:val="none"/>
                <w:lang w:val="en-US" w:eastAsia="zh-CN"/>
              </w:rPr>
              <w:t>Q</w:t>
            </w:r>
            <w:r>
              <w:rPr>
                <w:rFonts w:hint="eastAsia"/>
                <w:color w:val="auto"/>
                <w:sz w:val="24"/>
                <w:highlight w:val="none"/>
                <w:vertAlign w:val="subscript"/>
                <w:lang w:val="en-US" w:eastAsia="zh-CN"/>
              </w:rPr>
              <w:t>循</w:t>
            </w:r>
            <w:r>
              <w:rPr>
                <w:rFonts w:hint="eastAsia"/>
                <w:color w:val="auto"/>
                <w:sz w:val="24"/>
                <w:highlight w:val="none"/>
                <w:lang w:val="en-US" w:eastAsia="zh-CN"/>
              </w:rPr>
              <w:t>：循环冷却水流量，m</w:t>
            </w:r>
            <w:r>
              <w:rPr>
                <w:rFonts w:hint="eastAsia"/>
                <w:color w:val="auto"/>
                <w:sz w:val="24"/>
                <w:highlight w:val="none"/>
                <w:vertAlign w:val="superscript"/>
                <w:lang w:val="en-US" w:eastAsia="zh-CN"/>
              </w:rPr>
              <w:t>3</w:t>
            </w:r>
            <w:r>
              <w:rPr>
                <w:rFonts w:hint="eastAsia"/>
                <w:color w:val="auto"/>
                <w:sz w:val="24"/>
                <w:highlight w:val="none"/>
                <w:lang w:val="en-US" w:eastAsia="zh-CN"/>
              </w:rPr>
              <w:t>/h；</w:t>
            </w:r>
          </w:p>
          <w:p w14:paraId="1F77B7EA">
            <w:pPr>
              <w:keepNext w:val="0"/>
              <w:keepLines w:val="0"/>
              <w:suppressLineNumbers w:val="0"/>
              <w:bidi w:val="0"/>
              <w:spacing w:before="0" w:beforeAutospacing="0" w:after="0" w:afterAutospacing="0" w:line="360" w:lineRule="auto"/>
              <w:ind w:left="0" w:right="0"/>
              <w:rPr>
                <w:rFonts w:hint="default"/>
                <w:color w:val="auto"/>
                <w:sz w:val="24"/>
                <w:highlight w:val="none"/>
                <w:lang w:val="en-US" w:eastAsia="zh-CN"/>
              </w:rPr>
            </w:pPr>
            <w:r>
              <w:rPr>
                <w:rFonts w:hint="eastAsia"/>
                <w:color w:val="auto"/>
                <w:sz w:val="24"/>
                <w:highlight w:val="none"/>
                <w:lang w:val="en-US" w:eastAsia="zh-CN"/>
              </w:rPr>
              <w:t>P：</w:t>
            </w:r>
            <w:r>
              <w:rPr>
                <w:rFonts w:hint="eastAsia" w:ascii="Times New Roman" w:eastAsia="宋体"/>
                <w:color w:val="auto"/>
                <w:sz w:val="24"/>
                <w:highlight w:val="none"/>
                <w:lang w:val="en-US" w:eastAsia="zh-CN"/>
              </w:rPr>
              <w:t>物料冷却释放热负荷</w:t>
            </w:r>
            <w:r>
              <w:rPr>
                <w:rFonts w:hint="eastAsia"/>
                <w:color w:val="auto"/>
                <w:sz w:val="24"/>
                <w:highlight w:val="none"/>
                <w:lang w:val="en-US" w:eastAsia="zh-CN"/>
              </w:rPr>
              <w:t>，KJ/h；</w:t>
            </w:r>
          </w:p>
          <w:p w14:paraId="6EAAEF94">
            <w:pPr>
              <w:keepNext w:val="0"/>
              <w:keepLines w:val="0"/>
              <w:suppressLineNumbers w:val="0"/>
              <w:bidi w:val="0"/>
              <w:spacing w:before="0" w:beforeAutospacing="0" w:after="0" w:afterAutospacing="0" w:line="360" w:lineRule="auto"/>
              <w:ind w:left="0" w:right="0"/>
              <w:rPr>
                <w:rFonts w:hint="default" w:ascii="Times New Roman" w:eastAsia="宋体"/>
                <w:color w:val="auto"/>
                <w:sz w:val="24"/>
                <w:highlight w:val="none"/>
                <w:lang w:val="en-US" w:eastAsia="zh-CN"/>
              </w:rPr>
            </w:pPr>
            <w:r>
              <w:rPr>
                <w:rFonts w:hint="default" w:ascii="Times New Roman" w:hAnsi="Times New Roman" w:eastAsia="宋体" w:cs="Times New Roman"/>
                <w:color w:val="auto"/>
                <w:sz w:val="24"/>
                <w:highlight w:val="none"/>
                <w:lang w:val="en-US" w:eastAsia="zh-CN"/>
              </w:rPr>
              <w:t>ρ</w:t>
            </w:r>
            <w:r>
              <w:rPr>
                <w:rFonts w:hint="eastAsia"/>
                <w:color w:val="auto"/>
                <w:sz w:val="24"/>
                <w:highlight w:val="none"/>
                <w:lang w:val="en-US" w:eastAsia="zh-CN"/>
              </w:rPr>
              <w:t>：水密度，</w:t>
            </w:r>
            <w:r>
              <w:rPr>
                <w:rFonts w:hint="default" w:ascii="Times New Roman" w:hAnsi="Times New Roman" w:eastAsia="宋体" w:cs="Times New Roman"/>
                <w:color w:val="auto"/>
                <w:sz w:val="24"/>
                <w:highlight w:val="none"/>
                <w:lang w:val="en-US" w:eastAsia="zh-CN"/>
              </w:rPr>
              <w:t>kg/m</w:t>
            </w:r>
            <w:r>
              <w:rPr>
                <w:rFonts w:hint="eastAsia" w:ascii="Times New Roman" w:hAnsi="Times New Roman" w:eastAsia="宋体" w:cs="Times New Roman"/>
                <w:color w:val="auto"/>
                <w:sz w:val="24"/>
                <w:highlight w:val="none"/>
                <w:vertAlign w:val="superscript"/>
                <w:lang w:val="en-US" w:eastAsia="zh-CN"/>
              </w:rPr>
              <w:t>3</w:t>
            </w:r>
            <w:r>
              <w:rPr>
                <w:rFonts w:hint="eastAsia"/>
                <w:color w:val="auto"/>
                <w:sz w:val="24"/>
                <w:highlight w:val="none"/>
                <w:lang w:val="en-US" w:eastAsia="zh-CN"/>
              </w:rPr>
              <w:t>；</w:t>
            </w:r>
          </w:p>
          <w:p w14:paraId="16F2AD3A">
            <w:pPr>
              <w:keepNext w:val="0"/>
              <w:keepLines w:val="0"/>
              <w:suppressLineNumbers w:val="0"/>
              <w:bidi w:val="0"/>
              <w:spacing w:before="0" w:beforeAutospacing="0" w:after="0" w:afterAutospacing="0" w:line="360" w:lineRule="auto"/>
              <w:ind w:left="0" w:right="0" w:firstLine="480" w:firstLineChars="200"/>
              <w:rPr>
                <w:rFonts w:hint="eastAsia" w:ascii="Times New Roman" w:eastAsia="宋体"/>
                <w:color w:val="auto"/>
                <w:sz w:val="24"/>
                <w:highlight w:val="none"/>
                <w:lang w:val="en-US" w:eastAsia="zh-CN"/>
              </w:rPr>
            </w:pPr>
            <w:r>
              <w:rPr>
                <w:rFonts w:hint="eastAsia"/>
                <w:color w:val="auto"/>
                <w:sz w:val="24"/>
                <w:highlight w:val="none"/>
                <w:lang w:val="en-US" w:eastAsia="zh-CN"/>
              </w:rPr>
              <w:t>c</w:t>
            </w:r>
            <w:r>
              <w:rPr>
                <w:rFonts w:hint="eastAsia"/>
                <w:color w:val="auto"/>
                <w:sz w:val="24"/>
                <w:highlight w:val="none"/>
                <w:vertAlign w:val="subscript"/>
                <w:lang w:val="en-US" w:eastAsia="zh-CN"/>
              </w:rPr>
              <w:t>水</w:t>
            </w:r>
            <w:r>
              <w:rPr>
                <w:rFonts w:hint="eastAsia"/>
                <w:color w:val="auto"/>
                <w:sz w:val="24"/>
                <w:highlight w:val="none"/>
                <w:lang w:val="en-US" w:eastAsia="zh-CN"/>
              </w:rPr>
              <w:t>：水比热容，约4.186KJ/（kg</w:t>
            </w:r>
            <w:r>
              <w:rPr>
                <w:rFonts w:hint="default"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w:t>
            </w:r>
            <w:r>
              <w:rPr>
                <w:rFonts w:hint="eastAsia"/>
                <w:color w:val="auto"/>
                <w:sz w:val="24"/>
                <w:highlight w:val="none"/>
                <w:lang w:val="en-US" w:eastAsia="zh-CN"/>
              </w:rPr>
              <w:t>）；</w:t>
            </w:r>
          </w:p>
          <w:p w14:paraId="59D41788">
            <w:pPr>
              <w:keepNext w:val="0"/>
              <w:keepLines w:val="0"/>
              <w:suppressLineNumbers w:val="0"/>
              <w:bidi w:val="0"/>
              <w:spacing w:before="0" w:beforeAutospacing="0" w:after="0" w:afterAutospacing="0" w:line="360" w:lineRule="auto"/>
              <w:ind w:left="0" w:right="0" w:firstLine="480" w:firstLineChars="200"/>
              <w:rPr>
                <w:rFonts w:hint="default" w:ascii="Times New Roman" w:eastAsia="宋体"/>
                <w:color w:val="auto"/>
                <w:sz w:val="24"/>
                <w:highlight w:val="none"/>
                <w:lang w:val="en-US" w:eastAsia="zh-CN"/>
              </w:rPr>
            </w:pPr>
            <w:r>
              <w:rPr>
                <w:rFonts w:hint="default" w:ascii="Times New Roman" w:hAnsi="Times New Roman" w:eastAsia="宋体" w:cs="Times New Roman"/>
                <w:color w:val="auto"/>
                <w:sz w:val="24"/>
                <w:highlight w:val="none"/>
                <w:lang w:val="en-US" w:eastAsia="zh-CN"/>
              </w:rPr>
              <w:t>△</w:t>
            </w:r>
            <w:r>
              <w:rPr>
                <w:rFonts w:hint="eastAsia" w:ascii="Times New Roman" w:hAnsi="Times New Roman" w:cs="Times New Roman"/>
                <w:color w:val="auto"/>
                <w:sz w:val="24"/>
                <w:highlight w:val="none"/>
                <w:lang w:val="en-US" w:eastAsia="zh-CN"/>
              </w:rPr>
              <w:t>t</w:t>
            </w:r>
            <w:r>
              <w:rPr>
                <w:rFonts w:hint="eastAsia"/>
                <w:color w:val="auto"/>
                <w:sz w:val="24"/>
                <w:highlight w:val="none"/>
                <w:lang w:val="en-US" w:eastAsia="zh-CN"/>
              </w:rPr>
              <w:t>：冷却水进出水温差，</w:t>
            </w:r>
            <w:r>
              <w:rPr>
                <w:rFonts w:hint="default" w:ascii="Times New Roman" w:hAnsi="Times New Roman" w:eastAsia="宋体" w:cs="Times New Roman"/>
                <w:color w:val="auto"/>
                <w:sz w:val="24"/>
                <w:highlight w:val="none"/>
                <w:lang w:val="en-US" w:eastAsia="zh-CN"/>
              </w:rPr>
              <w:t>℃</w:t>
            </w:r>
            <w:r>
              <w:rPr>
                <w:rFonts w:hint="eastAsia"/>
                <w:color w:val="auto"/>
                <w:sz w:val="24"/>
                <w:highlight w:val="none"/>
                <w:lang w:val="en-US" w:eastAsia="zh-CN"/>
              </w:rPr>
              <w:t>；</w:t>
            </w:r>
          </w:p>
          <w:p w14:paraId="41BC1CA8">
            <w:pPr>
              <w:keepNext w:val="0"/>
              <w:keepLines w:val="0"/>
              <w:suppressLineNumbers w:val="0"/>
              <w:bidi w:val="0"/>
              <w:spacing w:before="0" w:beforeAutospacing="0" w:after="0" w:afterAutospacing="0" w:line="360" w:lineRule="auto"/>
              <w:ind w:left="0" w:right="0" w:firstLine="480" w:firstLineChars="200"/>
              <w:rPr>
                <w:rFonts w:hint="eastAsia" w:ascii="Times New Roman" w:eastAsia="宋体"/>
                <w:color w:val="auto"/>
                <w:sz w:val="24"/>
                <w:highlight w:val="none"/>
                <w:lang w:val="en-US" w:eastAsia="zh-CN"/>
              </w:rPr>
            </w:pPr>
            <w:r>
              <w:rPr>
                <w:rFonts w:hint="eastAsia" w:ascii="Times New Roman" w:eastAsia="宋体"/>
                <w:color w:val="auto"/>
                <w:sz w:val="24"/>
                <w:highlight w:val="none"/>
                <w:lang w:val="en-US" w:eastAsia="zh-CN"/>
              </w:rPr>
              <w:t>经物料热平衡计算，物料冷却释放总热负荷为</w:t>
            </w:r>
            <w:r>
              <w:rPr>
                <w:rFonts w:hint="eastAsia"/>
                <w:color w:val="auto"/>
                <w:sz w:val="24"/>
                <w:highlight w:val="none"/>
                <w:lang w:val="en-US" w:eastAsia="zh-CN"/>
              </w:rPr>
              <w:t>3672</w:t>
            </w:r>
            <w:r>
              <w:rPr>
                <w:rFonts w:hint="eastAsia" w:ascii="Times New Roman" w:eastAsia="宋体"/>
                <w:color w:val="auto"/>
                <w:sz w:val="24"/>
                <w:highlight w:val="none"/>
                <w:lang w:val="en-US" w:eastAsia="zh-CN"/>
              </w:rPr>
              <w:t>00kJ/h；工艺密闭内循环冷却水实际循环量约</w:t>
            </w:r>
            <w:r>
              <w:rPr>
                <w:rFonts w:hint="eastAsia"/>
                <w:color w:val="auto"/>
                <w:sz w:val="24"/>
                <w:highlight w:val="none"/>
                <w:lang w:val="en-US" w:eastAsia="zh-CN"/>
              </w:rPr>
              <w:t>17.54</w:t>
            </w:r>
            <w:r>
              <w:rPr>
                <w:rFonts w:hint="eastAsia" w:ascii="Times New Roman" w:eastAsia="宋体"/>
                <w:color w:val="auto"/>
                <w:sz w:val="24"/>
                <w:highlight w:val="none"/>
                <w:lang w:val="en-US" w:eastAsia="zh-CN"/>
              </w:rPr>
              <w:t>m³/h。</w:t>
            </w:r>
            <w:r>
              <w:rPr>
                <w:rFonts w:hint="eastAsia"/>
                <w:color w:val="auto"/>
                <w:sz w:val="24"/>
                <w:highlight w:val="none"/>
                <w:lang w:val="en-US" w:eastAsia="zh-CN"/>
              </w:rPr>
              <w:t>因蒸发损失，每天需补充约0.1%的水，则补充水量为0.42m</w:t>
            </w:r>
            <w:r>
              <w:rPr>
                <w:rFonts w:hint="eastAsia"/>
                <w:color w:val="auto"/>
                <w:sz w:val="24"/>
                <w:highlight w:val="none"/>
                <w:vertAlign w:val="superscript"/>
                <w:lang w:val="en-US" w:eastAsia="zh-CN"/>
              </w:rPr>
              <w:t>3</w:t>
            </w:r>
            <w:r>
              <w:rPr>
                <w:rFonts w:hint="eastAsia"/>
                <w:color w:val="auto"/>
                <w:sz w:val="24"/>
                <w:highlight w:val="none"/>
                <w:lang w:val="en-US" w:eastAsia="zh-CN"/>
              </w:rPr>
              <w:t>/d，使用自来水补充。</w:t>
            </w:r>
          </w:p>
          <w:p w14:paraId="68F7102A">
            <w:pPr>
              <w:keepNext w:val="0"/>
              <w:keepLines w:val="0"/>
              <w:suppressLineNumbers w:val="0"/>
              <w:bidi w:val="0"/>
              <w:spacing w:before="0" w:beforeAutospacing="0" w:after="0" w:afterAutospacing="0" w:line="360" w:lineRule="auto"/>
              <w:ind w:left="0" w:right="0" w:firstLine="480" w:firstLineChars="200"/>
              <w:rPr>
                <w:rFonts w:hint="eastAsia" w:ascii="Times New Roman" w:eastAsia="宋体"/>
                <w:color w:val="auto"/>
                <w:sz w:val="24"/>
                <w:highlight w:val="none"/>
                <w:lang w:val="en-US" w:eastAsia="zh-CN"/>
              </w:rPr>
            </w:pPr>
            <w:r>
              <w:rPr>
                <w:rFonts w:hint="eastAsia"/>
                <w:color w:val="auto"/>
                <w:sz w:val="24"/>
                <w:highlight w:val="none"/>
                <w:lang w:val="en-US" w:eastAsia="zh-CN"/>
              </w:rPr>
              <w:t>项目冷却水循环使用</w:t>
            </w:r>
            <w:r>
              <w:rPr>
                <w:rFonts w:hint="eastAsia" w:ascii="Times New Roman" w:eastAsia="宋体"/>
                <w:color w:val="auto"/>
                <w:sz w:val="24"/>
                <w:highlight w:val="none"/>
                <w:lang w:val="en-US" w:eastAsia="zh-CN"/>
              </w:rPr>
              <w:t>，每年</w:t>
            </w:r>
            <w:r>
              <w:rPr>
                <w:rFonts w:hint="eastAsia"/>
                <w:color w:val="auto"/>
                <w:sz w:val="24"/>
                <w:highlight w:val="none"/>
                <w:lang w:val="en-US" w:eastAsia="zh-CN"/>
              </w:rPr>
              <w:t>排放一次</w:t>
            </w:r>
            <w:r>
              <w:rPr>
                <w:rFonts w:hint="eastAsia" w:ascii="Times New Roman" w:eastAsia="宋体"/>
                <w:color w:val="auto"/>
                <w:sz w:val="24"/>
                <w:highlight w:val="none"/>
                <w:lang w:val="en-US" w:eastAsia="zh-CN"/>
              </w:rPr>
              <w:t>，排水量约</w:t>
            </w:r>
            <w:r>
              <w:rPr>
                <w:rFonts w:hint="eastAsia"/>
                <w:color w:val="auto"/>
                <w:sz w:val="24"/>
                <w:highlight w:val="none"/>
                <w:lang w:val="en-US" w:eastAsia="zh-CN"/>
              </w:rPr>
              <w:t>17.54</w:t>
            </w:r>
            <w:r>
              <w:rPr>
                <w:rFonts w:hint="eastAsia" w:ascii="Times New Roman" w:eastAsia="宋体"/>
                <w:color w:val="auto"/>
                <w:sz w:val="24"/>
                <w:highlight w:val="none"/>
                <w:lang w:val="en-US" w:eastAsia="zh-CN"/>
              </w:rPr>
              <w:t>m³/a</w:t>
            </w:r>
            <w:r>
              <w:rPr>
                <w:rFonts w:hint="eastAsia"/>
                <w:color w:val="auto"/>
                <w:sz w:val="24"/>
                <w:highlight w:val="none"/>
                <w:lang w:val="en-US" w:eastAsia="zh-CN"/>
              </w:rPr>
              <w:t>，无污泥产生</w:t>
            </w:r>
            <w:r>
              <w:rPr>
                <w:rFonts w:hint="eastAsia" w:ascii="Times New Roman" w:eastAsia="宋体"/>
                <w:color w:val="auto"/>
                <w:sz w:val="24"/>
                <w:highlight w:val="none"/>
                <w:lang w:val="en-US" w:eastAsia="zh-CN"/>
              </w:rPr>
              <w:t>；</w:t>
            </w:r>
            <w:r>
              <w:rPr>
                <w:rFonts w:hint="eastAsia"/>
                <w:color w:val="auto"/>
                <w:sz w:val="24"/>
                <w:highlight w:val="none"/>
                <w:lang w:val="en-US" w:eastAsia="zh-CN"/>
              </w:rPr>
              <w:t>冷却水定排水</w:t>
            </w:r>
            <w:r>
              <w:rPr>
                <w:rFonts w:hint="eastAsia" w:ascii="Times New Roman" w:eastAsia="宋体"/>
                <w:color w:val="auto"/>
                <w:sz w:val="24"/>
                <w:highlight w:val="none"/>
                <w:lang w:val="en-US" w:eastAsia="zh-CN"/>
              </w:rPr>
              <w:t>收集后</w:t>
            </w:r>
            <w:r>
              <w:rPr>
                <w:rFonts w:hint="eastAsia"/>
                <w:color w:val="auto"/>
                <w:sz w:val="24"/>
                <w:highlight w:val="none"/>
                <w:lang w:val="en-US" w:eastAsia="zh-CN"/>
              </w:rPr>
              <w:t>排</w:t>
            </w:r>
            <w:r>
              <w:rPr>
                <w:rFonts w:hint="eastAsia" w:ascii="Times New Roman" w:eastAsia="宋体"/>
                <w:color w:val="auto"/>
                <w:sz w:val="24"/>
                <w:highlight w:val="none"/>
                <w:lang w:val="en-US" w:eastAsia="zh-CN"/>
              </w:rPr>
              <w:t>入园区污水管网</w:t>
            </w:r>
            <w:r>
              <w:rPr>
                <w:rFonts w:hint="eastAsia"/>
                <w:color w:val="auto"/>
                <w:sz w:val="24"/>
                <w:highlight w:val="none"/>
                <w:lang w:val="en-US" w:eastAsia="zh-CN"/>
              </w:rPr>
              <w:t>，本项目冷却水定排水主要污染物为COD</w:t>
            </w:r>
            <w:r>
              <w:rPr>
                <w:rFonts w:hint="eastAsia"/>
                <w:color w:val="auto"/>
                <w:sz w:val="24"/>
                <w:szCs w:val="24"/>
                <w:highlight w:val="none"/>
                <w:vertAlign w:val="subscript"/>
                <w:lang w:val="en-US" w:eastAsia="zh-CN"/>
              </w:rPr>
              <w:t>Cr</w:t>
            </w:r>
            <w:r>
              <w:rPr>
                <w:rFonts w:hint="eastAsia"/>
                <w:color w:val="auto"/>
                <w:sz w:val="24"/>
                <w:highlight w:val="none"/>
                <w:lang w:val="en-US" w:eastAsia="zh-CN"/>
              </w:rPr>
              <w:t>、SS，参考其他项目，COD、SS产生浓度分别为100mg/L、100mg/L</w:t>
            </w:r>
            <w:r>
              <w:rPr>
                <w:rFonts w:hint="eastAsia" w:ascii="Times New Roman" w:eastAsia="宋体"/>
                <w:color w:val="auto"/>
                <w:sz w:val="24"/>
                <w:highlight w:val="none"/>
                <w:lang w:val="en-US" w:eastAsia="zh-CN"/>
              </w:rPr>
              <w:t>。</w:t>
            </w:r>
          </w:p>
          <w:p w14:paraId="25D68038">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default"/>
                <w:b/>
                <w:bCs/>
                <w:color w:val="auto"/>
                <w:highlight w:val="none"/>
                <w:lang w:val="en-US" w:eastAsia="zh-CN"/>
              </w:rPr>
              <w:t>表</w:t>
            </w:r>
            <w:r>
              <w:rPr>
                <w:rFonts w:hint="eastAsia"/>
                <w:b/>
                <w:bCs/>
                <w:color w:val="auto"/>
                <w:highlight w:val="none"/>
                <w:lang w:val="en-US" w:eastAsia="zh-CN"/>
              </w:rPr>
              <w:t xml:space="preserve">4-9  </w:t>
            </w:r>
            <w:r>
              <w:rPr>
                <w:rFonts w:hint="default"/>
                <w:b/>
                <w:bCs/>
                <w:color w:val="auto"/>
                <w:highlight w:val="none"/>
                <w:lang w:val="en-US" w:eastAsia="zh-CN"/>
              </w:rPr>
              <w:t xml:space="preserve"> </w:t>
            </w:r>
            <w:r>
              <w:rPr>
                <w:rFonts w:hint="eastAsia"/>
                <w:b/>
                <w:bCs/>
                <w:color w:val="auto"/>
                <w:highlight w:val="none"/>
                <w:lang w:val="en-US" w:eastAsia="zh-CN"/>
              </w:rPr>
              <w:t>本项目</w:t>
            </w:r>
            <w:r>
              <w:rPr>
                <w:rFonts w:hint="default"/>
                <w:b/>
                <w:bCs/>
                <w:color w:val="auto"/>
                <w:highlight w:val="none"/>
                <w:lang w:val="en-US" w:eastAsia="zh-CN"/>
              </w:rPr>
              <w:t>冷却水</w:t>
            </w:r>
            <w:r>
              <w:rPr>
                <w:rFonts w:hint="eastAsia"/>
                <w:b/>
                <w:bCs/>
                <w:color w:val="auto"/>
                <w:highlight w:val="none"/>
                <w:lang w:val="en-US" w:eastAsia="zh-CN"/>
              </w:rPr>
              <w:t>定排水</w:t>
            </w:r>
            <w:r>
              <w:rPr>
                <w:rFonts w:hint="default"/>
                <w:b/>
                <w:bCs/>
                <w:color w:val="auto"/>
                <w:highlight w:val="none"/>
                <w:lang w:val="en-US" w:eastAsia="zh-CN"/>
              </w:rPr>
              <w:t>污染物产生排放情况一览表</w:t>
            </w:r>
          </w:p>
          <w:tbl>
            <w:tblPr>
              <w:tblStyle w:val="3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Layout w:type="autofit"/>
              <w:tblCellMar>
                <w:top w:w="0" w:type="dxa"/>
                <w:left w:w="108" w:type="dxa"/>
                <w:bottom w:w="0" w:type="dxa"/>
                <w:right w:w="108" w:type="dxa"/>
              </w:tblCellMar>
            </w:tblPr>
            <w:tblGrid>
              <w:gridCol w:w="1461"/>
              <w:gridCol w:w="2238"/>
              <w:gridCol w:w="2238"/>
              <w:gridCol w:w="2526"/>
            </w:tblGrid>
            <w:tr w14:paraId="6868BA67">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0" w:hRule="atLeast"/>
                <w:jc w:val="center"/>
              </w:trPr>
              <w:tc>
                <w:tcPr>
                  <w:tcW w:w="863" w:type="pct"/>
                  <w:vMerge w:val="restart"/>
                  <w:tcBorders>
                    <w:right w:val="single" w:color="auto" w:sz="4" w:space="0"/>
                  </w:tcBorders>
                  <w:noWrap w:val="0"/>
                  <w:vAlign w:val="center"/>
                </w:tcPr>
                <w:p w14:paraId="616B6CA3">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eastAsia"/>
                      <w:b/>
                      <w:bCs/>
                      <w:color w:val="auto"/>
                      <w:highlight w:val="none"/>
                      <w:lang w:val="en-US" w:eastAsia="zh-CN"/>
                    </w:rPr>
                    <w:t>废水类型</w:t>
                  </w:r>
                </w:p>
              </w:tc>
              <w:tc>
                <w:tcPr>
                  <w:tcW w:w="1322" w:type="pct"/>
                  <w:vMerge w:val="restart"/>
                  <w:tcBorders>
                    <w:left w:val="single" w:color="auto" w:sz="4" w:space="0"/>
                  </w:tcBorders>
                  <w:noWrap w:val="0"/>
                  <w:vAlign w:val="center"/>
                </w:tcPr>
                <w:p w14:paraId="1F34E974">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eastAsia"/>
                      <w:b/>
                      <w:bCs/>
                      <w:color w:val="auto"/>
                      <w:highlight w:val="none"/>
                      <w:lang w:val="en-US" w:eastAsia="zh-CN"/>
                    </w:rPr>
                    <w:t>统计指标</w:t>
                  </w:r>
                </w:p>
              </w:tc>
              <w:tc>
                <w:tcPr>
                  <w:tcW w:w="2814" w:type="pct"/>
                  <w:gridSpan w:val="2"/>
                  <w:tcBorders>
                    <w:bottom w:val="single" w:color="auto" w:sz="4" w:space="0"/>
                  </w:tcBorders>
                  <w:noWrap w:val="0"/>
                  <w:vAlign w:val="center"/>
                </w:tcPr>
                <w:p w14:paraId="564B48EB">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eastAsia"/>
                      <w:b/>
                      <w:bCs/>
                      <w:color w:val="auto"/>
                      <w:highlight w:val="none"/>
                      <w:lang w:val="en-US" w:eastAsia="zh-CN"/>
                    </w:rPr>
                    <w:t>主要污染物</w:t>
                  </w:r>
                </w:p>
              </w:tc>
            </w:tr>
            <w:tr w14:paraId="522B2451">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0" w:hRule="atLeast"/>
                <w:jc w:val="center"/>
              </w:trPr>
              <w:tc>
                <w:tcPr>
                  <w:tcW w:w="863" w:type="pct"/>
                  <w:vMerge w:val="continue"/>
                  <w:tcBorders>
                    <w:bottom w:val="single" w:color="auto" w:sz="12" w:space="0"/>
                    <w:right w:val="single" w:color="auto" w:sz="4" w:space="0"/>
                  </w:tcBorders>
                  <w:noWrap w:val="0"/>
                  <w:vAlign w:val="center"/>
                </w:tcPr>
                <w:p w14:paraId="335A0484">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p>
              </w:tc>
              <w:tc>
                <w:tcPr>
                  <w:tcW w:w="1322" w:type="pct"/>
                  <w:vMerge w:val="continue"/>
                  <w:tcBorders>
                    <w:left w:val="single" w:color="auto" w:sz="4" w:space="0"/>
                    <w:bottom w:val="single" w:color="auto" w:sz="12" w:space="0"/>
                  </w:tcBorders>
                  <w:noWrap w:val="0"/>
                  <w:vAlign w:val="center"/>
                </w:tcPr>
                <w:p w14:paraId="63F27D0E">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p>
              </w:tc>
              <w:tc>
                <w:tcPr>
                  <w:tcW w:w="1322" w:type="pct"/>
                  <w:tcBorders>
                    <w:top w:val="single" w:color="auto" w:sz="4" w:space="0"/>
                    <w:bottom w:val="single" w:color="auto" w:sz="12" w:space="0"/>
                  </w:tcBorders>
                  <w:noWrap w:val="0"/>
                  <w:vAlign w:val="center"/>
                </w:tcPr>
                <w:p w14:paraId="11B552FF">
                  <w:pPr>
                    <w:pStyle w:val="6"/>
                    <w:keepNext w:val="0"/>
                    <w:keepLines w:val="0"/>
                    <w:suppressLineNumbers w:val="0"/>
                    <w:bidi w:val="0"/>
                    <w:spacing w:before="0" w:beforeAutospacing="0" w:after="0" w:afterAutospacing="0"/>
                    <w:ind w:right="0"/>
                    <w:rPr>
                      <w:rFonts w:hint="default" w:eastAsia="宋体"/>
                      <w:b/>
                      <w:bCs/>
                      <w:color w:val="auto"/>
                      <w:sz w:val="21"/>
                      <w:szCs w:val="21"/>
                      <w:highlight w:val="none"/>
                      <w:lang w:val="en-US" w:eastAsia="zh-CN"/>
                    </w:rPr>
                  </w:pPr>
                  <w:r>
                    <w:rPr>
                      <w:rFonts w:hint="eastAsia"/>
                      <w:b/>
                      <w:bCs/>
                      <w:color w:val="auto"/>
                      <w:highlight w:val="none"/>
                      <w:lang w:val="en-US" w:eastAsia="zh-CN"/>
                    </w:rPr>
                    <w:t>COD</w:t>
                  </w:r>
                  <w:r>
                    <w:rPr>
                      <w:rFonts w:hint="eastAsia"/>
                      <w:color w:val="auto"/>
                      <w:sz w:val="21"/>
                      <w:szCs w:val="21"/>
                      <w:highlight w:val="none"/>
                      <w:vertAlign w:val="subscript"/>
                      <w:lang w:val="en-US" w:eastAsia="zh-CN"/>
                    </w:rPr>
                    <w:t>Cr</w:t>
                  </w:r>
                </w:p>
              </w:tc>
              <w:tc>
                <w:tcPr>
                  <w:tcW w:w="1492" w:type="pct"/>
                  <w:tcBorders>
                    <w:top w:val="single" w:color="auto" w:sz="4" w:space="0"/>
                    <w:bottom w:val="single" w:color="auto" w:sz="12" w:space="0"/>
                  </w:tcBorders>
                  <w:noWrap w:val="0"/>
                  <w:vAlign w:val="center"/>
                </w:tcPr>
                <w:p w14:paraId="15756412">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eastAsia"/>
                      <w:b/>
                      <w:bCs/>
                      <w:color w:val="auto"/>
                      <w:sz w:val="21"/>
                      <w:szCs w:val="21"/>
                      <w:highlight w:val="none"/>
                      <w:lang w:val="en-US" w:eastAsia="zh-CN"/>
                    </w:rPr>
                    <w:t>SS</w:t>
                  </w:r>
                </w:p>
              </w:tc>
            </w:tr>
            <w:tr w14:paraId="7B2CC8AE">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0" w:hRule="atLeast"/>
                <w:jc w:val="center"/>
              </w:trPr>
              <w:tc>
                <w:tcPr>
                  <w:tcW w:w="863" w:type="pct"/>
                  <w:vMerge w:val="restart"/>
                  <w:tcBorders>
                    <w:top w:val="single" w:color="auto" w:sz="12" w:space="0"/>
                    <w:right w:val="single" w:color="auto" w:sz="4" w:space="0"/>
                    <w:tl2br w:val="nil"/>
                    <w:tr2bl w:val="nil"/>
                  </w:tcBorders>
                  <w:noWrap w:val="0"/>
                  <w:vAlign w:val="center"/>
                </w:tcPr>
                <w:p w14:paraId="568DBCBF">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冷却水17.54m</w:t>
                  </w:r>
                  <w:r>
                    <w:rPr>
                      <w:rFonts w:hint="eastAsia"/>
                      <w:color w:val="auto"/>
                      <w:highlight w:val="none"/>
                      <w:vertAlign w:val="superscript"/>
                      <w:lang w:val="en-US" w:eastAsia="zh-CN"/>
                    </w:rPr>
                    <w:t>3</w:t>
                  </w:r>
                  <w:r>
                    <w:rPr>
                      <w:rFonts w:hint="default"/>
                      <w:color w:val="auto"/>
                      <w:highlight w:val="none"/>
                      <w:lang w:val="en-US" w:eastAsia="zh-CN"/>
                    </w:rPr>
                    <w:t>/a</w:t>
                  </w:r>
                </w:p>
              </w:tc>
              <w:tc>
                <w:tcPr>
                  <w:tcW w:w="1322" w:type="pct"/>
                  <w:tcBorders>
                    <w:top w:val="single" w:color="auto" w:sz="12" w:space="0"/>
                    <w:left w:val="single" w:color="auto" w:sz="4" w:space="0"/>
                    <w:tl2br w:val="nil"/>
                    <w:tr2bl w:val="nil"/>
                  </w:tcBorders>
                  <w:noWrap w:val="0"/>
                  <w:vAlign w:val="center"/>
                </w:tcPr>
                <w:p w14:paraId="15E98629">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产生浓度（mg/L）</w:t>
                  </w:r>
                </w:p>
              </w:tc>
              <w:tc>
                <w:tcPr>
                  <w:tcW w:w="1322" w:type="pct"/>
                  <w:tcBorders>
                    <w:top w:val="single" w:color="auto" w:sz="12" w:space="0"/>
                    <w:tl2br w:val="nil"/>
                    <w:tr2bl w:val="nil"/>
                  </w:tcBorders>
                  <w:noWrap w:val="0"/>
                  <w:vAlign w:val="center"/>
                </w:tcPr>
                <w:p w14:paraId="0168DE19">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100</w:t>
                  </w:r>
                </w:p>
              </w:tc>
              <w:tc>
                <w:tcPr>
                  <w:tcW w:w="1492" w:type="pct"/>
                  <w:tcBorders>
                    <w:top w:val="single" w:color="auto" w:sz="12" w:space="0"/>
                    <w:tl2br w:val="nil"/>
                    <w:tr2bl w:val="nil"/>
                  </w:tcBorders>
                  <w:noWrap w:val="0"/>
                  <w:vAlign w:val="center"/>
                </w:tcPr>
                <w:p w14:paraId="517A75A2">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100</w:t>
                  </w:r>
                </w:p>
              </w:tc>
            </w:tr>
            <w:tr w14:paraId="757730C4">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0" w:hRule="atLeast"/>
                <w:jc w:val="center"/>
              </w:trPr>
              <w:tc>
                <w:tcPr>
                  <w:tcW w:w="863" w:type="pct"/>
                  <w:vMerge w:val="continue"/>
                  <w:tcBorders>
                    <w:tl2br w:val="nil"/>
                    <w:tr2bl w:val="nil"/>
                  </w:tcBorders>
                  <w:noWrap w:val="0"/>
                  <w:vAlign w:val="center"/>
                </w:tcPr>
                <w:p w14:paraId="29AD1749">
                  <w:pPr>
                    <w:pStyle w:val="6"/>
                    <w:keepNext w:val="0"/>
                    <w:keepLines w:val="0"/>
                    <w:suppressLineNumbers w:val="0"/>
                    <w:bidi w:val="0"/>
                    <w:spacing w:before="0" w:beforeAutospacing="0" w:after="0" w:afterAutospacing="0"/>
                    <w:ind w:right="0"/>
                    <w:rPr>
                      <w:rFonts w:hint="default"/>
                      <w:color w:val="auto"/>
                      <w:highlight w:val="none"/>
                      <w:lang w:val="en-US" w:eastAsia="zh-CN"/>
                    </w:rPr>
                  </w:pPr>
                </w:p>
              </w:tc>
              <w:tc>
                <w:tcPr>
                  <w:tcW w:w="1322" w:type="pct"/>
                  <w:tcBorders>
                    <w:tl2br w:val="nil"/>
                    <w:tr2bl w:val="nil"/>
                  </w:tcBorders>
                  <w:noWrap w:val="0"/>
                  <w:vAlign w:val="center"/>
                </w:tcPr>
                <w:p w14:paraId="5896F6D3">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产生量（t/a）</w:t>
                  </w:r>
                </w:p>
              </w:tc>
              <w:tc>
                <w:tcPr>
                  <w:tcW w:w="1322" w:type="pct"/>
                  <w:tcBorders>
                    <w:tl2br w:val="nil"/>
                    <w:tr2bl w:val="nil"/>
                  </w:tcBorders>
                  <w:noWrap w:val="0"/>
                  <w:vAlign w:val="center"/>
                </w:tcPr>
                <w:p w14:paraId="1B116829">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0.002</w:t>
                  </w:r>
                </w:p>
              </w:tc>
              <w:tc>
                <w:tcPr>
                  <w:tcW w:w="1492" w:type="pct"/>
                  <w:tcBorders>
                    <w:tl2br w:val="nil"/>
                    <w:tr2bl w:val="nil"/>
                  </w:tcBorders>
                  <w:noWrap w:val="0"/>
                  <w:vAlign w:val="center"/>
                </w:tcPr>
                <w:p w14:paraId="37292E6A">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0.002</w:t>
                  </w:r>
                </w:p>
              </w:tc>
            </w:tr>
            <w:tr w14:paraId="0E85C8A6">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0" w:hRule="atLeast"/>
                <w:jc w:val="center"/>
              </w:trPr>
              <w:tc>
                <w:tcPr>
                  <w:tcW w:w="863" w:type="pct"/>
                  <w:vMerge w:val="continue"/>
                  <w:tcBorders>
                    <w:tl2br w:val="nil"/>
                    <w:tr2bl w:val="nil"/>
                  </w:tcBorders>
                  <w:noWrap w:val="0"/>
                  <w:vAlign w:val="center"/>
                </w:tcPr>
                <w:p w14:paraId="55D38775">
                  <w:pPr>
                    <w:pStyle w:val="6"/>
                    <w:keepNext w:val="0"/>
                    <w:keepLines w:val="0"/>
                    <w:suppressLineNumbers w:val="0"/>
                    <w:bidi w:val="0"/>
                    <w:spacing w:before="0" w:beforeAutospacing="0" w:after="0" w:afterAutospacing="0"/>
                    <w:ind w:right="0"/>
                    <w:rPr>
                      <w:rFonts w:hint="eastAsia"/>
                      <w:color w:val="auto"/>
                      <w:highlight w:val="none"/>
                      <w:lang w:val="en-US" w:eastAsia="zh-CN"/>
                    </w:rPr>
                  </w:pPr>
                </w:p>
              </w:tc>
              <w:tc>
                <w:tcPr>
                  <w:tcW w:w="1322" w:type="pct"/>
                  <w:tcBorders>
                    <w:tl2br w:val="nil"/>
                    <w:tr2bl w:val="nil"/>
                  </w:tcBorders>
                  <w:noWrap w:val="0"/>
                  <w:vAlign w:val="center"/>
                </w:tcPr>
                <w:p w14:paraId="4915C2A9">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排放浓度</w:t>
                  </w:r>
                  <w:r>
                    <w:rPr>
                      <w:rFonts w:hint="eastAsia"/>
                      <w:color w:val="auto"/>
                      <w:highlight w:val="none"/>
                      <w:lang w:val="en-US" w:eastAsia="zh-CN"/>
                    </w:rPr>
                    <w:t>（</w:t>
                  </w:r>
                  <w:r>
                    <w:rPr>
                      <w:rFonts w:hint="default"/>
                      <w:color w:val="auto"/>
                      <w:highlight w:val="none"/>
                      <w:lang w:val="en-US" w:eastAsia="zh-CN"/>
                    </w:rPr>
                    <w:t>mg/</w:t>
                  </w:r>
                  <w:r>
                    <w:rPr>
                      <w:rFonts w:hint="eastAsia"/>
                      <w:color w:val="auto"/>
                      <w:highlight w:val="none"/>
                      <w:lang w:val="en-US" w:eastAsia="zh-CN"/>
                    </w:rPr>
                    <w:t>L）</w:t>
                  </w:r>
                </w:p>
              </w:tc>
              <w:tc>
                <w:tcPr>
                  <w:tcW w:w="2238" w:type="dxa"/>
                  <w:tcBorders>
                    <w:tl2br w:val="nil"/>
                    <w:tr2bl w:val="nil"/>
                  </w:tcBorders>
                  <w:noWrap w:val="0"/>
                  <w:vAlign w:val="center"/>
                </w:tcPr>
                <w:p w14:paraId="19D8DA31">
                  <w:pPr>
                    <w:pStyle w:val="6"/>
                    <w:keepNext w:val="0"/>
                    <w:keepLines w:val="0"/>
                    <w:suppressLineNumbers w:val="0"/>
                    <w:bidi w:val="0"/>
                    <w:spacing w:before="0" w:beforeAutospacing="0" w:after="0" w:afterAutospacing="0"/>
                    <w:ind w:left="0" w:leftChars="0" w:right="0" w:rightChars="0" w:firstLine="0" w:firstLineChars="0"/>
                    <w:rPr>
                      <w:rFonts w:hint="eastAsia"/>
                      <w:color w:val="auto"/>
                      <w:highlight w:val="none"/>
                      <w:lang w:val="en-US" w:eastAsia="zh-CN"/>
                    </w:rPr>
                  </w:pPr>
                  <w:r>
                    <w:rPr>
                      <w:rFonts w:hint="eastAsia"/>
                      <w:color w:val="auto"/>
                      <w:highlight w:val="none"/>
                      <w:lang w:val="en-US" w:eastAsia="zh-CN"/>
                    </w:rPr>
                    <w:t>100</w:t>
                  </w:r>
                </w:p>
              </w:tc>
              <w:tc>
                <w:tcPr>
                  <w:tcW w:w="2526" w:type="dxa"/>
                  <w:tcBorders>
                    <w:tl2br w:val="nil"/>
                    <w:tr2bl w:val="nil"/>
                  </w:tcBorders>
                  <w:noWrap w:val="0"/>
                  <w:vAlign w:val="center"/>
                </w:tcPr>
                <w:p w14:paraId="0A804D52">
                  <w:pPr>
                    <w:pStyle w:val="6"/>
                    <w:keepNext w:val="0"/>
                    <w:keepLines w:val="0"/>
                    <w:suppressLineNumbers w:val="0"/>
                    <w:bidi w:val="0"/>
                    <w:spacing w:before="0" w:beforeAutospacing="0" w:after="0" w:afterAutospacing="0"/>
                    <w:ind w:left="0" w:leftChars="0" w:right="0" w:rightChars="0" w:firstLine="0" w:firstLineChars="0"/>
                    <w:rPr>
                      <w:rFonts w:hint="default"/>
                      <w:color w:val="auto"/>
                      <w:highlight w:val="none"/>
                      <w:lang w:val="en-US" w:eastAsia="zh-CN"/>
                    </w:rPr>
                  </w:pPr>
                  <w:r>
                    <w:rPr>
                      <w:rFonts w:hint="eastAsia"/>
                      <w:color w:val="auto"/>
                      <w:highlight w:val="none"/>
                      <w:lang w:val="en-US" w:eastAsia="zh-CN"/>
                    </w:rPr>
                    <w:t>100</w:t>
                  </w:r>
                </w:p>
              </w:tc>
            </w:tr>
            <w:tr w14:paraId="7D92DC92">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90" w:hRule="atLeast"/>
                <w:jc w:val="center"/>
              </w:trPr>
              <w:tc>
                <w:tcPr>
                  <w:tcW w:w="863" w:type="pct"/>
                  <w:vMerge w:val="continue"/>
                  <w:tcBorders>
                    <w:tl2br w:val="nil"/>
                    <w:tr2bl w:val="nil"/>
                  </w:tcBorders>
                  <w:noWrap w:val="0"/>
                  <w:vAlign w:val="center"/>
                </w:tcPr>
                <w:p w14:paraId="59676A94">
                  <w:pPr>
                    <w:pStyle w:val="6"/>
                    <w:keepNext w:val="0"/>
                    <w:keepLines w:val="0"/>
                    <w:suppressLineNumbers w:val="0"/>
                    <w:bidi w:val="0"/>
                    <w:spacing w:before="0" w:beforeAutospacing="0" w:after="0" w:afterAutospacing="0"/>
                    <w:ind w:right="0"/>
                    <w:rPr>
                      <w:rFonts w:hint="eastAsia"/>
                      <w:color w:val="auto"/>
                      <w:highlight w:val="none"/>
                      <w:lang w:val="en-US" w:eastAsia="zh-CN"/>
                    </w:rPr>
                  </w:pPr>
                </w:p>
              </w:tc>
              <w:tc>
                <w:tcPr>
                  <w:tcW w:w="1322" w:type="pct"/>
                  <w:tcBorders>
                    <w:tl2br w:val="nil"/>
                    <w:tr2bl w:val="nil"/>
                  </w:tcBorders>
                  <w:noWrap w:val="0"/>
                  <w:vAlign w:val="center"/>
                </w:tcPr>
                <w:p w14:paraId="073A26E8">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排放量（t/a）</w:t>
                  </w:r>
                </w:p>
              </w:tc>
              <w:tc>
                <w:tcPr>
                  <w:tcW w:w="2238" w:type="dxa"/>
                  <w:tcBorders>
                    <w:tl2br w:val="nil"/>
                    <w:tr2bl w:val="nil"/>
                  </w:tcBorders>
                  <w:noWrap w:val="0"/>
                  <w:vAlign w:val="center"/>
                </w:tcPr>
                <w:p w14:paraId="719432F3">
                  <w:pPr>
                    <w:pStyle w:val="6"/>
                    <w:keepNext w:val="0"/>
                    <w:keepLines w:val="0"/>
                    <w:suppressLineNumbers w:val="0"/>
                    <w:bidi w:val="0"/>
                    <w:spacing w:before="0" w:beforeAutospacing="0" w:after="0" w:afterAutospacing="0"/>
                    <w:ind w:left="0" w:leftChars="0" w:right="0" w:rightChars="0" w:firstLine="0" w:firstLineChars="0"/>
                    <w:rPr>
                      <w:rFonts w:hint="default"/>
                      <w:color w:val="auto"/>
                      <w:highlight w:val="none"/>
                      <w:lang w:val="en-US" w:eastAsia="zh-CN"/>
                    </w:rPr>
                  </w:pPr>
                  <w:r>
                    <w:rPr>
                      <w:rFonts w:hint="eastAsia"/>
                      <w:color w:val="auto"/>
                      <w:highlight w:val="none"/>
                      <w:lang w:val="en-US" w:eastAsia="zh-CN"/>
                    </w:rPr>
                    <w:t>0.002</w:t>
                  </w:r>
                </w:p>
              </w:tc>
              <w:tc>
                <w:tcPr>
                  <w:tcW w:w="2526" w:type="dxa"/>
                  <w:tcBorders>
                    <w:tl2br w:val="nil"/>
                    <w:tr2bl w:val="nil"/>
                  </w:tcBorders>
                  <w:noWrap w:val="0"/>
                  <w:vAlign w:val="center"/>
                </w:tcPr>
                <w:p w14:paraId="13E646D9">
                  <w:pPr>
                    <w:pStyle w:val="6"/>
                    <w:keepNext w:val="0"/>
                    <w:keepLines w:val="0"/>
                    <w:suppressLineNumbers w:val="0"/>
                    <w:bidi w:val="0"/>
                    <w:spacing w:before="0" w:beforeAutospacing="0" w:after="0" w:afterAutospacing="0"/>
                    <w:ind w:left="0" w:leftChars="0" w:right="0" w:rightChars="0" w:firstLine="0" w:firstLineChars="0"/>
                    <w:rPr>
                      <w:rFonts w:hint="default"/>
                      <w:color w:val="auto"/>
                      <w:highlight w:val="none"/>
                      <w:lang w:val="en-US" w:eastAsia="zh-CN"/>
                    </w:rPr>
                  </w:pPr>
                  <w:r>
                    <w:rPr>
                      <w:rFonts w:hint="eastAsia"/>
                      <w:color w:val="auto"/>
                      <w:highlight w:val="none"/>
                      <w:lang w:val="en-US" w:eastAsia="zh-CN"/>
                    </w:rPr>
                    <w:t>0.002</w:t>
                  </w:r>
                </w:p>
              </w:tc>
            </w:tr>
          </w:tbl>
          <w:p w14:paraId="10030128">
            <w:pPr>
              <w:keepNext w:val="0"/>
              <w:keepLines w:val="0"/>
              <w:suppressLineNumbers w:val="0"/>
              <w:bidi w:val="0"/>
              <w:spacing w:before="0" w:beforeAutospacing="0" w:after="0" w:afterAutospacing="0" w:line="360" w:lineRule="auto"/>
              <w:ind w:left="0" w:right="0" w:firstLine="480" w:firstLineChars="200"/>
              <w:rPr>
                <w:rFonts w:hint="default" w:ascii="Times New Roman" w:eastAsia="宋体"/>
                <w:color w:val="auto"/>
                <w:sz w:val="24"/>
                <w:highlight w:val="none"/>
                <w:lang w:val="en-US" w:eastAsia="zh-CN"/>
              </w:rPr>
            </w:pPr>
            <w:r>
              <w:rPr>
                <w:rFonts w:hint="eastAsia"/>
                <w:color w:val="auto"/>
                <w:sz w:val="24"/>
                <w:highlight w:val="none"/>
                <w:lang w:val="en-US" w:eastAsia="zh-CN"/>
              </w:rPr>
              <w:t>（3）冷却循环水回用可行性</w:t>
            </w:r>
          </w:p>
          <w:p w14:paraId="33D5D1D2">
            <w:pPr>
              <w:keepNext w:val="0"/>
              <w:keepLines w:val="0"/>
              <w:suppressLineNumbers w:val="0"/>
              <w:bidi w:val="0"/>
              <w:spacing w:before="0" w:beforeAutospacing="0" w:after="0" w:afterAutospacing="0" w:line="360" w:lineRule="auto"/>
              <w:ind w:left="0" w:right="0" w:firstLine="480" w:firstLineChars="200"/>
              <w:rPr>
                <w:rFonts w:hint="eastAsia" w:ascii="Times New Roman" w:eastAsia="宋体"/>
                <w:color w:val="auto"/>
                <w:sz w:val="24"/>
                <w:highlight w:val="none"/>
                <w:lang w:val="en-US" w:eastAsia="zh-CN"/>
              </w:rPr>
            </w:pPr>
            <w:r>
              <w:rPr>
                <w:rFonts w:hint="eastAsia"/>
                <w:color w:val="auto"/>
                <w:sz w:val="24"/>
                <w:highlight w:val="none"/>
                <w:lang w:val="en-US" w:eastAsia="zh-CN"/>
              </w:rPr>
              <w:t>根据建设单位提供的信息，本项目冷却用水对水质无要求，本项目冷却水为间接冷却，不直接接触产品，不会改变水质，主要成分为可溶性盐类，杂质指标低，项目冷却水循环使用，每年排一次，故本项目循环冷却水回用可行。</w:t>
            </w:r>
          </w:p>
          <w:p w14:paraId="238E21C0">
            <w:pPr>
              <w:keepNext w:val="0"/>
              <w:keepLines w:val="0"/>
              <w:suppressLineNumbers w:val="0"/>
              <w:bidi w:val="0"/>
              <w:spacing w:before="0" w:beforeAutospacing="0" w:after="0" w:afterAutospacing="0" w:line="360" w:lineRule="auto"/>
              <w:ind w:left="0" w:right="0" w:firstLine="480" w:firstLineChars="200"/>
              <w:rPr>
                <w:rFonts w:hint="eastAsia"/>
                <w:color w:val="auto"/>
                <w:sz w:val="24"/>
                <w:highlight w:val="none"/>
                <w:lang w:val="en-US" w:eastAsia="zh-CN"/>
              </w:rPr>
            </w:pPr>
            <w:r>
              <w:rPr>
                <w:rFonts w:hint="eastAsia" w:ascii="Times New Roman" w:eastAsia="宋体"/>
                <w:color w:val="auto"/>
                <w:sz w:val="24"/>
                <w:highlight w:val="none"/>
                <w:lang w:val="en-US" w:eastAsia="zh-CN"/>
              </w:rPr>
              <w:t>（</w:t>
            </w:r>
            <w:r>
              <w:rPr>
                <w:rFonts w:hint="eastAsia"/>
                <w:color w:val="auto"/>
                <w:sz w:val="24"/>
                <w:highlight w:val="none"/>
                <w:lang w:val="en-US" w:eastAsia="zh-CN"/>
              </w:rPr>
              <w:t>4</w:t>
            </w:r>
            <w:r>
              <w:rPr>
                <w:rFonts w:hint="eastAsia" w:ascii="Times New Roman" w:eastAsia="宋体"/>
                <w:color w:val="auto"/>
                <w:sz w:val="24"/>
                <w:highlight w:val="none"/>
                <w:lang w:val="en-US" w:eastAsia="zh-CN"/>
              </w:rPr>
              <w:t>）废水治理设施技术可行性分析</w:t>
            </w:r>
          </w:p>
          <w:p w14:paraId="304D8E7A">
            <w:pPr>
              <w:keepNext w:val="0"/>
              <w:keepLines w:val="0"/>
              <w:suppressLineNumbers w:val="0"/>
              <w:bidi w:val="0"/>
              <w:spacing w:before="0" w:beforeAutospacing="0" w:after="0" w:afterAutospacing="0" w:line="360" w:lineRule="auto"/>
              <w:ind w:left="0" w:right="0" w:firstLine="480" w:firstLineChars="200"/>
              <w:rPr>
                <w:rFonts w:hint="eastAsia"/>
                <w:color w:val="auto"/>
                <w:sz w:val="24"/>
                <w:highlight w:val="none"/>
                <w:lang w:val="en-US" w:eastAsia="zh-CN"/>
              </w:rPr>
            </w:pPr>
            <w:r>
              <w:rPr>
                <w:rFonts w:hint="eastAsia"/>
                <w:color w:val="auto"/>
                <w:sz w:val="24"/>
                <w:highlight w:val="none"/>
                <w:lang w:val="en-US" w:eastAsia="zh-CN"/>
              </w:rPr>
              <w:t>本项目废水为生活污水，生活污水排放量576</w:t>
            </w:r>
            <w:r>
              <w:rPr>
                <w:rFonts w:hint="default"/>
                <w:color w:val="auto"/>
                <w:sz w:val="24"/>
                <w:highlight w:val="none"/>
                <w:lang w:val="en-US" w:eastAsia="zh-CN"/>
              </w:rPr>
              <w:t>m</w:t>
            </w:r>
            <w:r>
              <w:rPr>
                <w:rFonts w:hint="default"/>
                <w:color w:val="auto"/>
                <w:sz w:val="24"/>
                <w:highlight w:val="none"/>
                <w:vertAlign w:val="superscript"/>
                <w:lang w:val="en-US" w:eastAsia="zh-CN"/>
              </w:rPr>
              <w:t>3</w:t>
            </w:r>
            <w:r>
              <w:rPr>
                <w:rFonts w:hint="default"/>
                <w:color w:val="auto"/>
                <w:sz w:val="24"/>
                <w:highlight w:val="none"/>
                <w:lang w:val="en-US" w:eastAsia="zh-CN"/>
              </w:rPr>
              <w:t>/a</w:t>
            </w:r>
            <w:r>
              <w:rPr>
                <w:rFonts w:hint="eastAsia"/>
                <w:color w:val="auto"/>
                <w:sz w:val="24"/>
                <w:highlight w:val="none"/>
                <w:lang w:val="en-US" w:eastAsia="zh-CN"/>
              </w:rPr>
              <w:t>，废水中主要污染物为pH、COD</w:t>
            </w:r>
            <w:r>
              <w:rPr>
                <w:rFonts w:hint="eastAsia"/>
                <w:color w:val="auto"/>
                <w:sz w:val="24"/>
                <w:highlight w:val="none"/>
                <w:vertAlign w:val="subscript"/>
                <w:lang w:val="en-US" w:eastAsia="zh-CN"/>
              </w:rPr>
              <w:t>Cr</w:t>
            </w:r>
            <w:r>
              <w:rPr>
                <w:rFonts w:hint="eastAsia"/>
                <w:color w:val="auto"/>
                <w:sz w:val="24"/>
                <w:highlight w:val="none"/>
                <w:lang w:val="en-US" w:eastAsia="zh-CN"/>
              </w:rPr>
              <w:t>、BOD</w:t>
            </w:r>
            <w:r>
              <w:rPr>
                <w:rFonts w:hint="eastAsia"/>
                <w:color w:val="auto"/>
                <w:sz w:val="24"/>
                <w:highlight w:val="none"/>
                <w:vertAlign w:val="subscript"/>
                <w:lang w:val="en-US" w:eastAsia="zh-CN"/>
              </w:rPr>
              <w:t>5</w:t>
            </w:r>
            <w:r>
              <w:rPr>
                <w:rFonts w:hint="eastAsia"/>
                <w:color w:val="auto"/>
                <w:sz w:val="24"/>
                <w:highlight w:val="none"/>
                <w:lang w:val="en-US" w:eastAsia="zh-CN"/>
              </w:rPr>
              <w:t>、氨氮</w:t>
            </w:r>
            <w:r>
              <w:rPr>
                <w:rFonts w:hint="eastAsia" w:ascii="Times New Roman" w:eastAsia="宋体"/>
                <w:color w:val="auto"/>
                <w:sz w:val="24"/>
                <w:highlight w:val="none"/>
                <w:lang w:val="en-US" w:eastAsia="zh-CN"/>
              </w:rPr>
              <w:t>、</w:t>
            </w:r>
            <w:r>
              <w:rPr>
                <w:rFonts w:hint="eastAsia"/>
                <w:color w:val="auto"/>
                <w:sz w:val="24"/>
                <w:highlight w:val="none"/>
                <w:lang w:val="en-US" w:eastAsia="zh-CN"/>
              </w:rPr>
              <w:t>SS、TP、</w:t>
            </w:r>
            <w:r>
              <w:rPr>
                <w:rFonts w:hint="eastAsia"/>
                <w:color w:val="000000" w:themeColor="text1"/>
                <w:sz w:val="24"/>
                <w:highlight w:val="none"/>
                <w:lang w:val="en-US" w:eastAsia="zh-CN"/>
                <w14:textFill>
                  <w14:solidFill>
                    <w14:schemeClr w14:val="tx1"/>
                  </w14:solidFill>
                </w14:textFill>
              </w:rPr>
              <w:t>总氮、动植物油、石油类等。生活污水依托厂区现有项目已建隔油池+化粪池预处理</w:t>
            </w:r>
            <w:r>
              <w:rPr>
                <w:rFonts w:hint="default"/>
                <w:color w:val="000000" w:themeColor="text1"/>
                <w:highlight w:val="none"/>
                <w14:textFill>
                  <w14:solidFill>
                    <w14:schemeClr w14:val="tx1"/>
                  </w14:solidFill>
                </w14:textFill>
              </w:rPr>
              <w:t>达《污水综合排放标准》(GB8978-1996)表4中三级标准及</w:t>
            </w:r>
            <w:r>
              <w:rPr>
                <w:rFonts w:hint="eastAsia"/>
                <w:color w:val="000000" w:themeColor="text1"/>
                <w:highlight w:val="none"/>
                <w:lang w:eastAsia="zh-CN"/>
                <w14:textFill>
                  <w14:solidFill>
                    <w14:schemeClr w14:val="tx1"/>
                  </w14:solidFill>
                </w14:textFill>
              </w:rPr>
              <w:t>园区</w:t>
            </w:r>
            <w:r>
              <w:rPr>
                <w:rFonts w:hint="default"/>
                <w:color w:val="000000" w:themeColor="text1"/>
                <w:highlight w:val="none"/>
                <w14:textFill>
                  <w14:solidFill>
                    <w14:schemeClr w14:val="tx1"/>
                  </w14:solidFill>
                </w14:textFill>
              </w:rPr>
              <w:t>污水处理厂接管标准后</w:t>
            </w:r>
            <w:r>
              <w:rPr>
                <w:rFonts w:hint="default"/>
                <w:color w:val="auto"/>
                <w:highlight w:val="none"/>
              </w:rPr>
              <w:t>排入</w:t>
            </w:r>
            <w:r>
              <w:rPr>
                <w:rFonts w:hint="eastAsia"/>
                <w:color w:val="auto"/>
                <w:highlight w:val="none"/>
                <w:lang w:val="en-US" w:eastAsia="zh-CN"/>
              </w:rPr>
              <w:t>江西安义高新技术产业园区污水处理厂</w:t>
            </w:r>
            <w:r>
              <w:rPr>
                <w:rFonts w:hint="default"/>
                <w:color w:val="auto"/>
                <w:highlight w:val="none"/>
              </w:rPr>
              <w:t>进行深度处理</w:t>
            </w:r>
            <w:r>
              <w:rPr>
                <w:rFonts w:hint="eastAsia"/>
                <w:color w:val="auto"/>
                <w:highlight w:val="none"/>
                <w:lang w:eastAsia="zh-CN"/>
              </w:rPr>
              <w:t>，</w:t>
            </w:r>
            <w:r>
              <w:rPr>
                <w:rFonts w:hint="default"/>
                <w:color w:val="auto"/>
                <w:highlight w:val="none"/>
              </w:rPr>
              <w:t>达《城镇污水处理厂污染物排放标准》（</w:t>
            </w:r>
            <w:r>
              <w:rPr>
                <w:rFonts w:hint="default"/>
                <w:color w:val="auto"/>
                <w:highlight w:val="none"/>
                <w:lang w:val="en-US" w:eastAsia="zh-CN"/>
              </w:rPr>
              <w:t>GB18918-2002</w:t>
            </w:r>
            <w:r>
              <w:rPr>
                <w:rFonts w:hint="eastAsia"/>
                <w:color w:val="auto"/>
                <w:highlight w:val="none"/>
                <w:lang w:val="en-US" w:eastAsia="zh-CN"/>
              </w:rPr>
              <w:t>，含2025年</w:t>
            </w:r>
            <w:r>
              <w:rPr>
                <w:rFonts w:hint="default"/>
                <w:color w:val="auto"/>
                <w:highlight w:val="none"/>
                <w:lang w:val="en-US" w:eastAsia="zh-CN"/>
              </w:rPr>
              <w:t>修改单</w:t>
            </w:r>
            <w:r>
              <w:rPr>
                <w:rFonts w:hint="default"/>
                <w:color w:val="auto"/>
                <w:highlight w:val="none"/>
              </w:rPr>
              <w:t>）一级</w:t>
            </w:r>
            <w:r>
              <w:rPr>
                <w:rFonts w:hint="eastAsia"/>
                <w:color w:val="auto"/>
                <w:highlight w:val="none"/>
                <w:lang w:val="en-US" w:eastAsia="zh-CN"/>
              </w:rPr>
              <w:t>A</w:t>
            </w:r>
            <w:r>
              <w:rPr>
                <w:rFonts w:hint="default"/>
                <w:color w:val="auto"/>
                <w:highlight w:val="none"/>
              </w:rPr>
              <w:t>标准后排入</w:t>
            </w:r>
            <w:r>
              <w:rPr>
                <w:rFonts w:hint="eastAsia"/>
                <w:color w:val="auto"/>
                <w:highlight w:val="none"/>
                <w:lang w:val="en-US" w:eastAsia="zh-CN"/>
              </w:rPr>
              <w:t>潦河</w:t>
            </w:r>
            <w:r>
              <w:rPr>
                <w:rFonts w:hint="eastAsia"/>
                <w:color w:val="auto"/>
                <w:sz w:val="24"/>
                <w:highlight w:val="none"/>
                <w:lang w:val="en-US" w:eastAsia="zh-CN"/>
              </w:rPr>
              <w:t>。现有项目隔油池+化粪池处理能力40t/d，已使用24t/d，剩余容量16t/d，可容纳本项目生活污水量（1.92t/d），故本项目生活污水隔油池+化粪池依托处理可行。根据《排污许可证申请与核发技术规范 总则》（HJ942-2018），化粪池处理为可行技术。</w:t>
            </w:r>
          </w:p>
          <w:p w14:paraId="489C80CC">
            <w:pPr>
              <w:keepNext w:val="0"/>
              <w:keepLines w:val="0"/>
              <w:suppressLineNumbers w:val="0"/>
              <w:bidi w:val="0"/>
              <w:spacing w:before="0" w:beforeAutospacing="0" w:after="0" w:afterAutospacing="0" w:line="360" w:lineRule="auto"/>
              <w:ind w:left="0" w:right="0" w:firstLine="480" w:firstLineChars="200"/>
              <w:rPr>
                <w:rFonts w:hint="eastAsia"/>
                <w:color w:val="auto"/>
                <w:sz w:val="24"/>
                <w:highlight w:val="none"/>
                <w:lang w:val="en-US" w:eastAsia="zh-CN"/>
              </w:rPr>
            </w:pPr>
            <w:r>
              <w:rPr>
                <w:rFonts w:hint="eastAsia"/>
                <w:color w:val="auto"/>
                <w:sz w:val="24"/>
                <w:highlight w:val="none"/>
              </w:rPr>
              <w:t>（</w:t>
            </w:r>
            <w:r>
              <w:rPr>
                <w:rFonts w:hint="eastAsia"/>
                <w:color w:val="auto"/>
                <w:sz w:val="24"/>
                <w:highlight w:val="none"/>
                <w:lang w:val="en-US" w:eastAsia="zh-CN"/>
              </w:rPr>
              <w:t>5</w:t>
            </w:r>
            <w:r>
              <w:rPr>
                <w:rFonts w:hint="eastAsia"/>
                <w:color w:val="auto"/>
                <w:sz w:val="24"/>
                <w:highlight w:val="none"/>
              </w:rPr>
              <w:t>）</w:t>
            </w:r>
            <w:r>
              <w:rPr>
                <w:rFonts w:hint="default"/>
                <w:color w:val="auto"/>
                <w:sz w:val="24"/>
                <w:highlight w:val="none"/>
              </w:rPr>
              <w:t>依托污水处理设施可行性分析</w:t>
            </w:r>
          </w:p>
          <w:p w14:paraId="78B4F703">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auto"/>
                <w:sz w:val="24"/>
                <w:highlight w:val="none"/>
                <w:lang w:eastAsia="zh-CN"/>
              </w:rPr>
            </w:pPr>
            <w:r>
              <w:rPr>
                <w:rFonts w:hint="eastAsia"/>
                <w:color w:val="auto"/>
                <w:sz w:val="24"/>
                <w:highlight w:val="none"/>
                <w:lang w:val="en-US" w:eastAsia="zh-CN"/>
              </w:rPr>
              <w:t>江西</w:t>
            </w:r>
            <w:r>
              <w:rPr>
                <w:rFonts w:hint="eastAsia" w:ascii="Times New Roman" w:eastAsia="宋体"/>
                <w:color w:val="auto"/>
                <w:sz w:val="24"/>
                <w:highlight w:val="none"/>
                <w:lang w:val="en-US" w:eastAsia="zh-CN"/>
              </w:rPr>
              <w:t>安义</w:t>
            </w:r>
            <w:r>
              <w:rPr>
                <w:rFonts w:hint="eastAsia"/>
                <w:color w:val="auto"/>
                <w:sz w:val="24"/>
                <w:highlight w:val="none"/>
                <w:lang w:val="en-US" w:eastAsia="zh-CN"/>
              </w:rPr>
              <w:t>高新技术产业园区</w:t>
            </w:r>
            <w:r>
              <w:rPr>
                <w:rFonts w:hint="eastAsia"/>
                <w:color w:val="auto"/>
                <w:highlight w:val="none"/>
                <w:lang w:val="en-US" w:eastAsia="zh-CN"/>
              </w:rPr>
              <w:t>污水处理厂</w:t>
            </w:r>
            <w:r>
              <w:rPr>
                <w:rFonts w:hint="default"/>
                <w:color w:val="auto"/>
                <w:sz w:val="24"/>
                <w:highlight w:val="none"/>
              </w:rPr>
              <w:t>位于安义县东阳镇东阳村耦弯段加油站西面，2012年6月动工，2014年11月一期工程投入运营。项目总投资约6137.85万元，总占地面积约54亩，一期工程处理量2万m</w:t>
            </w:r>
            <w:r>
              <w:rPr>
                <w:rFonts w:hint="default"/>
                <w:color w:val="auto"/>
                <w:sz w:val="24"/>
                <w:highlight w:val="none"/>
                <w:vertAlign w:val="superscript"/>
              </w:rPr>
              <w:t>3</w:t>
            </w:r>
            <w:r>
              <w:rPr>
                <w:rFonts w:hint="default"/>
                <w:color w:val="auto"/>
                <w:sz w:val="24"/>
                <w:highlight w:val="none"/>
              </w:rPr>
              <w:t>/d，远期规划4万m</w:t>
            </w:r>
            <w:r>
              <w:rPr>
                <w:rFonts w:hint="default"/>
                <w:color w:val="auto"/>
                <w:sz w:val="24"/>
                <w:highlight w:val="none"/>
                <w:vertAlign w:val="superscript"/>
              </w:rPr>
              <w:t>3</w:t>
            </w:r>
            <w:r>
              <w:rPr>
                <w:rFonts w:hint="default"/>
                <w:color w:val="auto"/>
                <w:sz w:val="24"/>
                <w:highlight w:val="none"/>
              </w:rPr>
              <w:t>/d，污水处理工艺为：</w:t>
            </w:r>
            <w:r>
              <w:rPr>
                <w:rFonts w:hint="default"/>
                <w:color w:val="auto"/>
                <w:lang w:val="en-US" w:eastAsia="zh-CN"/>
              </w:rPr>
              <w:t>预处理+调节+混凝沉淀+水解酸化+氧化沟+二沉池+紫外线消毒</w:t>
            </w:r>
            <w:r>
              <w:rPr>
                <w:rFonts w:hint="eastAsia"/>
                <w:color w:val="auto"/>
                <w:sz w:val="24"/>
                <w:highlight w:val="none"/>
                <w:lang w:eastAsia="zh-CN"/>
              </w:rPr>
              <w:t>。</w:t>
            </w:r>
          </w:p>
          <w:p w14:paraId="7369B85F">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auto"/>
                <w:sz w:val="24"/>
                <w:highlight w:val="none"/>
                <w:lang w:eastAsia="zh-CN"/>
              </w:rPr>
            </w:pPr>
            <w:r>
              <w:rPr>
                <w:rFonts w:hint="eastAsia"/>
                <w:color w:val="auto"/>
                <w:sz w:val="24"/>
                <w:highlight w:val="none"/>
                <w:lang w:eastAsia="zh-CN"/>
              </w:rPr>
              <w:t>江西安义高新技术产业园区污水处理厂于2024年5月15日取得了南昌市生态环境局关于《安义县工业园区污水管网提升改造工程环境影响报告书》的批复（洪环环评〔2024〕84 号），对现有一期工程进行提标改造并扩建二期工程。二期建设规模为10000m</w:t>
            </w:r>
            <w:r>
              <w:rPr>
                <w:rFonts w:hint="eastAsia"/>
                <w:color w:val="auto"/>
                <w:sz w:val="24"/>
                <w:highlight w:val="none"/>
                <w:vertAlign w:val="superscript"/>
                <w:lang w:eastAsia="zh-CN"/>
              </w:rPr>
              <w:t>3</w:t>
            </w:r>
            <w:r>
              <w:rPr>
                <w:rFonts w:hint="eastAsia"/>
                <w:color w:val="auto"/>
                <w:sz w:val="24"/>
                <w:highlight w:val="none"/>
                <w:lang w:eastAsia="zh-CN"/>
              </w:rPr>
              <w:t>/d，建成后全厂污水处理规模为30000m</w:t>
            </w:r>
            <w:r>
              <w:rPr>
                <w:rFonts w:hint="eastAsia"/>
                <w:color w:val="auto"/>
                <w:sz w:val="24"/>
                <w:highlight w:val="none"/>
                <w:vertAlign w:val="superscript"/>
                <w:lang w:eastAsia="zh-CN"/>
              </w:rPr>
              <w:t>3</w:t>
            </w:r>
            <w:r>
              <w:rPr>
                <w:rFonts w:hint="eastAsia"/>
                <w:color w:val="auto"/>
                <w:sz w:val="24"/>
                <w:highlight w:val="none"/>
                <w:lang w:eastAsia="zh-CN"/>
              </w:rPr>
              <w:t>/d。二期工程暂未进行验收，建成后全厂污水处理工艺为粗格栅+一期细格栅及沉砂/二期细格栅+调节+一期、二期混凝沉淀+一期氧化沟/二期五段法Bardenpho（A/A/O/A/O）+高密度沉淀+过滤+紫外线消毒，出水水质执行《城镇污水处理厂污染物排放标准》（</w:t>
            </w:r>
            <w:r>
              <w:rPr>
                <w:rFonts w:hint="default"/>
                <w:color w:val="auto"/>
                <w:highlight w:val="none"/>
                <w:lang w:val="en-US" w:eastAsia="zh-CN"/>
              </w:rPr>
              <w:t>GB18918-2002</w:t>
            </w:r>
            <w:r>
              <w:rPr>
                <w:rFonts w:hint="eastAsia"/>
                <w:color w:val="auto"/>
                <w:highlight w:val="none"/>
                <w:lang w:val="en-US" w:eastAsia="zh-CN"/>
              </w:rPr>
              <w:t>，含2025年</w:t>
            </w:r>
            <w:r>
              <w:rPr>
                <w:rFonts w:hint="default"/>
                <w:color w:val="auto"/>
                <w:highlight w:val="none"/>
                <w:lang w:val="en-US" w:eastAsia="zh-CN"/>
              </w:rPr>
              <w:t>修改单</w:t>
            </w:r>
            <w:r>
              <w:rPr>
                <w:rFonts w:hint="eastAsia"/>
                <w:color w:val="auto"/>
                <w:sz w:val="24"/>
                <w:highlight w:val="none"/>
                <w:lang w:eastAsia="zh-CN"/>
              </w:rPr>
              <w:t>）一级A标准。</w:t>
            </w:r>
          </w:p>
          <w:p w14:paraId="0FD45308">
            <w:pPr>
              <w:keepNext w:val="0"/>
              <w:keepLines w:val="0"/>
              <w:suppressLineNumbers w:val="0"/>
              <w:bidi w:val="0"/>
              <w:spacing w:before="0" w:beforeAutospacing="0" w:after="0" w:afterAutospacing="0"/>
              <w:ind w:left="0" w:right="0"/>
              <w:rPr>
                <w:rFonts w:hint="default"/>
                <w:color w:val="auto"/>
                <w:sz w:val="24"/>
                <w:highlight w:val="none"/>
              </w:rPr>
            </w:pPr>
            <w:r>
              <w:rPr>
                <w:rFonts w:hint="default"/>
                <w:color w:val="auto"/>
                <w:sz w:val="24"/>
                <w:highlight w:val="none"/>
              </w:rPr>
              <w:t>根据江西安义高新技术产业园区污水处理厂设计规划，江西安义高新技术产业园区污水处理厂提标改造并扩建二期工程，建成后全厂污水处理规模为30000m</w:t>
            </w:r>
            <w:r>
              <w:rPr>
                <w:rFonts w:hint="default"/>
                <w:color w:val="auto"/>
                <w:sz w:val="24"/>
                <w:highlight w:val="none"/>
                <w:vertAlign w:val="superscript"/>
              </w:rPr>
              <w:t>3</w:t>
            </w:r>
            <w:r>
              <w:rPr>
                <w:rFonts w:hint="default"/>
                <w:color w:val="auto"/>
                <w:sz w:val="24"/>
                <w:highlight w:val="none"/>
              </w:rPr>
              <w:t>/d。已知一期处理规模为20000m</w:t>
            </w:r>
            <w:r>
              <w:rPr>
                <w:rFonts w:hint="default"/>
                <w:color w:val="auto"/>
                <w:sz w:val="24"/>
                <w:highlight w:val="none"/>
                <w:vertAlign w:val="superscript"/>
              </w:rPr>
              <w:t>3</w:t>
            </w:r>
            <w:r>
              <w:rPr>
                <w:rFonts w:hint="default"/>
                <w:color w:val="auto"/>
                <w:sz w:val="24"/>
                <w:highlight w:val="none"/>
              </w:rPr>
              <w:t>/d，现处理量为1.8万m</w:t>
            </w:r>
            <w:r>
              <w:rPr>
                <w:rFonts w:hint="default"/>
                <w:color w:val="auto"/>
                <w:sz w:val="24"/>
                <w:highlight w:val="none"/>
                <w:vertAlign w:val="superscript"/>
              </w:rPr>
              <w:t>3</w:t>
            </w:r>
            <w:r>
              <w:rPr>
                <w:rFonts w:hint="default"/>
                <w:color w:val="auto"/>
                <w:sz w:val="24"/>
                <w:highlight w:val="none"/>
              </w:rPr>
              <w:t>/d，剩余0.2万m</w:t>
            </w:r>
            <w:r>
              <w:rPr>
                <w:rFonts w:hint="default"/>
                <w:color w:val="auto"/>
                <w:sz w:val="24"/>
                <w:highlight w:val="none"/>
                <w:vertAlign w:val="superscript"/>
              </w:rPr>
              <w:t>3</w:t>
            </w:r>
            <w:r>
              <w:rPr>
                <w:rFonts w:hint="default"/>
                <w:color w:val="auto"/>
                <w:sz w:val="24"/>
                <w:highlight w:val="none"/>
              </w:rPr>
              <w:t>/d；二期建设规模为10000m</w:t>
            </w:r>
            <w:r>
              <w:rPr>
                <w:rFonts w:hint="default"/>
                <w:color w:val="auto"/>
                <w:sz w:val="24"/>
                <w:highlight w:val="none"/>
                <w:vertAlign w:val="superscript"/>
              </w:rPr>
              <w:t>3</w:t>
            </w:r>
            <w:r>
              <w:rPr>
                <w:rFonts w:hint="default"/>
                <w:color w:val="auto"/>
                <w:sz w:val="24"/>
                <w:highlight w:val="none"/>
              </w:rPr>
              <w:t>/d，项目废水排放量为</w:t>
            </w:r>
            <w:r>
              <w:rPr>
                <w:rFonts w:hint="eastAsia"/>
                <w:color w:val="auto"/>
                <w:sz w:val="24"/>
                <w:highlight w:val="none"/>
                <w:lang w:val="en-US" w:eastAsia="zh-CN"/>
              </w:rPr>
              <w:t>1.92</w:t>
            </w:r>
            <w:r>
              <w:rPr>
                <w:rFonts w:hint="default"/>
                <w:color w:val="auto"/>
                <w:sz w:val="24"/>
                <w:highlight w:val="none"/>
              </w:rPr>
              <w:t>m</w:t>
            </w:r>
            <w:r>
              <w:rPr>
                <w:rFonts w:hint="default"/>
                <w:color w:val="auto"/>
                <w:sz w:val="24"/>
                <w:highlight w:val="none"/>
                <w:vertAlign w:val="superscript"/>
              </w:rPr>
              <w:t>3</w:t>
            </w:r>
            <w:r>
              <w:rPr>
                <w:rFonts w:hint="default"/>
                <w:color w:val="auto"/>
                <w:sz w:val="24"/>
                <w:highlight w:val="none"/>
              </w:rPr>
              <w:t>/d，江西安义高新技术产业园区污水处理厂能够接纳本项目废水。因此，项目废水排入江西安义高新技术产业园区污水处理厂对其冲击较小。</w:t>
            </w:r>
          </w:p>
          <w:p w14:paraId="7AD37518">
            <w:pPr>
              <w:keepNext w:val="0"/>
              <w:keepLines w:val="0"/>
              <w:suppressLineNumbers w:val="0"/>
              <w:bidi w:val="0"/>
              <w:spacing w:before="0" w:beforeAutospacing="0" w:after="0" w:afterAutospacing="0"/>
              <w:ind w:left="0" w:right="0"/>
              <w:rPr>
                <w:rFonts w:hint="eastAsia"/>
                <w:color w:val="auto"/>
                <w:highlight w:val="none"/>
              </w:rPr>
            </w:pPr>
            <w:r>
              <w:rPr>
                <w:rFonts w:hint="eastAsia"/>
                <w:color w:val="auto"/>
                <w:highlight w:val="none"/>
              </w:rPr>
              <w:t>（</w:t>
            </w:r>
            <w:r>
              <w:rPr>
                <w:rFonts w:hint="eastAsia"/>
                <w:color w:val="auto"/>
                <w:highlight w:val="none"/>
                <w:lang w:val="en-US" w:eastAsia="zh-CN"/>
              </w:rPr>
              <w:t>6</w:t>
            </w:r>
            <w:r>
              <w:rPr>
                <w:rFonts w:hint="eastAsia"/>
                <w:color w:val="auto"/>
                <w:highlight w:val="none"/>
              </w:rPr>
              <w:t>）废</w:t>
            </w:r>
            <w:r>
              <w:rPr>
                <w:rFonts w:hint="eastAsia"/>
                <w:color w:val="auto"/>
                <w:highlight w:val="none"/>
                <w:lang w:val="en-US" w:eastAsia="zh-CN"/>
              </w:rPr>
              <w:t>水</w:t>
            </w:r>
            <w:r>
              <w:rPr>
                <w:rFonts w:hint="eastAsia"/>
                <w:color w:val="auto"/>
                <w:highlight w:val="none"/>
              </w:rPr>
              <w:t>监测要求</w:t>
            </w:r>
          </w:p>
          <w:p w14:paraId="5AD6E0FF">
            <w:pPr>
              <w:keepNext w:val="0"/>
              <w:keepLines w:val="0"/>
              <w:widowControl/>
              <w:suppressLineNumbers w:val="0"/>
              <w:spacing w:before="0" w:beforeAutospacing="0" w:after="0" w:afterAutospacing="0"/>
              <w:ind w:left="0" w:right="0"/>
              <w:jc w:val="left"/>
              <w:rPr>
                <w:rFonts w:hint="eastAsia"/>
                <w:b/>
                <w:bCs/>
                <w:color w:val="auto"/>
                <w:highlight w:val="none"/>
              </w:rPr>
            </w:pPr>
            <w:r>
              <w:rPr>
                <w:rFonts w:hint="eastAsia"/>
                <w:color w:val="auto"/>
                <w:highlight w:val="none"/>
                <w:lang w:val="en-US" w:eastAsia="zh-CN"/>
              </w:rPr>
              <w:t>根据《排污单位自行监测技术指南 橡胶和塑料制品》（HJ 1207-2021）废水排放监测要求，环评建议本项目废水监测计划建议见表4-10。</w:t>
            </w:r>
          </w:p>
          <w:p w14:paraId="3C7C1ECA">
            <w:pPr>
              <w:pStyle w:val="6"/>
              <w:keepNext w:val="0"/>
              <w:keepLines w:val="0"/>
              <w:suppressLineNumbers w:val="0"/>
              <w:bidi w:val="0"/>
              <w:spacing w:before="0" w:beforeAutospacing="0" w:after="0" w:afterAutospacing="0"/>
              <w:ind w:right="0"/>
              <w:jc w:val="center"/>
              <w:rPr>
                <w:rFonts w:hint="default"/>
                <w:b/>
                <w:bCs/>
                <w:color w:val="auto"/>
                <w:highlight w:val="none"/>
              </w:rPr>
            </w:pPr>
            <w:r>
              <w:rPr>
                <w:rFonts w:hint="eastAsia"/>
                <w:b/>
                <w:bCs/>
                <w:color w:val="auto"/>
                <w:highlight w:val="none"/>
              </w:rPr>
              <w:t>表4</w:t>
            </w:r>
            <w:r>
              <w:rPr>
                <w:rFonts w:hint="eastAsia"/>
                <w:b/>
                <w:bCs/>
                <w:color w:val="auto"/>
                <w:highlight w:val="none"/>
                <w:lang w:val="en-US" w:eastAsia="zh-CN"/>
              </w:rPr>
              <w:t>-10</w:t>
            </w:r>
            <w:r>
              <w:rPr>
                <w:rFonts w:hint="default"/>
                <w:b/>
                <w:bCs/>
                <w:color w:val="auto"/>
                <w:highlight w:val="none"/>
              </w:rPr>
              <w:t xml:space="preserve"> </w:t>
            </w:r>
            <w:r>
              <w:rPr>
                <w:rFonts w:hint="eastAsia"/>
                <w:b/>
                <w:bCs/>
                <w:color w:val="auto"/>
                <w:highlight w:val="none"/>
                <w:lang w:val="en-US" w:eastAsia="zh-CN"/>
              </w:rPr>
              <w:t xml:space="preserve">  </w:t>
            </w:r>
            <w:r>
              <w:rPr>
                <w:rFonts w:hint="eastAsia"/>
                <w:b/>
                <w:bCs/>
                <w:color w:val="auto"/>
                <w:highlight w:val="none"/>
              </w:rPr>
              <w:t>废</w:t>
            </w:r>
            <w:r>
              <w:rPr>
                <w:rFonts w:hint="eastAsia"/>
                <w:b/>
                <w:bCs/>
                <w:color w:val="auto"/>
                <w:highlight w:val="none"/>
                <w:lang w:val="en-US" w:eastAsia="zh-CN"/>
              </w:rPr>
              <w:t>水</w:t>
            </w:r>
            <w:r>
              <w:rPr>
                <w:rFonts w:hint="eastAsia"/>
                <w:b/>
                <w:bCs/>
                <w:color w:val="auto"/>
                <w:highlight w:val="none"/>
              </w:rPr>
              <w:t>监测计划一览表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9"/>
              <w:gridCol w:w="2535"/>
              <w:gridCol w:w="1510"/>
              <w:gridCol w:w="2872"/>
            </w:tblGrid>
            <w:tr w14:paraId="71F0E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0" w:hRule="atLeast"/>
                <w:jc w:val="center"/>
              </w:trPr>
              <w:tc>
                <w:tcPr>
                  <w:tcW w:w="1539" w:type="dxa"/>
                  <w:vMerge w:val="restart"/>
                  <w:noWrap w:val="0"/>
                  <w:vAlign w:val="center"/>
                </w:tcPr>
                <w:p w14:paraId="5F5562C3">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监测点位</w:t>
                  </w:r>
                </w:p>
              </w:tc>
              <w:tc>
                <w:tcPr>
                  <w:tcW w:w="2535" w:type="dxa"/>
                  <w:vMerge w:val="restart"/>
                  <w:noWrap w:val="0"/>
                  <w:vAlign w:val="center"/>
                </w:tcPr>
                <w:p w14:paraId="09BFBE20">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监测指标</w:t>
                  </w:r>
                </w:p>
              </w:tc>
              <w:tc>
                <w:tcPr>
                  <w:tcW w:w="1510" w:type="dxa"/>
                  <w:noWrap w:val="0"/>
                  <w:vAlign w:val="center"/>
                </w:tcPr>
                <w:p w14:paraId="45061B5A">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监测频次</w:t>
                  </w:r>
                </w:p>
              </w:tc>
              <w:tc>
                <w:tcPr>
                  <w:tcW w:w="2872" w:type="dxa"/>
                  <w:vMerge w:val="restart"/>
                  <w:noWrap w:val="0"/>
                  <w:vAlign w:val="center"/>
                </w:tcPr>
                <w:p w14:paraId="7F4092AE">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执行排放标准</w:t>
                  </w:r>
                </w:p>
              </w:tc>
            </w:tr>
            <w:tr w14:paraId="301E6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0" w:hRule="atLeast"/>
                <w:jc w:val="center"/>
              </w:trPr>
              <w:tc>
                <w:tcPr>
                  <w:tcW w:w="1539" w:type="dxa"/>
                  <w:vMerge w:val="continue"/>
                  <w:noWrap w:val="0"/>
                  <w:vAlign w:val="center"/>
                </w:tcPr>
                <w:p w14:paraId="1CC477D3">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jc w:val="center"/>
                    <w:textAlignment w:val="auto"/>
                    <w:rPr>
                      <w:rFonts w:hint="default" w:ascii="Times New Roman" w:hAnsi="Times New Roman" w:eastAsia="宋体" w:cs="Times New Roman"/>
                      <w:b/>
                      <w:bCs/>
                      <w:color w:val="auto"/>
                      <w:sz w:val="21"/>
                      <w:szCs w:val="21"/>
                      <w:highlight w:val="none"/>
                    </w:rPr>
                  </w:pPr>
                </w:p>
              </w:tc>
              <w:tc>
                <w:tcPr>
                  <w:tcW w:w="2535" w:type="dxa"/>
                  <w:vMerge w:val="continue"/>
                  <w:noWrap w:val="0"/>
                  <w:vAlign w:val="center"/>
                </w:tcPr>
                <w:p w14:paraId="7FDE832D">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jc w:val="center"/>
                    <w:textAlignment w:val="auto"/>
                    <w:rPr>
                      <w:rFonts w:hint="default" w:ascii="Times New Roman" w:hAnsi="Times New Roman" w:eastAsia="宋体" w:cs="Times New Roman"/>
                      <w:b/>
                      <w:bCs/>
                      <w:color w:val="auto"/>
                      <w:sz w:val="21"/>
                      <w:szCs w:val="21"/>
                      <w:highlight w:val="none"/>
                    </w:rPr>
                  </w:pPr>
                </w:p>
              </w:tc>
              <w:tc>
                <w:tcPr>
                  <w:tcW w:w="1510" w:type="dxa"/>
                  <w:noWrap w:val="0"/>
                  <w:vAlign w:val="center"/>
                </w:tcPr>
                <w:p w14:paraId="162C6BB3">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jc w:val="center"/>
                    <w:textAlignment w:val="auto"/>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w:t>
                  </w:r>
                  <w:r>
                    <w:rPr>
                      <w:rFonts w:hint="default" w:ascii="Times New Roman" w:hAnsi="Times New Roman" w:eastAsia="宋体" w:cs="Times New Roman"/>
                      <w:b/>
                      <w:bCs/>
                      <w:color w:val="auto"/>
                      <w:sz w:val="21"/>
                      <w:szCs w:val="21"/>
                      <w:highlight w:val="none"/>
                      <w:lang w:val="en-US" w:eastAsia="zh-CN"/>
                    </w:rPr>
                    <w:t>间接排放</w:t>
                  </w:r>
                  <w:r>
                    <w:rPr>
                      <w:rFonts w:hint="eastAsia" w:ascii="Times New Roman" w:hAnsi="Times New Roman" w:eastAsia="宋体" w:cs="Times New Roman"/>
                      <w:b/>
                      <w:bCs/>
                      <w:color w:val="auto"/>
                      <w:sz w:val="21"/>
                      <w:szCs w:val="21"/>
                      <w:highlight w:val="none"/>
                      <w:lang w:val="en-US" w:eastAsia="zh-CN"/>
                    </w:rPr>
                    <w:t>）</w:t>
                  </w:r>
                </w:p>
              </w:tc>
              <w:tc>
                <w:tcPr>
                  <w:tcW w:w="2872" w:type="dxa"/>
                  <w:vMerge w:val="continue"/>
                  <w:noWrap w:val="0"/>
                  <w:vAlign w:val="center"/>
                </w:tcPr>
                <w:p w14:paraId="3FB99718">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jc w:val="center"/>
                    <w:textAlignment w:val="auto"/>
                    <w:rPr>
                      <w:rFonts w:hint="default" w:ascii="Times New Roman" w:hAnsi="Times New Roman" w:eastAsia="宋体" w:cs="Times New Roman"/>
                      <w:b/>
                      <w:bCs/>
                      <w:color w:val="auto"/>
                      <w:sz w:val="21"/>
                      <w:szCs w:val="21"/>
                      <w:highlight w:val="none"/>
                    </w:rPr>
                  </w:pPr>
                </w:p>
              </w:tc>
            </w:tr>
            <w:tr w14:paraId="7C1EA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jc w:val="center"/>
              </w:trPr>
              <w:tc>
                <w:tcPr>
                  <w:tcW w:w="1539" w:type="dxa"/>
                  <w:tcBorders>
                    <w:tl2br w:val="nil"/>
                    <w:tr2bl w:val="nil"/>
                  </w:tcBorders>
                  <w:noWrap w:val="0"/>
                  <w:vAlign w:val="center"/>
                </w:tcPr>
                <w:p w14:paraId="169E03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废水排放口（DW001）</w:t>
                  </w:r>
                </w:p>
              </w:tc>
              <w:tc>
                <w:tcPr>
                  <w:tcW w:w="2535" w:type="dxa"/>
                  <w:tcBorders>
                    <w:tl2br w:val="nil"/>
                    <w:tr2bl w:val="nil"/>
                  </w:tcBorders>
                  <w:noWrap w:val="0"/>
                  <w:vAlign w:val="center"/>
                </w:tcPr>
                <w:p w14:paraId="6797464E">
                  <w:pPr>
                    <w:pStyle w:val="1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pH值、COD、</w:t>
                  </w:r>
                  <w:r>
                    <w:rPr>
                      <w:rFonts w:hint="eastAsia" w:cs="Times New Roman"/>
                      <w:color w:val="auto"/>
                      <w:sz w:val="21"/>
                      <w:szCs w:val="21"/>
                      <w:highlight w:val="none"/>
                      <w:lang w:val="en-US" w:eastAsia="zh-CN"/>
                    </w:rPr>
                    <w:t>BOD</w:t>
                  </w:r>
                  <w:r>
                    <w:rPr>
                      <w:rFonts w:hint="eastAsia" w:cs="Times New Roman"/>
                      <w:color w:val="auto"/>
                      <w:sz w:val="21"/>
                      <w:szCs w:val="21"/>
                      <w:highlight w:val="none"/>
                      <w:vertAlign w:val="subscript"/>
                      <w:lang w:val="en-US" w:eastAsia="zh-CN"/>
                    </w:rPr>
                    <w:t>5</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氨氮、SS、总磷、总氮</w:t>
                  </w:r>
                  <w:r>
                    <w:rPr>
                      <w:rFonts w:hint="eastAsia" w:cs="Times New Roman"/>
                      <w:color w:val="auto"/>
                      <w:sz w:val="21"/>
                      <w:szCs w:val="21"/>
                      <w:highlight w:val="none"/>
                      <w:lang w:val="en-US" w:eastAsia="zh-CN"/>
                    </w:rPr>
                    <w:t>、动植物油、石油类</w:t>
                  </w:r>
                </w:p>
              </w:tc>
              <w:tc>
                <w:tcPr>
                  <w:tcW w:w="1510" w:type="dxa"/>
                  <w:tcBorders>
                    <w:tl2br w:val="nil"/>
                    <w:tr2bl w:val="nil"/>
                  </w:tcBorders>
                  <w:noWrap w:val="0"/>
                  <w:vAlign w:val="center"/>
                </w:tcPr>
                <w:p w14:paraId="65B1E0A2">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1次/年</w:t>
                  </w:r>
                </w:p>
              </w:tc>
              <w:tc>
                <w:tcPr>
                  <w:tcW w:w="2872" w:type="dxa"/>
                  <w:tcBorders>
                    <w:tl2br w:val="nil"/>
                    <w:tr2bl w:val="nil"/>
                  </w:tcBorders>
                  <w:noWrap w:val="0"/>
                  <w:vAlign w:val="center"/>
                </w:tcPr>
                <w:p w14:paraId="79780FE9">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《污水综合排放标准》(GB8978-1996)表4中三级标准及江西安义高新技术产业园区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污水处理厂接管标准</w:t>
                  </w:r>
                </w:p>
              </w:tc>
            </w:tr>
          </w:tbl>
          <w:p w14:paraId="15D3AA49">
            <w:pPr>
              <w:keepNext w:val="0"/>
              <w:keepLines w:val="0"/>
              <w:suppressLineNumbers w:val="0"/>
              <w:bidi w:val="0"/>
              <w:spacing w:before="0" w:beforeAutospacing="0" w:after="0" w:afterAutospacing="0"/>
              <w:ind w:left="0" w:right="0"/>
              <w:rPr>
                <w:rFonts w:hint="eastAsia"/>
                <w:color w:val="auto"/>
                <w:highlight w:val="none"/>
                <w:lang w:val="en-US" w:eastAsia="zh-CN"/>
              </w:rPr>
            </w:pPr>
          </w:p>
          <w:p w14:paraId="181DFE64">
            <w:pPr>
              <w:keepNext w:val="0"/>
              <w:keepLines w:val="0"/>
              <w:suppressLineNumbers w:val="0"/>
              <w:bidi w:val="0"/>
              <w:spacing w:before="0" w:beforeAutospacing="0" w:after="0" w:afterAutospacing="0"/>
              <w:ind w:left="0" w:right="0"/>
              <w:rPr>
                <w:rFonts w:hint="eastAsia"/>
                <w:color w:val="auto"/>
                <w:highlight w:val="none"/>
                <w:lang w:val="en-US" w:eastAsia="zh-CN"/>
              </w:rPr>
            </w:pPr>
          </w:p>
        </w:tc>
      </w:tr>
    </w:tbl>
    <w:p w14:paraId="35B55EA4">
      <w:pPr>
        <w:pStyle w:val="53"/>
        <w:rPr>
          <w:rFonts w:hint="default"/>
          <w:color w:val="auto"/>
          <w:highlight w:val="none"/>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32"/>
        <w:tblW w:w="505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0"/>
        <w:gridCol w:w="13620"/>
      </w:tblGrid>
      <w:tr w14:paraId="28FFDE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294" w:hRule="atLeast"/>
          <w:jc w:val="center"/>
        </w:trPr>
        <w:tc>
          <w:tcPr>
            <w:tcW w:w="159" w:type="pct"/>
            <w:noWrap w:val="0"/>
            <w:tcMar>
              <w:left w:w="28" w:type="dxa"/>
              <w:right w:w="28" w:type="dxa"/>
            </w:tcMar>
            <w:vAlign w:val="center"/>
          </w:tcPr>
          <w:p w14:paraId="215EF456">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eastAsia" w:ascii="Times New Roman" w:hAnsi="Times New Roman" w:cs="Times New Roman"/>
                <w:b/>
                <w:bCs/>
                <w:color w:val="auto"/>
                <w:highlight w:val="none"/>
                <w:lang w:val="en-US" w:eastAsia="zh-CN"/>
              </w:rPr>
              <w:t>运营</w:t>
            </w:r>
            <w:r>
              <w:rPr>
                <w:rFonts w:hint="default" w:ascii="Times New Roman" w:hAnsi="Times New Roman" w:cs="Times New Roman"/>
                <w:b/>
                <w:bCs/>
                <w:color w:val="auto"/>
                <w:highlight w:val="none"/>
              </w:rPr>
              <w:t>期</w:t>
            </w:r>
          </w:p>
          <w:p w14:paraId="4D1D49DF">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环</w:t>
            </w:r>
          </w:p>
          <w:p w14:paraId="71B9829A">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境</w:t>
            </w:r>
          </w:p>
          <w:p w14:paraId="18F59A91">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保</w:t>
            </w:r>
          </w:p>
          <w:p w14:paraId="59C8D9BC">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护</w:t>
            </w:r>
          </w:p>
          <w:p w14:paraId="4F3E75C0">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措</w:t>
            </w:r>
          </w:p>
          <w:p w14:paraId="54F8C80A">
            <w:pPr>
              <w:pStyle w:val="22"/>
              <w:keepNext w:val="0"/>
              <w:keepLines w:val="0"/>
              <w:suppressLineNumbers w:val="0"/>
              <w:bidi w:val="0"/>
              <w:spacing w:before="0" w:after="0"/>
              <w:ind w:left="0" w:right="0"/>
              <w:rPr>
                <w:rFonts w:hint="default" w:ascii="Times New Roman" w:hAnsi="Times New Roman" w:cs="Times New Roman"/>
                <w:b/>
                <w:bCs/>
                <w:color w:val="auto"/>
                <w:kern w:val="2"/>
                <w:szCs w:val="21"/>
                <w:highlight w:val="none"/>
              </w:rPr>
            </w:pPr>
            <w:r>
              <w:rPr>
                <w:rFonts w:hint="default" w:ascii="Times New Roman" w:hAnsi="Times New Roman" w:cs="Times New Roman"/>
                <w:b/>
                <w:bCs/>
                <w:color w:val="auto"/>
                <w:highlight w:val="none"/>
              </w:rPr>
              <w:t>施</w:t>
            </w:r>
          </w:p>
        </w:tc>
        <w:tc>
          <w:tcPr>
            <w:tcW w:w="4840" w:type="pct"/>
            <w:noWrap w:val="0"/>
            <w:vAlign w:val="center"/>
          </w:tcPr>
          <w:p w14:paraId="1756C691">
            <w:pPr>
              <w:pStyle w:val="113"/>
              <w:keepNext w:val="0"/>
              <w:keepLines w:val="0"/>
              <w:suppressLineNumbers w:val="0"/>
              <w:adjustRightInd w:val="0"/>
              <w:snapToGrid w:val="0"/>
              <w:spacing w:before="0" w:beforeAutospacing="0" w:after="0" w:afterAutospacing="0"/>
              <w:ind w:left="0" w:right="0"/>
              <w:rPr>
                <w:rFonts w:hint="default" w:ascii="Times New Roman" w:cs="Times New Roman"/>
                <w:b/>
                <w:bCs/>
                <w:color w:val="auto"/>
                <w:highlight w:val="none"/>
                <w:lang w:eastAsia="zh-CN"/>
              </w:rPr>
            </w:pPr>
            <w:r>
              <w:rPr>
                <w:rFonts w:hint="default" w:ascii="Times New Roman" w:cs="Times New Roman"/>
                <w:b/>
                <w:bCs/>
                <w:color w:val="auto"/>
                <w:highlight w:val="none"/>
                <w:lang w:eastAsia="zh-CN"/>
              </w:rPr>
              <w:t>3</w:t>
            </w:r>
            <w:r>
              <w:rPr>
                <w:rFonts w:hint="eastAsia" w:ascii="Times New Roman" w:cs="Times New Roman"/>
                <w:b/>
                <w:bCs/>
                <w:color w:val="auto"/>
                <w:highlight w:val="none"/>
                <w:lang w:eastAsia="zh-CN"/>
              </w:rPr>
              <w:t>、</w:t>
            </w:r>
            <w:r>
              <w:rPr>
                <w:rFonts w:hint="default" w:ascii="Times New Roman" w:cs="Times New Roman"/>
                <w:b/>
                <w:bCs/>
                <w:color w:val="auto"/>
                <w:highlight w:val="none"/>
                <w:lang w:eastAsia="zh-CN"/>
              </w:rPr>
              <w:t>噪声</w:t>
            </w:r>
          </w:p>
          <w:p w14:paraId="4E83C9F4">
            <w:pPr>
              <w:pStyle w:val="113"/>
              <w:keepNext w:val="0"/>
              <w:keepLines w:val="0"/>
              <w:suppressLineNumbers w:val="0"/>
              <w:adjustRightInd w:val="0"/>
              <w:snapToGrid w:val="0"/>
              <w:spacing w:before="0" w:beforeAutospacing="0" w:after="0" w:afterAutospacing="0"/>
              <w:ind w:left="0" w:right="0"/>
              <w:rPr>
                <w:rFonts w:hint="default"/>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default"/>
                <w:color w:val="auto"/>
                <w:highlight w:val="none"/>
              </w:rPr>
              <w:t>噪声污染源情况</w:t>
            </w:r>
          </w:p>
          <w:p w14:paraId="72AEEFC1">
            <w:pPr>
              <w:pStyle w:val="113"/>
              <w:keepNext w:val="0"/>
              <w:keepLines w:val="0"/>
              <w:suppressLineNumbers w:val="0"/>
              <w:adjustRightInd w:val="0"/>
              <w:snapToGrid w:val="0"/>
              <w:spacing w:before="0" w:beforeAutospacing="0" w:after="0" w:afterAutospacing="0"/>
              <w:ind w:left="0" w:right="0"/>
              <w:rPr>
                <w:rFonts w:hint="default" w:ascii="Times New Roman" w:cs="Times New Roman"/>
                <w:color w:val="auto"/>
                <w:highlight w:val="none"/>
                <w:lang w:val="en-US" w:eastAsia="zh-CN"/>
              </w:rPr>
            </w:pPr>
            <w:r>
              <w:rPr>
                <w:rFonts w:hint="eastAsia" w:ascii="Times New Roman" w:cs="Times New Roman"/>
                <w:color w:val="auto"/>
                <w:highlight w:val="none"/>
                <w:lang w:eastAsia="zh-CN"/>
              </w:rPr>
              <w:t>项目噪声源主要来自生产设备运行产生的噪声，根据同类型设备的类比调查，主要噪声源强见表</w:t>
            </w:r>
            <w:r>
              <w:rPr>
                <w:rFonts w:hint="eastAsia" w:ascii="Times New Roman" w:cs="Times New Roman"/>
                <w:color w:val="auto"/>
                <w:highlight w:val="none"/>
                <w:lang w:val="en-US" w:eastAsia="zh-CN"/>
              </w:rPr>
              <w:t>4-</w:t>
            </w:r>
            <w:r>
              <w:rPr>
                <w:rFonts w:hint="eastAsia" w:cs="Times New Roman"/>
                <w:color w:val="auto"/>
                <w:highlight w:val="none"/>
                <w:lang w:val="en-US" w:eastAsia="zh-CN"/>
              </w:rPr>
              <w:t>11</w:t>
            </w:r>
            <w:r>
              <w:rPr>
                <w:rFonts w:hint="eastAsia" w:ascii="Times New Roman" w:cs="Times New Roman"/>
                <w:color w:val="auto"/>
                <w:highlight w:val="none"/>
                <w:lang w:val="en-US" w:eastAsia="zh-CN"/>
              </w:rPr>
              <w:t>、表4-</w:t>
            </w:r>
            <w:r>
              <w:rPr>
                <w:rFonts w:hint="eastAsia" w:cs="Times New Roman"/>
                <w:color w:val="auto"/>
                <w:highlight w:val="none"/>
                <w:lang w:val="en-US" w:eastAsia="zh-CN"/>
              </w:rPr>
              <w:t>12</w:t>
            </w:r>
            <w:r>
              <w:rPr>
                <w:rFonts w:hint="eastAsia" w:ascii="Times New Roman" w:cs="Times New Roman"/>
                <w:color w:val="auto"/>
                <w:highlight w:val="none"/>
                <w:lang w:val="en-US" w:eastAsia="zh-CN"/>
              </w:rPr>
              <w:t>。</w:t>
            </w:r>
          </w:p>
          <w:p w14:paraId="5A736C4C">
            <w:pPr>
              <w:pStyle w:val="6"/>
              <w:keepNext w:val="0"/>
              <w:keepLines w:val="0"/>
              <w:suppressLineNumbers w:val="0"/>
              <w:bidi w:val="0"/>
              <w:spacing w:before="0" w:beforeAutospacing="0" w:after="0" w:afterAutospacing="0"/>
              <w:ind w:right="0"/>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表</w:t>
            </w:r>
            <w:r>
              <w:rPr>
                <w:rFonts w:hint="default" w:ascii="Times New Roman" w:hAnsi="Times New Roman" w:eastAsia="宋体" w:cs="Times New Roman"/>
                <w:b/>
                <w:bCs/>
                <w:color w:val="auto"/>
                <w:highlight w:val="none"/>
                <w:lang w:val="en-US" w:eastAsia="zh-CN"/>
              </w:rPr>
              <w:t>4-</w:t>
            </w:r>
            <w:r>
              <w:rPr>
                <w:rFonts w:hint="eastAsia" w:cs="Times New Roman"/>
                <w:b/>
                <w:bCs/>
                <w:color w:val="auto"/>
                <w:highlight w:val="none"/>
                <w:lang w:val="en-US" w:eastAsia="zh-CN"/>
              </w:rPr>
              <w:t>11</w:t>
            </w:r>
            <w:r>
              <w:rPr>
                <w:rFonts w:hint="eastAsia" w:ascii="Times New Roman" w:hAnsi="Times New Roman" w:eastAsia="宋体" w:cs="Times New Roman"/>
                <w:b/>
                <w:bCs/>
                <w:color w:val="auto"/>
                <w:highlight w:val="none"/>
                <w:lang w:val="en-US" w:eastAsia="zh-CN"/>
              </w:rPr>
              <w:t xml:space="preserve">   工业企业噪声源强调查清单（室外声源）</w:t>
            </w:r>
          </w:p>
          <w:tbl>
            <w:tblPr>
              <w:tblStyle w:val="32"/>
              <w:tblW w:w="499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794"/>
              <w:gridCol w:w="794"/>
              <w:gridCol w:w="1347"/>
              <w:gridCol w:w="1347"/>
              <w:gridCol w:w="1348"/>
              <w:gridCol w:w="2038"/>
              <w:gridCol w:w="3757"/>
              <w:gridCol w:w="1208"/>
            </w:tblGrid>
            <w:tr w14:paraId="699D3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82" w:type="pct"/>
                  <w:vMerge w:val="restart"/>
                  <w:tcBorders>
                    <w:tl2br w:val="nil"/>
                    <w:tr2bl w:val="nil"/>
                  </w:tcBorders>
                  <w:noWrap w:val="0"/>
                  <w:vAlign w:val="center"/>
                </w:tcPr>
                <w:p w14:paraId="783DD1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bCs/>
                      <w:color w:val="auto"/>
                      <w:kern w:val="2"/>
                      <w:sz w:val="21"/>
                      <w:szCs w:val="21"/>
                      <w:highlight w:val="none"/>
                      <w:shd w:val="clear" w:color="auto" w:fill="auto"/>
                      <w:lang w:val="en-US" w:eastAsia="zh-CN" w:bidi="ar-SA"/>
                    </w:rPr>
                  </w:pPr>
                  <w:r>
                    <w:rPr>
                      <w:rFonts w:hint="eastAsia" w:ascii="Times New Roman" w:hAnsi="Times New Roman" w:eastAsia="宋体" w:cs="Times New Roman"/>
                      <w:b/>
                      <w:bCs/>
                      <w:color w:val="auto"/>
                      <w:kern w:val="2"/>
                      <w:sz w:val="21"/>
                      <w:szCs w:val="21"/>
                      <w:highlight w:val="none"/>
                      <w:shd w:val="clear" w:color="auto" w:fill="auto"/>
                      <w:lang w:val="en-US" w:eastAsia="zh-CN" w:bidi="ar-SA"/>
                    </w:rPr>
                    <w:t>序号</w:t>
                  </w:r>
                </w:p>
              </w:tc>
              <w:tc>
                <w:tcPr>
                  <w:tcW w:w="296" w:type="pct"/>
                  <w:vMerge w:val="restart"/>
                  <w:tcBorders>
                    <w:tl2br w:val="nil"/>
                    <w:tr2bl w:val="nil"/>
                  </w:tcBorders>
                  <w:noWrap w:val="0"/>
                  <w:vAlign w:val="center"/>
                </w:tcPr>
                <w:p w14:paraId="016E09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2"/>
                      <w:sz w:val="21"/>
                      <w:szCs w:val="21"/>
                      <w:highlight w:val="none"/>
                      <w:shd w:val="clear" w:color="auto" w:fill="auto"/>
                      <w:lang w:val="en-US" w:eastAsia="zh-CN" w:bidi="ar-SA"/>
                    </w:rPr>
                  </w:pPr>
                  <w:r>
                    <w:rPr>
                      <w:rFonts w:hint="eastAsia" w:ascii="Times New Roman" w:hAnsi="Times New Roman" w:eastAsia="宋体" w:cs="Times New Roman"/>
                      <w:b/>
                      <w:bCs/>
                      <w:color w:val="auto"/>
                      <w:kern w:val="2"/>
                      <w:sz w:val="21"/>
                      <w:szCs w:val="21"/>
                      <w:highlight w:val="none"/>
                      <w:shd w:val="clear" w:color="auto" w:fill="auto"/>
                      <w:lang w:val="en-US" w:eastAsia="zh-CN" w:bidi="ar-SA"/>
                    </w:rPr>
                    <w:t>声源名称</w:t>
                  </w:r>
                </w:p>
              </w:tc>
              <w:tc>
                <w:tcPr>
                  <w:tcW w:w="296" w:type="pct"/>
                  <w:vMerge w:val="restart"/>
                  <w:tcBorders>
                    <w:tl2br w:val="nil"/>
                    <w:tr2bl w:val="nil"/>
                  </w:tcBorders>
                  <w:noWrap w:val="0"/>
                  <w:vAlign w:val="center"/>
                </w:tcPr>
                <w:p w14:paraId="4078031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2"/>
                      <w:sz w:val="21"/>
                      <w:szCs w:val="21"/>
                      <w:highlight w:val="none"/>
                      <w:shd w:val="clear" w:color="auto" w:fill="auto"/>
                      <w:lang w:val="en-US" w:eastAsia="zh-CN" w:bidi="ar-SA"/>
                    </w:rPr>
                  </w:pPr>
                  <w:r>
                    <w:rPr>
                      <w:rFonts w:hint="eastAsia" w:cs="Times New Roman"/>
                      <w:b/>
                      <w:bCs/>
                      <w:color w:val="auto"/>
                      <w:kern w:val="2"/>
                      <w:sz w:val="21"/>
                      <w:szCs w:val="21"/>
                      <w:highlight w:val="none"/>
                      <w:shd w:val="clear" w:color="auto" w:fill="auto"/>
                      <w:lang w:val="en-US" w:eastAsia="zh-CN" w:bidi="ar-SA"/>
                    </w:rPr>
                    <w:t>数量</w:t>
                  </w:r>
                </w:p>
              </w:tc>
              <w:tc>
                <w:tcPr>
                  <w:tcW w:w="1509" w:type="pct"/>
                  <w:gridSpan w:val="3"/>
                  <w:tcBorders>
                    <w:tl2br w:val="nil"/>
                    <w:tr2bl w:val="nil"/>
                  </w:tcBorders>
                  <w:noWrap w:val="0"/>
                  <w:vAlign w:val="center"/>
                </w:tcPr>
                <w:p w14:paraId="3C81BF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2"/>
                      <w:sz w:val="21"/>
                      <w:szCs w:val="21"/>
                      <w:highlight w:val="none"/>
                      <w:shd w:val="clear" w:color="auto" w:fill="auto"/>
                      <w:lang w:val="en-US" w:eastAsia="zh-CN" w:bidi="ar-SA"/>
                    </w:rPr>
                  </w:pPr>
                  <w:r>
                    <w:rPr>
                      <w:rFonts w:hint="eastAsia" w:ascii="Times New Roman" w:hAnsi="Times New Roman" w:eastAsia="宋体" w:cs="Times New Roman"/>
                      <w:b/>
                      <w:bCs/>
                      <w:color w:val="auto"/>
                      <w:kern w:val="2"/>
                      <w:sz w:val="21"/>
                      <w:szCs w:val="21"/>
                      <w:highlight w:val="none"/>
                      <w:shd w:val="clear" w:color="auto" w:fill="auto"/>
                      <w:lang w:val="en-US" w:eastAsia="zh-CN" w:bidi="ar-SA"/>
                    </w:rPr>
                    <w:t>空间相对位置/m</w:t>
                  </w:r>
                </w:p>
              </w:tc>
              <w:tc>
                <w:tcPr>
                  <w:tcW w:w="761" w:type="pct"/>
                  <w:tcBorders>
                    <w:tl2br w:val="nil"/>
                    <w:tr2bl w:val="nil"/>
                  </w:tcBorders>
                  <w:noWrap w:val="0"/>
                  <w:vAlign w:val="center"/>
                </w:tcPr>
                <w:p w14:paraId="6E0860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2"/>
                      <w:sz w:val="21"/>
                      <w:szCs w:val="21"/>
                      <w:highlight w:val="none"/>
                      <w:shd w:val="clear" w:color="auto" w:fill="auto"/>
                      <w:lang w:val="en-US" w:eastAsia="zh-CN" w:bidi="ar-SA"/>
                    </w:rPr>
                  </w:pPr>
                  <w:r>
                    <w:rPr>
                      <w:rFonts w:hint="eastAsia" w:ascii="Times New Roman" w:hAnsi="Times New Roman" w:eastAsia="宋体" w:cs="Times New Roman"/>
                      <w:b/>
                      <w:bCs/>
                      <w:color w:val="auto"/>
                      <w:kern w:val="2"/>
                      <w:sz w:val="21"/>
                      <w:szCs w:val="21"/>
                      <w:highlight w:val="none"/>
                      <w:shd w:val="clear" w:color="auto" w:fill="auto"/>
                      <w:lang w:val="en-US" w:eastAsia="zh-CN" w:bidi="ar-SA"/>
                    </w:rPr>
                    <w:t>声源源强</w:t>
                  </w:r>
                </w:p>
              </w:tc>
              <w:tc>
                <w:tcPr>
                  <w:tcW w:w="1402" w:type="pct"/>
                  <w:vMerge w:val="restart"/>
                  <w:tcBorders>
                    <w:tl2br w:val="nil"/>
                    <w:tr2bl w:val="nil"/>
                  </w:tcBorders>
                  <w:noWrap w:val="0"/>
                  <w:vAlign w:val="center"/>
                </w:tcPr>
                <w:p w14:paraId="20BBAF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shd w:val="clear" w:color="auto" w:fill="auto"/>
                      <w:lang w:val="en-US" w:eastAsia="zh-CN" w:bidi="ar-SA"/>
                    </w:rPr>
                    <w:t>声源控制措施</w:t>
                  </w:r>
                </w:p>
              </w:tc>
              <w:tc>
                <w:tcPr>
                  <w:tcW w:w="451" w:type="pct"/>
                  <w:vMerge w:val="restart"/>
                  <w:tcBorders>
                    <w:tl2br w:val="nil"/>
                    <w:tr2bl w:val="nil"/>
                  </w:tcBorders>
                  <w:noWrap w:val="0"/>
                  <w:vAlign w:val="center"/>
                </w:tcPr>
                <w:p w14:paraId="4222CD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运行时段</w:t>
                  </w:r>
                </w:p>
              </w:tc>
            </w:tr>
            <w:tr w14:paraId="31A03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82" w:type="pct"/>
                  <w:vMerge w:val="continue"/>
                  <w:tcBorders>
                    <w:tl2br w:val="nil"/>
                    <w:tr2bl w:val="nil"/>
                  </w:tcBorders>
                  <w:noWrap w:val="0"/>
                  <w:vAlign w:val="center"/>
                </w:tcPr>
                <w:p w14:paraId="4A18DE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2"/>
                      <w:sz w:val="21"/>
                      <w:szCs w:val="21"/>
                      <w:highlight w:val="none"/>
                      <w:shd w:val="clear" w:color="auto" w:fill="auto"/>
                      <w:lang w:val="en-US" w:eastAsia="zh-CN" w:bidi="ar-SA"/>
                    </w:rPr>
                  </w:pPr>
                </w:p>
              </w:tc>
              <w:tc>
                <w:tcPr>
                  <w:tcW w:w="296" w:type="pct"/>
                  <w:vMerge w:val="continue"/>
                  <w:tcBorders>
                    <w:tl2br w:val="nil"/>
                    <w:tr2bl w:val="nil"/>
                  </w:tcBorders>
                  <w:noWrap w:val="0"/>
                  <w:vAlign w:val="center"/>
                </w:tcPr>
                <w:p w14:paraId="2F8F3A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bCs/>
                      <w:color w:val="auto"/>
                      <w:kern w:val="2"/>
                      <w:sz w:val="21"/>
                      <w:szCs w:val="21"/>
                      <w:highlight w:val="none"/>
                      <w:shd w:val="clear" w:color="auto" w:fill="auto"/>
                      <w:lang w:val="en-US" w:eastAsia="zh-CN" w:bidi="ar-SA"/>
                    </w:rPr>
                  </w:pPr>
                </w:p>
              </w:tc>
              <w:tc>
                <w:tcPr>
                  <w:tcW w:w="296" w:type="pct"/>
                  <w:vMerge w:val="continue"/>
                  <w:tcBorders>
                    <w:tl2br w:val="nil"/>
                    <w:tr2bl w:val="nil"/>
                  </w:tcBorders>
                  <w:noWrap w:val="0"/>
                  <w:vAlign w:val="center"/>
                </w:tcPr>
                <w:p w14:paraId="1D6010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bCs/>
                      <w:color w:val="auto"/>
                      <w:kern w:val="2"/>
                      <w:sz w:val="21"/>
                      <w:szCs w:val="21"/>
                      <w:highlight w:val="none"/>
                      <w:shd w:val="clear" w:color="auto" w:fill="auto"/>
                      <w:lang w:val="en-US" w:eastAsia="zh-CN" w:bidi="ar-SA"/>
                    </w:rPr>
                  </w:pPr>
                </w:p>
              </w:tc>
              <w:tc>
                <w:tcPr>
                  <w:tcW w:w="502" w:type="pct"/>
                  <w:tcBorders>
                    <w:tl2br w:val="nil"/>
                    <w:tr2bl w:val="nil"/>
                  </w:tcBorders>
                  <w:noWrap w:val="0"/>
                  <w:vAlign w:val="center"/>
                </w:tcPr>
                <w:p w14:paraId="2C740B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bCs/>
                      <w:color w:val="auto"/>
                      <w:kern w:val="2"/>
                      <w:sz w:val="21"/>
                      <w:szCs w:val="21"/>
                      <w:highlight w:val="none"/>
                      <w:shd w:val="clear" w:color="auto" w:fill="auto"/>
                      <w:lang w:val="en-US" w:eastAsia="zh-CN" w:bidi="ar-SA"/>
                    </w:rPr>
                  </w:pPr>
                  <w:r>
                    <w:rPr>
                      <w:rFonts w:hint="eastAsia" w:ascii="Times New Roman" w:hAnsi="Times New Roman" w:eastAsia="宋体" w:cs="Times New Roman"/>
                      <w:b/>
                      <w:bCs/>
                      <w:color w:val="auto"/>
                      <w:kern w:val="2"/>
                      <w:sz w:val="21"/>
                      <w:szCs w:val="21"/>
                      <w:highlight w:val="none"/>
                      <w:shd w:val="clear" w:color="auto" w:fill="auto"/>
                      <w:lang w:val="en-US" w:eastAsia="zh-CN" w:bidi="ar-SA"/>
                    </w:rPr>
                    <w:t>X</w:t>
                  </w:r>
                </w:p>
              </w:tc>
              <w:tc>
                <w:tcPr>
                  <w:tcW w:w="502" w:type="pct"/>
                  <w:tcBorders>
                    <w:tl2br w:val="nil"/>
                    <w:tr2bl w:val="nil"/>
                  </w:tcBorders>
                  <w:noWrap w:val="0"/>
                  <w:vAlign w:val="center"/>
                </w:tcPr>
                <w:p w14:paraId="2CF5AE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bCs/>
                      <w:color w:val="auto"/>
                      <w:kern w:val="2"/>
                      <w:sz w:val="21"/>
                      <w:szCs w:val="21"/>
                      <w:highlight w:val="none"/>
                      <w:shd w:val="clear" w:color="auto" w:fill="auto"/>
                      <w:lang w:val="en-US" w:eastAsia="zh-CN" w:bidi="ar-SA"/>
                    </w:rPr>
                  </w:pPr>
                  <w:r>
                    <w:rPr>
                      <w:rFonts w:hint="eastAsia" w:ascii="Times New Roman" w:hAnsi="Times New Roman" w:eastAsia="宋体" w:cs="Times New Roman"/>
                      <w:b/>
                      <w:bCs/>
                      <w:color w:val="auto"/>
                      <w:kern w:val="2"/>
                      <w:sz w:val="21"/>
                      <w:szCs w:val="21"/>
                      <w:highlight w:val="none"/>
                      <w:shd w:val="clear" w:color="auto" w:fill="auto"/>
                      <w:lang w:val="en-US" w:eastAsia="zh-CN" w:bidi="ar-SA"/>
                    </w:rPr>
                    <w:t>Y</w:t>
                  </w:r>
                </w:p>
              </w:tc>
              <w:tc>
                <w:tcPr>
                  <w:tcW w:w="503" w:type="pct"/>
                  <w:tcBorders>
                    <w:tl2br w:val="nil"/>
                    <w:tr2bl w:val="nil"/>
                  </w:tcBorders>
                  <w:noWrap w:val="0"/>
                  <w:vAlign w:val="center"/>
                </w:tcPr>
                <w:p w14:paraId="6DD41A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bCs/>
                      <w:color w:val="auto"/>
                      <w:kern w:val="2"/>
                      <w:sz w:val="21"/>
                      <w:szCs w:val="21"/>
                      <w:highlight w:val="none"/>
                      <w:shd w:val="clear" w:color="auto" w:fill="auto"/>
                      <w:lang w:val="en-US" w:eastAsia="zh-CN" w:bidi="ar-SA"/>
                    </w:rPr>
                  </w:pPr>
                  <w:r>
                    <w:rPr>
                      <w:rFonts w:hint="eastAsia" w:ascii="Times New Roman" w:hAnsi="Times New Roman" w:eastAsia="宋体" w:cs="Times New Roman"/>
                      <w:b/>
                      <w:bCs/>
                      <w:color w:val="auto"/>
                      <w:kern w:val="2"/>
                      <w:sz w:val="21"/>
                      <w:szCs w:val="21"/>
                      <w:highlight w:val="none"/>
                      <w:shd w:val="clear" w:color="auto" w:fill="auto"/>
                      <w:lang w:val="en-US" w:eastAsia="zh-CN" w:bidi="ar-SA"/>
                    </w:rPr>
                    <w:t>Z</w:t>
                  </w:r>
                </w:p>
              </w:tc>
              <w:tc>
                <w:tcPr>
                  <w:tcW w:w="761" w:type="pct"/>
                  <w:tcBorders>
                    <w:tl2br w:val="nil"/>
                    <w:tr2bl w:val="nil"/>
                  </w:tcBorders>
                  <w:noWrap w:val="0"/>
                  <w:vAlign w:val="center"/>
                </w:tcPr>
                <w:p w14:paraId="676041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2"/>
                      <w:sz w:val="21"/>
                      <w:szCs w:val="21"/>
                      <w:highlight w:val="none"/>
                      <w:shd w:val="clear" w:color="auto" w:fill="auto"/>
                      <w:lang w:val="en-US" w:eastAsia="zh-CN" w:bidi="ar-SA"/>
                    </w:rPr>
                  </w:pPr>
                  <w:r>
                    <w:rPr>
                      <w:rFonts w:hint="eastAsia" w:ascii="Times New Roman" w:hAnsi="Times New Roman" w:eastAsia="宋体" w:cs="Times New Roman"/>
                      <w:b/>
                      <w:bCs/>
                      <w:color w:val="auto"/>
                      <w:kern w:val="2"/>
                      <w:sz w:val="21"/>
                      <w:szCs w:val="21"/>
                      <w:highlight w:val="none"/>
                      <w:shd w:val="clear" w:color="auto" w:fill="auto"/>
                      <w:lang w:val="en-US" w:eastAsia="zh-CN" w:bidi="ar-SA"/>
                    </w:rPr>
                    <w:t>声功率级/</w:t>
                  </w:r>
                  <w:r>
                    <w:rPr>
                      <w:rFonts w:hint="default" w:ascii="Times New Roman" w:hAnsi="Times New Roman" w:eastAsia="宋体" w:cs="Times New Roman"/>
                      <w:b/>
                      <w:bCs/>
                      <w:color w:val="auto"/>
                      <w:kern w:val="2"/>
                      <w:sz w:val="21"/>
                      <w:szCs w:val="21"/>
                      <w:highlight w:val="none"/>
                      <w:shd w:val="clear" w:color="auto" w:fill="auto"/>
                      <w:lang w:val="en-US" w:eastAsia="zh-CN" w:bidi="ar-SA"/>
                    </w:rPr>
                    <w:t>dB（A）</w:t>
                  </w:r>
                </w:p>
              </w:tc>
              <w:tc>
                <w:tcPr>
                  <w:tcW w:w="1402" w:type="pct"/>
                  <w:vMerge w:val="continue"/>
                  <w:tcBorders>
                    <w:tl2br w:val="nil"/>
                    <w:tr2bl w:val="nil"/>
                  </w:tcBorders>
                  <w:noWrap w:val="0"/>
                  <w:vAlign w:val="center"/>
                </w:tcPr>
                <w:p w14:paraId="7F1821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p>
              </w:tc>
              <w:tc>
                <w:tcPr>
                  <w:tcW w:w="451" w:type="pct"/>
                  <w:vMerge w:val="continue"/>
                  <w:tcBorders>
                    <w:tl2br w:val="nil"/>
                    <w:tr2bl w:val="nil"/>
                  </w:tcBorders>
                  <w:noWrap w:val="0"/>
                  <w:vAlign w:val="center"/>
                </w:tcPr>
                <w:p w14:paraId="45F023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p>
              </w:tc>
            </w:tr>
            <w:tr w14:paraId="6D701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82" w:type="pct"/>
                  <w:tcBorders>
                    <w:tl2br w:val="nil"/>
                    <w:tr2bl w:val="nil"/>
                  </w:tcBorders>
                  <w:noWrap w:val="0"/>
                  <w:vAlign w:val="center"/>
                </w:tcPr>
                <w:p w14:paraId="088B56A5">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en-US"/>
                    </w:rPr>
                    <w:t>1</w:t>
                  </w:r>
                </w:p>
              </w:tc>
              <w:tc>
                <w:tcPr>
                  <w:tcW w:w="296" w:type="pct"/>
                  <w:tcBorders>
                    <w:tl2br w:val="nil"/>
                    <w:tr2bl w:val="nil"/>
                  </w:tcBorders>
                  <w:noWrap w:val="0"/>
                  <w:vAlign w:val="center"/>
                </w:tcPr>
                <w:p w14:paraId="4D42B960">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风机</w:t>
                  </w:r>
                </w:p>
              </w:tc>
              <w:tc>
                <w:tcPr>
                  <w:tcW w:w="296" w:type="pct"/>
                  <w:tcBorders>
                    <w:tl2br w:val="nil"/>
                    <w:tr2bl w:val="nil"/>
                  </w:tcBorders>
                  <w:noWrap w:val="0"/>
                  <w:vAlign w:val="center"/>
                </w:tcPr>
                <w:p w14:paraId="1CDC62DD">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w:t>
                  </w:r>
                </w:p>
              </w:tc>
              <w:tc>
                <w:tcPr>
                  <w:tcW w:w="502" w:type="pct"/>
                  <w:tcBorders>
                    <w:tl2br w:val="nil"/>
                    <w:tr2bl w:val="nil"/>
                  </w:tcBorders>
                  <w:noWrap w:val="0"/>
                  <w:vAlign w:val="center"/>
                </w:tcPr>
                <w:p w14:paraId="23357BBB">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91</w:t>
                  </w:r>
                </w:p>
              </w:tc>
              <w:tc>
                <w:tcPr>
                  <w:tcW w:w="502" w:type="pct"/>
                  <w:tcBorders>
                    <w:tl2br w:val="nil"/>
                    <w:tr2bl w:val="nil"/>
                  </w:tcBorders>
                  <w:noWrap w:val="0"/>
                  <w:vAlign w:val="center"/>
                </w:tcPr>
                <w:p w14:paraId="7DB3D4CF">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82</w:t>
                  </w:r>
                </w:p>
              </w:tc>
              <w:tc>
                <w:tcPr>
                  <w:tcW w:w="503" w:type="pct"/>
                  <w:tcBorders>
                    <w:tl2br w:val="nil"/>
                    <w:tr2bl w:val="nil"/>
                  </w:tcBorders>
                  <w:noWrap w:val="0"/>
                  <w:vAlign w:val="center"/>
                </w:tcPr>
                <w:p w14:paraId="209679D1">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kern w:val="2"/>
                      <w:sz w:val="21"/>
                      <w:szCs w:val="24"/>
                      <w:highlight w:val="none"/>
                      <w:lang w:val="en-US" w:eastAsia="zh-CN" w:bidi="ar-SA"/>
                    </w:rPr>
                    <w:t>2</w:t>
                  </w:r>
                </w:p>
              </w:tc>
              <w:tc>
                <w:tcPr>
                  <w:tcW w:w="761" w:type="pct"/>
                  <w:tcBorders>
                    <w:tl2br w:val="nil"/>
                    <w:tr2bl w:val="nil"/>
                  </w:tcBorders>
                  <w:noWrap w:val="0"/>
                  <w:vAlign w:val="center"/>
                </w:tcPr>
                <w:p w14:paraId="46749340">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85</w:t>
                  </w:r>
                </w:p>
              </w:tc>
              <w:tc>
                <w:tcPr>
                  <w:tcW w:w="1402" w:type="pct"/>
                  <w:vMerge w:val="restart"/>
                  <w:tcBorders>
                    <w:tl2br w:val="nil"/>
                    <w:tr2bl w:val="nil"/>
                  </w:tcBorders>
                  <w:noWrap w:val="0"/>
                  <w:vAlign w:val="center"/>
                </w:tcPr>
                <w:p w14:paraId="1CECDBC3">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选用低噪声设备，采用隔声、减振等措施</w:t>
                  </w:r>
                </w:p>
              </w:tc>
              <w:tc>
                <w:tcPr>
                  <w:tcW w:w="451" w:type="pct"/>
                  <w:vMerge w:val="restart"/>
                  <w:tcBorders>
                    <w:tl2br w:val="nil"/>
                    <w:tr2bl w:val="nil"/>
                  </w:tcBorders>
                  <w:noWrap w:val="0"/>
                  <w:vAlign w:val="center"/>
                </w:tcPr>
                <w:p w14:paraId="30C08969">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kern w:val="2"/>
                      <w:sz w:val="21"/>
                      <w:szCs w:val="21"/>
                      <w:highlight w:val="none"/>
                      <w:lang w:val="en-US" w:eastAsia="zh-CN" w:bidi="ar-SA"/>
                    </w:rPr>
                    <w:t>全天</w:t>
                  </w:r>
                </w:p>
              </w:tc>
            </w:tr>
            <w:tr w14:paraId="5F5FB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82" w:type="pct"/>
                  <w:tcBorders>
                    <w:tl2br w:val="nil"/>
                    <w:tr2bl w:val="nil"/>
                  </w:tcBorders>
                  <w:noWrap w:val="0"/>
                  <w:vAlign w:val="center"/>
                </w:tcPr>
                <w:p w14:paraId="365339EC">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w:t>
                  </w:r>
                </w:p>
              </w:tc>
              <w:tc>
                <w:tcPr>
                  <w:tcW w:w="296" w:type="pct"/>
                  <w:tcBorders>
                    <w:tl2br w:val="nil"/>
                    <w:tr2bl w:val="nil"/>
                  </w:tcBorders>
                  <w:noWrap w:val="0"/>
                  <w:vAlign w:val="center"/>
                </w:tcPr>
                <w:p w14:paraId="290370D3">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冷却塔</w:t>
                  </w:r>
                </w:p>
              </w:tc>
              <w:tc>
                <w:tcPr>
                  <w:tcW w:w="296" w:type="pct"/>
                  <w:tcBorders>
                    <w:tl2br w:val="nil"/>
                    <w:tr2bl w:val="nil"/>
                  </w:tcBorders>
                  <w:noWrap w:val="0"/>
                  <w:vAlign w:val="center"/>
                </w:tcPr>
                <w:p w14:paraId="6926E069">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w:t>
                  </w:r>
                </w:p>
              </w:tc>
              <w:tc>
                <w:tcPr>
                  <w:tcW w:w="502" w:type="pct"/>
                  <w:tcBorders>
                    <w:tl2br w:val="nil"/>
                    <w:tr2bl w:val="nil"/>
                  </w:tcBorders>
                  <w:noWrap w:val="0"/>
                  <w:vAlign w:val="center"/>
                </w:tcPr>
                <w:p w14:paraId="758C61A9">
                  <w:pPr>
                    <w:pStyle w:val="6"/>
                    <w:keepNext w:val="0"/>
                    <w:keepLines w:val="0"/>
                    <w:suppressLineNumbers w:val="0"/>
                    <w:bidi w:val="0"/>
                    <w:spacing w:before="0" w:beforeAutospacing="0" w:after="0" w:afterAutospacing="0"/>
                    <w:ind w:left="0" w:leftChars="0" w:right="0" w:rightChars="0" w:firstLine="0" w:firstLineChars="0"/>
                    <w:jc w:val="center"/>
                    <w:rPr>
                      <w:rFonts w:hint="default"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94</w:t>
                  </w:r>
                </w:p>
              </w:tc>
              <w:tc>
                <w:tcPr>
                  <w:tcW w:w="502" w:type="pct"/>
                  <w:tcBorders>
                    <w:tl2br w:val="nil"/>
                    <w:tr2bl w:val="nil"/>
                  </w:tcBorders>
                  <w:noWrap w:val="0"/>
                  <w:vAlign w:val="center"/>
                </w:tcPr>
                <w:p w14:paraId="60D19E17">
                  <w:pPr>
                    <w:pStyle w:val="6"/>
                    <w:keepNext w:val="0"/>
                    <w:keepLines w:val="0"/>
                    <w:suppressLineNumbers w:val="0"/>
                    <w:bidi w:val="0"/>
                    <w:spacing w:before="0" w:beforeAutospacing="0" w:after="0" w:afterAutospacing="0"/>
                    <w:ind w:left="0" w:leftChars="0" w:right="0" w:rightChars="0" w:firstLine="0" w:firstLineChars="0"/>
                    <w:jc w:val="center"/>
                    <w:rPr>
                      <w:rFonts w:hint="default"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77</w:t>
                  </w:r>
                </w:p>
              </w:tc>
              <w:tc>
                <w:tcPr>
                  <w:tcW w:w="503" w:type="pct"/>
                  <w:tcBorders>
                    <w:tl2br w:val="nil"/>
                    <w:tr2bl w:val="nil"/>
                  </w:tcBorders>
                  <w:noWrap w:val="0"/>
                  <w:vAlign w:val="center"/>
                </w:tcPr>
                <w:p w14:paraId="079158F3">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1</w:t>
                  </w:r>
                </w:p>
              </w:tc>
              <w:tc>
                <w:tcPr>
                  <w:tcW w:w="761" w:type="pct"/>
                  <w:tcBorders>
                    <w:tl2br w:val="nil"/>
                    <w:tr2bl w:val="nil"/>
                  </w:tcBorders>
                  <w:noWrap w:val="0"/>
                  <w:vAlign w:val="center"/>
                </w:tcPr>
                <w:p w14:paraId="4B72A794">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85</w:t>
                  </w:r>
                </w:p>
              </w:tc>
              <w:tc>
                <w:tcPr>
                  <w:tcW w:w="1402" w:type="pct"/>
                  <w:vMerge w:val="continue"/>
                  <w:tcBorders>
                    <w:tl2br w:val="nil"/>
                    <w:tr2bl w:val="nil"/>
                  </w:tcBorders>
                  <w:noWrap w:val="0"/>
                  <w:vAlign w:val="center"/>
                </w:tcPr>
                <w:p w14:paraId="3435C531">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 w:val="21"/>
                      <w:szCs w:val="21"/>
                      <w:highlight w:val="none"/>
                      <w:lang w:val="en-US" w:eastAsia="zh-CN"/>
                    </w:rPr>
                  </w:pPr>
                </w:p>
              </w:tc>
              <w:tc>
                <w:tcPr>
                  <w:tcW w:w="451" w:type="pct"/>
                  <w:vMerge w:val="continue"/>
                  <w:tcBorders>
                    <w:tl2br w:val="nil"/>
                    <w:tr2bl w:val="nil"/>
                  </w:tcBorders>
                  <w:noWrap w:val="0"/>
                  <w:vAlign w:val="center"/>
                </w:tcPr>
                <w:p w14:paraId="6852DC3C">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eastAsia" w:cs="Times New Roman"/>
                      <w:color w:val="auto"/>
                      <w:kern w:val="2"/>
                      <w:sz w:val="21"/>
                      <w:szCs w:val="21"/>
                      <w:highlight w:val="none"/>
                      <w:lang w:val="en-US" w:eastAsia="zh-CN" w:bidi="ar-SA"/>
                    </w:rPr>
                  </w:pPr>
                </w:p>
              </w:tc>
            </w:tr>
            <w:tr w14:paraId="5ADED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000" w:type="pct"/>
                  <w:gridSpan w:val="9"/>
                  <w:tcBorders>
                    <w:tl2br w:val="nil"/>
                    <w:tr2bl w:val="nil"/>
                  </w:tcBorders>
                  <w:noWrap w:val="0"/>
                  <w:vAlign w:val="center"/>
                </w:tcPr>
                <w:p w14:paraId="0137CC5F">
                  <w:pPr>
                    <w:keepNext w:val="0"/>
                    <w:keepLines w:val="0"/>
                    <w:pageBreakBefore w:val="0"/>
                    <w:widowControl w:val="0"/>
                    <w:numPr>
                      <w:ilvl w:val="5"/>
                      <w:numId w:val="0"/>
                    </w:numPr>
                    <w:suppressLineNumbers w:val="0"/>
                    <w:tabs>
                      <w:tab w:val="left" w:leader="underscore" w:pos="0"/>
                      <w:tab w:val="left" w:leader="dot" w:pos="420"/>
                    </w:tabs>
                    <w:kinsoku/>
                    <w:wordWrap/>
                    <w:overflowPunct/>
                    <w:topLinePunct w:val="0"/>
                    <w:autoSpaceDE/>
                    <w:autoSpaceDN/>
                    <w:bidi w:val="0"/>
                    <w:spacing w:before="0" w:beforeAutospacing="0" w:after="0" w:afterAutospacing="0" w:line="240" w:lineRule="auto"/>
                    <w:ind w:left="0" w:leftChars="0" w:right="0" w:firstLine="0" w:firstLineChars="0"/>
                    <w:jc w:val="both"/>
                    <w:textAlignment w:val="auto"/>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以</w:t>
                  </w:r>
                  <w:r>
                    <w:rPr>
                      <w:rFonts w:hint="default" w:ascii="Times New Roman" w:hAnsi="Times New Roman" w:eastAsia="宋体" w:cs="Times New Roman"/>
                      <w:b w:val="0"/>
                      <w:bCs/>
                      <w:color w:val="auto"/>
                      <w:kern w:val="2"/>
                      <w:sz w:val="21"/>
                      <w:szCs w:val="21"/>
                      <w:highlight w:val="none"/>
                      <w:lang w:val="en-US" w:eastAsia="zh-CN" w:bidi="ar-SA"/>
                    </w:rPr>
                    <w:t>E11</w:t>
                  </w:r>
                  <w:r>
                    <w:rPr>
                      <w:rFonts w:hint="eastAsia" w:cs="Times New Roman"/>
                      <w:b w:val="0"/>
                      <w:bCs/>
                      <w:color w:val="auto"/>
                      <w:kern w:val="2"/>
                      <w:sz w:val="21"/>
                      <w:szCs w:val="21"/>
                      <w:highlight w:val="none"/>
                      <w:lang w:val="en-US" w:eastAsia="zh-CN" w:bidi="ar-SA"/>
                    </w:rPr>
                    <w:t>5</w:t>
                  </w:r>
                  <w:r>
                    <w:rPr>
                      <w:rFonts w:hint="default" w:ascii="Times New Roman" w:hAnsi="Times New Roman" w:eastAsia="宋体" w:cs="Times New Roman"/>
                      <w:b w:val="0"/>
                      <w:bCs/>
                      <w:color w:val="auto"/>
                      <w:kern w:val="2"/>
                      <w:sz w:val="21"/>
                      <w:szCs w:val="21"/>
                      <w:highlight w:val="none"/>
                      <w:lang w:val="en-US" w:eastAsia="zh-CN" w:bidi="ar-SA"/>
                    </w:rPr>
                    <w:t>°</w:t>
                  </w:r>
                  <w:r>
                    <w:rPr>
                      <w:rFonts w:hint="eastAsia" w:cs="Times New Roman"/>
                      <w:b w:val="0"/>
                      <w:bCs/>
                      <w:color w:val="auto"/>
                      <w:kern w:val="2"/>
                      <w:sz w:val="21"/>
                      <w:szCs w:val="21"/>
                      <w:highlight w:val="none"/>
                      <w:lang w:val="en-US" w:eastAsia="zh-CN" w:bidi="ar-SA"/>
                    </w:rPr>
                    <w:t>35</w:t>
                  </w:r>
                  <w:r>
                    <w:rPr>
                      <w:rFonts w:hint="default" w:ascii="Times New Roman" w:hAnsi="Times New Roman" w:eastAsia="宋体" w:cs="Times New Roman"/>
                      <w:b w:val="0"/>
                      <w:bCs/>
                      <w:color w:val="auto"/>
                      <w:kern w:val="2"/>
                      <w:sz w:val="21"/>
                      <w:szCs w:val="21"/>
                      <w:highlight w:val="none"/>
                      <w:lang w:val="en-US" w:eastAsia="zh-CN" w:bidi="ar-SA"/>
                    </w:rPr>
                    <w:t>′</w:t>
                  </w:r>
                  <w:r>
                    <w:rPr>
                      <w:rFonts w:hint="eastAsia" w:cs="Times New Roman"/>
                      <w:b w:val="0"/>
                      <w:bCs/>
                      <w:color w:val="auto"/>
                      <w:kern w:val="2"/>
                      <w:sz w:val="21"/>
                      <w:szCs w:val="21"/>
                      <w:highlight w:val="none"/>
                      <w:lang w:val="en-US" w:eastAsia="zh-CN" w:bidi="ar-SA"/>
                    </w:rPr>
                    <w:t>37.458</w:t>
                  </w:r>
                  <w:r>
                    <w:rPr>
                      <w:rFonts w:hint="default" w:ascii="Times New Roman" w:hAnsi="Times New Roman" w:eastAsia="宋体" w:cs="Times New Roman"/>
                      <w:b w:val="0"/>
                      <w:bCs/>
                      <w:color w:val="auto"/>
                      <w:kern w:val="2"/>
                      <w:sz w:val="21"/>
                      <w:szCs w:val="21"/>
                      <w:highlight w:val="none"/>
                      <w:lang w:val="en-US" w:eastAsia="zh-CN" w:bidi="ar-SA"/>
                    </w:rPr>
                    <w:t>″</w:t>
                  </w:r>
                  <w:r>
                    <w:rPr>
                      <w:rFonts w:hint="eastAsia" w:ascii="Times New Roman" w:hAnsi="Times New Roman" w:eastAsia="宋体" w:cs="Times New Roman"/>
                      <w:b w:val="0"/>
                      <w:bCs/>
                      <w:color w:val="auto"/>
                      <w:kern w:val="2"/>
                      <w:sz w:val="21"/>
                      <w:szCs w:val="21"/>
                      <w:highlight w:val="none"/>
                      <w:lang w:val="en-US" w:eastAsia="zh-CN" w:bidi="ar-SA"/>
                    </w:rPr>
                    <w:t>，</w:t>
                  </w:r>
                  <w:r>
                    <w:rPr>
                      <w:rFonts w:hint="default" w:ascii="Times New Roman" w:hAnsi="Times New Roman" w:eastAsia="宋体" w:cs="Times New Roman"/>
                      <w:b w:val="0"/>
                      <w:bCs/>
                      <w:color w:val="auto"/>
                      <w:kern w:val="2"/>
                      <w:sz w:val="21"/>
                      <w:szCs w:val="21"/>
                      <w:highlight w:val="none"/>
                      <w:lang w:val="en-US" w:eastAsia="zh-CN" w:bidi="ar-SA"/>
                    </w:rPr>
                    <w:t>N2</w:t>
                  </w:r>
                  <w:r>
                    <w:rPr>
                      <w:rFonts w:hint="eastAsia" w:ascii="Times New Roman" w:hAnsi="Times New Roman" w:cs="Times New Roman"/>
                      <w:b w:val="0"/>
                      <w:bCs/>
                      <w:color w:val="auto"/>
                      <w:kern w:val="2"/>
                      <w:sz w:val="21"/>
                      <w:szCs w:val="21"/>
                      <w:highlight w:val="none"/>
                      <w:lang w:val="en-US" w:eastAsia="zh-CN" w:bidi="ar-SA"/>
                    </w:rPr>
                    <w:t>8</w:t>
                  </w:r>
                  <w:r>
                    <w:rPr>
                      <w:rFonts w:hint="default" w:ascii="Times New Roman" w:hAnsi="Times New Roman" w:eastAsia="宋体" w:cs="Times New Roman"/>
                      <w:b w:val="0"/>
                      <w:bCs/>
                      <w:color w:val="auto"/>
                      <w:kern w:val="2"/>
                      <w:sz w:val="21"/>
                      <w:szCs w:val="21"/>
                      <w:highlight w:val="none"/>
                      <w:lang w:val="en-US" w:eastAsia="zh-CN" w:bidi="ar-SA"/>
                    </w:rPr>
                    <w:t>°</w:t>
                  </w:r>
                  <w:r>
                    <w:rPr>
                      <w:rFonts w:hint="eastAsia" w:ascii="Times New Roman" w:hAnsi="Times New Roman" w:cs="Times New Roman"/>
                      <w:b w:val="0"/>
                      <w:bCs/>
                      <w:color w:val="auto"/>
                      <w:kern w:val="2"/>
                      <w:sz w:val="21"/>
                      <w:szCs w:val="21"/>
                      <w:highlight w:val="none"/>
                      <w:lang w:val="en-US" w:eastAsia="zh-CN" w:bidi="ar-SA"/>
                    </w:rPr>
                    <w:t>52</w:t>
                  </w:r>
                  <w:r>
                    <w:rPr>
                      <w:rFonts w:hint="default" w:ascii="Times New Roman" w:hAnsi="Times New Roman" w:eastAsia="宋体" w:cs="Times New Roman"/>
                      <w:b w:val="0"/>
                      <w:bCs/>
                      <w:color w:val="auto"/>
                      <w:kern w:val="2"/>
                      <w:sz w:val="21"/>
                      <w:szCs w:val="21"/>
                      <w:highlight w:val="none"/>
                      <w:lang w:val="en-US" w:eastAsia="zh-CN" w:bidi="ar-SA"/>
                    </w:rPr>
                    <w:t>′</w:t>
                  </w:r>
                  <w:r>
                    <w:rPr>
                      <w:rFonts w:hint="eastAsia" w:cs="Times New Roman"/>
                      <w:b w:val="0"/>
                      <w:bCs/>
                      <w:color w:val="auto"/>
                      <w:kern w:val="2"/>
                      <w:sz w:val="21"/>
                      <w:szCs w:val="21"/>
                      <w:highlight w:val="none"/>
                      <w:lang w:val="en-US" w:eastAsia="zh-CN" w:bidi="ar-SA"/>
                    </w:rPr>
                    <w:t>25.434</w:t>
                  </w:r>
                  <w:r>
                    <w:rPr>
                      <w:rFonts w:hint="default" w:ascii="Times New Roman" w:hAnsi="Times New Roman" w:eastAsia="宋体" w:cs="Times New Roman"/>
                      <w:b w:val="0"/>
                      <w:bCs/>
                      <w:color w:val="auto"/>
                      <w:kern w:val="2"/>
                      <w:sz w:val="21"/>
                      <w:szCs w:val="21"/>
                      <w:highlight w:val="none"/>
                      <w:lang w:val="en-US" w:eastAsia="zh-CN" w:bidi="ar-SA"/>
                    </w:rPr>
                    <w:t>″</w:t>
                  </w:r>
                  <w:r>
                    <w:rPr>
                      <w:rFonts w:hint="eastAsia" w:ascii="Times New Roman" w:hAnsi="Times New Roman" w:eastAsia="宋体" w:cs="Times New Roman"/>
                      <w:b w:val="0"/>
                      <w:bCs/>
                      <w:color w:val="auto"/>
                      <w:kern w:val="2"/>
                      <w:sz w:val="21"/>
                      <w:szCs w:val="21"/>
                      <w:highlight w:val="none"/>
                      <w:lang w:val="en-US" w:eastAsia="zh-CN" w:bidi="ar-SA"/>
                    </w:rPr>
                    <w:t>为原点（0，0，0），沿正东方向为X轴正方向，沿正北方向为Y轴正方向。</w:t>
                  </w:r>
                </w:p>
              </w:tc>
            </w:tr>
          </w:tbl>
          <w:p w14:paraId="19BB9CB9">
            <w:pPr>
              <w:pStyle w:val="6"/>
              <w:keepNext w:val="0"/>
              <w:keepLines w:val="0"/>
              <w:suppressLineNumbers w:val="0"/>
              <w:bidi w:val="0"/>
              <w:spacing w:before="0" w:beforeAutospacing="0" w:after="0" w:afterAutospacing="0"/>
              <w:ind w:right="0"/>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表</w:t>
            </w:r>
            <w:r>
              <w:rPr>
                <w:rFonts w:hint="default" w:ascii="Times New Roman" w:hAnsi="Times New Roman" w:eastAsia="宋体" w:cs="Times New Roman"/>
                <w:b/>
                <w:bCs/>
                <w:color w:val="auto"/>
                <w:highlight w:val="none"/>
                <w:lang w:val="en-US" w:eastAsia="zh-CN"/>
              </w:rPr>
              <w:t>4</w:t>
            </w:r>
            <w:r>
              <w:rPr>
                <w:rFonts w:hint="eastAsia" w:cs="Times New Roman"/>
                <w:b/>
                <w:bCs/>
                <w:color w:val="auto"/>
                <w:highlight w:val="none"/>
                <w:lang w:val="en-US" w:eastAsia="zh-CN"/>
              </w:rPr>
              <w:t>-12</w:t>
            </w:r>
            <w:r>
              <w:rPr>
                <w:rFonts w:hint="eastAsia" w:ascii="Times New Roman" w:hAnsi="Times New Roman" w:eastAsia="宋体" w:cs="Times New Roman"/>
                <w:b/>
                <w:bCs/>
                <w:color w:val="auto"/>
                <w:highlight w:val="none"/>
                <w:lang w:val="en-US" w:eastAsia="zh-CN"/>
              </w:rPr>
              <w:t xml:space="preserve">   工业企业噪声源强调查清单（室内声源）</w:t>
            </w:r>
          </w:p>
          <w:tbl>
            <w:tblPr>
              <w:tblStyle w:val="32"/>
              <w:tblW w:w="133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1"/>
              <w:gridCol w:w="431"/>
              <w:gridCol w:w="631"/>
              <w:gridCol w:w="484"/>
              <w:gridCol w:w="473"/>
              <w:gridCol w:w="681"/>
              <w:gridCol w:w="773"/>
              <w:gridCol w:w="427"/>
              <w:gridCol w:w="427"/>
              <w:gridCol w:w="439"/>
              <w:gridCol w:w="473"/>
              <w:gridCol w:w="507"/>
              <w:gridCol w:w="508"/>
              <w:gridCol w:w="462"/>
              <w:gridCol w:w="553"/>
              <w:gridCol w:w="531"/>
              <w:gridCol w:w="566"/>
              <w:gridCol w:w="565"/>
              <w:gridCol w:w="450"/>
              <w:gridCol w:w="808"/>
              <w:gridCol w:w="542"/>
              <w:gridCol w:w="519"/>
              <w:gridCol w:w="508"/>
              <w:gridCol w:w="514"/>
              <w:gridCol w:w="694"/>
            </w:tblGrid>
            <w:tr w14:paraId="35ED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0" w:type="pct"/>
                  <w:vMerge w:val="restart"/>
                  <w:tcBorders>
                    <w:tl2br w:val="nil"/>
                    <w:tr2bl w:val="nil"/>
                  </w:tcBorders>
                  <w:noWrap w:val="0"/>
                  <w:vAlign w:val="center"/>
                </w:tcPr>
                <w:p w14:paraId="485EE5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序号</w:t>
                  </w:r>
                </w:p>
              </w:tc>
              <w:tc>
                <w:tcPr>
                  <w:tcW w:w="160" w:type="pct"/>
                  <w:vMerge w:val="restart"/>
                  <w:tcBorders>
                    <w:tl2br w:val="nil"/>
                    <w:tr2bl w:val="nil"/>
                  </w:tcBorders>
                  <w:noWrap w:val="0"/>
                  <w:vAlign w:val="center"/>
                </w:tcPr>
                <w:p w14:paraId="173379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建筑物名称</w:t>
                  </w:r>
                </w:p>
              </w:tc>
              <w:tc>
                <w:tcPr>
                  <w:tcW w:w="235" w:type="pct"/>
                  <w:vMerge w:val="restart"/>
                  <w:tcBorders>
                    <w:tl2br w:val="nil"/>
                    <w:tr2bl w:val="nil"/>
                  </w:tcBorders>
                  <w:noWrap w:val="0"/>
                  <w:vAlign w:val="center"/>
                </w:tcPr>
                <w:p w14:paraId="6632B6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声源</w:t>
                  </w:r>
                </w:p>
                <w:p w14:paraId="65E4A4D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名称</w:t>
                  </w:r>
                </w:p>
              </w:tc>
              <w:tc>
                <w:tcPr>
                  <w:tcW w:w="180" w:type="pct"/>
                  <w:vMerge w:val="restart"/>
                  <w:tcBorders>
                    <w:tl2br w:val="nil"/>
                    <w:tr2bl w:val="nil"/>
                  </w:tcBorders>
                  <w:noWrap w:val="0"/>
                  <w:vAlign w:val="center"/>
                </w:tcPr>
                <w:p w14:paraId="39E542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kern w:val="2"/>
                      <w:sz w:val="21"/>
                      <w:szCs w:val="21"/>
                      <w:highlight w:val="none"/>
                      <w:lang w:val="en-US" w:eastAsia="zh-CN" w:bidi="ar-SA"/>
                    </w:rPr>
                    <w:t>设备型号</w:t>
                  </w:r>
                </w:p>
              </w:tc>
              <w:tc>
                <w:tcPr>
                  <w:tcW w:w="176" w:type="pct"/>
                  <w:vMerge w:val="restart"/>
                  <w:tcBorders>
                    <w:tl2br w:val="nil"/>
                    <w:tr2bl w:val="nil"/>
                  </w:tcBorders>
                  <w:noWrap w:val="0"/>
                  <w:vAlign w:val="center"/>
                </w:tcPr>
                <w:p w14:paraId="36ECC3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数量</w:t>
                  </w:r>
                </w:p>
              </w:tc>
              <w:tc>
                <w:tcPr>
                  <w:tcW w:w="254" w:type="pct"/>
                  <w:tcBorders>
                    <w:tl2br w:val="nil"/>
                    <w:tr2bl w:val="nil"/>
                  </w:tcBorders>
                  <w:noWrap w:val="0"/>
                  <w:vAlign w:val="center"/>
                </w:tcPr>
                <w:p w14:paraId="66BF9C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声源源强</w:t>
                  </w:r>
                </w:p>
              </w:tc>
              <w:tc>
                <w:tcPr>
                  <w:tcW w:w="288" w:type="pct"/>
                  <w:vMerge w:val="restart"/>
                  <w:tcBorders>
                    <w:tl2br w:val="nil"/>
                    <w:tr2bl w:val="nil"/>
                  </w:tcBorders>
                  <w:noWrap w:val="0"/>
                  <w:vAlign w:val="center"/>
                </w:tcPr>
                <w:p w14:paraId="583267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声源控制措施</w:t>
                  </w:r>
                </w:p>
              </w:tc>
              <w:tc>
                <w:tcPr>
                  <w:tcW w:w="482" w:type="pct"/>
                  <w:gridSpan w:val="3"/>
                  <w:tcBorders>
                    <w:tl2br w:val="nil"/>
                    <w:tr2bl w:val="nil"/>
                  </w:tcBorders>
                  <w:noWrap w:val="0"/>
                  <w:vAlign w:val="center"/>
                </w:tcPr>
                <w:p w14:paraId="342134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空间相对位置/m</w:t>
                  </w:r>
                </w:p>
              </w:tc>
              <w:tc>
                <w:tcPr>
                  <w:tcW w:w="727" w:type="pct"/>
                  <w:gridSpan w:val="4"/>
                  <w:tcBorders>
                    <w:tl2br w:val="nil"/>
                    <w:tr2bl w:val="nil"/>
                  </w:tcBorders>
                  <w:noWrap w:val="0"/>
                  <w:vAlign w:val="center"/>
                </w:tcPr>
                <w:p w14:paraId="30330A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距室内边界距离/m</w:t>
                  </w:r>
                </w:p>
              </w:tc>
              <w:tc>
                <w:tcPr>
                  <w:tcW w:w="826" w:type="pct"/>
                  <w:gridSpan w:val="4"/>
                  <w:tcBorders>
                    <w:tl2br w:val="nil"/>
                    <w:tr2bl w:val="nil"/>
                  </w:tcBorders>
                  <w:noWrap w:val="0"/>
                  <w:vAlign w:val="center"/>
                </w:tcPr>
                <w:p w14:paraId="6BFFD2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室内边界声级/dB（A）</w:t>
                  </w:r>
                </w:p>
              </w:tc>
              <w:tc>
                <w:tcPr>
                  <w:tcW w:w="167" w:type="pct"/>
                  <w:vMerge w:val="restart"/>
                  <w:tcBorders>
                    <w:tl2br w:val="nil"/>
                    <w:tr2bl w:val="nil"/>
                  </w:tcBorders>
                  <w:noWrap w:val="0"/>
                  <w:vAlign w:val="center"/>
                </w:tcPr>
                <w:p w14:paraId="1B0DAB9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运行时段</w:t>
                  </w:r>
                </w:p>
              </w:tc>
              <w:tc>
                <w:tcPr>
                  <w:tcW w:w="301" w:type="pct"/>
                  <w:vMerge w:val="restart"/>
                  <w:tcBorders>
                    <w:tl2br w:val="nil"/>
                    <w:tr2bl w:val="nil"/>
                  </w:tcBorders>
                  <w:noWrap w:val="0"/>
                  <w:vAlign w:val="center"/>
                </w:tcPr>
                <w:p w14:paraId="0ADACD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建筑物插入损失/dB（A）</w:t>
                  </w:r>
                </w:p>
              </w:tc>
              <w:tc>
                <w:tcPr>
                  <w:tcW w:w="1036" w:type="pct"/>
                  <w:gridSpan w:val="5"/>
                  <w:tcBorders>
                    <w:tl2br w:val="nil"/>
                    <w:tr2bl w:val="nil"/>
                  </w:tcBorders>
                  <w:noWrap w:val="0"/>
                  <w:vAlign w:val="center"/>
                </w:tcPr>
                <w:p w14:paraId="6DDE76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建筑物外噪声</w:t>
                  </w:r>
                </w:p>
              </w:tc>
            </w:tr>
            <w:tr w14:paraId="4C7E5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0" w:type="pct"/>
                  <w:vMerge w:val="continue"/>
                  <w:tcBorders>
                    <w:tl2br w:val="nil"/>
                    <w:tr2bl w:val="nil"/>
                  </w:tcBorders>
                  <w:noWrap w:val="0"/>
                  <w:vAlign w:val="center"/>
                </w:tcPr>
                <w:p w14:paraId="0A073B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p>
              </w:tc>
              <w:tc>
                <w:tcPr>
                  <w:tcW w:w="160" w:type="pct"/>
                  <w:vMerge w:val="continue"/>
                  <w:tcBorders>
                    <w:tl2br w:val="nil"/>
                    <w:tr2bl w:val="nil"/>
                  </w:tcBorders>
                  <w:noWrap w:val="0"/>
                  <w:vAlign w:val="center"/>
                </w:tcPr>
                <w:p w14:paraId="2292F2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1"/>
                      <w:szCs w:val="21"/>
                      <w:highlight w:val="none"/>
                      <w:lang w:val="en-US" w:eastAsia="zh-CN" w:bidi="ar-SA"/>
                    </w:rPr>
                  </w:pPr>
                </w:p>
              </w:tc>
              <w:tc>
                <w:tcPr>
                  <w:tcW w:w="235" w:type="pct"/>
                  <w:vMerge w:val="continue"/>
                  <w:tcBorders>
                    <w:tl2br w:val="nil"/>
                    <w:tr2bl w:val="nil"/>
                  </w:tcBorders>
                  <w:noWrap w:val="0"/>
                  <w:vAlign w:val="center"/>
                </w:tcPr>
                <w:p w14:paraId="5C863C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1"/>
                      <w:szCs w:val="21"/>
                      <w:highlight w:val="none"/>
                      <w:lang w:val="en-US" w:eastAsia="zh-CN" w:bidi="ar-SA"/>
                    </w:rPr>
                  </w:pPr>
                </w:p>
              </w:tc>
              <w:tc>
                <w:tcPr>
                  <w:tcW w:w="180" w:type="pct"/>
                  <w:vMerge w:val="continue"/>
                  <w:tcBorders>
                    <w:tl2br w:val="nil"/>
                    <w:tr2bl w:val="nil"/>
                  </w:tcBorders>
                  <w:noWrap w:val="0"/>
                  <w:vAlign w:val="center"/>
                </w:tcPr>
                <w:p w14:paraId="5473E89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1"/>
                      <w:szCs w:val="21"/>
                      <w:highlight w:val="none"/>
                      <w:lang w:val="en-US" w:eastAsia="zh-CN" w:bidi="ar-SA"/>
                    </w:rPr>
                  </w:pPr>
                </w:p>
              </w:tc>
              <w:tc>
                <w:tcPr>
                  <w:tcW w:w="176" w:type="pct"/>
                  <w:vMerge w:val="continue"/>
                  <w:tcBorders>
                    <w:tl2br w:val="nil"/>
                    <w:tr2bl w:val="nil"/>
                  </w:tcBorders>
                  <w:noWrap w:val="0"/>
                  <w:vAlign w:val="center"/>
                </w:tcPr>
                <w:p w14:paraId="4A3CDE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p>
              </w:tc>
              <w:tc>
                <w:tcPr>
                  <w:tcW w:w="254" w:type="pct"/>
                  <w:vMerge w:val="restart"/>
                  <w:tcBorders>
                    <w:tl2br w:val="nil"/>
                    <w:tr2bl w:val="nil"/>
                  </w:tcBorders>
                  <w:noWrap w:val="0"/>
                  <w:vAlign w:val="center"/>
                </w:tcPr>
                <w:p w14:paraId="1BA4D2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声功率级</w:t>
                  </w:r>
                </w:p>
              </w:tc>
              <w:tc>
                <w:tcPr>
                  <w:tcW w:w="288" w:type="pct"/>
                  <w:vMerge w:val="continue"/>
                  <w:tcBorders>
                    <w:tl2br w:val="nil"/>
                    <w:tr2bl w:val="nil"/>
                  </w:tcBorders>
                  <w:noWrap w:val="0"/>
                  <w:vAlign w:val="center"/>
                </w:tcPr>
                <w:p w14:paraId="0C4C0F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p>
              </w:tc>
              <w:tc>
                <w:tcPr>
                  <w:tcW w:w="159" w:type="pct"/>
                  <w:vMerge w:val="restart"/>
                  <w:tcBorders>
                    <w:tl2br w:val="nil"/>
                    <w:tr2bl w:val="nil"/>
                  </w:tcBorders>
                  <w:noWrap w:val="0"/>
                  <w:vAlign w:val="center"/>
                </w:tcPr>
                <w:p w14:paraId="38EA061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X</w:t>
                  </w:r>
                </w:p>
              </w:tc>
              <w:tc>
                <w:tcPr>
                  <w:tcW w:w="159" w:type="pct"/>
                  <w:vMerge w:val="restart"/>
                  <w:tcBorders>
                    <w:tl2br w:val="nil"/>
                    <w:tr2bl w:val="nil"/>
                  </w:tcBorders>
                  <w:noWrap w:val="0"/>
                  <w:vAlign w:val="center"/>
                </w:tcPr>
                <w:p w14:paraId="77A59E6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Y</w:t>
                  </w:r>
                </w:p>
              </w:tc>
              <w:tc>
                <w:tcPr>
                  <w:tcW w:w="163" w:type="pct"/>
                  <w:vMerge w:val="restart"/>
                  <w:tcBorders>
                    <w:tl2br w:val="nil"/>
                    <w:tr2bl w:val="nil"/>
                  </w:tcBorders>
                  <w:noWrap w:val="0"/>
                  <w:vAlign w:val="center"/>
                </w:tcPr>
                <w:p w14:paraId="4A4DA1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Z</w:t>
                  </w:r>
                </w:p>
              </w:tc>
              <w:tc>
                <w:tcPr>
                  <w:tcW w:w="176" w:type="pct"/>
                  <w:vMerge w:val="restart"/>
                  <w:tcBorders>
                    <w:tl2br w:val="nil"/>
                    <w:tr2bl w:val="nil"/>
                  </w:tcBorders>
                  <w:noWrap w:val="0"/>
                  <w:vAlign w:val="center"/>
                </w:tcPr>
                <w:p w14:paraId="335573F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东</w:t>
                  </w:r>
                </w:p>
              </w:tc>
              <w:tc>
                <w:tcPr>
                  <w:tcW w:w="189" w:type="pct"/>
                  <w:vMerge w:val="restart"/>
                  <w:tcBorders>
                    <w:tl2br w:val="nil"/>
                    <w:tr2bl w:val="nil"/>
                  </w:tcBorders>
                  <w:noWrap w:val="0"/>
                  <w:vAlign w:val="center"/>
                </w:tcPr>
                <w:p w14:paraId="6D78E2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南</w:t>
                  </w:r>
                </w:p>
              </w:tc>
              <w:tc>
                <w:tcPr>
                  <w:tcW w:w="189" w:type="pct"/>
                  <w:vMerge w:val="restart"/>
                  <w:tcBorders>
                    <w:tl2br w:val="nil"/>
                    <w:tr2bl w:val="nil"/>
                  </w:tcBorders>
                  <w:noWrap w:val="0"/>
                  <w:vAlign w:val="center"/>
                </w:tcPr>
                <w:p w14:paraId="1FBE4D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西</w:t>
                  </w:r>
                </w:p>
              </w:tc>
              <w:tc>
                <w:tcPr>
                  <w:tcW w:w="172" w:type="pct"/>
                  <w:vMerge w:val="restart"/>
                  <w:tcBorders>
                    <w:tl2br w:val="nil"/>
                    <w:tr2bl w:val="nil"/>
                  </w:tcBorders>
                  <w:noWrap w:val="0"/>
                  <w:vAlign w:val="center"/>
                </w:tcPr>
                <w:p w14:paraId="20B0BE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北</w:t>
                  </w:r>
                </w:p>
              </w:tc>
              <w:tc>
                <w:tcPr>
                  <w:tcW w:w="206" w:type="pct"/>
                  <w:vMerge w:val="restart"/>
                  <w:tcBorders>
                    <w:tl2br w:val="nil"/>
                    <w:tr2bl w:val="nil"/>
                  </w:tcBorders>
                  <w:noWrap w:val="0"/>
                  <w:vAlign w:val="center"/>
                </w:tcPr>
                <w:p w14:paraId="01D31E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东</w:t>
                  </w:r>
                </w:p>
              </w:tc>
              <w:tc>
                <w:tcPr>
                  <w:tcW w:w="198" w:type="pct"/>
                  <w:vMerge w:val="restart"/>
                  <w:tcBorders>
                    <w:tl2br w:val="nil"/>
                    <w:tr2bl w:val="nil"/>
                  </w:tcBorders>
                  <w:noWrap w:val="0"/>
                  <w:vAlign w:val="center"/>
                </w:tcPr>
                <w:p w14:paraId="401140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南</w:t>
                  </w:r>
                </w:p>
              </w:tc>
              <w:tc>
                <w:tcPr>
                  <w:tcW w:w="211" w:type="pct"/>
                  <w:vMerge w:val="restart"/>
                  <w:tcBorders>
                    <w:tl2br w:val="nil"/>
                    <w:tr2bl w:val="nil"/>
                  </w:tcBorders>
                  <w:noWrap w:val="0"/>
                  <w:vAlign w:val="center"/>
                </w:tcPr>
                <w:p w14:paraId="18E00F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西</w:t>
                  </w:r>
                </w:p>
              </w:tc>
              <w:tc>
                <w:tcPr>
                  <w:tcW w:w="210" w:type="pct"/>
                  <w:vMerge w:val="restart"/>
                  <w:tcBorders>
                    <w:tl2br w:val="nil"/>
                    <w:tr2bl w:val="nil"/>
                  </w:tcBorders>
                  <w:noWrap w:val="0"/>
                  <w:vAlign w:val="center"/>
                </w:tcPr>
                <w:p w14:paraId="7412BE8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北</w:t>
                  </w:r>
                </w:p>
              </w:tc>
              <w:tc>
                <w:tcPr>
                  <w:tcW w:w="167" w:type="pct"/>
                  <w:vMerge w:val="continue"/>
                  <w:tcBorders>
                    <w:tl2br w:val="nil"/>
                    <w:tr2bl w:val="nil"/>
                  </w:tcBorders>
                  <w:noWrap w:val="0"/>
                  <w:vAlign w:val="center"/>
                </w:tcPr>
                <w:p w14:paraId="17E093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p>
              </w:tc>
              <w:tc>
                <w:tcPr>
                  <w:tcW w:w="301" w:type="pct"/>
                  <w:vMerge w:val="continue"/>
                  <w:tcBorders>
                    <w:tl2br w:val="nil"/>
                    <w:tr2bl w:val="nil"/>
                  </w:tcBorders>
                  <w:noWrap w:val="0"/>
                  <w:vAlign w:val="center"/>
                </w:tcPr>
                <w:p w14:paraId="7A294E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p>
              </w:tc>
              <w:tc>
                <w:tcPr>
                  <w:tcW w:w="777" w:type="pct"/>
                  <w:gridSpan w:val="4"/>
                  <w:tcBorders>
                    <w:tl2br w:val="nil"/>
                    <w:tr2bl w:val="nil"/>
                  </w:tcBorders>
                  <w:noWrap w:val="0"/>
                  <w:vAlign w:val="center"/>
                </w:tcPr>
                <w:p w14:paraId="51C695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声压级/dB（A）</w:t>
                  </w:r>
                </w:p>
              </w:tc>
              <w:tc>
                <w:tcPr>
                  <w:tcW w:w="259" w:type="pct"/>
                  <w:vMerge w:val="restart"/>
                  <w:tcBorders>
                    <w:tl2br w:val="nil"/>
                    <w:tr2bl w:val="nil"/>
                  </w:tcBorders>
                  <w:noWrap w:val="0"/>
                  <w:vAlign w:val="center"/>
                </w:tcPr>
                <w:p w14:paraId="057077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建筑物外距离/m</w:t>
                  </w:r>
                </w:p>
              </w:tc>
            </w:tr>
            <w:tr w14:paraId="17F55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0" w:type="pct"/>
                  <w:vMerge w:val="continue"/>
                  <w:tcBorders>
                    <w:tl2br w:val="nil"/>
                    <w:tr2bl w:val="nil"/>
                  </w:tcBorders>
                  <w:noWrap w:val="0"/>
                  <w:vAlign w:val="center"/>
                </w:tcPr>
                <w:p w14:paraId="0662BE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p>
              </w:tc>
              <w:tc>
                <w:tcPr>
                  <w:tcW w:w="160" w:type="pct"/>
                  <w:vMerge w:val="continue"/>
                  <w:tcBorders>
                    <w:tl2br w:val="nil"/>
                    <w:tr2bl w:val="nil"/>
                  </w:tcBorders>
                  <w:noWrap w:val="0"/>
                  <w:vAlign w:val="center"/>
                </w:tcPr>
                <w:p w14:paraId="15136C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1"/>
                      <w:szCs w:val="21"/>
                      <w:highlight w:val="none"/>
                      <w:lang w:val="en-US" w:eastAsia="zh-CN" w:bidi="ar-SA"/>
                    </w:rPr>
                  </w:pPr>
                </w:p>
              </w:tc>
              <w:tc>
                <w:tcPr>
                  <w:tcW w:w="235" w:type="pct"/>
                  <w:vMerge w:val="continue"/>
                  <w:tcBorders>
                    <w:tl2br w:val="nil"/>
                    <w:tr2bl w:val="nil"/>
                  </w:tcBorders>
                  <w:noWrap w:val="0"/>
                  <w:vAlign w:val="center"/>
                </w:tcPr>
                <w:p w14:paraId="4B39D2C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1"/>
                      <w:szCs w:val="21"/>
                      <w:highlight w:val="none"/>
                      <w:lang w:val="en-US" w:eastAsia="zh-CN" w:bidi="ar-SA"/>
                    </w:rPr>
                  </w:pPr>
                </w:p>
              </w:tc>
              <w:tc>
                <w:tcPr>
                  <w:tcW w:w="180" w:type="pct"/>
                  <w:vMerge w:val="continue"/>
                  <w:tcBorders>
                    <w:tl2br w:val="nil"/>
                    <w:tr2bl w:val="nil"/>
                  </w:tcBorders>
                  <w:noWrap w:val="0"/>
                  <w:vAlign w:val="center"/>
                </w:tcPr>
                <w:p w14:paraId="15A01C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1"/>
                      <w:szCs w:val="21"/>
                      <w:highlight w:val="none"/>
                      <w:lang w:val="en-US" w:eastAsia="zh-CN" w:bidi="ar-SA"/>
                    </w:rPr>
                  </w:pPr>
                </w:p>
              </w:tc>
              <w:tc>
                <w:tcPr>
                  <w:tcW w:w="176" w:type="pct"/>
                  <w:vMerge w:val="continue"/>
                  <w:tcBorders>
                    <w:tl2br w:val="nil"/>
                    <w:tr2bl w:val="nil"/>
                  </w:tcBorders>
                  <w:noWrap w:val="0"/>
                  <w:vAlign w:val="center"/>
                </w:tcPr>
                <w:p w14:paraId="3CE51F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p>
              </w:tc>
              <w:tc>
                <w:tcPr>
                  <w:tcW w:w="254" w:type="pct"/>
                  <w:vMerge w:val="continue"/>
                  <w:tcBorders>
                    <w:tl2br w:val="nil"/>
                    <w:tr2bl w:val="nil"/>
                  </w:tcBorders>
                  <w:noWrap w:val="0"/>
                  <w:vAlign w:val="center"/>
                </w:tcPr>
                <w:p w14:paraId="5C7DDF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p>
              </w:tc>
              <w:tc>
                <w:tcPr>
                  <w:tcW w:w="288" w:type="pct"/>
                  <w:vMerge w:val="continue"/>
                  <w:tcBorders>
                    <w:tl2br w:val="nil"/>
                    <w:tr2bl w:val="nil"/>
                  </w:tcBorders>
                  <w:noWrap w:val="0"/>
                  <w:vAlign w:val="center"/>
                </w:tcPr>
                <w:p w14:paraId="490B3A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p>
              </w:tc>
              <w:tc>
                <w:tcPr>
                  <w:tcW w:w="159" w:type="pct"/>
                  <w:vMerge w:val="continue"/>
                  <w:tcBorders>
                    <w:tl2br w:val="nil"/>
                    <w:tr2bl w:val="nil"/>
                  </w:tcBorders>
                  <w:noWrap w:val="0"/>
                  <w:vAlign w:val="center"/>
                </w:tcPr>
                <w:p w14:paraId="612B57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p>
              </w:tc>
              <w:tc>
                <w:tcPr>
                  <w:tcW w:w="159" w:type="pct"/>
                  <w:vMerge w:val="continue"/>
                  <w:tcBorders>
                    <w:tl2br w:val="nil"/>
                    <w:tr2bl w:val="nil"/>
                  </w:tcBorders>
                  <w:noWrap w:val="0"/>
                  <w:vAlign w:val="center"/>
                </w:tcPr>
                <w:p w14:paraId="2D8AFE4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p>
              </w:tc>
              <w:tc>
                <w:tcPr>
                  <w:tcW w:w="163" w:type="pct"/>
                  <w:vMerge w:val="continue"/>
                  <w:tcBorders>
                    <w:tl2br w:val="nil"/>
                    <w:tr2bl w:val="nil"/>
                  </w:tcBorders>
                  <w:noWrap w:val="0"/>
                  <w:vAlign w:val="center"/>
                </w:tcPr>
                <w:p w14:paraId="336FA7E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p>
              </w:tc>
              <w:tc>
                <w:tcPr>
                  <w:tcW w:w="176" w:type="pct"/>
                  <w:vMerge w:val="continue"/>
                  <w:tcBorders>
                    <w:tl2br w:val="nil"/>
                    <w:tr2bl w:val="nil"/>
                  </w:tcBorders>
                  <w:noWrap w:val="0"/>
                  <w:vAlign w:val="center"/>
                </w:tcPr>
                <w:p w14:paraId="178CDC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b/>
                      <w:bCs/>
                      <w:color w:val="auto"/>
                      <w:kern w:val="2"/>
                      <w:sz w:val="21"/>
                      <w:szCs w:val="21"/>
                      <w:highlight w:val="none"/>
                      <w:lang w:val="en-US" w:eastAsia="zh-CN" w:bidi="ar-SA"/>
                    </w:rPr>
                  </w:pPr>
                </w:p>
              </w:tc>
              <w:tc>
                <w:tcPr>
                  <w:tcW w:w="189" w:type="pct"/>
                  <w:vMerge w:val="continue"/>
                  <w:tcBorders>
                    <w:tl2br w:val="nil"/>
                    <w:tr2bl w:val="nil"/>
                  </w:tcBorders>
                  <w:noWrap w:val="0"/>
                  <w:vAlign w:val="center"/>
                </w:tcPr>
                <w:p w14:paraId="7EA43D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b/>
                      <w:bCs/>
                      <w:color w:val="auto"/>
                      <w:kern w:val="2"/>
                      <w:sz w:val="21"/>
                      <w:szCs w:val="21"/>
                      <w:highlight w:val="none"/>
                      <w:lang w:val="en-US" w:eastAsia="zh-CN" w:bidi="ar-SA"/>
                    </w:rPr>
                  </w:pPr>
                </w:p>
              </w:tc>
              <w:tc>
                <w:tcPr>
                  <w:tcW w:w="189" w:type="pct"/>
                  <w:vMerge w:val="continue"/>
                  <w:tcBorders>
                    <w:tl2br w:val="nil"/>
                    <w:tr2bl w:val="nil"/>
                  </w:tcBorders>
                  <w:noWrap w:val="0"/>
                  <w:vAlign w:val="center"/>
                </w:tcPr>
                <w:p w14:paraId="6C2923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b/>
                      <w:bCs/>
                      <w:color w:val="auto"/>
                      <w:kern w:val="2"/>
                      <w:sz w:val="21"/>
                      <w:szCs w:val="21"/>
                      <w:highlight w:val="none"/>
                      <w:lang w:val="en-US" w:eastAsia="zh-CN" w:bidi="ar-SA"/>
                    </w:rPr>
                  </w:pPr>
                </w:p>
              </w:tc>
              <w:tc>
                <w:tcPr>
                  <w:tcW w:w="172" w:type="pct"/>
                  <w:vMerge w:val="continue"/>
                  <w:tcBorders>
                    <w:tl2br w:val="nil"/>
                    <w:tr2bl w:val="nil"/>
                  </w:tcBorders>
                  <w:noWrap w:val="0"/>
                  <w:vAlign w:val="center"/>
                </w:tcPr>
                <w:p w14:paraId="2F457C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b/>
                      <w:bCs/>
                      <w:color w:val="auto"/>
                      <w:kern w:val="2"/>
                      <w:sz w:val="21"/>
                      <w:szCs w:val="21"/>
                      <w:highlight w:val="none"/>
                      <w:lang w:val="en-US" w:eastAsia="zh-CN" w:bidi="ar-SA"/>
                    </w:rPr>
                  </w:pPr>
                </w:p>
              </w:tc>
              <w:tc>
                <w:tcPr>
                  <w:tcW w:w="206" w:type="pct"/>
                  <w:vMerge w:val="continue"/>
                  <w:tcBorders>
                    <w:tl2br w:val="nil"/>
                    <w:tr2bl w:val="nil"/>
                  </w:tcBorders>
                  <w:noWrap w:val="0"/>
                  <w:vAlign w:val="center"/>
                </w:tcPr>
                <w:p w14:paraId="1FAB29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bCs/>
                      <w:color w:val="auto"/>
                      <w:kern w:val="2"/>
                      <w:sz w:val="21"/>
                      <w:szCs w:val="21"/>
                      <w:highlight w:val="none"/>
                      <w:lang w:val="en-US" w:eastAsia="zh-CN" w:bidi="ar-SA"/>
                    </w:rPr>
                  </w:pPr>
                </w:p>
              </w:tc>
              <w:tc>
                <w:tcPr>
                  <w:tcW w:w="198" w:type="pct"/>
                  <w:vMerge w:val="continue"/>
                  <w:tcBorders>
                    <w:tl2br w:val="nil"/>
                    <w:tr2bl w:val="nil"/>
                  </w:tcBorders>
                  <w:noWrap w:val="0"/>
                  <w:vAlign w:val="center"/>
                </w:tcPr>
                <w:p w14:paraId="5D3B60A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bCs/>
                      <w:color w:val="auto"/>
                      <w:kern w:val="2"/>
                      <w:sz w:val="21"/>
                      <w:szCs w:val="21"/>
                      <w:highlight w:val="none"/>
                      <w:lang w:val="en-US" w:eastAsia="zh-CN" w:bidi="ar-SA"/>
                    </w:rPr>
                  </w:pPr>
                </w:p>
              </w:tc>
              <w:tc>
                <w:tcPr>
                  <w:tcW w:w="211" w:type="pct"/>
                  <w:vMerge w:val="continue"/>
                  <w:tcBorders>
                    <w:tl2br w:val="nil"/>
                    <w:tr2bl w:val="nil"/>
                  </w:tcBorders>
                  <w:noWrap w:val="0"/>
                  <w:vAlign w:val="center"/>
                </w:tcPr>
                <w:p w14:paraId="4021C5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bCs/>
                      <w:color w:val="auto"/>
                      <w:kern w:val="2"/>
                      <w:sz w:val="21"/>
                      <w:szCs w:val="21"/>
                      <w:highlight w:val="none"/>
                      <w:lang w:val="en-US" w:eastAsia="zh-CN" w:bidi="ar-SA"/>
                    </w:rPr>
                  </w:pPr>
                </w:p>
              </w:tc>
              <w:tc>
                <w:tcPr>
                  <w:tcW w:w="210" w:type="pct"/>
                  <w:vMerge w:val="continue"/>
                  <w:tcBorders>
                    <w:tl2br w:val="nil"/>
                    <w:tr2bl w:val="nil"/>
                  </w:tcBorders>
                  <w:noWrap w:val="0"/>
                  <w:vAlign w:val="center"/>
                </w:tcPr>
                <w:p w14:paraId="60914D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bCs/>
                      <w:color w:val="auto"/>
                      <w:kern w:val="2"/>
                      <w:sz w:val="21"/>
                      <w:szCs w:val="21"/>
                      <w:highlight w:val="none"/>
                      <w:lang w:val="en-US" w:eastAsia="zh-CN" w:bidi="ar-SA"/>
                    </w:rPr>
                  </w:pPr>
                </w:p>
              </w:tc>
              <w:tc>
                <w:tcPr>
                  <w:tcW w:w="167" w:type="pct"/>
                  <w:vMerge w:val="continue"/>
                  <w:tcBorders>
                    <w:tl2br w:val="nil"/>
                    <w:tr2bl w:val="nil"/>
                  </w:tcBorders>
                  <w:noWrap w:val="0"/>
                  <w:vAlign w:val="center"/>
                </w:tcPr>
                <w:p w14:paraId="046597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p>
              </w:tc>
              <w:tc>
                <w:tcPr>
                  <w:tcW w:w="301" w:type="pct"/>
                  <w:vMerge w:val="continue"/>
                  <w:tcBorders>
                    <w:tl2br w:val="nil"/>
                    <w:tr2bl w:val="nil"/>
                  </w:tcBorders>
                  <w:noWrap w:val="0"/>
                  <w:vAlign w:val="center"/>
                </w:tcPr>
                <w:p w14:paraId="4CB435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p>
              </w:tc>
              <w:tc>
                <w:tcPr>
                  <w:tcW w:w="202" w:type="pct"/>
                  <w:tcBorders>
                    <w:tl2br w:val="nil"/>
                    <w:tr2bl w:val="nil"/>
                  </w:tcBorders>
                  <w:noWrap w:val="0"/>
                  <w:vAlign w:val="center"/>
                </w:tcPr>
                <w:p w14:paraId="6C8418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东</w:t>
                  </w:r>
                </w:p>
              </w:tc>
              <w:tc>
                <w:tcPr>
                  <w:tcW w:w="193" w:type="pct"/>
                  <w:tcBorders>
                    <w:tl2br w:val="nil"/>
                    <w:tr2bl w:val="nil"/>
                  </w:tcBorders>
                  <w:noWrap w:val="0"/>
                  <w:vAlign w:val="center"/>
                </w:tcPr>
                <w:p w14:paraId="4333A4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南</w:t>
                  </w:r>
                </w:p>
              </w:tc>
              <w:tc>
                <w:tcPr>
                  <w:tcW w:w="189" w:type="pct"/>
                  <w:tcBorders>
                    <w:tl2br w:val="nil"/>
                    <w:tr2bl w:val="nil"/>
                  </w:tcBorders>
                  <w:noWrap w:val="0"/>
                  <w:vAlign w:val="center"/>
                </w:tcPr>
                <w:p w14:paraId="258B6E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西</w:t>
                  </w:r>
                </w:p>
              </w:tc>
              <w:tc>
                <w:tcPr>
                  <w:tcW w:w="191" w:type="pct"/>
                  <w:tcBorders>
                    <w:tl2br w:val="nil"/>
                    <w:tr2bl w:val="nil"/>
                  </w:tcBorders>
                  <w:noWrap w:val="0"/>
                  <w:vAlign w:val="center"/>
                </w:tcPr>
                <w:p w14:paraId="7FBE6D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北</w:t>
                  </w:r>
                </w:p>
              </w:tc>
              <w:tc>
                <w:tcPr>
                  <w:tcW w:w="259" w:type="pct"/>
                  <w:vMerge w:val="continue"/>
                  <w:tcBorders>
                    <w:tl2br w:val="nil"/>
                    <w:tr2bl w:val="nil"/>
                  </w:tcBorders>
                  <w:noWrap w:val="0"/>
                  <w:vAlign w:val="center"/>
                </w:tcPr>
                <w:p w14:paraId="7445129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p>
              </w:tc>
            </w:tr>
            <w:tr w14:paraId="1C2AB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60" w:type="pct"/>
                  <w:tcBorders>
                    <w:tl2br w:val="nil"/>
                    <w:tr2bl w:val="nil"/>
                  </w:tcBorders>
                  <w:noWrap w:val="0"/>
                  <w:vAlign w:val="center"/>
                </w:tcPr>
                <w:p w14:paraId="0A7903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60" w:type="pct"/>
                  <w:vMerge w:val="restart"/>
                  <w:tcBorders>
                    <w:tl2br w:val="nil"/>
                    <w:tr2bl w:val="nil"/>
                  </w:tcBorders>
                  <w:noWrap w:val="0"/>
                  <w:vAlign w:val="center"/>
                </w:tcPr>
                <w:p w14:paraId="3D5370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0"/>
                      <w:sz w:val="21"/>
                      <w:szCs w:val="21"/>
                      <w:highlight w:val="none"/>
                      <w:lang w:val="en-US" w:eastAsia="zh-CN" w:bidi="ar-SA"/>
                    </w:rPr>
                    <w:t>生产车间</w:t>
                  </w:r>
                </w:p>
              </w:tc>
              <w:tc>
                <w:tcPr>
                  <w:tcW w:w="235" w:type="pct"/>
                  <w:tcBorders>
                    <w:tl2br w:val="nil"/>
                    <w:tr2bl w:val="nil"/>
                  </w:tcBorders>
                  <w:shd w:val="clear" w:color="auto" w:fill="auto"/>
                  <w:noWrap w:val="0"/>
                  <w:vAlign w:val="center"/>
                </w:tcPr>
                <w:p w14:paraId="06FBFD54">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挤出机</w:t>
                  </w:r>
                </w:p>
              </w:tc>
              <w:tc>
                <w:tcPr>
                  <w:tcW w:w="180" w:type="pct"/>
                  <w:tcBorders>
                    <w:tl2br w:val="nil"/>
                    <w:tr2bl w:val="nil"/>
                  </w:tcBorders>
                  <w:shd w:val="clear" w:color="auto" w:fill="auto"/>
                  <w:noWrap w:val="0"/>
                  <w:vAlign w:val="center"/>
                </w:tcPr>
                <w:p w14:paraId="568C9680">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70型</w:t>
                  </w:r>
                </w:p>
              </w:tc>
              <w:tc>
                <w:tcPr>
                  <w:tcW w:w="176" w:type="pct"/>
                  <w:tcBorders>
                    <w:tl2br w:val="nil"/>
                    <w:tr2bl w:val="nil"/>
                  </w:tcBorders>
                  <w:shd w:val="clear" w:color="auto" w:fill="auto"/>
                  <w:noWrap w:val="0"/>
                  <w:vAlign w:val="center"/>
                </w:tcPr>
                <w:p w14:paraId="6D096EA8">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60</w:t>
                  </w:r>
                </w:p>
              </w:tc>
              <w:tc>
                <w:tcPr>
                  <w:tcW w:w="254" w:type="pct"/>
                  <w:tcBorders>
                    <w:tl2br w:val="nil"/>
                    <w:tr2bl w:val="nil"/>
                  </w:tcBorders>
                  <w:shd w:val="clear" w:color="auto" w:fill="auto"/>
                  <w:noWrap w:val="0"/>
                  <w:vAlign w:val="center"/>
                </w:tcPr>
                <w:p w14:paraId="7D38B9D5">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80</w:t>
                  </w:r>
                </w:p>
              </w:tc>
              <w:tc>
                <w:tcPr>
                  <w:tcW w:w="288" w:type="pct"/>
                  <w:vMerge w:val="restart"/>
                  <w:tcBorders>
                    <w:tl2br w:val="nil"/>
                    <w:tr2bl w:val="nil"/>
                  </w:tcBorders>
                  <w:noWrap w:val="0"/>
                  <w:vAlign w:val="center"/>
                </w:tcPr>
                <w:p w14:paraId="37D9A1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shd w:val="clear" w:color="auto" w:fill="auto"/>
                      <w:lang w:val="en-US" w:eastAsia="zh-CN" w:bidi="ar-SA"/>
                    </w:rPr>
                    <w:t>选用低噪声设备，减振</w:t>
                  </w:r>
                  <w:r>
                    <w:rPr>
                      <w:rFonts w:hint="eastAsia" w:cs="Times New Roman"/>
                      <w:color w:val="auto"/>
                      <w:kern w:val="2"/>
                      <w:sz w:val="21"/>
                      <w:szCs w:val="21"/>
                      <w:highlight w:val="none"/>
                      <w:shd w:val="clear" w:color="auto" w:fill="auto"/>
                      <w:lang w:val="en-US" w:eastAsia="zh-CN" w:bidi="ar-SA"/>
                    </w:rPr>
                    <w:t>、距离衰减</w:t>
                  </w:r>
                  <w:r>
                    <w:rPr>
                      <w:rFonts w:hint="eastAsia" w:ascii="Times New Roman" w:hAnsi="Times New Roman" w:eastAsia="宋体" w:cs="Times New Roman"/>
                      <w:color w:val="auto"/>
                      <w:kern w:val="2"/>
                      <w:sz w:val="21"/>
                      <w:szCs w:val="21"/>
                      <w:highlight w:val="none"/>
                      <w:shd w:val="clear" w:color="auto" w:fill="auto"/>
                      <w:lang w:val="en-US" w:eastAsia="zh-CN" w:bidi="ar-SA"/>
                    </w:rPr>
                    <w:t>等措施</w:t>
                  </w:r>
                </w:p>
              </w:tc>
              <w:tc>
                <w:tcPr>
                  <w:tcW w:w="159" w:type="pct"/>
                  <w:tcBorders>
                    <w:tl2br w:val="nil"/>
                    <w:tr2bl w:val="nil"/>
                  </w:tcBorders>
                  <w:noWrap w:val="0"/>
                  <w:vAlign w:val="center"/>
                </w:tcPr>
                <w:p w14:paraId="53AAE9FB">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58</w:t>
                  </w:r>
                </w:p>
              </w:tc>
              <w:tc>
                <w:tcPr>
                  <w:tcW w:w="159" w:type="pct"/>
                  <w:tcBorders>
                    <w:tl2br w:val="nil"/>
                    <w:tr2bl w:val="nil"/>
                  </w:tcBorders>
                  <w:noWrap w:val="0"/>
                  <w:vAlign w:val="center"/>
                </w:tcPr>
                <w:p w14:paraId="0BA34251">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65</w:t>
                  </w:r>
                </w:p>
              </w:tc>
              <w:tc>
                <w:tcPr>
                  <w:tcW w:w="163" w:type="pct"/>
                  <w:tcBorders>
                    <w:tl2br w:val="nil"/>
                    <w:tr2bl w:val="nil"/>
                  </w:tcBorders>
                  <w:noWrap w:val="0"/>
                  <w:vAlign w:val="center"/>
                </w:tcPr>
                <w:p w14:paraId="41DF14B5">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1</w:t>
                  </w:r>
                  <w:r>
                    <w:rPr>
                      <w:rFonts w:hint="eastAsia" w:cs="Times New Roman"/>
                      <w:color w:val="auto"/>
                      <w:kern w:val="2"/>
                      <w:sz w:val="21"/>
                      <w:szCs w:val="24"/>
                      <w:highlight w:val="none"/>
                      <w:lang w:val="en-US" w:eastAsia="zh-CN" w:bidi="ar-SA"/>
                    </w:rPr>
                    <w:t>.0</w:t>
                  </w:r>
                </w:p>
              </w:tc>
              <w:tc>
                <w:tcPr>
                  <w:tcW w:w="176" w:type="pct"/>
                  <w:tcBorders>
                    <w:tl2br w:val="nil"/>
                    <w:tr2bl w:val="nil"/>
                  </w:tcBorders>
                  <w:noWrap w:val="0"/>
                  <w:vAlign w:val="center"/>
                </w:tcPr>
                <w:p w14:paraId="78E5D9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3</w:t>
                  </w:r>
                </w:p>
              </w:tc>
              <w:tc>
                <w:tcPr>
                  <w:tcW w:w="189" w:type="pct"/>
                  <w:tcBorders>
                    <w:tl2br w:val="nil"/>
                    <w:tr2bl w:val="nil"/>
                  </w:tcBorders>
                  <w:noWrap w:val="0"/>
                  <w:vAlign w:val="center"/>
                </w:tcPr>
                <w:p w14:paraId="29ABC3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15</w:t>
                  </w:r>
                </w:p>
              </w:tc>
              <w:tc>
                <w:tcPr>
                  <w:tcW w:w="189" w:type="pct"/>
                  <w:tcBorders>
                    <w:tl2br w:val="nil"/>
                    <w:tr2bl w:val="nil"/>
                  </w:tcBorders>
                  <w:noWrap w:val="0"/>
                  <w:vAlign w:val="center"/>
                </w:tcPr>
                <w:p w14:paraId="3F460F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60</w:t>
                  </w:r>
                </w:p>
              </w:tc>
              <w:tc>
                <w:tcPr>
                  <w:tcW w:w="172" w:type="pct"/>
                  <w:tcBorders>
                    <w:tl2br w:val="nil"/>
                    <w:tr2bl w:val="nil"/>
                  </w:tcBorders>
                  <w:noWrap w:val="0"/>
                  <w:vAlign w:val="center"/>
                </w:tcPr>
                <w:p w14:paraId="72435A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28</w:t>
                  </w:r>
                </w:p>
              </w:tc>
              <w:tc>
                <w:tcPr>
                  <w:tcW w:w="206" w:type="pct"/>
                  <w:tcBorders>
                    <w:tl2br w:val="nil"/>
                    <w:tr2bl w:val="nil"/>
                  </w:tcBorders>
                  <w:noWrap w:val="0"/>
                  <w:vAlign w:val="center"/>
                </w:tcPr>
                <w:p w14:paraId="0CE2DF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70.46</w:t>
                  </w:r>
                </w:p>
              </w:tc>
              <w:tc>
                <w:tcPr>
                  <w:tcW w:w="198" w:type="pct"/>
                  <w:tcBorders>
                    <w:tl2br w:val="nil"/>
                    <w:tr2bl w:val="nil"/>
                  </w:tcBorders>
                  <w:noWrap w:val="0"/>
                  <w:vAlign w:val="center"/>
                </w:tcPr>
                <w:p w14:paraId="5713824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56.48</w:t>
                  </w:r>
                </w:p>
              </w:tc>
              <w:tc>
                <w:tcPr>
                  <w:tcW w:w="211" w:type="pct"/>
                  <w:tcBorders>
                    <w:tl2br w:val="nil"/>
                    <w:tr2bl w:val="nil"/>
                  </w:tcBorders>
                  <w:noWrap w:val="0"/>
                  <w:vAlign w:val="center"/>
                </w:tcPr>
                <w:p w14:paraId="66D3DE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44.44</w:t>
                  </w:r>
                </w:p>
              </w:tc>
              <w:tc>
                <w:tcPr>
                  <w:tcW w:w="210" w:type="pct"/>
                  <w:tcBorders>
                    <w:tl2br w:val="nil"/>
                    <w:tr2bl w:val="nil"/>
                  </w:tcBorders>
                  <w:noWrap w:val="0"/>
                  <w:vAlign w:val="center"/>
                </w:tcPr>
                <w:p w14:paraId="2A45828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51.06</w:t>
                  </w:r>
                </w:p>
              </w:tc>
              <w:tc>
                <w:tcPr>
                  <w:tcW w:w="167" w:type="pct"/>
                  <w:vMerge w:val="restart"/>
                  <w:tcBorders>
                    <w:tl2br w:val="nil"/>
                    <w:tr2bl w:val="nil"/>
                  </w:tcBorders>
                  <w:noWrap w:val="0"/>
                  <w:vAlign w:val="center"/>
                </w:tcPr>
                <w:p w14:paraId="4678E753">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highlight w:val="none"/>
                      <w:lang w:val="en-US"/>
                    </w:rPr>
                  </w:pPr>
                  <w:r>
                    <w:rPr>
                      <w:rFonts w:hint="eastAsia" w:cs="Times New Roman"/>
                      <w:color w:val="auto"/>
                      <w:kern w:val="2"/>
                      <w:sz w:val="21"/>
                      <w:szCs w:val="21"/>
                      <w:highlight w:val="none"/>
                      <w:lang w:val="en-US" w:eastAsia="zh-CN" w:bidi="ar-SA"/>
                    </w:rPr>
                    <w:t>全天</w:t>
                  </w:r>
                </w:p>
              </w:tc>
              <w:tc>
                <w:tcPr>
                  <w:tcW w:w="301" w:type="pct"/>
                  <w:tcBorders>
                    <w:tl2br w:val="nil"/>
                    <w:tr2bl w:val="nil"/>
                  </w:tcBorders>
                  <w:noWrap w:val="0"/>
                  <w:vAlign w:val="center"/>
                </w:tcPr>
                <w:p w14:paraId="7441086D">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kern w:val="2"/>
                      <w:sz w:val="21"/>
                      <w:szCs w:val="21"/>
                      <w:highlight w:val="none"/>
                      <w:lang w:val="en-US" w:eastAsia="zh-CN" w:bidi="ar-SA"/>
                    </w:rPr>
                    <w:t>20</w:t>
                  </w:r>
                </w:p>
              </w:tc>
              <w:tc>
                <w:tcPr>
                  <w:tcW w:w="202" w:type="pct"/>
                  <w:tcBorders>
                    <w:tl2br w:val="nil"/>
                    <w:tr2bl w:val="nil"/>
                  </w:tcBorders>
                  <w:noWrap w:val="0"/>
                  <w:vAlign w:val="center"/>
                </w:tcPr>
                <w:p w14:paraId="5B9943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50.46</w:t>
                  </w:r>
                </w:p>
              </w:tc>
              <w:tc>
                <w:tcPr>
                  <w:tcW w:w="193" w:type="pct"/>
                  <w:tcBorders>
                    <w:tl2br w:val="nil"/>
                    <w:tr2bl w:val="nil"/>
                  </w:tcBorders>
                  <w:noWrap w:val="0"/>
                  <w:vAlign w:val="center"/>
                </w:tcPr>
                <w:p w14:paraId="7504D8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36.48</w:t>
                  </w:r>
                </w:p>
              </w:tc>
              <w:tc>
                <w:tcPr>
                  <w:tcW w:w="189" w:type="pct"/>
                  <w:tcBorders>
                    <w:tl2br w:val="nil"/>
                    <w:tr2bl w:val="nil"/>
                  </w:tcBorders>
                  <w:noWrap w:val="0"/>
                  <w:vAlign w:val="center"/>
                </w:tcPr>
                <w:p w14:paraId="7A8D9F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24.44</w:t>
                  </w:r>
                </w:p>
              </w:tc>
              <w:tc>
                <w:tcPr>
                  <w:tcW w:w="191" w:type="pct"/>
                  <w:tcBorders>
                    <w:tl2br w:val="nil"/>
                    <w:tr2bl w:val="nil"/>
                  </w:tcBorders>
                  <w:noWrap w:val="0"/>
                  <w:vAlign w:val="center"/>
                </w:tcPr>
                <w:p w14:paraId="6FD063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31.06</w:t>
                  </w:r>
                </w:p>
              </w:tc>
              <w:tc>
                <w:tcPr>
                  <w:tcW w:w="259" w:type="pct"/>
                  <w:tcBorders>
                    <w:tl2br w:val="nil"/>
                    <w:tr2bl w:val="nil"/>
                  </w:tcBorders>
                  <w:noWrap w:val="0"/>
                  <w:vAlign w:val="center"/>
                </w:tcPr>
                <w:p w14:paraId="1E20680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6</w:t>
                  </w:r>
                </w:p>
              </w:tc>
            </w:tr>
            <w:tr w14:paraId="5FFF9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jc w:val="center"/>
              </w:trPr>
              <w:tc>
                <w:tcPr>
                  <w:tcW w:w="160" w:type="pct"/>
                  <w:tcBorders>
                    <w:tl2br w:val="nil"/>
                    <w:tr2bl w:val="nil"/>
                  </w:tcBorders>
                  <w:noWrap w:val="0"/>
                  <w:vAlign w:val="center"/>
                </w:tcPr>
                <w:p w14:paraId="5AC623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w:t>
                  </w:r>
                </w:p>
              </w:tc>
              <w:tc>
                <w:tcPr>
                  <w:tcW w:w="160" w:type="pct"/>
                  <w:vMerge w:val="continue"/>
                  <w:tcBorders>
                    <w:tl2br w:val="nil"/>
                    <w:tr2bl w:val="nil"/>
                  </w:tcBorders>
                  <w:noWrap w:val="0"/>
                  <w:vAlign w:val="center"/>
                </w:tcPr>
                <w:p w14:paraId="73B7FB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eastAsia" w:ascii="Times New Roman" w:hAnsi="Times New Roman" w:cs="Times New Roman"/>
                      <w:color w:val="auto"/>
                      <w:kern w:val="0"/>
                      <w:sz w:val="21"/>
                      <w:szCs w:val="21"/>
                      <w:highlight w:val="none"/>
                      <w:lang w:val="en-US" w:eastAsia="zh-CN" w:bidi="ar-SA"/>
                    </w:rPr>
                  </w:pPr>
                </w:p>
              </w:tc>
              <w:tc>
                <w:tcPr>
                  <w:tcW w:w="235" w:type="pct"/>
                  <w:tcBorders>
                    <w:tl2br w:val="nil"/>
                    <w:tr2bl w:val="nil"/>
                  </w:tcBorders>
                  <w:shd w:val="clear" w:color="auto" w:fill="auto"/>
                  <w:noWrap w:val="0"/>
                  <w:vAlign w:val="center"/>
                </w:tcPr>
                <w:p w14:paraId="63765CA8">
                  <w:pPr>
                    <w:pStyle w:val="6"/>
                    <w:keepNext w:val="0"/>
                    <w:keepLines w:val="0"/>
                    <w:suppressLineNumbers w:val="0"/>
                    <w:bidi w:val="0"/>
                    <w:spacing w:before="0" w:beforeAutospacing="0" w:after="0" w:afterAutospacing="0"/>
                    <w:ind w:left="0" w:leftChars="0" w:right="0" w:rightChars="0" w:firstLine="0" w:firstLineChars="0"/>
                    <w:jc w:val="center"/>
                    <w:rPr>
                      <w:rFonts w:hint="default" w:cs="Times New Roman"/>
                      <w:color w:val="auto"/>
                      <w:spacing w:val="-6"/>
                      <w:kern w:val="2"/>
                      <w:sz w:val="21"/>
                      <w:szCs w:val="20"/>
                      <w:highlight w:val="none"/>
                      <w:lang w:val="en-US" w:eastAsia="zh-CN" w:bidi="ar-SA"/>
                    </w:rPr>
                  </w:pPr>
                  <w:r>
                    <w:rPr>
                      <w:rFonts w:hint="eastAsia" w:cs="Times New Roman"/>
                      <w:color w:val="auto"/>
                      <w:spacing w:val="-6"/>
                      <w:kern w:val="2"/>
                      <w:sz w:val="21"/>
                      <w:szCs w:val="20"/>
                      <w:highlight w:val="none"/>
                      <w:lang w:val="en-US" w:eastAsia="zh-CN" w:bidi="ar-SA"/>
                    </w:rPr>
                    <w:t>切割机</w:t>
                  </w:r>
                </w:p>
              </w:tc>
              <w:tc>
                <w:tcPr>
                  <w:tcW w:w="180" w:type="pct"/>
                  <w:tcBorders>
                    <w:tl2br w:val="nil"/>
                    <w:tr2bl w:val="nil"/>
                  </w:tcBorders>
                  <w:shd w:val="clear" w:color="auto" w:fill="auto"/>
                  <w:noWrap w:val="0"/>
                  <w:vAlign w:val="center"/>
                </w:tcPr>
                <w:p w14:paraId="2693518D">
                  <w:pPr>
                    <w:pStyle w:val="6"/>
                    <w:keepNext w:val="0"/>
                    <w:keepLines w:val="0"/>
                    <w:suppressLineNumbers w:val="0"/>
                    <w:bidi w:val="0"/>
                    <w:spacing w:before="0" w:beforeAutospacing="0" w:after="0" w:afterAutospacing="0"/>
                    <w:ind w:left="0" w:leftChars="0" w:right="0" w:rightChars="0" w:firstLine="0" w:firstLineChars="0"/>
                    <w:jc w:val="center"/>
                    <w:rPr>
                      <w:rFonts w:hint="default" w:cs="Times New Roman"/>
                      <w:color w:val="auto"/>
                      <w:spacing w:val="-6"/>
                      <w:kern w:val="2"/>
                      <w:sz w:val="21"/>
                      <w:szCs w:val="20"/>
                      <w:highlight w:val="none"/>
                      <w:lang w:val="en-US" w:eastAsia="zh-CN" w:bidi="ar-SA"/>
                    </w:rPr>
                  </w:pPr>
                  <w:r>
                    <w:rPr>
                      <w:rFonts w:hint="eastAsia" w:cs="Times New Roman"/>
                      <w:color w:val="auto"/>
                      <w:spacing w:val="-6"/>
                      <w:kern w:val="2"/>
                      <w:sz w:val="21"/>
                      <w:szCs w:val="20"/>
                      <w:highlight w:val="none"/>
                      <w:lang w:val="en-US" w:eastAsia="zh-CN" w:bidi="ar-SA"/>
                    </w:rPr>
                    <w:t>/</w:t>
                  </w:r>
                </w:p>
              </w:tc>
              <w:tc>
                <w:tcPr>
                  <w:tcW w:w="176" w:type="pct"/>
                  <w:tcBorders>
                    <w:tl2br w:val="nil"/>
                    <w:tr2bl w:val="nil"/>
                  </w:tcBorders>
                  <w:shd w:val="clear" w:color="auto" w:fill="auto"/>
                  <w:noWrap w:val="0"/>
                  <w:vAlign w:val="center"/>
                </w:tcPr>
                <w:p w14:paraId="705709B1">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60</w:t>
                  </w:r>
                </w:p>
              </w:tc>
              <w:tc>
                <w:tcPr>
                  <w:tcW w:w="254" w:type="pct"/>
                  <w:tcBorders>
                    <w:tl2br w:val="nil"/>
                    <w:tr2bl w:val="nil"/>
                  </w:tcBorders>
                  <w:shd w:val="clear" w:color="auto" w:fill="auto"/>
                  <w:noWrap w:val="0"/>
                  <w:vAlign w:val="center"/>
                </w:tcPr>
                <w:p w14:paraId="387314AC">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80</w:t>
                  </w:r>
                </w:p>
              </w:tc>
              <w:tc>
                <w:tcPr>
                  <w:tcW w:w="288" w:type="pct"/>
                  <w:vMerge w:val="continue"/>
                  <w:tcBorders>
                    <w:tl2br w:val="nil"/>
                    <w:tr2bl w:val="nil"/>
                  </w:tcBorders>
                  <w:noWrap w:val="0"/>
                  <w:vAlign w:val="center"/>
                </w:tcPr>
                <w:p w14:paraId="6C36ACF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kern w:val="2"/>
                      <w:sz w:val="21"/>
                      <w:szCs w:val="21"/>
                      <w:highlight w:val="none"/>
                      <w:shd w:val="clear" w:color="auto" w:fill="auto"/>
                      <w:lang w:val="en-US" w:eastAsia="zh-CN" w:bidi="ar-SA"/>
                    </w:rPr>
                  </w:pPr>
                </w:p>
              </w:tc>
              <w:tc>
                <w:tcPr>
                  <w:tcW w:w="159" w:type="pct"/>
                  <w:tcBorders>
                    <w:tl2br w:val="nil"/>
                    <w:tr2bl w:val="nil"/>
                  </w:tcBorders>
                  <w:noWrap w:val="0"/>
                  <w:vAlign w:val="center"/>
                </w:tcPr>
                <w:p w14:paraId="67C7168C">
                  <w:pPr>
                    <w:pStyle w:val="6"/>
                    <w:keepNext w:val="0"/>
                    <w:keepLines w:val="0"/>
                    <w:suppressLineNumbers w:val="0"/>
                    <w:bidi w:val="0"/>
                    <w:spacing w:before="0" w:beforeAutospacing="0" w:after="0" w:afterAutospacing="0"/>
                    <w:ind w:left="0" w:leftChars="0" w:right="0" w:rightChars="0" w:firstLine="0" w:firstLineChars="0"/>
                    <w:jc w:val="center"/>
                    <w:rPr>
                      <w:rFonts w:hint="default"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60</w:t>
                  </w:r>
                </w:p>
              </w:tc>
              <w:tc>
                <w:tcPr>
                  <w:tcW w:w="159" w:type="pct"/>
                  <w:tcBorders>
                    <w:tl2br w:val="nil"/>
                    <w:tr2bl w:val="nil"/>
                  </w:tcBorders>
                  <w:noWrap w:val="0"/>
                  <w:vAlign w:val="center"/>
                </w:tcPr>
                <w:p w14:paraId="76E92B4A">
                  <w:pPr>
                    <w:pStyle w:val="6"/>
                    <w:keepNext w:val="0"/>
                    <w:keepLines w:val="0"/>
                    <w:suppressLineNumbers w:val="0"/>
                    <w:bidi w:val="0"/>
                    <w:spacing w:before="0" w:beforeAutospacing="0" w:after="0" w:afterAutospacing="0"/>
                    <w:ind w:left="0" w:leftChars="0" w:right="0" w:rightChars="0" w:firstLine="0" w:firstLineChars="0"/>
                    <w:jc w:val="center"/>
                    <w:rPr>
                      <w:rFonts w:hint="default"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60</w:t>
                  </w:r>
                </w:p>
              </w:tc>
              <w:tc>
                <w:tcPr>
                  <w:tcW w:w="163" w:type="pct"/>
                  <w:tcBorders>
                    <w:tl2br w:val="nil"/>
                    <w:tr2bl w:val="nil"/>
                  </w:tcBorders>
                  <w:noWrap w:val="0"/>
                  <w:vAlign w:val="center"/>
                </w:tcPr>
                <w:p w14:paraId="72A1C372">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1</w:t>
                  </w:r>
                  <w:r>
                    <w:rPr>
                      <w:rFonts w:hint="eastAsia" w:cs="Times New Roman"/>
                      <w:color w:val="auto"/>
                      <w:kern w:val="2"/>
                      <w:sz w:val="21"/>
                      <w:szCs w:val="24"/>
                      <w:highlight w:val="none"/>
                      <w:lang w:val="en-US" w:eastAsia="zh-CN" w:bidi="ar-SA"/>
                    </w:rPr>
                    <w:t>.2</w:t>
                  </w:r>
                </w:p>
              </w:tc>
              <w:tc>
                <w:tcPr>
                  <w:tcW w:w="176" w:type="pct"/>
                  <w:tcBorders>
                    <w:tl2br w:val="nil"/>
                    <w:tr2bl w:val="nil"/>
                  </w:tcBorders>
                  <w:noWrap w:val="0"/>
                  <w:vAlign w:val="center"/>
                </w:tcPr>
                <w:p w14:paraId="6F2C74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w:t>
                  </w:r>
                </w:p>
              </w:tc>
              <w:tc>
                <w:tcPr>
                  <w:tcW w:w="189" w:type="pct"/>
                  <w:tcBorders>
                    <w:tl2br w:val="nil"/>
                    <w:tr2bl w:val="nil"/>
                  </w:tcBorders>
                  <w:noWrap w:val="0"/>
                  <w:vAlign w:val="center"/>
                </w:tcPr>
                <w:p w14:paraId="7F76A9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13</w:t>
                  </w:r>
                </w:p>
              </w:tc>
              <w:tc>
                <w:tcPr>
                  <w:tcW w:w="189" w:type="pct"/>
                  <w:tcBorders>
                    <w:tl2br w:val="nil"/>
                    <w:tr2bl w:val="nil"/>
                  </w:tcBorders>
                  <w:noWrap w:val="0"/>
                  <w:vAlign w:val="center"/>
                </w:tcPr>
                <w:p w14:paraId="2592EA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60</w:t>
                  </w:r>
                </w:p>
              </w:tc>
              <w:tc>
                <w:tcPr>
                  <w:tcW w:w="172" w:type="pct"/>
                  <w:tcBorders>
                    <w:tl2br w:val="nil"/>
                    <w:tr2bl w:val="nil"/>
                  </w:tcBorders>
                  <w:noWrap w:val="0"/>
                  <w:vAlign w:val="center"/>
                </w:tcPr>
                <w:p w14:paraId="1189E8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30</w:t>
                  </w:r>
                </w:p>
              </w:tc>
              <w:tc>
                <w:tcPr>
                  <w:tcW w:w="206" w:type="pct"/>
                  <w:tcBorders>
                    <w:tl2br w:val="nil"/>
                    <w:tr2bl w:val="nil"/>
                  </w:tcBorders>
                  <w:noWrap w:val="0"/>
                  <w:vAlign w:val="center"/>
                </w:tcPr>
                <w:p w14:paraId="411AD4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70.46</w:t>
                  </w:r>
                </w:p>
              </w:tc>
              <w:tc>
                <w:tcPr>
                  <w:tcW w:w="198" w:type="pct"/>
                  <w:tcBorders>
                    <w:tl2br w:val="nil"/>
                    <w:tr2bl w:val="nil"/>
                  </w:tcBorders>
                  <w:noWrap w:val="0"/>
                  <w:vAlign w:val="center"/>
                </w:tcPr>
                <w:p w14:paraId="6389AC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57.72</w:t>
                  </w:r>
                </w:p>
              </w:tc>
              <w:tc>
                <w:tcPr>
                  <w:tcW w:w="211" w:type="pct"/>
                  <w:tcBorders>
                    <w:tl2br w:val="nil"/>
                    <w:tr2bl w:val="nil"/>
                  </w:tcBorders>
                  <w:noWrap w:val="0"/>
                  <w:vAlign w:val="center"/>
                </w:tcPr>
                <w:p w14:paraId="1D79FB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44.44</w:t>
                  </w:r>
                </w:p>
              </w:tc>
              <w:tc>
                <w:tcPr>
                  <w:tcW w:w="210" w:type="pct"/>
                  <w:tcBorders>
                    <w:tl2br w:val="nil"/>
                    <w:tr2bl w:val="nil"/>
                  </w:tcBorders>
                  <w:noWrap w:val="0"/>
                  <w:vAlign w:val="center"/>
                </w:tcPr>
                <w:p w14:paraId="232B4E7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50.46</w:t>
                  </w:r>
                </w:p>
              </w:tc>
              <w:tc>
                <w:tcPr>
                  <w:tcW w:w="167" w:type="pct"/>
                  <w:vMerge w:val="continue"/>
                  <w:tcBorders>
                    <w:tl2br w:val="nil"/>
                    <w:tr2bl w:val="nil"/>
                  </w:tcBorders>
                  <w:noWrap w:val="0"/>
                  <w:vAlign w:val="center"/>
                </w:tcPr>
                <w:p w14:paraId="42F7DE24">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firstLine="0" w:firstLineChars="0"/>
                    <w:jc w:val="center"/>
                    <w:rPr>
                      <w:rFonts w:hint="eastAsia" w:cs="Times New Roman"/>
                      <w:color w:val="auto"/>
                      <w:kern w:val="2"/>
                      <w:sz w:val="21"/>
                      <w:szCs w:val="21"/>
                      <w:highlight w:val="none"/>
                      <w:lang w:val="en-US" w:eastAsia="zh-CN" w:bidi="ar-SA"/>
                    </w:rPr>
                  </w:pPr>
                </w:p>
              </w:tc>
              <w:tc>
                <w:tcPr>
                  <w:tcW w:w="301" w:type="pct"/>
                  <w:tcBorders>
                    <w:tl2br w:val="nil"/>
                    <w:tr2bl w:val="nil"/>
                  </w:tcBorders>
                  <w:noWrap w:val="0"/>
                  <w:vAlign w:val="center"/>
                </w:tcPr>
                <w:p w14:paraId="167A0CA6">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20</w:t>
                  </w:r>
                </w:p>
              </w:tc>
              <w:tc>
                <w:tcPr>
                  <w:tcW w:w="202" w:type="pct"/>
                  <w:tcBorders>
                    <w:tl2br w:val="nil"/>
                    <w:tr2bl w:val="nil"/>
                  </w:tcBorders>
                  <w:noWrap w:val="0"/>
                  <w:vAlign w:val="center"/>
                </w:tcPr>
                <w:p w14:paraId="3A42C1A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50.46</w:t>
                  </w:r>
                </w:p>
              </w:tc>
              <w:tc>
                <w:tcPr>
                  <w:tcW w:w="193" w:type="pct"/>
                  <w:tcBorders>
                    <w:tl2br w:val="nil"/>
                    <w:tr2bl w:val="nil"/>
                  </w:tcBorders>
                  <w:noWrap w:val="0"/>
                  <w:vAlign w:val="center"/>
                </w:tcPr>
                <w:p w14:paraId="34032C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37.72</w:t>
                  </w:r>
                </w:p>
              </w:tc>
              <w:tc>
                <w:tcPr>
                  <w:tcW w:w="189" w:type="pct"/>
                  <w:tcBorders>
                    <w:tl2br w:val="nil"/>
                    <w:tr2bl w:val="nil"/>
                  </w:tcBorders>
                  <w:noWrap w:val="0"/>
                  <w:vAlign w:val="center"/>
                </w:tcPr>
                <w:p w14:paraId="1B35CC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24.44</w:t>
                  </w:r>
                </w:p>
              </w:tc>
              <w:tc>
                <w:tcPr>
                  <w:tcW w:w="191" w:type="pct"/>
                  <w:tcBorders>
                    <w:tl2br w:val="nil"/>
                    <w:tr2bl w:val="nil"/>
                  </w:tcBorders>
                  <w:noWrap w:val="0"/>
                  <w:vAlign w:val="center"/>
                </w:tcPr>
                <w:p w14:paraId="6737257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30.46</w:t>
                  </w:r>
                </w:p>
              </w:tc>
              <w:tc>
                <w:tcPr>
                  <w:tcW w:w="259" w:type="pct"/>
                  <w:tcBorders>
                    <w:tl2br w:val="nil"/>
                    <w:tr2bl w:val="nil"/>
                  </w:tcBorders>
                  <w:noWrap w:val="0"/>
                  <w:vAlign w:val="center"/>
                </w:tcPr>
                <w:p w14:paraId="76429E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6</w:t>
                  </w:r>
                </w:p>
              </w:tc>
            </w:tr>
            <w:tr w14:paraId="475E5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160" w:type="pct"/>
                  <w:tcBorders>
                    <w:tl2br w:val="nil"/>
                    <w:tr2bl w:val="nil"/>
                  </w:tcBorders>
                  <w:noWrap w:val="0"/>
                  <w:vAlign w:val="center"/>
                </w:tcPr>
                <w:p w14:paraId="1E8999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w:t>
                  </w:r>
                </w:p>
              </w:tc>
              <w:tc>
                <w:tcPr>
                  <w:tcW w:w="160" w:type="pct"/>
                  <w:vMerge w:val="continue"/>
                  <w:tcBorders>
                    <w:tl2br w:val="nil"/>
                    <w:tr2bl w:val="nil"/>
                  </w:tcBorders>
                  <w:noWrap w:val="0"/>
                  <w:vAlign w:val="center"/>
                </w:tcPr>
                <w:p w14:paraId="3F9BA4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eastAsia" w:ascii="Times New Roman" w:hAnsi="Times New Roman" w:cs="Times New Roman"/>
                      <w:color w:val="auto"/>
                      <w:kern w:val="0"/>
                      <w:sz w:val="21"/>
                      <w:szCs w:val="21"/>
                      <w:highlight w:val="none"/>
                      <w:lang w:val="en-US" w:eastAsia="zh-CN" w:bidi="ar-SA"/>
                    </w:rPr>
                  </w:pPr>
                </w:p>
              </w:tc>
              <w:tc>
                <w:tcPr>
                  <w:tcW w:w="235" w:type="pct"/>
                  <w:tcBorders>
                    <w:tl2br w:val="nil"/>
                    <w:tr2bl w:val="nil"/>
                  </w:tcBorders>
                  <w:shd w:val="clear" w:color="auto" w:fill="auto"/>
                  <w:noWrap w:val="0"/>
                  <w:vAlign w:val="center"/>
                </w:tcPr>
                <w:p w14:paraId="08C96494">
                  <w:pPr>
                    <w:pStyle w:val="6"/>
                    <w:keepNext w:val="0"/>
                    <w:keepLines w:val="0"/>
                    <w:suppressLineNumbers w:val="0"/>
                    <w:bidi w:val="0"/>
                    <w:spacing w:before="0" w:beforeAutospacing="0" w:after="0" w:afterAutospacing="0"/>
                    <w:ind w:left="0" w:leftChars="0" w:right="0" w:rightChars="0" w:firstLine="0" w:firstLineChars="0"/>
                    <w:jc w:val="center"/>
                    <w:rPr>
                      <w:rFonts w:hint="default" w:cs="Times New Roman"/>
                      <w:color w:val="auto"/>
                      <w:spacing w:val="-6"/>
                      <w:kern w:val="2"/>
                      <w:sz w:val="21"/>
                      <w:szCs w:val="20"/>
                      <w:highlight w:val="none"/>
                      <w:lang w:val="en-US" w:eastAsia="zh-CN" w:bidi="ar-SA"/>
                    </w:rPr>
                  </w:pPr>
                  <w:r>
                    <w:rPr>
                      <w:rFonts w:hint="eastAsia" w:cs="Times New Roman"/>
                      <w:color w:val="auto"/>
                      <w:spacing w:val="-6"/>
                      <w:kern w:val="2"/>
                      <w:sz w:val="21"/>
                      <w:szCs w:val="20"/>
                      <w:highlight w:val="none"/>
                      <w:lang w:val="en-US" w:eastAsia="zh-CN" w:bidi="ar-SA"/>
                    </w:rPr>
                    <w:t>激光打码机</w:t>
                  </w:r>
                </w:p>
              </w:tc>
              <w:tc>
                <w:tcPr>
                  <w:tcW w:w="180" w:type="pct"/>
                  <w:tcBorders>
                    <w:tl2br w:val="nil"/>
                    <w:tr2bl w:val="nil"/>
                  </w:tcBorders>
                  <w:shd w:val="clear" w:color="auto" w:fill="auto"/>
                  <w:noWrap w:val="0"/>
                  <w:vAlign w:val="center"/>
                </w:tcPr>
                <w:p w14:paraId="6286A271">
                  <w:pPr>
                    <w:pStyle w:val="6"/>
                    <w:keepNext w:val="0"/>
                    <w:keepLines w:val="0"/>
                    <w:suppressLineNumbers w:val="0"/>
                    <w:bidi w:val="0"/>
                    <w:spacing w:before="0" w:beforeAutospacing="0" w:after="0" w:afterAutospacing="0"/>
                    <w:ind w:left="0" w:leftChars="0" w:right="0" w:rightChars="0" w:firstLine="0" w:firstLineChars="0"/>
                    <w:jc w:val="center"/>
                    <w:rPr>
                      <w:rFonts w:hint="default" w:cs="Times New Roman"/>
                      <w:color w:val="auto"/>
                      <w:spacing w:val="-6"/>
                      <w:kern w:val="2"/>
                      <w:sz w:val="21"/>
                      <w:szCs w:val="20"/>
                      <w:highlight w:val="none"/>
                      <w:lang w:val="en-US" w:eastAsia="zh-CN" w:bidi="ar-SA"/>
                    </w:rPr>
                  </w:pPr>
                  <w:r>
                    <w:rPr>
                      <w:rFonts w:hint="eastAsia" w:cs="Times New Roman"/>
                      <w:color w:val="auto"/>
                      <w:spacing w:val="-6"/>
                      <w:kern w:val="2"/>
                      <w:sz w:val="21"/>
                      <w:szCs w:val="20"/>
                      <w:highlight w:val="none"/>
                      <w:lang w:val="en-US" w:eastAsia="zh-CN" w:bidi="ar-SA"/>
                    </w:rPr>
                    <w:t>60W</w:t>
                  </w:r>
                </w:p>
              </w:tc>
              <w:tc>
                <w:tcPr>
                  <w:tcW w:w="176" w:type="pct"/>
                  <w:tcBorders>
                    <w:tl2br w:val="nil"/>
                    <w:tr2bl w:val="nil"/>
                  </w:tcBorders>
                  <w:shd w:val="clear" w:color="auto" w:fill="auto"/>
                  <w:noWrap w:val="0"/>
                  <w:vAlign w:val="center"/>
                </w:tcPr>
                <w:p w14:paraId="057E85CA">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6</w:t>
                  </w:r>
                </w:p>
              </w:tc>
              <w:tc>
                <w:tcPr>
                  <w:tcW w:w="254" w:type="pct"/>
                  <w:tcBorders>
                    <w:tl2br w:val="nil"/>
                    <w:tr2bl w:val="nil"/>
                  </w:tcBorders>
                  <w:shd w:val="clear" w:color="auto" w:fill="auto"/>
                  <w:noWrap w:val="0"/>
                  <w:vAlign w:val="center"/>
                </w:tcPr>
                <w:p w14:paraId="02D51DD3">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75</w:t>
                  </w:r>
                </w:p>
              </w:tc>
              <w:tc>
                <w:tcPr>
                  <w:tcW w:w="288" w:type="pct"/>
                  <w:vMerge w:val="continue"/>
                  <w:tcBorders>
                    <w:tl2br w:val="nil"/>
                    <w:tr2bl w:val="nil"/>
                  </w:tcBorders>
                  <w:noWrap w:val="0"/>
                  <w:vAlign w:val="center"/>
                </w:tcPr>
                <w:p w14:paraId="3CD1C1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kern w:val="2"/>
                      <w:sz w:val="21"/>
                      <w:szCs w:val="21"/>
                      <w:highlight w:val="none"/>
                      <w:shd w:val="clear" w:color="auto" w:fill="auto"/>
                      <w:lang w:val="en-US" w:eastAsia="zh-CN" w:bidi="ar-SA"/>
                    </w:rPr>
                  </w:pPr>
                </w:p>
              </w:tc>
              <w:tc>
                <w:tcPr>
                  <w:tcW w:w="159" w:type="pct"/>
                  <w:tcBorders>
                    <w:tl2br w:val="nil"/>
                    <w:tr2bl w:val="nil"/>
                  </w:tcBorders>
                  <w:noWrap w:val="0"/>
                  <w:vAlign w:val="center"/>
                </w:tcPr>
                <w:p w14:paraId="71025D16">
                  <w:pPr>
                    <w:pStyle w:val="6"/>
                    <w:keepNext w:val="0"/>
                    <w:keepLines w:val="0"/>
                    <w:suppressLineNumbers w:val="0"/>
                    <w:bidi w:val="0"/>
                    <w:spacing w:before="0" w:beforeAutospacing="0" w:after="0" w:afterAutospacing="0"/>
                    <w:ind w:left="0" w:leftChars="0" w:right="0" w:rightChars="0" w:firstLine="0" w:firstLineChars="0"/>
                    <w:jc w:val="center"/>
                    <w:rPr>
                      <w:rFonts w:hint="default"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39</w:t>
                  </w:r>
                </w:p>
              </w:tc>
              <w:tc>
                <w:tcPr>
                  <w:tcW w:w="159" w:type="pct"/>
                  <w:tcBorders>
                    <w:tl2br w:val="nil"/>
                    <w:tr2bl w:val="nil"/>
                  </w:tcBorders>
                  <w:noWrap w:val="0"/>
                  <w:vAlign w:val="center"/>
                </w:tcPr>
                <w:p w14:paraId="146D28A2">
                  <w:pPr>
                    <w:pStyle w:val="6"/>
                    <w:keepNext w:val="0"/>
                    <w:keepLines w:val="0"/>
                    <w:suppressLineNumbers w:val="0"/>
                    <w:bidi w:val="0"/>
                    <w:spacing w:before="0" w:beforeAutospacing="0" w:after="0" w:afterAutospacing="0"/>
                    <w:ind w:left="0" w:leftChars="0" w:right="0" w:rightChars="0" w:firstLine="0" w:firstLineChars="0"/>
                    <w:jc w:val="center"/>
                    <w:rPr>
                      <w:rFonts w:hint="default"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41</w:t>
                  </w:r>
                </w:p>
              </w:tc>
              <w:tc>
                <w:tcPr>
                  <w:tcW w:w="163" w:type="pct"/>
                  <w:tcBorders>
                    <w:tl2br w:val="nil"/>
                    <w:tr2bl w:val="nil"/>
                  </w:tcBorders>
                  <w:noWrap w:val="0"/>
                  <w:vAlign w:val="center"/>
                </w:tcPr>
                <w:p w14:paraId="3CCFC892">
                  <w:pPr>
                    <w:pStyle w:val="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1</w:t>
                  </w:r>
                  <w:r>
                    <w:rPr>
                      <w:rFonts w:hint="eastAsia" w:cs="Times New Roman"/>
                      <w:color w:val="auto"/>
                      <w:kern w:val="2"/>
                      <w:sz w:val="21"/>
                      <w:szCs w:val="24"/>
                      <w:highlight w:val="none"/>
                      <w:lang w:val="en-US" w:eastAsia="zh-CN" w:bidi="ar-SA"/>
                    </w:rPr>
                    <w:t>.0</w:t>
                  </w:r>
                </w:p>
              </w:tc>
              <w:tc>
                <w:tcPr>
                  <w:tcW w:w="176" w:type="pct"/>
                  <w:tcBorders>
                    <w:tl2br w:val="nil"/>
                    <w:tr2bl w:val="nil"/>
                  </w:tcBorders>
                  <w:noWrap w:val="0"/>
                  <w:vAlign w:val="center"/>
                </w:tcPr>
                <w:p w14:paraId="16A873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62</w:t>
                  </w:r>
                </w:p>
              </w:tc>
              <w:tc>
                <w:tcPr>
                  <w:tcW w:w="189" w:type="pct"/>
                  <w:tcBorders>
                    <w:tl2br w:val="nil"/>
                    <w:tr2bl w:val="nil"/>
                  </w:tcBorders>
                  <w:noWrap w:val="0"/>
                  <w:vAlign w:val="center"/>
                </w:tcPr>
                <w:p w14:paraId="3C3D92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6</w:t>
                  </w:r>
                </w:p>
              </w:tc>
              <w:tc>
                <w:tcPr>
                  <w:tcW w:w="189" w:type="pct"/>
                  <w:tcBorders>
                    <w:tl2br w:val="nil"/>
                    <w:tr2bl w:val="nil"/>
                  </w:tcBorders>
                  <w:noWrap w:val="0"/>
                  <w:vAlign w:val="center"/>
                </w:tcPr>
                <w:p w14:paraId="3FDDCBB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58</w:t>
                  </w:r>
                </w:p>
              </w:tc>
              <w:tc>
                <w:tcPr>
                  <w:tcW w:w="172" w:type="pct"/>
                  <w:tcBorders>
                    <w:tl2br w:val="nil"/>
                    <w:tr2bl w:val="nil"/>
                  </w:tcBorders>
                  <w:noWrap w:val="0"/>
                  <w:vAlign w:val="center"/>
                </w:tcPr>
                <w:p w14:paraId="3B6B33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30</w:t>
                  </w:r>
                </w:p>
              </w:tc>
              <w:tc>
                <w:tcPr>
                  <w:tcW w:w="206" w:type="pct"/>
                  <w:tcBorders>
                    <w:tl2br w:val="nil"/>
                    <w:tr2bl w:val="nil"/>
                  </w:tcBorders>
                  <w:noWrap w:val="0"/>
                  <w:vAlign w:val="center"/>
                </w:tcPr>
                <w:p w14:paraId="6BC033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39.15</w:t>
                  </w:r>
                </w:p>
              </w:tc>
              <w:tc>
                <w:tcPr>
                  <w:tcW w:w="198" w:type="pct"/>
                  <w:tcBorders>
                    <w:tl2br w:val="nil"/>
                    <w:tr2bl w:val="nil"/>
                  </w:tcBorders>
                  <w:noWrap w:val="0"/>
                  <w:vAlign w:val="center"/>
                </w:tcPr>
                <w:p w14:paraId="6DBF48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59.44</w:t>
                  </w:r>
                </w:p>
              </w:tc>
              <w:tc>
                <w:tcPr>
                  <w:tcW w:w="211" w:type="pct"/>
                  <w:tcBorders>
                    <w:tl2br w:val="nil"/>
                    <w:tr2bl w:val="nil"/>
                  </w:tcBorders>
                  <w:noWrap w:val="0"/>
                  <w:vAlign w:val="center"/>
                </w:tcPr>
                <w:p w14:paraId="42A9E1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39.73</w:t>
                  </w:r>
                </w:p>
              </w:tc>
              <w:tc>
                <w:tcPr>
                  <w:tcW w:w="210" w:type="pct"/>
                  <w:tcBorders>
                    <w:tl2br w:val="nil"/>
                    <w:tr2bl w:val="nil"/>
                  </w:tcBorders>
                  <w:noWrap w:val="0"/>
                  <w:vAlign w:val="center"/>
                </w:tcPr>
                <w:p w14:paraId="6E3975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45.46</w:t>
                  </w:r>
                </w:p>
              </w:tc>
              <w:tc>
                <w:tcPr>
                  <w:tcW w:w="167" w:type="pct"/>
                  <w:vMerge w:val="continue"/>
                  <w:tcBorders>
                    <w:tl2br w:val="nil"/>
                    <w:tr2bl w:val="nil"/>
                  </w:tcBorders>
                  <w:noWrap w:val="0"/>
                  <w:vAlign w:val="center"/>
                </w:tcPr>
                <w:p w14:paraId="7767BE1F">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firstLine="0" w:firstLineChars="0"/>
                    <w:jc w:val="center"/>
                    <w:rPr>
                      <w:rFonts w:hint="eastAsia" w:cs="Times New Roman"/>
                      <w:color w:val="auto"/>
                      <w:kern w:val="2"/>
                      <w:sz w:val="21"/>
                      <w:szCs w:val="21"/>
                      <w:highlight w:val="none"/>
                      <w:lang w:val="en-US" w:eastAsia="zh-CN" w:bidi="ar-SA"/>
                    </w:rPr>
                  </w:pPr>
                </w:p>
              </w:tc>
              <w:tc>
                <w:tcPr>
                  <w:tcW w:w="301" w:type="pct"/>
                  <w:tcBorders>
                    <w:tl2br w:val="nil"/>
                    <w:tr2bl w:val="nil"/>
                  </w:tcBorders>
                  <w:noWrap w:val="0"/>
                  <w:vAlign w:val="center"/>
                </w:tcPr>
                <w:p w14:paraId="3D46746F">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20</w:t>
                  </w:r>
                </w:p>
              </w:tc>
              <w:tc>
                <w:tcPr>
                  <w:tcW w:w="202" w:type="pct"/>
                  <w:tcBorders>
                    <w:tl2br w:val="nil"/>
                    <w:tr2bl w:val="nil"/>
                  </w:tcBorders>
                  <w:noWrap w:val="0"/>
                  <w:vAlign w:val="center"/>
                </w:tcPr>
                <w:p w14:paraId="6BD3F6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19.15</w:t>
                  </w:r>
                </w:p>
              </w:tc>
              <w:tc>
                <w:tcPr>
                  <w:tcW w:w="193" w:type="pct"/>
                  <w:tcBorders>
                    <w:tl2br w:val="nil"/>
                    <w:tr2bl w:val="nil"/>
                  </w:tcBorders>
                  <w:noWrap w:val="0"/>
                  <w:vAlign w:val="center"/>
                </w:tcPr>
                <w:p w14:paraId="4DFCE7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39.11</w:t>
                  </w:r>
                </w:p>
              </w:tc>
              <w:tc>
                <w:tcPr>
                  <w:tcW w:w="189" w:type="pct"/>
                  <w:tcBorders>
                    <w:tl2br w:val="nil"/>
                    <w:tr2bl w:val="nil"/>
                  </w:tcBorders>
                  <w:noWrap w:val="0"/>
                  <w:vAlign w:val="center"/>
                </w:tcPr>
                <w:p w14:paraId="203261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19.73</w:t>
                  </w:r>
                </w:p>
              </w:tc>
              <w:tc>
                <w:tcPr>
                  <w:tcW w:w="191" w:type="pct"/>
                  <w:tcBorders>
                    <w:tl2br w:val="nil"/>
                    <w:tr2bl w:val="nil"/>
                  </w:tcBorders>
                  <w:noWrap w:val="0"/>
                  <w:vAlign w:val="center"/>
                </w:tcPr>
                <w:p w14:paraId="4987E4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25.46</w:t>
                  </w:r>
                </w:p>
              </w:tc>
              <w:tc>
                <w:tcPr>
                  <w:tcW w:w="259" w:type="pct"/>
                  <w:tcBorders>
                    <w:tl2br w:val="nil"/>
                    <w:tr2bl w:val="nil"/>
                  </w:tcBorders>
                  <w:noWrap w:val="0"/>
                  <w:vAlign w:val="center"/>
                </w:tcPr>
                <w:p w14:paraId="6C87F9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6</w:t>
                  </w:r>
                </w:p>
              </w:tc>
            </w:tr>
            <w:tr w14:paraId="7DE69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25"/>
                  <w:tcBorders>
                    <w:tl2br w:val="nil"/>
                    <w:tr2bl w:val="nil"/>
                  </w:tcBorders>
                  <w:noWrap w:val="0"/>
                  <w:vAlign w:val="center"/>
                </w:tcPr>
                <w:p w14:paraId="3D1049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以</w:t>
                  </w:r>
                  <w:r>
                    <w:rPr>
                      <w:rFonts w:hint="default" w:ascii="Times New Roman" w:hAnsi="Times New Roman" w:eastAsia="宋体" w:cs="Times New Roman"/>
                      <w:b w:val="0"/>
                      <w:bCs/>
                      <w:color w:val="auto"/>
                      <w:kern w:val="2"/>
                      <w:sz w:val="21"/>
                      <w:szCs w:val="21"/>
                      <w:highlight w:val="none"/>
                      <w:lang w:val="en-US" w:eastAsia="zh-CN" w:bidi="ar-SA"/>
                    </w:rPr>
                    <w:t>E11</w:t>
                  </w:r>
                  <w:r>
                    <w:rPr>
                      <w:rFonts w:hint="eastAsia" w:cs="Times New Roman"/>
                      <w:b w:val="0"/>
                      <w:bCs/>
                      <w:color w:val="auto"/>
                      <w:kern w:val="2"/>
                      <w:sz w:val="21"/>
                      <w:szCs w:val="21"/>
                      <w:highlight w:val="none"/>
                      <w:lang w:val="en-US" w:eastAsia="zh-CN" w:bidi="ar-SA"/>
                    </w:rPr>
                    <w:t>5</w:t>
                  </w:r>
                  <w:r>
                    <w:rPr>
                      <w:rFonts w:hint="default" w:ascii="Times New Roman" w:hAnsi="Times New Roman" w:eastAsia="宋体" w:cs="Times New Roman"/>
                      <w:b w:val="0"/>
                      <w:bCs/>
                      <w:color w:val="auto"/>
                      <w:kern w:val="2"/>
                      <w:sz w:val="21"/>
                      <w:szCs w:val="21"/>
                      <w:highlight w:val="none"/>
                      <w:lang w:val="en-US" w:eastAsia="zh-CN" w:bidi="ar-SA"/>
                    </w:rPr>
                    <w:t>°</w:t>
                  </w:r>
                  <w:r>
                    <w:rPr>
                      <w:rFonts w:hint="eastAsia" w:cs="Times New Roman"/>
                      <w:b w:val="0"/>
                      <w:bCs/>
                      <w:color w:val="auto"/>
                      <w:kern w:val="2"/>
                      <w:sz w:val="21"/>
                      <w:szCs w:val="21"/>
                      <w:highlight w:val="none"/>
                      <w:lang w:val="en-US" w:eastAsia="zh-CN" w:bidi="ar-SA"/>
                    </w:rPr>
                    <w:t>35</w:t>
                  </w:r>
                  <w:r>
                    <w:rPr>
                      <w:rFonts w:hint="default" w:ascii="Times New Roman" w:hAnsi="Times New Roman" w:eastAsia="宋体" w:cs="Times New Roman"/>
                      <w:b w:val="0"/>
                      <w:bCs/>
                      <w:color w:val="auto"/>
                      <w:kern w:val="2"/>
                      <w:sz w:val="21"/>
                      <w:szCs w:val="21"/>
                      <w:highlight w:val="none"/>
                      <w:lang w:val="en-US" w:eastAsia="zh-CN" w:bidi="ar-SA"/>
                    </w:rPr>
                    <w:t>′</w:t>
                  </w:r>
                  <w:r>
                    <w:rPr>
                      <w:rFonts w:hint="eastAsia" w:cs="Times New Roman"/>
                      <w:b w:val="0"/>
                      <w:bCs/>
                      <w:color w:val="auto"/>
                      <w:kern w:val="2"/>
                      <w:sz w:val="21"/>
                      <w:szCs w:val="21"/>
                      <w:highlight w:val="none"/>
                      <w:lang w:val="en-US" w:eastAsia="zh-CN" w:bidi="ar-SA"/>
                    </w:rPr>
                    <w:t>37.458</w:t>
                  </w:r>
                  <w:r>
                    <w:rPr>
                      <w:rFonts w:hint="default" w:ascii="Times New Roman" w:hAnsi="Times New Roman" w:eastAsia="宋体" w:cs="Times New Roman"/>
                      <w:b w:val="0"/>
                      <w:bCs/>
                      <w:color w:val="auto"/>
                      <w:kern w:val="2"/>
                      <w:sz w:val="21"/>
                      <w:szCs w:val="21"/>
                      <w:highlight w:val="none"/>
                      <w:lang w:val="en-US" w:eastAsia="zh-CN" w:bidi="ar-SA"/>
                    </w:rPr>
                    <w:t>″</w:t>
                  </w:r>
                  <w:r>
                    <w:rPr>
                      <w:rFonts w:hint="eastAsia" w:ascii="Times New Roman" w:hAnsi="Times New Roman" w:eastAsia="宋体" w:cs="Times New Roman"/>
                      <w:b w:val="0"/>
                      <w:bCs/>
                      <w:color w:val="auto"/>
                      <w:kern w:val="2"/>
                      <w:sz w:val="21"/>
                      <w:szCs w:val="21"/>
                      <w:highlight w:val="none"/>
                      <w:lang w:val="en-US" w:eastAsia="zh-CN" w:bidi="ar-SA"/>
                    </w:rPr>
                    <w:t>，</w:t>
                  </w:r>
                  <w:r>
                    <w:rPr>
                      <w:rFonts w:hint="default" w:ascii="Times New Roman" w:hAnsi="Times New Roman" w:eastAsia="宋体" w:cs="Times New Roman"/>
                      <w:b w:val="0"/>
                      <w:bCs/>
                      <w:color w:val="auto"/>
                      <w:kern w:val="2"/>
                      <w:sz w:val="21"/>
                      <w:szCs w:val="21"/>
                      <w:highlight w:val="none"/>
                      <w:lang w:val="en-US" w:eastAsia="zh-CN" w:bidi="ar-SA"/>
                    </w:rPr>
                    <w:t>N2</w:t>
                  </w:r>
                  <w:r>
                    <w:rPr>
                      <w:rFonts w:hint="eastAsia" w:ascii="Times New Roman" w:hAnsi="Times New Roman" w:cs="Times New Roman"/>
                      <w:b w:val="0"/>
                      <w:bCs/>
                      <w:color w:val="auto"/>
                      <w:kern w:val="2"/>
                      <w:sz w:val="21"/>
                      <w:szCs w:val="21"/>
                      <w:highlight w:val="none"/>
                      <w:lang w:val="en-US" w:eastAsia="zh-CN" w:bidi="ar-SA"/>
                    </w:rPr>
                    <w:t>8</w:t>
                  </w:r>
                  <w:r>
                    <w:rPr>
                      <w:rFonts w:hint="default" w:ascii="Times New Roman" w:hAnsi="Times New Roman" w:eastAsia="宋体" w:cs="Times New Roman"/>
                      <w:b w:val="0"/>
                      <w:bCs/>
                      <w:color w:val="auto"/>
                      <w:kern w:val="2"/>
                      <w:sz w:val="21"/>
                      <w:szCs w:val="21"/>
                      <w:highlight w:val="none"/>
                      <w:lang w:val="en-US" w:eastAsia="zh-CN" w:bidi="ar-SA"/>
                    </w:rPr>
                    <w:t>°</w:t>
                  </w:r>
                  <w:r>
                    <w:rPr>
                      <w:rFonts w:hint="eastAsia" w:ascii="Times New Roman" w:hAnsi="Times New Roman" w:cs="Times New Roman"/>
                      <w:b w:val="0"/>
                      <w:bCs/>
                      <w:color w:val="auto"/>
                      <w:kern w:val="2"/>
                      <w:sz w:val="21"/>
                      <w:szCs w:val="21"/>
                      <w:highlight w:val="none"/>
                      <w:lang w:val="en-US" w:eastAsia="zh-CN" w:bidi="ar-SA"/>
                    </w:rPr>
                    <w:t>52</w:t>
                  </w:r>
                  <w:r>
                    <w:rPr>
                      <w:rFonts w:hint="default" w:ascii="Times New Roman" w:hAnsi="Times New Roman" w:eastAsia="宋体" w:cs="Times New Roman"/>
                      <w:b w:val="0"/>
                      <w:bCs/>
                      <w:color w:val="auto"/>
                      <w:kern w:val="2"/>
                      <w:sz w:val="21"/>
                      <w:szCs w:val="21"/>
                      <w:highlight w:val="none"/>
                      <w:lang w:val="en-US" w:eastAsia="zh-CN" w:bidi="ar-SA"/>
                    </w:rPr>
                    <w:t>′</w:t>
                  </w:r>
                  <w:r>
                    <w:rPr>
                      <w:rFonts w:hint="eastAsia" w:cs="Times New Roman"/>
                      <w:b w:val="0"/>
                      <w:bCs/>
                      <w:color w:val="auto"/>
                      <w:kern w:val="2"/>
                      <w:sz w:val="21"/>
                      <w:szCs w:val="21"/>
                      <w:highlight w:val="none"/>
                      <w:lang w:val="en-US" w:eastAsia="zh-CN" w:bidi="ar-SA"/>
                    </w:rPr>
                    <w:t>25.434</w:t>
                  </w:r>
                  <w:r>
                    <w:rPr>
                      <w:rFonts w:hint="default" w:ascii="Times New Roman" w:hAnsi="Times New Roman" w:eastAsia="宋体" w:cs="Times New Roman"/>
                      <w:b w:val="0"/>
                      <w:bCs/>
                      <w:color w:val="auto"/>
                      <w:kern w:val="2"/>
                      <w:sz w:val="21"/>
                      <w:szCs w:val="21"/>
                      <w:highlight w:val="none"/>
                      <w:lang w:val="en-US" w:eastAsia="zh-CN" w:bidi="ar-SA"/>
                    </w:rPr>
                    <w:t>″</w:t>
                  </w:r>
                  <w:r>
                    <w:rPr>
                      <w:rFonts w:hint="eastAsia" w:ascii="Times New Roman" w:hAnsi="Times New Roman" w:eastAsia="宋体" w:cs="Times New Roman"/>
                      <w:b w:val="0"/>
                      <w:bCs/>
                      <w:color w:val="auto"/>
                      <w:kern w:val="2"/>
                      <w:sz w:val="21"/>
                      <w:szCs w:val="21"/>
                      <w:highlight w:val="none"/>
                      <w:lang w:val="en-US" w:eastAsia="zh-CN" w:bidi="ar-SA"/>
                    </w:rPr>
                    <w:t>为原点（0，0，0），沿正东方向为X轴正方向，沿正北方向为Y轴正方向。</w:t>
                  </w:r>
                </w:p>
              </w:tc>
            </w:tr>
          </w:tbl>
          <w:p w14:paraId="0E6311C1">
            <w:pPr>
              <w:pStyle w:val="31"/>
              <w:keepNext w:val="0"/>
              <w:keepLines w:val="0"/>
              <w:suppressLineNumbers w:val="0"/>
              <w:spacing w:beforeAutospacing="0" w:after="0" w:afterAutospacing="0"/>
              <w:ind w:left="0" w:leftChars="0" w:firstLine="0" w:firstLineChars="0"/>
              <w:rPr>
                <w:rFonts w:hint="default"/>
                <w:color w:val="auto"/>
                <w:highlight w:val="none"/>
              </w:rPr>
            </w:pPr>
          </w:p>
        </w:tc>
      </w:tr>
    </w:tbl>
    <w:p w14:paraId="415CDEDB">
      <w:pPr>
        <w:pStyle w:val="53"/>
        <w:rPr>
          <w:rFonts w:hint="default"/>
          <w:color w:val="auto"/>
          <w:highlight w:val="none"/>
        </w:rPr>
        <w:sectPr>
          <w:pgSz w:w="16840" w:h="11907" w:orient="landscape"/>
          <w:pgMar w:top="1531" w:right="1531" w:bottom="1531"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32"/>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97"/>
        <w:gridCol w:w="8682"/>
      </w:tblGrid>
      <w:tr w14:paraId="34243C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72" w:hRule="atLeast"/>
          <w:jc w:val="center"/>
        </w:trPr>
        <w:tc>
          <w:tcPr>
            <w:tcW w:w="165" w:type="pct"/>
            <w:tcMar>
              <w:left w:w="28" w:type="dxa"/>
              <w:right w:w="28" w:type="dxa"/>
            </w:tcMar>
            <w:vAlign w:val="center"/>
          </w:tcPr>
          <w:p w14:paraId="53D625DF">
            <w:pPr>
              <w:pStyle w:val="22"/>
              <w:keepNext w:val="0"/>
              <w:keepLines w:val="0"/>
              <w:suppressLineNumbers w:val="0"/>
              <w:bidi w:val="0"/>
              <w:spacing w:before="0" w:after="0"/>
              <w:ind w:left="0" w:right="0"/>
              <w:rPr>
                <w:rFonts w:hint="eastAsia" w:ascii="Times New Roman" w:hAnsi="Times New Roman" w:cs="Times New Roman"/>
                <w:b/>
                <w:bCs/>
                <w:color w:val="auto"/>
                <w:highlight w:val="none"/>
                <w:lang w:val="en-US" w:eastAsia="zh-CN"/>
              </w:rPr>
            </w:pPr>
            <w:r>
              <w:rPr>
                <w:rFonts w:hint="eastAsia" w:ascii="Times New Roman" w:hAnsi="Times New Roman" w:cs="Times New Roman"/>
                <w:b/>
                <w:bCs/>
                <w:color w:val="auto"/>
                <w:highlight w:val="none"/>
                <w:lang w:val="en-US" w:eastAsia="zh-CN"/>
              </w:rPr>
              <w:t>运</w:t>
            </w:r>
          </w:p>
          <w:p w14:paraId="65532127">
            <w:pPr>
              <w:pStyle w:val="22"/>
              <w:keepNext w:val="0"/>
              <w:keepLines w:val="0"/>
              <w:suppressLineNumbers w:val="0"/>
              <w:bidi w:val="0"/>
              <w:spacing w:before="0" w:after="0"/>
              <w:ind w:left="0" w:right="0"/>
              <w:rPr>
                <w:rFonts w:hint="eastAsia" w:ascii="Times New Roman" w:hAnsi="Times New Roman" w:cs="Times New Roman"/>
                <w:b/>
                <w:bCs/>
                <w:color w:val="auto"/>
                <w:highlight w:val="none"/>
                <w:lang w:val="en-US" w:eastAsia="zh-CN"/>
              </w:rPr>
            </w:pPr>
            <w:r>
              <w:rPr>
                <w:rFonts w:hint="eastAsia" w:ascii="Times New Roman" w:hAnsi="Times New Roman" w:cs="Times New Roman"/>
                <w:b/>
                <w:bCs/>
                <w:color w:val="auto"/>
                <w:highlight w:val="none"/>
                <w:lang w:val="en-US" w:eastAsia="zh-CN"/>
              </w:rPr>
              <w:t>营</w:t>
            </w:r>
          </w:p>
          <w:p w14:paraId="3463EEE3">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期</w:t>
            </w:r>
          </w:p>
          <w:p w14:paraId="353FECC4">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环</w:t>
            </w:r>
          </w:p>
          <w:p w14:paraId="75B3FB50">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境</w:t>
            </w:r>
          </w:p>
          <w:p w14:paraId="2367CAD0">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保</w:t>
            </w:r>
          </w:p>
          <w:p w14:paraId="63528F04">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护</w:t>
            </w:r>
          </w:p>
          <w:p w14:paraId="7C2355A6">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措</w:t>
            </w:r>
          </w:p>
          <w:p w14:paraId="6DC9DF9F">
            <w:pPr>
              <w:pStyle w:val="22"/>
              <w:keepNext w:val="0"/>
              <w:keepLines w:val="0"/>
              <w:suppressLineNumbers w:val="0"/>
              <w:bidi w:val="0"/>
              <w:spacing w:before="0" w:after="0"/>
              <w:ind w:left="0" w:right="0"/>
              <w:rPr>
                <w:rFonts w:hint="default" w:ascii="Times New Roman" w:hAnsi="Times New Roman" w:cs="Times New Roman"/>
                <w:b/>
                <w:bCs/>
                <w:color w:val="auto"/>
                <w:kern w:val="2"/>
                <w:szCs w:val="21"/>
                <w:highlight w:val="none"/>
              </w:rPr>
            </w:pPr>
            <w:r>
              <w:rPr>
                <w:rFonts w:hint="default" w:ascii="Times New Roman" w:hAnsi="Times New Roman" w:cs="Times New Roman"/>
                <w:b/>
                <w:bCs/>
                <w:color w:val="auto"/>
                <w:highlight w:val="none"/>
              </w:rPr>
              <w:t>施</w:t>
            </w:r>
          </w:p>
        </w:tc>
        <w:tc>
          <w:tcPr>
            <w:tcW w:w="4834" w:type="pct"/>
            <w:vAlign w:val="center"/>
          </w:tcPr>
          <w:p w14:paraId="66848BA2">
            <w:pPr>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default"/>
                <w:color w:val="auto"/>
                <w:highlight w:val="none"/>
              </w:rPr>
              <w:t>噪声排放达标分析</w:t>
            </w:r>
          </w:p>
          <w:p w14:paraId="22A0AAF9">
            <w:pPr>
              <w:keepNext w:val="0"/>
              <w:keepLines w:val="0"/>
              <w:suppressLineNumbers w:val="0"/>
              <w:adjustRightInd/>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kern w:val="2"/>
                <w:sz w:val="24"/>
              </w:rPr>
            </w:pPr>
            <w:r>
              <w:rPr>
                <w:rFonts w:hint="default" w:ascii="Times New Roman" w:hAnsi="Times New Roman" w:cs="Times New Roman"/>
                <w:color w:val="auto"/>
                <w:kern w:val="2"/>
                <w:sz w:val="24"/>
              </w:rPr>
              <w:t>根据《环境影响评价技术导则 声环境》（HJ 2.4-2021）的技术要求，本次评价采取导则上推荐模式。</w:t>
            </w:r>
          </w:p>
          <w:p w14:paraId="5B642688">
            <w:pPr>
              <w:keepNext w:val="0"/>
              <w:keepLines w:val="0"/>
              <w:suppressLineNumbers w:val="0"/>
              <w:adjustRightInd/>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kern w:val="2"/>
                <w:sz w:val="24"/>
              </w:rPr>
            </w:pPr>
            <w:r>
              <w:rPr>
                <w:rFonts w:hint="default" w:ascii="Times New Roman" w:hAnsi="Times New Roman" w:cs="Times New Roman"/>
                <w:color w:val="auto"/>
                <w:kern w:val="2"/>
                <w:sz w:val="24"/>
              </w:rPr>
              <w:t>1）声级的计算</w:t>
            </w:r>
          </w:p>
          <w:p w14:paraId="38C77982">
            <w:pPr>
              <w:keepNext w:val="0"/>
              <w:keepLines w:val="0"/>
              <w:suppressLineNumbers w:val="0"/>
              <w:adjustRightInd/>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kern w:val="2"/>
                <w:sz w:val="24"/>
              </w:rPr>
            </w:pPr>
            <w:r>
              <w:rPr>
                <w:rFonts w:hint="default" w:ascii="Times New Roman" w:hAnsi="Times New Roman" w:cs="Times New Roman"/>
                <w:color w:val="auto"/>
                <w:kern w:val="2"/>
                <w:sz w:val="24"/>
              </w:rPr>
              <w:fldChar w:fldCharType="begin"/>
            </w:r>
            <w:r>
              <w:rPr>
                <w:rFonts w:hint="default" w:ascii="Times New Roman" w:hAnsi="Times New Roman" w:cs="Times New Roman"/>
                <w:color w:val="auto"/>
                <w:kern w:val="2"/>
                <w:sz w:val="24"/>
              </w:rPr>
              <w:instrText xml:space="preserve"> = 1 \* GB3 </w:instrText>
            </w:r>
            <w:r>
              <w:rPr>
                <w:rFonts w:hint="default" w:ascii="Times New Roman" w:hAnsi="Times New Roman" w:cs="Times New Roman"/>
                <w:color w:val="auto"/>
                <w:kern w:val="2"/>
                <w:sz w:val="24"/>
              </w:rPr>
              <w:fldChar w:fldCharType="separate"/>
            </w:r>
            <w:r>
              <w:rPr>
                <w:rFonts w:hint="default" w:ascii="Times New Roman" w:hAnsi="Times New Roman" w:cs="Times New Roman"/>
                <w:color w:val="auto"/>
                <w:kern w:val="2"/>
                <w:sz w:val="24"/>
              </w:rPr>
              <w:t>①</w:t>
            </w:r>
            <w:r>
              <w:rPr>
                <w:rFonts w:hint="default" w:ascii="Times New Roman" w:hAnsi="Times New Roman" w:cs="Times New Roman"/>
                <w:color w:val="auto"/>
                <w:kern w:val="2"/>
                <w:sz w:val="24"/>
              </w:rPr>
              <w:fldChar w:fldCharType="end"/>
            </w:r>
            <w:r>
              <w:rPr>
                <w:rFonts w:hint="default" w:ascii="Times New Roman" w:hAnsi="Times New Roman" w:cs="Times New Roman"/>
                <w:color w:val="auto"/>
                <w:kern w:val="2"/>
                <w:sz w:val="24"/>
              </w:rPr>
              <w:t>建设项目声源在预测点产生的等效声级贡献值：</w:t>
            </w:r>
          </w:p>
          <w:p w14:paraId="53D90C81">
            <w:pPr>
              <w:keepNext w:val="0"/>
              <w:keepLines w:val="0"/>
              <w:suppressLineNumbers w:val="0"/>
              <w:adjustRightInd/>
              <w:spacing w:before="0" w:beforeAutospacing="0" w:after="0" w:afterAutospacing="0" w:line="0" w:lineRule="atLeast"/>
              <w:ind w:left="0" w:right="0"/>
              <w:jc w:val="center"/>
              <w:textAlignment w:val="auto"/>
              <w:rPr>
                <w:rFonts w:hint="default" w:ascii="Times New Roman" w:hAnsi="Times New Roman" w:cs="Times New Roman"/>
                <w:color w:val="auto"/>
                <w:kern w:val="2"/>
              </w:rPr>
            </w:pPr>
            <w:r>
              <w:rPr>
                <w:rFonts w:hint="default" w:ascii="Times New Roman" w:hAnsi="Times New Roman" w:cs="Times New Roman"/>
                <w:color w:val="auto"/>
                <w:kern w:val="2"/>
              </w:rPr>
              <w:drawing>
                <wp:inline distT="0" distB="0" distL="0" distR="0">
                  <wp:extent cx="1714500" cy="466725"/>
                  <wp:effectExtent l="0" t="0" r="0" b="8890"/>
                  <wp:docPr id="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1714500" cy="466725"/>
                          </a:xfrm>
                          <a:prstGeom prst="rect">
                            <a:avLst/>
                          </a:prstGeom>
                          <a:noFill/>
                          <a:ln>
                            <a:noFill/>
                          </a:ln>
                        </pic:spPr>
                      </pic:pic>
                    </a:graphicData>
                  </a:graphic>
                </wp:inline>
              </w:drawing>
            </w:r>
          </w:p>
          <w:p w14:paraId="45EFD1FA">
            <w:pPr>
              <w:keepNext w:val="0"/>
              <w:keepLines w:val="0"/>
              <w:suppressLineNumbers w:val="0"/>
              <w:adjustRightInd/>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kern w:val="2"/>
                <w:sz w:val="24"/>
              </w:rPr>
            </w:pPr>
            <w:r>
              <w:rPr>
                <w:rFonts w:hint="default" w:ascii="Times New Roman" w:hAnsi="Times New Roman" w:cs="Times New Roman"/>
                <w:color w:val="auto"/>
                <w:kern w:val="2"/>
                <w:sz w:val="24"/>
              </w:rPr>
              <w:t>式中Leqg－建设项目声源在预测点的等效声级贡献值，dB（A）；</w:t>
            </w:r>
          </w:p>
          <w:p w14:paraId="2E236635">
            <w:pPr>
              <w:keepNext w:val="0"/>
              <w:keepLines w:val="0"/>
              <w:suppressLineNumbers w:val="0"/>
              <w:adjustRightInd/>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kern w:val="2"/>
                <w:sz w:val="24"/>
              </w:rPr>
            </w:pPr>
            <w:r>
              <w:rPr>
                <w:rFonts w:hint="default" w:ascii="Times New Roman" w:hAnsi="Times New Roman" w:cs="Times New Roman"/>
                <w:color w:val="auto"/>
                <w:kern w:val="2"/>
                <w:sz w:val="24"/>
              </w:rPr>
              <w:t>LAi－i声源在预测点产生的A声级，dB(A)；</w:t>
            </w:r>
          </w:p>
          <w:p w14:paraId="51757299">
            <w:pPr>
              <w:keepNext w:val="0"/>
              <w:keepLines w:val="0"/>
              <w:suppressLineNumbers w:val="0"/>
              <w:adjustRightInd/>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kern w:val="2"/>
                <w:sz w:val="24"/>
              </w:rPr>
            </w:pPr>
            <w:r>
              <w:rPr>
                <w:rFonts w:hint="default" w:ascii="Times New Roman" w:hAnsi="Times New Roman" w:cs="Times New Roman"/>
                <w:color w:val="auto"/>
                <w:kern w:val="2"/>
                <w:sz w:val="24"/>
              </w:rPr>
              <w:t>T－预测计算的时间段，S；</w:t>
            </w:r>
          </w:p>
          <w:p w14:paraId="1D9CEA8F">
            <w:pPr>
              <w:keepNext w:val="0"/>
              <w:keepLines w:val="0"/>
              <w:suppressLineNumbers w:val="0"/>
              <w:adjustRightInd/>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kern w:val="2"/>
                <w:sz w:val="24"/>
              </w:rPr>
            </w:pPr>
            <w:r>
              <w:rPr>
                <w:rFonts w:hint="default" w:ascii="Times New Roman" w:hAnsi="Times New Roman" w:cs="Times New Roman"/>
                <w:color w:val="auto"/>
                <w:kern w:val="2"/>
                <w:sz w:val="24"/>
              </w:rPr>
              <w:t>Ti-i声源在T时段内的运行时间。</w:t>
            </w:r>
          </w:p>
          <w:p w14:paraId="66081A54">
            <w:pPr>
              <w:keepNext w:val="0"/>
              <w:keepLines w:val="0"/>
              <w:suppressLineNumbers w:val="0"/>
              <w:adjustRightInd/>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kern w:val="2"/>
                <w:sz w:val="24"/>
              </w:rPr>
            </w:pPr>
            <w:r>
              <w:rPr>
                <w:rFonts w:hint="default" w:ascii="Times New Roman" w:hAnsi="Times New Roman" w:cs="Times New Roman"/>
                <w:color w:val="auto"/>
                <w:kern w:val="2"/>
                <w:sz w:val="24"/>
              </w:rPr>
              <w:fldChar w:fldCharType="begin"/>
            </w:r>
            <w:r>
              <w:rPr>
                <w:rFonts w:hint="default" w:ascii="Times New Roman" w:hAnsi="Times New Roman" w:cs="Times New Roman"/>
                <w:color w:val="auto"/>
                <w:kern w:val="2"/>
                <w:sz w:val="24"/>
              </w:rPr>
              <w:instrText xml:space="preserve"> = 2 \* GB3 </w:instrText>
            </w:r>
            <w:r>
              <w:rPr>
                <w:rFonts w:hint="default" w:ascii="Times New Roman" w:hAnsi="Times New Roman" w:cs="Times New Roman"/>
                <w:color w:val="auto"/>
                <w:kern w:val="2"/>
                <w:sz w:val="24"/>
              </w:rPr>
              <w:fldChar w:fldCharType="separate"/>
            </w:r>
            <w:r>
              <w:rPr>
                <w:rFonts w:hint="default" w:ascii="Times New Roman" w:hAnsi="Times New Roman" w:cs="Times New Roman"/>
                <w:color w:val="auto"/>
                <w:kern w:val="2"/>
                <w:sz w:val="24"/>
              </w:rPr>
              <w:t>②</w:t>
            </w:r>
            <w:r>
              <w:rPr>
                <w:rFonts w:hint="default" w:ascii="Times New Roman" w:hAnsi="Times New Roman" w:cs="Times New Roman"/>
                <w:color w:val="auto"/>
                <w:kern w:val="2"/>
                <w:sz w:val="24"/>
              </w:rPr>
              <w:fldChar w:fldCharType="end"/>
            </w:r>
            <w:r>
              <w:rPr>
                <w:rFonts w:hint="default" w:ascii="Times New Roman" w:hAnsi="Times New Roman" w:cs="Times New Roman"/>
                <w:color w:val="auto"/>
                <w:kern w:val="2"/>
                <w:sz w:val="24"/>
              </w:rPr>
              <w:t>预测点的预测等效声级计算</w:t>
            </w:r>
          </w:p>
          <w:p w14:paraId="79304DE5">
            <w:pPr>
              <w:keepNext w:val="0"/>
              <w:keepLines w:val="0"/>
              <w:suppressLineNumbers w:val="0"/>
              <w:adjustRightInd/>
              <w:spacing w:before="0" w:beforeAutospacing="0" w:after="0" w:afterAutospacing="0" w:line="0" w:lineRule="atLeast"/>
              <w:ind w:left="0" w:right="0"/>
              <w:jc w:val="center"/>
              <w:textAlignment w:val="auto"/>
              <w:rPr>
                <w:rFonts w:hint="default" w:ascii="Times New Roman" w:hAnsi="Times New Roman" w:cs="Times New Roman"/>
                <w:color w:val="auto"/>
                <w:kern w:val="2"/>
              </w:rPr>
            </w:pPr>
            <w:r>
              <w:rPr>
                <w:rFonts w:hint="default" w:ascii="Times New Roman" w:hAnsi="Times New Roman" w:cs="Times New Roman"/>
                <w:color w:val="auto"/>
                <w:kern w:val="2"/>
              </w:rPr>
              <w:drawing>
                <wp:inline distT="0" distB="0" distL="0" distR="0">
                  <wp:extent cx="1762125" cy="276225"/>
                  <wp:effectExtent l="0" t="0" r="9525" b="9525"/>
                  <wp:docPr id="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1762125" cy="276225"/>
                          </a:xfrm>
                          <a:prstGeom prst="rect">
                            <a:avLst/>
                          </a:prstGeom>
                          <a:noFill/>
                          <a:ln>
                            <a:noFill/>
                          </a:ln>
                        </pic:spPr>
                      </pic:pic>
                    </a:graphicData>
                  </a:graphic>
                </wp:inline>
              </w:drawing>
            </w:r>
          </w:p>
          <w:p w14:paraId="66A66E91">
            <w:pPr>
              <w:keepNext w:val="0"/>
              <w:keepLines w:val="0"/>
              <w:suppressLineNumbers w:val="0"/>
              <w:adjustRightInd/>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kern w:val="2"/>
                <w:sz w:val="24"/>
              </w:rPr>
            </w:pPr>
            <w:r>
              <w:rPr>
                <w:rFonts w:hint="default" w:ascii="Times New Roman" w:hAnsi="Times New Roman" w:cs="Times New Roman"/>
                <w:color w:val="auto"/>
                <w:kern w:val="2"/>
                <w:sz w:val="24"/>
              </w:rPr>
              <w:t>式中</w:t>
            </w:r>
            <w:r>
              <w:rPr>
                <w:rFonts w:hint="default" w:ascii="Times New Roman" w:hAnsi="Times New Roman" w:cs="Times New Roman"/>
                <w:color w:val="auto"/>
                <w:kern w:val="2"/>
                <w:sz w:val="24"/>
              </w:rPr>
              <w:drawing>
                <wp:inline distT="0" distB="0" distL="0" distR="0">
                  <wp:extent cx="276225" cy="228600"/>
                  <wp:effectExtent l="0" t="0" r="8890" b="0"/>
                  <wp:docPr id="1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276225" cy="228600"/>
                          </a:xfrm>
                          <a:prstGeom prst="rect">
                            <a:avLst/>
                          </a:prstGeom>
                          <a:noFill/>
                          <a:ln>
                            <a:noFill/>
                          </a:ln>
                        </pic:spPr>
                      </pic:pic>
                    </a:graphicData>
                  </a:graphic>
                </wp:inline>
              </w:drawing>
            </w:r>
            <w:r>
              <w:rPr>
                <w:rFonts w:hint="default" w:ascii="Times New Roman" w:hAnsi="Times New Roman" w:cs="Times New Roman"/>
                <w:color w:val="auto"/>
                <w:kern w:val="2"/>
                <w:sz w:val="24"/>
              </w:rPr>
              <w:t>—建设项目声源在预测点的等效声级贡献值，dB（A）；</w:t>
            </w:r>
          </w:p>
          <w:p w14:paraId="10820652">
            <w:pPr>
              <w:keepNext w:val="0"/>
              <w:keepLines w:val="0"/>
              <w:suppressLineNumbers w:val="0"/>
              <w:adjustRightInd/>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kern w:val="2"/>
                <w:sz w:val="24"/>
              </w:rPr>
            </w:pPr>
            <w:r>
              <w:rPr>
                <w:rFonts w:hint="default" w:ascii="Times New Roman" w:hAnsi="Times New Roman" w:cs="Times New Roman"/>
                <w:color w:val="auto"/>
                <w:kern w:val="2"/>
                <w:sz w:val="24"/>
              </w:rPr>
              <w:t xml:space="preserve">    </w:t>
            </w:r>
            <w:r>
              <w:rPr>
                <w:rFonts w:hint="default" w:ascii="Times New Roman" w:hAnsi="Times New Roman" w:cs="Times New Roman"/>
                <w:color w:val="auto"/>
                <w:kern w:val="2"/>
                <w:sz w:val="24"/>
              </w:rPr>
              <w:drawing>
                <wp:inline distT="0" distB="0" distL="0" distR="0">
                  <wp:extent cx="276225" cy="228600"/>
                  <wp:effectExtent l="0" t="0" r="0" b="0"/>
                  <wp:docPr id="1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276225" cy="228600"/>
                          </a:xfrm>
                          <a:prstGeom prst="rect">
                            <a:avLst/>
                          </a:prstGeom>
                          <a:noFill/>
                          <a:ln>
                            <a:noFill/>
                          </a:ln>
                        </pic:spPr>
                      </pic:pic>
                    </a:graphicData>
                  </a:graphic>
                </wp:inline>
              </w:drawing>
            </w:r>
            <w:r>
              <w:rPr>
                <w:rFonts w:hint="default" w:ascii="Times New Roman" w:hAnsi="Times New Roman" w:cs="Times New Roman"/>
                <w:color w:val="auto"/>
                <w:kern w:val="2"/>
                <w:sz w:val="24"/>
              </w:rPr>
              <w:t>—预测点的背景值，dB（A）。</w:t>
            </w:r>
          </w:p>
          <w:p w14:paraId="21F6050D">
            <w:pPr>
              <w:keepNext w:val="0"/>
              <w:keepLines w:val="0"/>
              <w:suppressLineNumbers w:val="0"/>
              <w:adjustRightInd/>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kern w:val="2"/>
                <w:sz w:val="24"/>
              </w:rPr>
            </w:pPr>
            <w:r>
              <w:rPr>
                <w:rFonts w:hint="default" w:ascii="Times New Roman" w:hAnsi="Times New Roman" w:cs="Times New Roman"/>
                <w:color w:val="auto"/>
                <w:kern w:val="2"/>
                <w:sz w:val="24"/>
              </w:rPr>
              <w:t>2）噪声治理措施削减量</w:t>
            </w:r>
          </w:p>
          <w:p w14:paraId="0A30217A">
            <w:pPr>
              <w:keepNext w:val="0"/>
              <w:keepLines w:val="0"/>
              <w:suppressLineNumbers w:val="0"/>
              <w:spacing w:before="0" w:beforeAutospacing="0" w:after="0" w:afterAutospacing="0" w:line="360" w:lineRule="auto"/>
              <w:ind w:left="0" w:right="0"/>
              <w:rPr>
                <w:rFonts w:hint="default"/>
                <w:color w:val="auto"/>
                <w:sz w:val="24"/>
                <w:highlight w:val="none"/>
              </w:rPr>
            </w:pPr>
            <w:r>
              <w:rPr>
                <w:rFonts w:hint="default" w:ascii="Times New Roman" w:hAnsi="Times New Roman" w:cs="Times New Roman"/>
                <w:color w:val="auto"/>
                <w:kern w:val="2"/>
                <w:sz w:val="24"/>
              </w:rPr>
              <w:t>采取噪声治理措施后，噪声源强可以降低15~2</w:t>
            </w:r>
            <w:r>
              <w:rPr>
                <w:rFonts w:hint="eastAsia" w:ascii="Times New Roman" w:hAnsi="Times New Roman" w:cs="Times New Roman"/>
                <w:color w:val="auto"/>
                <w:kern w:val="2"/>
                <w:sz w:val="24"/>
                <w:lang w:val="en-US" w:eastAsia="zh-CN"/>
              </w:rPr>
              <w:t>5</w:t>
            </w:r>
            <w:r>
              <w:rPr>
                <w:rFonts w:hint="default" w:ascii="Times New Roman" w:hAnsi="Times New Roman" w:cs="Times New Roman"/>
                <w:color w:val="auto"/>
                <w:kern w:val="2"/>
                <w:sz w:val="24"/>
              </w:rPr>
              <w:t>dB（A），本次预测取</w:t>
            </w:r>
            <w:r>
              <w:rPr>
                <w:rFonts w:hint="eastAsia" w:ascii="Times New Roman" w:hAnsi="Times New Roman" w:cs="Times New Roman"/>
                <w:color w:val="auto"/>
                <w:kern w:val="2"/>
                <w:sz w:val="24"/>
                <w:lang w:val="en-US" w:eastAsia="zh-CN"/>
              </w:rPr>
              <w:t>20</w:t>
            </w:r>
            <w:r>
              <w:rPr>
                <w:rFonts w:hint="default" w:ascii="Times New Roman" w:hAnsi="Times New Roman" w:cs="Times New Roman"/>
                <w:color w:val="auto"/>
                <w:kern w:val="2"/>
                <w:sz w:val="24"/>
              </w:rPr>
              <w:t>dB（A）。</w:t>
            </w:r>
          </w:p>
          <w:p w14:paraId="0BDA93A9">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default"/>
                <w:color w:val="auto"/>
                <w:highlight w:val="none"/>
              </w:rPr>
              <w:t>根据本工程噪声源的分布</w:t>
            </w:r>
            <w:r>
              <w:rPr>
                <w:rFonts w:hint="eastAsia"/>
                <w:color w:val="auto"/>
                <w:highlight w:val="none"/>
                <w:lang w:val="en-US" w:eastAsia="zh-CN"/>
              </w:rPr>
              <w:t>，</w:t>
            </w:r>
            <w:r>
              <w:rPr>
                <w:rFonts w:hint="default"/>
                <w:color w:val="auto"/>
                <w:highlight w:val="none"/>
              </w:rPr>
              <w:t>对项目厂址的厂界四周噪声影响进行预测计算。</w:t>
            </w:r>
            <w:r>
              <w:rPr>
                <w:rFonts w:hint="eastAsia"/>
                <w:color w:val="auto"/>
                <w:highlight w:val="none"/>
              </w:rPr>
              <w:t>本</w:t>
            </w:r>
            <w:r>
              <w:rPr>
                <w:rFonts w:hint="default"/>
                <w:color w:val="auto"/>
                <w:highlight w:val="none"/>
              </w:rPr>
              <w:t>项目厂界噪声预测结果和达标评价见表4-</w:t>
            </w:r>
            <w:r>
              <w:rPr>
                <w:rFonts w:hint="eastAsia"/>
                <w:color w:val="auto"/>
                <w:highlight w:val="none"/>
                <w:lang w:val="en-US" w:eastAsia="zh-CN"/>
              </w:rPr>
              <w:t>8</w:t>
            </w:r>
            <w:r>
              <w:rPr>
                <w:rFonts w:hint="default"/>
                <w:color w:val="auto"/>
                <w:highlight w:val="none"/>
              </w:rPr>
              <w:t>。</w:t>
            </w:r>
          </w:p>
        </w:tc>
      </w:tr>
    </w:tbl>
    <w:p w14:paraId="3558D3CB">
      <w:pPr>
        <w:pStyle w:val="53"/>
        <w:rPr>
          <w:rFonts w:hint="default"/>
          <w:color w:val="auto"/>
          <w:highlight w:val="none"/>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32"/>
        <w:tblW w:w="1369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368"/>
        <w:gridCol w:w="13324"/>
      </w:tblGrid>
      <w:tr w14:paraId="2C10DB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8" w:type="dxa"/>
            <w:tcMar>
              <w:left w:w="28" w:type="dxa"/>
              <w:right w:w="28" w:type="dxa"/>
            </w:tcMar>
            <w:vAlign w:val="center"/>
          </w:tcPr>
          <w:p w14:paraId="62EC72C2">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4"/>
                <w:szCs w:val="20"/>
                <w:highlight w:val="none"/>
                <w:lang w:val="en-US" w:eastAsia="zh-CN" w:bidi="ar-SA"/>
              </w:rPr>
            </w:pPr>
            <w:r>
              <w:rPr>
                <w:rFonts w:hint="eastAsia" w:ascii="Times New Roman" w:hAnsi="Times New Roman" w:eastAsia="宋体" w:cs="Times New Roman"/>
                <w:b/>
                <w:bCs/>
                <w:color w:val="auto"/>
                <w:kern w:val="0"/>
                <w:sz w:val="24"/>
                <w:szCs w:val="20"/>
                <w:highlight w:val="none"/>
                <w:lang w:val="en-US" w:eastAsia="zh-CN" w:bidi="ar-SA"/>
              </w:rPr>
              <w:t>运营</w:t>
            </w:r>
            <w:r>
              <w:rPr>
                <w:rFonts w:hint="default" w:ascii="Times New Roman" w:hAnsi="Times New Roman" w:eastAsia="宋体" w:cs="Times New Roman"/>
                <w:b/>
                <w:bCs/>
                <w:color w:val="auto"/>
                <w:kern w:val="0"/>
                <w:sz w:val="24"/>
                <w:szCs w:val="20"/>
                <w:highlight w:val="none"/>
                <w:lang w:val="en-US" w:eastAsia="zh-CN" w:bidi="ar-SA"/>
              </w:rPr>
              <w:t>期</w:t>
            </w:r>
          </w:p>
          <w:p w14:paraId="576034B1">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4"/>
                <w:szCs w:val="20"/>
                <w:highlight w:val="none"/>
                <w:lang w:val="en-US" w:eastAsia="zh-CN" w:bidi="ar-SA"/>
              </w:rPr>
            </w:pPr>
            <w:r>
              <w:rPr>
                <w:rFonts w:hint="default" w:ascii="Times New Roman" w:hAnsi="Times New Roman" w:eastAsia="宋体" w:cs="Times New Roman"/>
                <w:b/>
                <w:bCs/>
                <w:color w:val="auto"/>
                <w:kern w:val="0"/>
                <w:sz w:val="24"/>
                <w:szCs w:val="20"/>
                <w:highlight w:val="none"/>
                <w:lang w:val="en-US" w:eastAsia="zh-CN" w:bidi="ar-SA"/>
              </w:rPr>
              <w:t>环</w:t>
            </w:r>
          </w:p>
          <w:p w14:paraId="30A24458">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4"/>
                <w:szCs w:val="20"/>
                <w:highlight w:val="none"/>
                <w:lang w:val="en-US" w:eastAsia="zh-CN" w:bidi="ar-SA"/>
              </w:rPr>
            </w:pPr>
            <w:r>
              <w:rPr>
                <w:rFonts w:hint="default" w:ascii="Times New Roman" w:hAnsi="Times New Roman" w:eastAsia="宋体" w:cs="Times New Roman"/>
                <w:b/>
                <w:bCs/>
                <w:color w:val="auto"/>
                <w:kern w:val="0"/>
                <w:sz w:val="24"/>
                <w:szCs w:val="20"/>
                <w:highlight w:val="none"/>
                <w:lang w:val="en-US" w:eastAsia="zh-CN" w:bidi="ar-SA"/>
              </w:rPr>
              <w:t>境</w:t>
            </w:r>
          </w:p>
          <w:p w14:paraId="727B25FD">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4"/>
                <w:szCs w:val="20"/>
                <w:highlight w:val="none"/>
                <w:lang w:val="en-US" w:eastAsia="zh-CN" w:bidi="ar-SA"/>
              </w:rPr>
            </w:pPr>
            <w:r>
              <w:rPr>
                <w:rFonts w:hint="default" w:ascii="Times New Roman" w:hAnsi="Times New Roman" w:eastAsia="宋体" w:cs="Times New Roman"/>
                <w:b/>
                <w:bCs/>
                <w:color w:val="auto"/>
                <w:kern w:val="0"/>
                <w:sz w:val="24"/>
                <w:szCs w:val="20"/>
                <w:highlight w:val="none"/>
                <w:lang w:val="en-US" w:eastAsia="zh-CN" w:bidi="ar-SA"/>
              </w:rPr>
              <w:t>保</w:t>
            </w:r>
          </w:p>
          <w:p w14:paraId="4EBFFA1B">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4"/>
                <w:szCs w:val="20"/>
                <w:highlight w:val="none"/>
                <w:lang w:val="en-US" w:eastAsia="zh-CN" w:bidi="ar-SA"/>
              </w:rPr>
            </w:pPr>
            <w:r>
              <w:rPr>
                <w:rFonts w:hint="default" w:ascii="Times New Roman" w:hAnsi="Times New Roman" w:eastAsia="宋体" w:cs="Times New Roman"/>
                <w:b/>
                <w:bCs/>
                <w:color w:val="auto"/>
                <w:kern w:val="0"/>
                <w:sz w:val="24"/>
                <w:szCs w:val="20"/>
                <w:highlight w:val="none"/>
                <w:lang w:val="en-US" w:eastAsia="zh-CN" w:bidi="ar-SA"/>
              </w:rPr>
              <w:t>护</w:t>
            </w:r>
          </w:p>
          <w:p w14:paraId="4FCF0F32">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4"/>
                <w:szCs w:val="20"/>
                <w:highlight w:val="none"/>
                <w:lang w:val="en-US" w:eastAsia="zh-CN" w:bidi="ar-SA"/>
              </w:rPr>
            </w:pPr>
            <w:r>
              <w:rPr>
                <w:rFonts w:hint="default" w:ascii="Times New Roman" w:hAnsi="Times New Roman" w:eastAsia="宋体" w:cs="Times New Roman"/>
                <w:b/>
                <w:bCs/>
                <w:color w:val="auto"/>
                <w:kern w:val="0"/>
                <w:sz w:val="24"/>
                <w:szCs w:val="20"/>
                <w:highlight w:val="none"/>
                <w:lang w:val="en-US" w:eastAsia="zh-CN" w:bidi="ar-SA"/>
              </w:rPr>
              <w:t>措</w:t>
            </w:r>
          </w:p>
          <w:p w14:paraId="5559B441">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4"/>
                <w:szCs w:val="21"/>
                <w:highlight w:val="none"/>
                <w:lang w:val="en-US" w:eastAsia="zh-CN" w:bidi="ar-SA"/>
              </w:rPr>
            </w:pPr>
            <w:r>
              <w:rPr>
                <w:rFonts w:hint="default" w:ascii="Times New Roman" w:hAnsi="Times New Roman" w:eastAsia="宋体" w:cs="Times New Roman"/>
                <w:b/>
                <w:bCs/>
                <w:color w:val="auto"/>
                <w:kern w:val="0"/>
                <w:sz w:val="24"/>
                <w:szCs w:val="20"/>
                <w:highlight w:val="none"/>
                <w:lang w:val="en-US" w:eastAsia="zh-CN" w:bidi="ar-SA"/>
              </w:rPr>
              <w:t>施</w:t>
            </w:r>
          </w:p>
        </w:tc>
        <w:tc>
          <w:tcPr>
            <w:tcW w:w="13324" w:type="dxa"/>
            <w:vAlign w:val="center"/>
          </w:tcPr>
          <w:p w14:paraId="0944868A">
            <w:pPr>
              <w:pStyle w:val="7"/>
              <w:keepNext w:val="0"/>
              <w:keepLines w:val="0"/>
              <w:suppressLineNumbers w:val="0"/>
              <w:bidi w:val="0"/>
              <w:spacing w:before="0" w:beforeAutospacing="0" w:after="0" w:afterAutospacing="0"/>
              <w:ind w:left="0" w:right="0"/>
              <w:jc w:val="center"/>
              <w:rPr>
                <w:rFonts w:hint="default" w:eastAsia="宋体"/>
                <w:b/>
                <w:bCs/>
                <w:color w:val="auto"/>
                <w:highlight w:val="none"/>
                <w:lang w:val="en-US" w:eastAsia="zh-CN"/>
              </w:rPr>
            </w:pPr>
            <w:r>
              <w:rPr>
                <w:rFonts w:hint="default"/>
                <w:b/>
                <w:bCs/>
                <w:color w:val="auto"/>
                <w:highlight w:val="none"/>
                <w:lang w:val="en-GB"/>
              </w:rPr>
              <w:t>表</w:t>
            </w:r>
            <w:r>
              <w:rPr>
                <w:rFonts w:hint="eastAsia"/>
                <w:b/>
                <w:bCs/>
                <w:color w:val="auto"/>
                <w:highlight w:val="none"/>
                <w:lang w:val="en-GB"/>
              </w:rPr>
              <w:t>4</w:t>
            </w:r>
            <w:r>
              <w:rPr>
                <w:rFonts w:hint="eastAsia"/>
                <w:b/>
                <w:bCs/>
                <w:color w:val="auto"/>
                <w:highlight w:val="none"/>
                <w:lang w:val="en-US" w:eastAsia="zh-CN"/>
              </w:rPr>
              <w:t xml:space="preserve">-13  </w:t>
            </w:r>
            <w:r>
              <w:rPr>
                <w:rFonts w:hint="default"/>
                <w:b/>
                <w:bCs/>
                <w:color w:val="auto"/>
                <w:highlight w:val="none"/>
                <w:lang w:val="en-GB"/>
              </w:rPr>
              <w:t xml:space="preserve"> 项目厂界噪声预测结果一览表</w:t>
            </w:r>
            <w:r>
              <w:rPr>
                <w:rFonts w:hint="eastAsia"/>
                <w:b/>
                <w:bCs/>
                <w:color w:val="auto"/>
                <w:highlight w:val="none"/>
                <w:lang w:val="en-US" w:eastAsia="zh-CN"/>
              </w:rPr>
              <w:t xml:space="preserve">  单位：dB（A）</w:t>
            </w:r>
          </w:p>
          <w:tbl>
            <w:tblPr>
              <w:tblStyle w:val="33"/>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92"/>
              <w:gridCol w:w="1282"/>
              <w:gridCol w:w="653"/>
              <w:gridCol w:w="650"/>
              <w:gridCol w:w="645"/>
              <w:gridCol w:w="648"/>
              <w:gridCol w:w="653"/>
              <w:gridCol w:w="716"/>
              <w:gridCol w:w="805"/>
              <w:gridCol w:w="884"/>
              <w:gridCol w:w="886"/>
              <w:gridCol w:w="1023"/>
              <w:gridCol w:w="1038"/>
              <w:gridCol w:w="1015"/>
              <w:gridCol w:w="939"/>
              <w:gridCol w:w="774"/>
            </w:tblGrid>
            <w:tr w14:paraId="321C11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8" w:type="pct"/>
                  <w:vMerge w:val="restart"/>
                  <w:vAlign w:val="center"/>
                </w:tcPr>
                <w:p w14:paraId="028ABA3E">
                  <w:pPr>
                    <w:pStyle w:val="7"/>
                    <w:keepNext w:val="0"/>
                    <w:keepLines w:val="0"/>
                    <w:suppressLineNumbers w:val="0"/>
                    <w:bidi w:val="0"/>
                    <w:spacing w:before="0" w:beforeAutospacing="0" w:after="0" w:afterAutospacing="0"/>
                    <w:ind w:left="0" w:right="0"/>
                    <w:jc w:val="center"/>
                    <w:rPr>
                      <w:rFonts w:hint="default" w:eastAsia="宋体"/>
                      <w:b/>
                      <w:bCs/>
                      <w:color w:val="auto"/>
                      <w:highlight w:val="none"/>
                      <w:lang w:val="en-US" w:eastAsia="zh-CN"/>
                    </w:rPr>
                  </w:pPr>
                  <w:r>
                    <w:rPr>
                      <w:rFonts w:hint="eastAsia"/>
                      <w:b/>
                      <w:bCs/>
                      <w:color w:val="auto"/>
                      <w:highlight w:val="none"/>
                      <w:lang w:val="en-US" w:eastAsia="zh-CN"/>
                    </w:rPr>
                    <w:t>序号</w:t>
                  </w:r>
                </w:p>
              </w:tc>
              <w:tc>
                <w:tcPr>
                  <w:tcW w:w="489" w:type="pct"/>
                  <w:vMerge w:val="restart"/>
                  <w:vAlign w:val="center"/>
                </w:tcPr>
                <w:p w14:paraId="6F43EDED">
                  <w:pPr>
                    <w:pStyle w:val="7"/>
                    <w:keepNext w:val="0"/>
                    <w:keepLines w:val="0"/>
                    <w:suppressLineNumbers w:val="0"/>
                    <w:bidi w:val="0"/>
                    <w:spacing w:before="0" w:beforeAutospacing="0" w:after="0" w:afterAutospacing="0"/>
                    <w:ind w:left="0" w:right="0"/>
                    <w:jc w:val="center"/>
                    <w:rPr>
                      <w:rFonts w:hint="default"/>
                      <w:b/>
                      <w:bCs/>
                      <w:color w:val="auto"/>
                      <w:highlight w:val="none"/>
                    </w:rPr>
                  </w:pPr>
                  <w:r>
                    <w:rPr>
                      <w:rFonts w:hint="default"/>
                      <w:b/>
                      <w:bCs/>
                      <w:color w:val="auto"/>
                      <w:highlight w:val="none"/>
                    </w:rPr>
                    <w:t>声环境保护目标名称</w:t>
                  </w:r>
                </w:p>
              </w:tc>
              <w:tc>
                <w:tcPr>
                  <w:tcW w:w="497" w:type="pct"/>
                  <w:gridSpan w:val="2"/>
                  <w:tcBorders>
                    <w:bottom w:val="single" w:color="auto" w:sz="12" w:space="0"/>
                  </w:tcBorders>
                  <w:vAlign w:val="center"/>
                </w:tcPr>
                <w:p w14:paraId="2F31C634">
                  <w:pPr>
                    <w:pStyle w:val="7"/>
                    <w:keepNext w:val="0"/>
                    <w:keepLines w:val="0"/>
                    <w:suppressLineNumbers w:val="0"/>
                    <w:bidi w:val="0"/>
                    <w:spacing w:before="0" w:beforeAutospacing="0" w:after="0" w:afterAutospacing="0"/>
                    <w:ind w:left="0" w:right="0"/>
                    <w:jc w:val="center"/>
                    <w:rPr>
                      <w:rFonts w:hint="eastAsia"/>
                      <w:b/>
                      <w:bCs/>
                      <w:color w:val="auto"/>
                      <w:highlight w:val="none"/>
                      <w:lang w:val="en-US" w:eastAsia="zh-CN"/>
                    </w:rPr>
                  </w:pPr>
                  <w:r>
                    <w:rPr>
                      <w:rFonts w:hint="eastAsia"/>
                      <w:b/>
                      <w:bCs/>
                      <w:color w:val="auto"/>
                      <w:highlight w:val="none"/>
                      <w:lang w:val="en-US" w:eastAsia="zh-CN"/>
                    </w:rPr>
                    <w:t>噪声背景值/dB（A）</w:t>
                  </w:r>
                </w:p>
              </w:tc>
              <w:tc>
                <w:tcPr>
                  <w:tcW w:w="493" w:type="pct"/>
                  <w:gridSpan w:val="2"/>
                  <w:tcBorders>
                    <w:bottom w:val="single" w:color="auto" w:sz="12" w:space="0"/>
                  </w:tcBorders>
                  <w:vAlign w:val="center"/>
                </w:tcPr>
                <w:p w14:paraId="5A82DAA2">
                  <w:pPr>
                    <w:pStyle w:val="7"/>
                    <w:keepNext w:val="0"/>
                    <w:keepLines w:val="0"/>
                    <w:suppressLineNumbers w:val="0"/>
                    <w:bidi w:val="0"/>
                    <w:spacing w:before="0" w:beforeAutospacing="0" w:after="0" w:afterAutospacing="0"/>
                    <w:ind w:left="0" w:leftChars="0" w:right="0" w:rightChars="0" w:firstLine="0" w:firstLineChars="0"/>
                    <w:jc w:val="center"/>
                    <w:rPr>
                      <w:rFonts w:hint="eastAsia"/>
                      <w:b/>
                      <w:bCs/>
                      <w:color w:val="auto"/>
                      <w:highlight w:val="none"/>
                      <w:lang w:val="en-US" w:eastAsia="zh-CN"/>
                    </w:rPr>
                  </w:pPr>
                  <w:r>
                    <w:rPr>
                      <w:rFonts w:hint="eastAsia"/>
                      <w:b/>
                      <w:bCs/>
                      <w:color w:val="auto"/>
                      <w:highlight w:val="none"/>
                      <w:lang w:val="en-US" w:eastAsia="zh-CN"/>
                    </w:rPr>
                    <w:t>噪声现状值/dB（A）</w:t>
                  </w:r>
                </w:p>
              </w:tc>
              <w:tc>
                <w:tcPr>
                  <w:tcW w:w="522" w:type="pct"/>
                  <w:gridSpan w:val="2"/>
                  <w:tcBorders>
                    <w:bottom w:val="single" w:color="auto" w:sz="12" w:space="0"/>
                  </w:tcBorders>
                  <w:vAlign w:val="center"/>
                </w:tcPr>
                <w:p w14:paraId="73029052">
                  <w:pPr>
                    <w:pStyle w:val="7"/>
                    <w:keepNext w:val="0"/>
                    <w:keepLines w:val="0"/>
                    <w:suppressLineNumbers w:val="0"/>
                    <w:bidi w:val="0"/>
                    <w:spacing w:before="0" w:beforeAutospacing="0" w:after="0" w:afterAutospacing="0"/>
                    <w:ind w:left="0" w:right="0"/>
                    <w:jc w:val="center"/>
                    <w:rPr>
                      <w:rFonts w:hint="eastAsia"/>
                      <w:b/>
                      <w:bCs/>
                      <w:color w:val="auto"/>
                      <w:highlight w:val="none"/>
                      <w:lang w:val="en-US" w:eastAsia="zh-CN"/>
                    </w:rPr>
                  </w:pPr>
                  <w:r>
                    <w:rPr>
                      <w:rFonts w:hint="eastAsia"/>
                      <w:b/>
                      <w:bCs/>
                      <w:color w:val="auto"/>
                      <w:highlight w:val="none"/>
                      <w:lang w:val="en-US" w:eastAsia="zh-CN"/>
                    </w:rPr>
                    <w:t>噪声标准/dB（A）</w:t>
                  </w:r>
                </w:p>
              </w:tc>
              <w:tc>
                <w:tcPr>
                  <w:tcW w:w="644" w:type="pct"/>
                  <w:gridSpan w:val="2"/>
                  <w:tcBorders>
                    <w:bottom w:val="single" w:color="auto" w:sz="12" w:space="0"/>
                  </w:tcBorders>
                  <w:vAlign w:val="center"/>
                </w:tcPr>
                <w:p w14:paraId="55F95BDA">
                  <w:pPr>
                    <w:pStyle w:val="7"/>
                    <w:keepNext w:val="0"/>
                    <w:keepLines w:val="0"/>
                    <w:suppressLineNumbers w:val="0"/>
                    <w:bidi w:val="0"/>
                    <w:spacing w:before="0" w:beforeAutospacing="0" w:after="0" w:afterAutospacing="0"/>
                    <w:ind w:left="0" w:right="0"/>
                    <w:jc w:val="center"/>
                    <w:rPr>
                      <w:rFonts w:hint="eastAsia"/>
                      <w:b/>
                      <w:bCs/>
                      <w:color w:val="auto"/>
                      <w:highlight w:val="none"/>
                      <w:lang w:val="en-US" w:eastAsia="zh-CN"/>
                    </w:rPr>
                  </w:pPr>
                  <w:r>
                    <w:rPr>
                      <w:rFonts w:hint="eastAsia"/>
                      <w:b/>
                      <w:bCs/>
                      <w:color w:val="auto"/>
                      <w:highlight w:val="none"/>
                      <w:lang w:val="en-US" w:eastAsia="zh-CN"/>
                    </w:rPr>
                    <w:t>噪声贡献值/dB（A）</w:t>
                  </w:r>
                </w:p>
              </w:tc>
              <w:tc>
                <w:tcPr>
                  <w:tcW w:w="728" w:type="pct"/>
                  <w:gridSpan w:val="2"/>
                  <w:tcBorders>
                    <w:bottom w:val="single" w:color="auto" w:sz="12" w:space="0"/>
                  </w:tcBorders>
                  <w:vAlign w:val="center"/>
                </w:tcPr>
                <w:p w14:paraId="39A2EC99">
                  <w:pPr>
                    <w:pStyle w:val="7"/>
                    <w:keepNext w:val="0"/>
                    <w:keepLines w:val="0"/>
                    <w:suppressLineNumbers w:val="0"/>
                    <w:bidi w:val="0"/>
                    <w:spacing w:before="0" w:beforeAutospacing="0" w:after="0" w:afterAutospacing="0"/>
                    <w:ind w:left="0" w:leftChars="0" w:right="0" w:rightChars="0" w:firstLine="0" w:firstLineChars="0"/>
                    <w:jc w:val="center"/>
                    <w:rPr>
                      <w:rFonts w:hint="eastAsia"/>
                      <w:b/>
                      <w:bCs/>
                      <w:color w:val="auto"/>
                      <w:highlight w:val="none"/>
                      <w:lang w:val="en-US" w:eastAsia="zh-CN"/>
                    </w:rPr>
                  </w:pPr>
                  <w:r>
                    <w:rPr>
                      <w:rFonts w:hint="default"/>
                      <w:b/>
                      <w:bCs/>
                      <w:color w:val="auto"/>
                      <w:highlight w:val="none"/>
                      <w:lang w:eastAsia="zh-CN"/>
                    </w:rPr>
                    <w:t>噪声预测值</w:t>
                  </w:r>
                  <w:r>
                    <w:rPr>
                      <w:rFonts w:hint="default"/>
                      <w:b/>
                      <w:bCs/>
                      <w:color w:val="auto"/>
                      <w:highlight w:val="none"/>
                      <w:lang w:val="en-US" w:eastAsia="zh-CN"/>
                    </w:rPr>
                    <w:t>/dB（A）</w:t>
                  </w:r>
                </w:p>
              </w:tc>
              <w:tc>
                <w:tcPr>
                  <w:tcW w:w="783" w:type="pct"/>
                  <w:gridSpan w:val="2"/>
                  <w:tcBorders>
                    <w:bottom w:val="single" w:color="auto" w:sz="12" w:space="0"/>
                  </w:tcBorders>
                  <w:vAlign w:val="center"/>
                </w:tcPr>
                <w:p w14:paraId="1766B67E">
                  <w:pPr>
                    <w:pStyle w:val="7"/>
                    <w:keepNext w:val="0"/>
                    <w:keepLines w:val="0"/>
                    <w:suppressLineNumbers w:val="0"/>
                    <w:bidi w:val="0"/>
                    <w:spacing w:before="0" w:beforeAutospacing="0" w:after="0" w:afterAutospacing="0"/>
                    <w:ind w:left="0" w:right="0"/>
                    <w:jc w:val="center"/>
                    <w:rPr>
                      <w:rFonts w:hint="default"/>
                      <w:b/>
                      <w:bCs/>
                      <w:color w:val="auto"/>
                      <w:highlight w:val="none"/>
                    </w:rPr>
                  </w:pPr>
                  <w:r>
                    <w:rPr>
                      <w:rFonts w:hint="eastAsia"/>
                      <w:b/>
                      <w:bCs/>
                      <w:color w:val="auto"/>
                      <w:highlight w:val="none"/>
                      <w:lang w:val="en-US" w:eastAsia="zh-CN"/>
                    </w:rPr>
                    <w:t>较现状增量</w:t>
                  </w:r>
                  <w:r>
                    <w:rPr>
                      <w:rFonts w:hint="default"/>
                      <w:b/>
                      <w:bCs/>
                      <w:color w:val="auto"/>
                      <w:highlight w:val="none"/>
                      <w:lang w:val="en-US" w:eastAsia="zh-CN"/>
                    </w:rPr>
                    <w:t>/dB（A）</w:t>
                  </w:r>
                </w:p>
              </w:tc>
              <w:tc>
                <w:tcPr>
                  <w:tcW w:w="653" w:type="pct"/>
                  <w:gridSpan w:val="2"/>
                  <w:tcBorders>
                    <w:bottom w:val="single" w:color="auto" w:sz="12" w:space="0"/>
                  </w:tcBorders>
                  <w:vAlign w:val="center"/>
                </w:tcPr>
                <w:p w14:paraId="427A30C9">
                  <w:pPr>
                    <w:pStyle w:val="7"/>
                    <w:keepNext w:val="0"/>
                    <w:keepLines w:val="0"/>
                    <w:suppressLineNumbers w:val="0"/>
                    <w:bidi w:val="0"/>
                    <w:spacing w:before="0" w:beforeAutospacing="0" w:after="0" w:afterAutospacing="0"/>
                    <w:ind w:left="0" w:right="0"/>
                    <w:jc w:val="center"/>
                    <w:rPr>
                      <w:rFonts w:hint="default"/>
                      <w:b/>
                      <w:bCs/>
                      <w:color w:val="auto"/>
                      <w:highlight w:val="none"/>
                    </w:rPr>
                  </w:pPr>
                  <w:r>
                    <w:rPr>
                      <w:rFonts w:hint="default"/>
                      <w:b/>
                      <w:bCs/>
                      <w:color w:val="auto"/>
                      <w:highlight w:val="none"/>
                    </w:rPr>
                    <w:t>达标和超标情况</w:t>
                  </w:r>
                </w:p>
              </w:tc>
            </w:tr>
            <w:tr w14:paraId="46409A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8" w:type="pct"/>
                  <w:vMerge w:val="continue"/>
                  <w:tcBorders>
                    <w:bottom w:val="single" w:color="auto" w:sz="12" w:space="0"/>
                  </w:tcBorders>
                  <w:vAlign w:val="center"/>
                </w:tcPr>
                <w:p w14:paraId="773FEAD0">
                  <w:pPr>
                    <w:pStyle w:val="7"/>
                    <w:keepNext w:val="0"/>
                    <w:keepLines w:val="0"/>
                    <w:suppressLineNumbers w:val="0"/>
                    <w:bidi w:val="0"/>
                    <w:spacing w:before="0" w:beforeAutospacing="0" w:after="0" w:afterAutospacing="0"/>
                    <w:ind w:left="0" w:right="0"/>
                    <w:jc w:val="center"/>
                    <w:rPr>
                      <w:rFonts w:hint="eastAsia"/>
                      <w:b/>
                      <w:bCs/>
                      <w:color w:val="auto"/>
                      <w:highlight w:val="none"/>
                      <w:lang w:val="en-US" w:eastAsia="zh-CN"/>
                    </w:rPr>
                  </w:pPr>
                </w:p>
              </w:tc>
              <w:tc>
                <w:tcPr>
                  <w:tcW w:w="489" w:type="pct"/>
                  <w:vMerge w:val="continue"/>
                  <w:tcBorders>
                    <w:bottom w:val="single" w:color="auto" w:sz="12" w:space="0"/>
                  </w:tcBorders>
                  <w:vAlign w:val="center"/>
                </w:tcPr>
                <w:p w14:paraId="423BF993">
                  <w:pPr>
                    <w:pStyle w:val="7"/>
                    <w:keepNext w:val="0"/>
                    <w:keepLines w:val="0"/>
                    <w:suppressLineNumbers w:val="0"/>
                    <w:bidi w:val="0"/>
                    <w:spacing w:before="0" w:beforeAutospacing="0" w:after="0" w:afterAutospacing="0"/>
                    <w:ind w:left="0" w:right="0"/>
                    <w:jc w:val="center"/>
                    <w:rPr>
                      <w:rFonts w:hint="default"/>
                      <w:b/>
                      <w:bCs/>
                      <w:color w:val="auto"/>
                      <w:highlight w:val="none"/>
                    </w:rPr>
                  </w:pPr>
                </w:p>
              </w:tc>
              <w:tc>
                <w:tcPr>
                  <w:tcW w:w="249" w:type="pct"/>
                  <w:tcBorders>
                    <w:bottom w:val="single" w:color="auto" w:sz="12" w:space="0"/>
                  </w:tcBorders>
                  <w:vAlign w:val="center"/>
                </w:tcPr>
                <w:p w14:paraId="7CD35325">
                  <w:pPr>
                    <w:pStyle w:val="7"/>
                    <w:keepNext w:val="0"/>
                    <w:keepLines w:val="0"/>
                    <w:suppressLineNumbers w:val="0"/>
                    <w:bidi w:val="0"/>
                    <w:spacing w:before="0" w:beforeAutospacing="0" w:after="0" w:afterAutospacing="0"/>
                    <w:ind w:left="0" w:leftChars="0" w:right="0" w:rightChars="0" w:firstLine="0" w:firstLineChars="0"/>
                    <w:jc w:val="center"/>
                    <w:rPr>
                      <w:rFonts w:hint="eastAsia"/>
                      <w:b/>
                      <w:bCs/>
                      <w:color w:val="auto"/>
                      <w:highlight w:val="none"/>
                      <w:lang w:val="en-US" w:eastAsia="zh-CN"/>
                    </w:rPr>
                  </w:pPr>
                  <w:r>
                    <w:rPr>
                      <w:rFonts w:hint="default"/>
                      <w:b/>
                      <w:bCs/>
                      <w:color w:val="auto"/>
                      <w:highlight w:val="none"/>
                      <w:lang w:val="en-US" w:eastAsia="zh-CN"/>
                    </w:rPr>
                    <w:t>昼间</w:t>
                  </w:r>
                </w:p>
              </w:tc>
              <w:tc>
                <w:tcPr>
                  <w:tcW w:w="248" w:type="pct"/>
                  <w:tcBorders>
                    <w:bottom w:val="single" w:color="auto" w:sz="12" w:space="0"/>
                  </w:tcBorders>
                  <w:vAlign w:val="center"/>
                </w:tcPr>
                <w:p w14:paraId="4B80517A">
                  <w:pPr>
                    <w:pStyle w:val="7"/>
                    <w:keepNext w:val="0"/>
                    <w:keepLines w:val="0"/>
                    <w:suppressLineNumbers w:val="0"/>
                    <w:bidi w:val="0"/>
                    <w:spacing w:before="0" w:beforeAutospacing="0" w:after="0" w:afterAutospacing="0"/>
                    <w:ind w:left="0" w:leftChars="0" w:right="0" w:rightChars="0" w:firstLine="0" w:firstLineChars="0"/>
                    <w:jc w:val="center"/>
                    <w:rPr>
                      <w:rFonts w:hint="eastAsia"/>
                      <w:b/>
                      <w:bCs/>
                      <w:color w:val="auto"/>
                      <w:highlight w:val="none"/>
                      <w:lang w:val="en-US" w:eastAsia="zh-CN"/>
                    </w:rPr>
                  </w:pPr>
                  <w:r>
                    <w:rPr>
                      <w:rFonts w:hint="eastAsia"/>
                      <w:b/>
                      <w:bCs/>
                      <w:color w:val="auto"/>
                      <w:highlight w:val="none"/>
                      <w:lang w:val="en-US" w:eastAsia="zh-CN"/>
                    </w:rPr>
                    <w:t>夜间</w:t>
                  </w:r>
                </w:p>
              </w:tc>
              <w:tc>
                <w:tcPr>
                  <w:tcW w:w="246" w:type="pct"/>
                  <w:tcBorders>
                    <w:bottom w:val="single" w:color="auto" w:sz="12" w:space="0"/>
                  </w:tcBorders>
                  <w:vAlign w:val="center"/>
                </w:tcPr>
                <w:p w14:paraId="3FF26FE4">
                  <w:pPr>
                    <w:pStyle w:val="7"/>
                    <w:keepNext w:val="0"/>
                    <w:keepLines w:val="0"/>
                    <w:suppressLineNumbers w:val="0"/>
                    <w:bidi w:val="0"/>
                    <w:spacing w:before="0" w:beforeAutospacing="0" w:after="0" w:afterAutospacing="0"/>
                    <w:ind w:left="0" w:leftChars="0" w:right="0" w:rightChars="0" w:firstLine="0" w:firstLineChars="0"/>
                    <w:jc w:val="center"/>
                    <w:rPr>
                      <w:rFonts w:hint="eastAsia"/>
                      <w:b/>
                      <w:bCs/>
                      <w:color w:val="auto"/>
                      <w:highlight w:val="none"/>
                      <w:lang w:val="en-US" w:eastAsia="zh-CN"/>
                    </w:rPr>
                  </w:pPr>
                  <w:r>
                    <w:rPr>
                      <w:rFonts w:hint="default"/>
                      <w:b/>
                      <w:bCs/>
                      <w:color w:val="auto"/>
                      <w:highlight w:val="none"/>
                      <w:lang w:val="en-US" w:eastAsia="zh-CN"/>
                    </w:rPr>
                    <w:t>昼间</w:t>
                  </w:r>
                </w:p>
              </w:tc>
              <w:tc>
                <w:tcPr>
                  <w:tcW w:w="247" w:type="pct"/>
                  <w:tcBorders>
                    <w:bottom w:val="single" w:color="auto" w:sz="12" w:space="0"/>
                  </w:tcBorders>
                  <w:vAlign w:val="center"/>
                </w:tcPr>
                <w:p w14:paraId="3E4221C5">
                  <w:pPr>
                    <w:pStyle w:val="7"/>
                    <w:keepNext w:val="0"/>
                    <w:keepLines w:val="0"/>
                    <w:suppressLineNumbers w:val="0"/>
                    <w:bidi w:val="0"/>
                    <w:spacing w:before="0" w:beforeAutospacing="0" w:after="0" w:afterAutospacing="0"/>
                    <w:ind w:left="0" w:leftChars="0" w:right="0" w:rightChars="0" w:firstLine="0" w:firstLineChars="0"/>
                    <w:jc w:val="center"/>
                    <w:rPr>
                      <w:rFonts w:hint="eastAsia"/>
                      <w:b/>
                      <w:bCs/>
                      <w:color w:val="auto"/>
                      <w:highlight w:val="none"/>
                      <w:lang w:val="en-US" w:eastAsia="zh-CN"/>
                    </w:rPr>
                  </w:pPr>
                  <w:r>
                    <w:rPr>
                      <w:rFonts w:hint="eastAsia"/>
                      <w:b/>
                      <w:bCs/>
                      <w:color w:val="auto"/>
                      <w:highlight w:val="none"/>
                      <w:lang w:val="en-US" w:eastAsia="zh-CN"/>
                    </w:rPr>
                    <w:t>夜间</w:t>
                  </w:r>
                </w:p>
              </w:tc>
              <w:tc>
                <w:tcPr>
                  <w:tcW w:w="249" w:type="pct"/>
                  <w:tcBorders>
                    <w:bottom w:val="single" w:color="auto" w:sz="12" w:space="0"/>
                  </w:tcBorders>
                  <w:vAlign w:val="center"/>
                </w:tcPr>
                <w:p w14:paraId="1EB6B443">
                  <w:pPr>
                    <w:pStyle w:val="7"/>
                    <w:keepNext w:val="0"/>
                    <w:keepLines w:val="0"/>
                    <w:suppressLineNumbers w:val="0"/>
                    <w:bidi w:val="0"/>
                    <w:spacing w:before="0" w:beforeAutospacing="0" w:after="0" w:afterAutospacing="0"/>
                    <w:ind w:left="0" w:right="0"/>
                    <w:jc w:val="center"/>
                    <w:rPr>
                      <w:rFonts w:hint="eastAsia"/>
                      <w:b/>
                      <w:bCs/>
                      <w:color w:val="auto"/>
                      <w:highlight w:val="none"/>
                      <w:lang w:val="en-US" w:eastAsia="zh-CN"/>
                    </w:rPr>
                  </w:pPr>
                  <w:r>
                    <w:rPr>
                      <w:rFonts w:hint="eastAsia"/>
                      <w:b/>
                      <w:bCs/>
                      <w:color w:val="auto"/>
                      <w:highlight w:val="none"/>
                      <w:lang w:val="en-US" w:eastAsia="zh-CN"/>
                    </w:rPr>
                    <w:t>昼间</w:t>
                  </w:r>
                </w:p>
              </w:tc>
              <w:tc>
                <w:tcPr>
                  <w:tcW w:w="273" w:type="pct"/>
                  <w:tcBorders>
                    <w:bottom w:val="single" w:color="auto" w:sz="12" w:space="0"/>
                  </w:tcBorders>
                  <w:vAlign w:val="center"/>
                </w:tcPr>
                <w:p w14:paraId="21D4E297">
                  <w:pPr>
                    <w:pStyle w:val="7"/>
                    <w:keepNext w:val="0"/>
                    <w:keepLines w:val="0"/>
                    <w:suppressLineNumbers w:val="0"/>
                    <w:bidi w:val="0"/>
                    <w:spacing w:before="0" w:beforeAutospacing="0" w:after="0" w:afterAutospacing="0"/>
                    <w:ind w:left="0" w:right="0"/>
                    <w:jc w:val="center"/>
                    <w:rPr>
                      <w:rFonts w:hint="eastAsia"/>
                      <w:b/>
                      <w:bCs/>
                      <w:color w:val="auto"/>
                      <w:highlight w:val="none"/>
                      <w:lang w:val="en-US" w:eastAsia="zh-CN"/>
                    </w:rPr>
                  </w:pPr>
                  <w:r>
                    <w:rPr>
                      <w:rFonts w:hint="eastAsia"/>
                      <w:b/>
                      <w:bCs/>
                      <w:color w:val="auto"/>
                      <w:highlight w:val="none"/>
                      <w:lang w:val="en-US" w:eastAsia="zh-CN"/>
                    </w:rPr>
                    <w:t>夜间</w:t>
                  </w:r>
                </w:p>
              </w:tc>
              <w:tc>
                <w:tcPr>
                  <w:tcW w:w="307" w:type="pct"/>
                  <w:tcBorders>
                    <w:bottom w:val="single" w:color="auto" w:sz="12" w:space="0"/>
                  </w:tcBorders>
                  <w:vAlign w:val="center"/>
                </w:tcPr>
                <w:p w14:paraId="653AB344">
                  <w:pPr>
                    <w:pStyle w:val="7"/>
                    <w:keepNext w:val="0"/>
                    <w:keepLines w:val="0"/>
                    <w:suppressLineNumbers w:val="0"/>
                    <w:bidi w:val="0"/>
                    <w:spacing w:before="0" w:beforeAutospacing="0" w:after="0" w:afterAutospacing="0"/>
                    <w:ind w:left="0" w:leftChars="0" w:right="0" w:rightChars="0" w:firstLine="0" w:firstLineChars="0"/>
                    <w:jc w:val="center"/>
                    <w:rPr>
                      <w:rFonts w:hint="eastAsia"/>
                      <w:b/>
                      <w:bCs/>
                      <w:color w:val="auto"/>
                      <w:highlight w:val="none"/>
                      <w:lang w:val="en-US" w:eastAsia="zh-CN"/>
                    </w:rPr>
                  </w:pPr>
                  <w:r>
                    <w:rPr>
                      <w:rFonts w:hint="eastAsia"/>
                      <w:b/>
                      <w:bCs/>
                      <w:color w:val="auto"/>
                      <w:highlight w:val="none"/>
                      <w:lang w:val="en-US" w:eastAsia="zh-CN"/>
                    </w:rPr>
                    <w:t>昼间</w:t>
                  </w:r>
                </w:p>
              </w:tc>
              <w:tc>
                <w:tcPr>
                  <w:tcW w:w="337" w:type="pct"/>
                  <w:tcBorders>
                    <w:bottom w:val="single" w:color="auto" w:sz="12" w:space="0"/>
                  </w:tcBorders>
                  <w:vAlign w:val="center"/>
                </w:tcPr>
                <w:p w14:paraId="19E3F5C3">
                  <w:pPr>
                    <w:pStyle w:val="7"/>
                    <w:keepNext w:val="0"/>
                    <w:keepLines w:val="0"/>
                    <w:suppressLineNumbers w:val="0"/>
                    <w:bidi w:val="0"/>
                    <w:spacing w:before="0" w:beforeAutospacing="0" w:after="0" w:afterAutospacing="0"/>
                    <w:ind w:left="0" w:leftChars="0" w:right="0" w:rightChars="0" w:firstLine="0" w:firstLineChars="0"/>
                    <w:jc w:val="center"/>
                    <w:rPr>
                      <w:rFonts w:hint="eastAsia"/>
                      <w:b/>
                      <w:bCs/>
                      <w:color w:val="auto"/>
                      <w:highlight w:val="none"/>
                      <w:lang w:val="en-US" w:eastAsia="zh-CN"/>
                    </w:rPr>
                  </w:pPr>
                  <w:r>
                    <w:rPr>
                      <w:rFonts w:hint="eastAsia"/>
                      <w:b/>
                      <w:bCs/>
                      <w:color w:val="auto"/>
                      <w:highlight w:val="none"/>
                      <w:lang w:val="en-US" w:eastAsia="zh-CN"/>
                    </w:rPr>
                    <w:t>夜间</w:t>
                  </w:r>
                </w:p>
              </w:tc>
              <w:tc>
                <w:tcPr>
                  <w:tcW w:w="338" w:type="pct"/>
                  <w:tcBorders>
                    <w:bottom w:val="single" w:color="auto" w:sz="12" w:space="0"/>
                  </w:tcBorders>
                  <w:vAlign w:val="center"/>
                </w:tcPr>
                <w:p w14:paraId="3B1C5A74">
                  <w:pPr>
                    <w:pStyle w:val="7"/>
                    <w:keepNext w:val="0"/>
                    <w:keepLines w:val="0"/>
                    <w:suppressLineNumbers w:val="0"/>
                    <w:bidi w:val="0"/>
                    <w:spacing w:before="0" w:beforeAutospacing="0" w:after="0" w:afterAutospacing="0"/>
                    <w:ind w:left="0" w:leftChars="0" w:right="0" w:rightChars="0" w:firstLine="0" w:firstLineChars="0"/>
                    <w:jc w:val="center"/>
                    <w:rPr>
                      <w:rFonts w:hint="eastAsia"/>
                      <w:b/>
                      <w:bCs/>
                      <w:color w:val="auto"/>
                      <w:highlight w:val="none"/>
                      <w:lang w:val="en-US" w:eastAsia="zh-CN"/>
                    </w:rPr>
                  </w:pPr>
                  <w:r>
                    <w:rPr>
                      <w:rFonts w:hint="eastAsia"/>
                      <w:b/>
                      <w:bCs/>
                      <w:color w:val="auto"/>
                      <w:highlight w:val="none"/>
                      <w:lang w:val="en-US" w:eastAsia="zh-CN"/>
                    </w:rPr>
                    <w:t>昼间</w:t>
                  </w:r>
                </w:p>
              </w:tc>
              <w:tc>
                <w:tcPr>
                  <w:tcW w:w="390" w:type="pct"/>
                  <w:tcBorders>
                    <w:bottom w:val="single" w:color="auto" w:sz="12" w:space="0"/>
                  </w:tcBorders>
                  <w:vAlign w:val="center"/>
                </w:tcPr>
                <w:p w14:paraId="0179D33D">
                  <w:pPr>
                    <w:pStyle w:val="7"/>
                    <w:keepNext w:val="0"/>
                    <w:keepLines w:val="0"/>
                    <w:suppressLineNumbers w:val="0"/>
                    <w:bidi w:val="0"/>
                    <w:spacing w:before="0" w:beforeAutospacing="0" w:after="0" w:afterAutospacing="0"/>
                    <w:ind w:left="0" w:leftChars="0" w:right="0" w:rightChars="0" w:firstLine="0" w:firstLineChars="0"/>
                    <w:jc w:val="center"/>
                    <w:rPr>
                      <w:rFonts w:hint="eastAsia"/>
                      <w:b/>
                      <w:bCs/>
                      <w:color w:val="auto"/>
                      <w:highlight w:val="none"/>
                      <w:lang w:val="en-US" w:eastAsia="zh-CN"/>
                    </w:rPr>
                  </w:pPr>
                  <w:r>
                    <w:rPr>
                      <w:rFonts w:hint="eastAsia"/>
                      <w:b/>
                      <w:bCs/>
                      <w:color w:val="auto"/>
                      <w:highlight w:val="none"/>
                      <w:lang w:val="en-US" w:eastAsia="zh-CN"/>
                    </w:rPr>
                    <w:t>夜间</w:t>
                  </w:r>
                </w:p>
              </w:tc>
              <w:tc>
                <w:tcPr>
                  <w:tcW w:w="396" w:type="pct"/>
                  <w:tcBorders>
                    <w:bottom w:val="single" w:color="auto" w:sz="12" w:space="0"/>
                  </w:tcBorders>
                  <w:vAlign w:val="center"/>
                </w:tcPr>
                <w:p w14:paraId="3AD37866">
                  <w:pPr>
                    <w:pStyle w:val="7"/>
                    <w:keepNext w:val="0"/>
                    <w:keepLines w:val="0"/>
                    <w:suppressLineNumbers w:val="0"/>
                    <w:bidi w:val="0"/>
                    <w:spacing w:before="0" w:beforeAutospacing="0" w:after="0" w:afterAutospacing="0"/>
                    <w:ind w:left="0" w:leftChars="0" w:right="0" w:rightChars="0" w:firstLine="0" w:firstLineChars="0"/>
                    <w:jc w:val="center"/>
                    <w:rPr>
                      <w:rFonts w:hint="default"/>
                      <w:b/>
                      <w:bCs/>
                      <w:color w:val="auto"/>
                      <w:highlight w:val="none"/>
                    </w:rPr>
                  </w:pPr>
                  <w:r>
                    <w:rPr>
                      <w:rFonts w:hint="eastAsia"/>
                      <w:b/>
                      <w:bCs/>
                      <w:color w:val="auto"/>
                      <w:highlight w:val="none"/>
                      <w:lang w:val="en-US" w:eastAsia="zh-CN"/>
                    </w:rPr>
                    <w:t>昼间</w:t>
                  </w:r>
                </w:p>
              </w:tc>
              <w:tc>
                <w:tcPr>
                  <w:tcW w:w="386" w:type="pct"/>
                  <w:tcBorders>
                    <w:bottom w:val="single" w:color="auto" w:sz="12" w:space="0"/>
                  </w:tcBorders>
                  <w:vAlign w:val="center"/>
                </w:tcPr>
                <w:p w14:paraId="51FFBD52">
                  <w:pPr>
                    <w:pStyle w:val="7"/>
                    <w:keepNext w:val="0"/>
                    <w:keepLines w:val="0"/>
                    <w:suppressLineNumbers w:val="0"/>
                    <w:bidi w:val="0"/>
                    <w:spacing w:before="0" w:beforeAutospacing="0" w:after="0" w:afterAutospacing="0"/>
                    <w:ind w:left="0" w:leftChars="0" w:right="0" w:rightChars="0" w:firstLine="0" w:firstLineChars="0"/>
                    <w:jc w:val="center"/>
                    <w:rPr>
                      <w:rFonts w:hint="default"/>
                      <w:b/>
                      <w:bCs/>
                      <w:color w:val="auto"/>
                      <w:highlight w:val="none"/>
                    </w:rPr>
                  </w:pPr>
                  <w:r>
                    <w:rPr>
                      <w:rFonts w:hint="eastAsia"/>
                      <w:b/>
                      <w:bCs/>
                      <w:color w:val="auto"/>
                      <w:highlight w:val="none"/>
                      <w:lang w:val="en-US" w:eastAsia="zh-CN"/>
                    </w:rPr>
                    <w:t>夜间</w:t>
                  </w:r>
                </w:p>
              </w:tc>
              <w:tc>
                <w:tcPr>
                  <w:tcW w:w="358" w:type="pct"/>
                  <w:tcBorders>
                    <w:bottom w:val="single" w:color="auto" w:sz="12" w:space="0"/>
                  </w:tcBorders>
                  <w:vAlign w:val="center"/>
                </w:tcPr>
                <w:p w14:paraId="4708C7B7">
                  <w:pPr>
                    <w:pStyle w:val="7"/>
                    <w:keepNext w:val="0"/>
                    <w:keepLines w:val="0"/>
                    <w:suppressLineNumbers w:val="0"/>
                    <w:bidi w:val="0"/>
                    <w:spacing w:before="0" w:beforeAutospacing="0" w:after="0" w:afterAutospacing="0"/>
                    <w:ind w:left="0" w:leftChars="0" w:right="0" w:rightChars="0" w:firstLine="0" w:firstLineChars="0"/>
                    <w:jc w:val="center"/>
                    <w:rPr>
                      <w:rFonts w:hint="default"/>
                      <w:b/>
                      <w:bCs/>
                      <w:color w:val="auto"/>
                      <w:highlight w:val="none"/>
                    </w:rPr>
                  </w:pPr>
                  <w:r>
                    <w:rPr>
                      <w:rFonts w:hint="eastAsia"/>
                      <w:b/>
                      <w:bCs/>
                      <w:color w:val="auto"/>
                      <w:highlight w:val="none"/>
                      <w:lang w:val="en-US" w:eastAsia="zh-CN"/>
                    </w:rPr>
                    <w:t>昼间</w:t>
                  </w:r>
                </w:p>
              </w:tc>
              <w:tc>
                <w:tcPr>
                  <w:tcW w:w="294" w:type="pct"/>
                  <w:tcBorders>
                    <w:bottom w:val="single" w:color="auto" w:sz="12" w:space="0"/>
                  </w:tcBorders>
                  <w:vAlign w:val="center"/>
                </w:tcPr>
                <w:p w14:paraId="7B3F5E94">
                  <w:pPr>
                    <w:pStyle w:val="7"/>
                    <w:keepNext w:val="0"/>
                    <w:keepLines w:val="0"/>
                    <w:suppressLineNumbers w:val="0"/>
                    <w:bidi w:val="0"/>
                    <w:spacing w:before="0" w:beforeAutospacing="0" w:after="0" w:afterAutospacing="0"/>
                    <w:ind w:left="0" w:leftChars="0" w:right="0" w:rightChars="0" w:firstLine="0" w:firstLineChars="0"/>
                    <w:jc w:val="center"/>
                    <w:rPr>
                      <w:rFonts w:hint="default"/>
                      <w:b/>
                      <w:bCs/>
                      <w:color w:val="auto"/>
                      <w:highlight w:val="none"/>
                    </w:rPr>
                  </w:pPr>
                  <w:r>
                    <w:rPr>
                      <w:rFonts w:hint="eastAsia"/>
                      <w:b/>
                      <w:bCs/>
                      <w:color w:val="auto"/>
                      <w:highlight w:val="none"/>
                      <w:lang w:val="en-US" w:eastAsia="zh-CN"/>
                    </w:rPr>
                    <w:t>夜间</w:t>
                  </w:r>
                </w:p>
              </w:tc>
            </w:tr>
            <w:tr w14:paraId="11C3C4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88" w:type="pct"/>
                  <w:tcBorders>
                    <w:top w:val="single" w:color="auto" w:sz="12" w:space="0"/>
                    <w:tl2br w:val="nil"/>
                    <w:tr2bl w:val="nil"/>
                  </w:tcBorders>
                  <w:vAlign w:val="center"/>
                </w:tcPr>
                <w:p w14:paraId="22A2A67D">
                  <w:pPr>
                    <w:pStyle w:val="7"/>
                    <w:keepNext w:val="0"/>
                    <w:keepLines w:val="0"/>
                    <w:suppressLineNumbers w:val="0"/>
                    <w:bidi w:val="0"/>
                    <w:spacing w:before="0" w:beforeAutospacing="0" w:after="0" w:afterAutospacing="0"/>
                    <w:ind w:left="0" w:right="0"/>
                    <w:jc w:val="center"/>
                    <w:rPr>
                      <w:rFonts w:hint="eastAsia" w:eastAsia="宋体"/>
                      <w:color w:val="auto"/>
                      <w:highlight w:val="none"/>
                      <w:lang w:val="en-US" w:eastAsia="zh-CN"/>
                    </w:rPr>
                  </w:pPr>
                  <w:r>
                    <w:rPr>
                      <w:rFonts w:hint="eastAsia"/>
                      <w:color w:val="auto"/>
                      <w:highlight w:val="none"/>
                      <w:lang w:val="en-US" w:eastAsia="zh-CN"/>
                    </w:rPr>
                    <w:t>1</w:t>
                  </w:r>
                </w:p>
              </w:tc>
              <w:tc>
                <w:tcPr>
                  <w:tcW w:w="489" w:type="pct"/>
                  <w:tcBorders>
                    <w:top w:val="single" w:color="auto" w:sz="12" w:space="0"/>
                    <w:tl2br w:val="nil"/>
                    <w:tr2bl w:val="nil"/>
                  </w:tcBorders>
                  <w:vAlign w:val="center"/>
                </w:tcPr>
                <w:p w14:paraId="4725216B">
                  <w:pPr>
                    <w:pStyle w:val="7"/>
                    <w:keepNext w:val="0"/>
                    <w:keepLines w:val="0"/>
                    <w:suppressLineNumbers w:val="0"/>
                    <w:bidi w:val="0"/>
                    <w:spacing w:before="0" w:beforeAutospacing="0" w:after="0" w:afterAutospacing="0"/>
                    <w:ind w:left="0" w:right="0"/>
                    <w:jc w:val="center"/>
                    <w:rPr>
                      <w:rFonts w:hint="default"/>
                      <w:color w:val="auto"/>
                      <w:highlight w:val="none"/>
                    </w:rPr>
                  </w:pPr>
                  <w:r>
                    <w:rPr>
                      <w:rFonts w:hint="default"/>
                      <w:color w:val="auto"/>
                      <w:highlight w:val="none"/>
                    </w:rPr>
                    <w:t>东厂界</w:t>
                  </w:r>
                </w:p>
              </w:tc>
              <w:tc>
                <w:tcPr>
                  <w:tcW w:w="249" w:type="pct"/>
                  <w:tcBorders>
                    <w:top w:val="single" w:color="auto" w:sz="12" w:space="0"/>
                    <w:tl2br w:val="nil"/>
                    <w:tr2bl w:val="nil"/>
                  </w:tcBorders>
                  <w:vAlign w:val="center"/>
                </w:tcPr>
                <w:p w14:paraId="06F5A22C">
                  <w:pPr>
                    <w:pStyle w:val="7"/>
                    <w:keepNext w:val="0"/>
                    <w:keepLines w:val="0"/>
                    <w:suppressLineNumbers w:val="0"/>
                    <w:bidi w:val="0"/>
                    <w:spacing w:before="0" w:beforeAutospacing="0" w:after="0" w:afterAutospacing="0"/>
                    <w:ind w:left="0" w:leftChars="0" w:right="0" w:rightChars="0" w:firstLine="0" w:firstLineChars="0"/>
                    <w:jc w:val="center"/>
                    <w:rPr>
                      <w:rFonts w:hint="default" w:eastAsia="宋体"/>
                      <w:color w:val="auto"/>
                      <w:highlight w:val="none"/>
                      <w:lang w:val="en-US" w:eastAsia="zh-CN"/>
                    </w:rPr>
                  </w:pPr>
                  <w:r>
                    <w:rPr>
                      <w:rFonts w:hint="eastAsia"/>
                      <w:color w:val="auto"/>
                      <w:highlight w:val="none"/>
                      <w:lang w:val="en-US" w:eastAsia="zh-CN"/>
                    </w:rPr>
                    <w:t>/</w:t>
                  </w:r>
                </w:p>
              </w:tc>
              <w:tc>
                <w:tcPr>
                  <w:tcW w:w="248" w:type="pct"/>
                  <w:tcBorders>
                    <w:top w:val="single" w:color="auto" w:sz="12" w:space="0"/>
                    <w:tl2br w:val="nil"/>
                    <w:tr2bl w:val="nil"/>
                  </w:tcBorders>
                  <w:vAlign w:val="center"/>
                </w:tcPr>
                <w:p w14:paraId="1CC7E5C6">
                  <w:pPr>
                    <w:pStyle w:val="7"/>
                    <w:keepNext w:val="0"/>
                    <w:keepLines w:val="0"/>
                    <w:suppressLineNumbers w:val="0"/>
                    <w:bidi w:val="0"/>
                    <w:spacing w:before="0" w:beforeAutospacing="0" w:after="0" w:afterAutospacing="0"/>
                    <w:ind w:left="0" w:leftChars="0" w:right="0" w:rightChars="0" w:firstLine="0" w:firstLineChars="0"/>
                    <w:jc w:val="center"/>
                    <w:rPr>
                      <w:rFonts w:hint="default" w:eastAsia="宋体"/>
                      <w:color w:val="auto"/>
                      <w:highlight w:val="none"/>
                      <w:lang w:val="en-US" w:eastAsia="zh-CN"/>
                    </w:rPr>
                  </w:pPr>
                  <w:r>
                    <w:rPr>
                      <w:rFonts w:hint="eastAsia"/>
                      <w:color w:val="auto"/>
                      <w:highlight w:val="none"/>
                      <w:lang w:val="en-US" w:eastAsia="zh-CN"/>
                    </w:rPr>
                    <w:t>/</w:t>
                  </w:r>
                </w:p>
              </w:tc>
              <w:tc>
                <w:tcPr>
                  <w:tcW w:w="246" w:type="pct"/>
                  <w:tcBorders>
                    <w:top w:val="single" w:color="auto" w:sz="12" w:space="0"/>
                    <w:tl2br w:val="nil"/>
                    <w:tr2bl w:val="nil"/>
                  </w:tcBorders>
                  <w:vAlign w:val="center"/>
                </w:tcPr>
                <w:p w14:paraId="62D20EFB">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eastAsia="宋体"/>
                      <w:color w:val="auto"/>
                      <w:highlight w:val="none"/>
                      <w:lang w:val="en-US" w:eastAsia="zh-CN"/>
                    </w:rPr>
                    <w:t>/</w:t>
                  </w:r>
                </w:p>
              </w:tc>
              <w:tc>
                <w:tcPr>
                  <w:tcW w:w="247" w:type="pct"/>
                  <w:tcBorders>
                    <w:top w:val="single" w:color="auto" w:sz="12" w:space="0"/>
                    <w:tl2br w:val="nil"/>
                    <w:tr2bl w:val="nil"/>
                  </w:tcBorders>
                  <w:vAlign w:val="center"/>
                </w:tcPr>
                <w:p w14:paraId="032882B0">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eastAsia="宋体"/>
                      <w:color w:val="auto"/>
                      <w:highlight w:val="none"/>
                      <w:lang w:val="en-US" w:eastAsia="zh-CN"/>
                    </w:rPr>
                    <w:t>/</w:t>
                  </w:r>
                </w:p>
              </w:tc>
              <w:tc>
                <w:tcPr>
                  <w:tcW w:w="249" w:type="pct"/>
                  <w:tcBorders>
                    <w:top w:val="single" w:color="auto" w:sz="12" w:space="0"/>
                    <w:tl2br w:val="nil"/>
                    <w:tr2bl w:val="nil"/>
                  </w:tcBorders>
                  <w:vAlign w:val="center"/>
                </w:tcPr>
                <w:p w14:paraId="33F718DD">
                  <w:pPr>
                    <w:pStyle w:val="7"/>
                    <w:keepNext w:val="0"/>
                    <w:keepLines w:val="0"/>
                    <w:suppressLineNumbers w:val="0"/>
                    <w:bidi w:val="0"/>
                    <w:spacing w:before="0" w:beforeAutospacing="0" w:after="0" w:afterAutospacing="0"/>
                    <w:ind w:left="0" w:right="0"/>
                    <w:jc w:val="center"/>
                    <w:rPr>
                      <w:rFonts w:hint="default" w:eastAsia="宋体"/>
                      <w:color w:val="auto"/>
                      <w:highlight w:val="none"/>
                      <w:lang w:val="en-US" w:eastAsia="zh-CN"/>
                    </w:rPr>
                  </w:pPr>
                  <w:r>
                    <w:rPr>
                      <w:rFonts w:hint="eastAsia"/>
                      <w:color w:val="auto"/>
                      <w:highlight w:val="none"/>
                      <w:lang w:val="en-US" w:eastAsia="zh-CN"/>
                    </w:rPr>
                    <w:t>65</w:t>
                  </w:r>
                </w:p>
              </w:tc>
              <w:tc>
                <w:tcPr>
                  <w:tcW w:w="273" w:type="pct"/>
                  <w:tcBorders>
                    <w:top w:val="single" w:color="auto" w:sz="12" w:space="0"/>
                    <w:tl2br w:val="nil"/>
                    <w:tr2bl w:val="nil"/>
                  </w:tcBorders>
                  <w:vAlign w:val="center"/>
                </w:tcPr>
                <w:p w14:paraId="4C10C6F0">
                  <w:pPr>
                    <w:pStyle w:val="7"/>
                    <w:keepNext w:val="0"/>
                    <w:keepLines w:val="0"/>
                    <w:suppressLineNumbers w:val="0"/>
                    <w:bidi w:val="0"/>
                    <w:spacing w:before="0" w:beforeAutospacing="0" w:after="0" w:afterAutospacing="0"/>
                    <w:ind w:left="0" w:right="0"/>
                    <w:jc w:val="center"/>
                    <w:rPr>
                      <w:rFonts w:hint="default" w:eastAsia="宋体"/>
                      <w:color w:val="auto"/>
                      <w:highlight w:val="none"/>
                      <w:lang w:val="en-US" w:eastAsia="zh-CN"/>
                    </w:rPr>
                  </w:pPr>
                  <w:r>
                    <w:rPr>
                      <w:rFonts w:hint="eastAsia"/>
                      <w:color w:val="auto"/>
                      <w:highlight w:val="none"/>
                      <w:lang w:val="en-US" w:eastAsia="zh-CN"/>
                    </w:rPr>
                    <w:t>55</w:t>
                  </w:r>
                </w:p>
              </w:tc>
              <w:tc>
                <w:tcPr>
                  <w:tcW w:w="307" w:type="pct"/>
                  <w:tcBorders>
                    <w:top w:val="single" w:color="auto" w:sz="12" w:space="0"/>
                    <w:tl2br w:val="nil"/>
                    <w:tr2bl w:val="nil"/>
                  </w:tcBorders>
                  <w:vAlign w:val="center"/>
                </w:tcPr>
                <w:p w14:paraId="75D5FAA6">
                  <w:pPr>
                    <w:pStyle w:val="7"/>
                    <w:keepNext w:val="0"/>
                    <w:keepLines w:val="0"/>
                    <w:suppressLineNumbers w:val="0"/>
                    <w:bidi w:val="0"/>
                    <w:spacing w:before="0" w:beforeAutospacing="0" w:after="0" w:afterAutospacing="0"/>
                    <w:ind w:left="0" w:leftChars="0" w:right="0" w:rightChars="0" w:firstLine="0" w:firstLineChars="0"/>
                    <w:jc w:val="center"/>
                    <w:rPr>
                      <w:rFonts w:hint="default" w:eastAsia="宋体"/>
                      <w:color w:val="auto"/>
                      <w:highlight w:val="none"/>
                      <w:lang w:val="en-US" w:eastAsia="zh-CN"/>
                    </w:rPr>
                  </w:pPr>
                  <w:r>
                    <w:rPr>
                      <w:rFonts w:hint="eastAsia"/>
                      <w:color w:val="auto"/>
                      <w:highlight w:val="none"/>
                      <w:lang w:val="en-US" w:eastAsia="zh-CN"/>
                    </w:rPr>
                    <w:t>53.47</w:t>
                  </w:r>
                </w:p>
              </w:tc>
              <w:tc>
                <w:tcPr>
                  <w:tcW w:w="337" w:type="pct"/>
                  <w:tcBorders>
                    <w:top w:val="single" w:color="auto" w:sz="12" w:space="0"/>
                    <w:tl2br w:val="nil"/>
                    <w:tr2bl w:val="nil"/>
                  </w:tcBorders>
                  <w:vAlign w:val="center"/>
                </w:tcPr>
                <w:p w14:paraId="7430F67A">
                  <w:pPr>
                    <w:pStyle w:val="7"/>
                    <w:keepNext w:val="0"/>
                    <w:keepLines w:val="0"/>
                    <w:suppressLineNumbers w:val="0"/>
                    <w:bidi w:val="0"/>
                    <w:spacing w:before="0" w:beforeAutospacing="0" w:after="0" w:afterAutospacing="0"/>
                    <w:ind w:left="0" w:leftChars="0" w:right="0" w:rightChars="0" w:firstLine="0" w:firstLineChars="0"/>
                    <w:jc w:val="center"/>
                    <w:rPr>
                      <w:rFonts w:hint="default" w:eastAsia="宋体"/>
                      <w:color w:val="auto"/>
                      <w:highlight w:val="none"/>
                      <w:lang w:val="en-US" w:eastAsia="zh-CN"/>
                    </w:rPr>
                  </w:pPr>
                  <w:r>
                    <w:rPr>
                      <w:rFonts w:hint="eastAsia"/>
                      <w:color w:val="auto"/>
                      <w:highlight w:val="none"/>
                      <w:lang w:val="en-US" w:eastAsia="zh-CN"/>
                    </w:rPr>
                    <w:t>53.47</w:t>
                  </w:r>
                </w:p>
              </w:tc>
              <w:tc>
                <w:tcPr>
                  <w:tcW w:w="338" w:type="pct"/>
                  <w:tcBorders>
                    <w:top w:val="single" w:color="auto" w:sz="12" w:space="0"/>
                    <w:tl2br w:val="nil"/>
                    <w:tr2bl w:val="nil"/>
                  </w:tcBorders>
                  <w:vAlign w:val="center"/>
                </w:tcPr>
                <w:p w14:paraId="42F3C421">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53.47</w:t>
                  </w:r>
                </w:p>
              </w:tc>
              <w:tc>
                <w:tcPr>
                  <w:tcW w:w="390" w:type="pct"/>
                  <w:tcBorders>
                    <w:top w:val="single" w:color="auto" w:sz="12" w:space="0"/>
                    <w:tl2br w:val="nil"/>
                    <w:tr2bl w:val="nil"/>
                  </w:tcBorders>
                  <w:vAlign w:val="center"/>
                </w:tcPr>
                <w:p w14:paraId="5AC894E3">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53.47</w:t>
                  </w:r>
                </w:p>
              </w:tc>
              <w:tc>
                <w:tcPr>
                  <w:tcW w:w="396" w:type="pct"/>
                  <w:tcBorders>
                    <w:top w:val="single" w:color="auto" w:sz="12" w:space="0"/>
                    <w:tl2br w:val="nil"/>
                    <w:tr2bl w:val="nil"/>
                  </w:tcBorders>
                  <w:vAlign w:val="center"/>
                </w:tcPr>
                <w:p w14:paraId="3BBCD673">
                  <w:pPr>
                    <w:pStyle w:val="7"/>
                    <w:keepNext w:val="0"/>
                    <w:keepLines w:val="0"/>
                    <w:suppressLineNumbers w:val="0"/>
                    <w:bidi w:val="0"/>
                    <w:spacing w:before="0" w:beforeAutospacing="0" w:after="0" w:afterAutospacing="0"/>
                    <w:ind w:left="0" w:leftChars="0" w:right="0" w:rightChars="0" w:firstLine="0" w:firstLineChars="0"/>
                    <w:jc w:val="center"/>
                    <w:rPr>
                      <w:rFonts w:hint="default" w:eastAsia="宋体"/>
                      <w:color w:val="auto"/>
                      <w:highlight w:val="none"/>
                      <w:lang w:val="en-US" w:eastAsia="zh-CN"/>
                    </w:rPr>
                  </w:pPr>
                  <w:r>
                    <w:rPr>
                      <w:rFonts w:hint="eastAsia" w:eastAsia="宋体"/>
                      <w:color w:val="auto"/>
                      <w:highlight w:val="none"/>
                      <w:lang w:val="en-US" w:eastAsia="zh-CN"/>
                    </w:rPr>
                    <w:t>/</w:t>
                  </w:r>
                </w:p>
              </w:tc>
              <w:tc>
                <w:tcPr>
                  <w:tcW w:w="386" w:type="pct"/>
                  <w:tcBorders>
                    <w:top w:val="single" w:color="auto" w:sz="12" w:space="0"/>
                    <w:tl2br w:val="nil"/>
                    <w:tr2bl w:val="nil"/>
                  </w:tcBorders>
                  <w:vAlign w:val="center"/>
                </w:tcPr>
                <w:p w14:paraId="64B25D64">
                  <w:pPr>
                    <w:pStyle w:val="7"/>
                    <w:keepNext w:val="0"/>
                    <w:keepLines w:val="0"/>
                    <w:suppressLineNumbers w:val="0"/>
                    <w:bidi w:val="0"/>
                    <w:spacing w:before="0" w:beforeAutospacing="0" w:after="0" w:afterAutospacing="0"/>
                    <w:ind w:left="0" w:leftChars="0" w:right="0" w:rightChars="0" w:firstLine="0" w:firstLineChars="0"/>
                    <w:jc w:val="center"/>
                    <w:rPr>
                      <w:rFonts w:hint="default" w:eastAsia="宋体"/>
                      <w:color w:val="auto"/>
                      <w:highlight w:val="none"/>
                      <w:lang w:val="en-US" w:eastAsia="zh-CN"/>
                    </w:rPr>
                  </w:pPr>
                  <w:r>
                    <w:rPr>
                      <w:rFonts w:hint="eastAsia" w:eastAsia="宋体"/>
                      <w:color w:val="auto"/>
                      <w:highlight w:val="none"/>
                      <w:lang w:val="en-US" w:eastAsia="zh-CN"/>
                    </w:rPr>
                    <w:t>/</w:t>
                  </w:r>
                </w:p>
              </w:tc>
              <w:tc>
                <w:tcPr>
                  <w:tcW w:w="358" w:type="pct"/>
                  <w:tcBorders>
                    <w:top w:val="single" w:color="auto" w:sz="12" w:space="0"/>
                    <w:tl2br w:val="nil"/>
                    <w:tr2bl w:val="nil"/>
                  </w:tcBorders>
                  <w:vAlign w:val="center"/>
                </w:tcPr>
                <w:p w14:paraId="571125E0">
                  <w:pPr>
                    <w:pStyle w:val="7"/>
                    <w:keepNext w:val="0"/>
                    <w:keepLines w:val="0"/>
                    <w:suppressLineNumbers w:val="0"/>
                    <w:bidi w:val="0"/>
                    <w:spacing w:before="0" w:beforeAutospacing="0" w:after="0" w:afterAutospacing="0"/>
                    <w:ind w:left="0" w:right="0"/>
                    <w:jc w:val="center"/>
                    <w:rPr>
                      <w:rFonts w:hint="default" w:eastAsia="宋体"/>
                      <w:color w:val="auto"/>
                      <w:highlight w:val="none"/>
                      <w:lang w:val="en-US" w:eastAsia="zh-CN"/>
                    </w:rPr>
                  </w:pPr>
                  <w:r>
                    <w:rPr>
                      <w:rFonts w:hint="eastAsia"/>
                      <w:color w:val="auto"/>
                      <w:highlight w:val="none"/>
                      <w:lang w:val="en-US" w:eastAsia="zh-CN"/>
                    </w:rPr>
                    <w:t>达标</w:t>
                  </w:r>
                </w:p>
              </w:tc>
              <w:tc>
                <w:tcPr>
                  <w:tcW w:w="294" w:type="pct"/>
                  <w:tcBorders>
                    <w:top w:val="single" w:color="auto" w:sz="12" w:space="0"/>
                    <w:tl2br w:val="nil"/>
                    <w:tr2bl w:val="nil"/>
                  </w:tcBorders>
                  <w:vAlign w:val="center"/>
                </w:tcPr>
                <w:p w14:paraId="18F71731">
                  <w:pPr>
                    <w:pStyle w:val="7"/>
                    <w:keepNext w:val="0"/>
                    <w:keepLines w:val="0"/>
                    <w:suppressLineNumbers w:val="0"/>
                    <w:bidi w:val="0"/>
                    <w:spacing w:before="0" w:beforeAutospacing="0" w:after="0" w:afterAutospacing="0"/>
                    <w:ind w:left="0" w:right="0"/>
                    <w:jc w:val="center"/>
                    <w:rPr>
                      <w:rFonts w:hint="default" w:eastAsia="宋体"/>
                      <w:color w:val="auto"/>
                      <w:highlight w:val="none"/>
                      <w:lang w:val="en-US" w:eastAsia="zh-CN"/>
                    </w:rPr>
                  </w:pPr>
                  <w:r>
                    <w:rPr>
                      <w:rFonts w:hint="eastAsia"/>
                      <w:color w:val="auto"/>
                      <w:highlight w:val="none"/>
                      <w:lang w:val="en-US" w:eastAsia="zh-CN"/>
                    </w:rPr>
                    <w:t>/</w:t>
                  </w:r>
                </w:p>
              </w:tc>
            </w:tr>
            <w:tr w14:paraId="45FBCB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8" w:type="pct"/>
                  <w:tcBorders>
                    <w:tl2br w:val="nil"/>
                    <w:tr2bl w:val="nil"/>
                  </w:tcBorders>
                  <w:vAlign w:val="center"/>
                </w:tcPr>
                <w:p w14:paraId="4E1ED58F">
                  <w:pPr>
                    <w:pStyle w:val="7"/>
                    <w:keepNext w:val="0"/>
                    <w:keepLines w:val="0"/>
                    <w:suppressLineNumbers w:val="0"/>
                    <w:bidi w:val="0"/>
                    <w:spacing w:before="0" w:beforeAutospacing="0" w:after="0" w:afterAutospacing="0"/>
                    <w:ind w:left="0" w:right="0"/>
                    <w:jc w:val="center"/>
                    <w:rPr>
                      <w:rFonts w:hint="eastAsia" w:eastAsia="宋体"/>
                      <w:color w:val="auto"/>
                      <w:highlight w:val="none"/>
                      <w:lang w:val="en-US" w:eastAsia="zh-CN"/>
                    </w:rPr>
                  </w:pPr>
                  <w:r>
                    <w:rPr>
                      <w:rFonts w:hint="eastAsia"/>
                      <w:color w:val="auto"/>
                      <w:highlight w:val="none"/>
                      <w:lang w:val="en-US" w:eastAsia="zh-CN"/>
                    </w:rPr>
                    <w:t>2</w:t>
                  </w:r>
                </w:p>
              </w:tc>
              <w:tc>
                <w:tcPr>
                  <w:tcW w:w="489" w:type="pct"/>
                  <w:tcBorders>
                    <w:tl2br w:val="nil"/>
                    <w:tr2bl w:val="nil"/>
                  </w:tcBorders>
                  <w:vAlign w:val="center"/>
                </w:tcPr>
                <w:p w14:paraId="3A46F2DE">
                  <w:pPr>
                    <w:pStyle w:val="7"/>
                    <w:keepNext w:val="0"/>
                    <w:keepLines w:val="0"/>
                    <w:suppressLineNumbers w:val="0"/>
                    <w:bidi w:val="0"/>
                    <w:spacing w:before="0" w:beforeAutospacing="0" w:after="0" w:afterAutospacing="0"/>
                    <w:ind w:left="0" w:right="0"/>
                    <w:jc w:val="center"/>
                    <w:rPr>
                      <w:rFonts w:hint="default"/>
                      <w:color w:val="auto"/>
                      <w:highlight w:val="none"/>
                    </w:rPr>
                  </w:pPr>
                  <w:r>
                    <w:rPr>
                      <w:rFonts w:hint="default"/>
                      <w:color w:val="auto"/>
                      <w:highlight w:val="none"/>
                    </w:rPr>
                    <w:t>南厂界</w:t>
                  </w:r>
                </w:p>
              </w:tc>
              <w:tc>
                <w:tcPr>
                  <w:tcW w:w="249" w:type="pct"/>
                  <w:tcBorders>
                    <w:tl2br w:val="nil"/>
                    <w:tr2bl w:val="nil"/>
                  </w:tcBorders>
                  <w:vAlign w:val="center"/>
                </w:tcPr>
                <w:p w14:paraId="1324CA0B">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w:t>
                  </w:r>
                </w:p>
              </w:tc>
              <w:tc>
                <w:tcPr>
                  <w:tcW w:w="248" w:type="pct"/>
                  <w:tcBorders>
                    <w:tl2br w:val="nil"/>
                    <w:tr2bl w:val="nil"/>
                  </w:tcBorders>
                  <w:vAlign w:val="center"/>
                </w:tcPr>
                <w:p w14:paraId="4A6EFAE3">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w:t>
                  </w:r>
                </w:p>
              </w:tc>
              <w:tc>
                <w:tcPr>
                  <w:tcW w:w="246" w:type="pct"/>
                  <w:tcBorders>
                    <w:tl2br w:val="nil"/>
                    <w:tr2bl w:val="nil"/>
                  </w:tcBorders>
                  <w:vAlign w:val="center"/>
                </w:tcPr>
                <w:p w14:paraId="19937A19">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eastAsia="宋体"/>
                      <w:color w:val="auto"/>
                      <w:highlight w:val="none"/>
                      <w:lang w:val="en-US" w:eastAsia="zh-CN"/>
                    </w:rPr>
                    <w:t>/</w:t>
                  </w:r>
                </w:p>
              </w:tc>
              <w:tc>
                <w:tcPr>
                  <w:tcW w:w="247" w:type="pct"/>
                  <w:tcBorders>
                    <w:tl2br w:val="nil"/>
                    <w:tr2bl w:val="nil"/>
                  </w:tcBorders>
                  <w:vAlign w:val="center"/>
                </w:tcPr>
                <w:p w14:paraId="044773A7">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eastAsia="宋体"/>
                      <w:color w:val="auto"/>
                      <w:highlight w:val="none"/>
                      <w:lang w:val="en-US" w:eastAsia="zh-CN"/>
                    </w:rPr>
                    <w:t>/</w:t>
                  </w:r>
                </w:p>
              </w:tc>
              <w:tc>
                <w:tcPr>
                  <w:tcW w:w="249" w:type="pct"/>
                  <w:tcBorders>
                    <w:tl2br w:val="nil"/>
                    <w:tr2bl w:val="nil"/>
                  </w:tcBorders>
                  <w:vAlign w:val="center"/>
                </w:tcPr>
                <w:p w14:paraId="02B22B1F">
                  <w:pPr>
                    <w:pStyle w:val="7"/>
                    <w:keepNext w:val="0"/>
                    <w:keepLines w:val="0"/>
                    <w:suppressLineNumbers w:val="0"/>
                    <w:bidi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65</w:t>
                  </w:r>
                </w:p>
              </w:tc>
              <w:tc>
                <w:tcPr>
                  <w:tcW w:w="273" w:type="pct"/>
                  <w:tcBorders>
                    <w:tl2br w:val="nil"/>
                    <w:tr2bl w:val="nil"/>
                  </w:tcBorders>
                  <w:vAlign w:val="center"/>
                </w:tcPr>
                <w:p w14:paraId="5F65B8AF">
                  <w:pPr>
                    <w:pStyle w:val="7"/>
                    <w:keepNext w:val="0"/>
                    <w:keepLines w:val="0"/>
                    <w:suppressLineNumbers w:val="0"/>
                    <w:bidi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55</w:t>
                  </w:r>
                </w:p>
              </w:tc>
              <w:tc>
                <w:tcPr>
                  <w:tcW w:w="307" w:type="pct"/>
                  <w:tcBorders>
                    <w:tl2br w:val="nil"/>
                    <w:tr2bl w:val="nil"/>
                  </w:tcBorders>
                  <w:vAlign w:val="center"/>
                </w:tcPr>
                <w:p w14:paraId="45B59453">
                  <w:pPr>
                    <w:pStyle w:val="7"/>
                    <w:keepNext w:val="0"/>
                    <w:keepLines w:val="0"/>
                    <w:suppressLineNumbers w:val="0"/>
                    <w:bidi w:val="0"/>
                    <w:spacing w:before="0" w:beforeAutospacing="0" w:after="0" w:afterAutospacing="0"/>
                    <w:ind w:left="0" w:leftChars="0" w:right="0" w:rightChars="0" w:firstLine="0" w:firstLineChars="0"/>
                    <w:jc w:val="center"/>
                    <w:rPr>
                      <w:rFonts w:hint="default"/>
                      <w:color w:val="auto"/>
                      <w:highlight w:val="none"/>
                      <w:lang w:val="en-US" w:eastAsia="zh-CN"/>
                    </w:rPr>
                  </w:pPr>
                  <w:r>
                    <w:rPr>
                      <w:rFonts w:hint="eastAsia"/>
                      <w:color w:val="auto"/>
                      <w:highlight w:val="none"/>
                      <w:lang w:val="en-US" w:eastAsia="zh-CN"/>
                    </w:rPr>
                    <w:t>42.52</w:t>
                  </w:r>
                </w:p>
              </w:tc>
              <w:tc>
                <w:tcPr>
                  <w:tcW w:w="337" w:type="pct"/>
                  <w:tcBorders>
                    <w:tl2br w:val="nil"/>
                    <w:tr2bl w:val="nil"/>
                  </w:tcBorders>
                  <w:vAlign w:val="center"/>
                </w:tcPr>
                <w:p w14:paraId="241C2F87">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42.52</w:t>
                  </w:r>
                </w:p>
              </w:tc>
              <w:tc>
                <w:tcPr>
                  <w:tcW w:w="338" w:type="pct"/>
                  <w:tcBorders>
                    <w:tl2br w:val="nil"/>
                    <w:tr2bl w:val="nil"/>
                  </w:tcBorders>
                  <w:vAlign w:val="center"/>
                </w:tcPr>
                <w:p w14:paraId="5898FF35">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42.52</w:t>
                  </w:r>
                </w:p>
              </w:tc>
              <w:tc>
                <w:tcPr>
                  <w:tcW w:w="390" w:type="pct"/>
                  <w:tcBorders>
                    <w:tl2br w:val="nil"/>
                    <w:tr2bl w:val="nil"/>
                  </w:tcBorders>
                  <w:vAlign w:val="center"/>
                </w:tcPr>
                <w:p w14:paraId="74503BF9">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42.52</w:t>
                  </w:r>
                </w:p>
              </w:tc>
              <w:tc>
                <w:tcPr>
                  <w:tcW w:w="396" w:type="pct"/>
                  <w:tcBorders>
                    <w:tl2br w:val="nil"/>
                    <w:tr2bl w:val="nil"/>
                  </w:tcBorders>
                  <w:vAlign w:val="center"/>
                </w:tcPr>
                <w:p w14:paraId="4A789653">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eastAsia="宋体"/>
                      <w:color w:val="auto"/>
                      <w:highlight w:val="none"/>
                      <w:lang w:val="en-US" w:eastAsia="zh-CN"/>
                    </w:rPr>
                    <w:t>/</w:t>
                  </w:r>
                </w:p>
              </w:tc>
              <w:tc>
                <w:tcPr>
                  <w:tcW w:w="386" w:type="pct"/>
                  <w:tcBorders>
                    <w:tl2br w:val="nil"/>
                    <w:tr2bl w:val="nil"/>
                  </w:tcBorders>
                  <w:vAlign w:val="center"/>
                </w:tcPr>
                <w:p w14:paraId="34CAFDF7">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eastAsia="宋体"/>
                      <w:color w:val="auto"/>
                      <w:highlight w:val="none"/>
                      <w:lang w:val="en-US" w:eastAsia="zh-CN"/>
                    </w:rPr>
                    <w:t>/</w:t>
                  </w:r>
                </w:p>
              </w:tc>
              <w:tc>
                <w:tcPr>
                  <w:tcW w:w="358" w:type="pct"/>
                  <w:tcBorders>
                    <w:tl2br w:val="nil"/>
                    <w:tr2bl w:val="nil"/>
                  </w:tcBorders>
                  <w:vAlign w:val="center"/>
                </w:tcPr>
                <w:p w14:paraId="3FD277E1">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达标</w:t>
                  </w:r>
                </w:p>
              </w:tc>
              <w:tc>
                <w:tcPr>
                  <w:tcW w:w="294" w:type="pct"/>
                  <w:tcBorders>
                    <w:tl2br w:val="nil"/>
                    <w:tr2bl w:val="nil"/>
                  </w:tcBorders>
                  <w:vAlign w:val="center"/>
                </w:tcPr>
                <w:p w14:paraId="126AC3BD">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w:t>
                  </w:r>
                </w:p>
              </w:tc>
            </w:tr>
            <w:tr w14:paraId="3490F4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8" w:type="pct"/>
                  <w:tcBorders>
                    <w:tl2br w:val="nil"/>
                    <w:tr2bl w:val="nil"/>
                  </w:tcBorders>
                  <w:vAlign w:val="center"/>
                </w:tcPr>
                <w:p w14:paraId="76A6CDCD">
                  <w:pPr>
                    <w:pStyle w:val="7"/>
                    <w:keepNext w:val="0"/>
                    <w:keepLines w:val="0"/>
                    <w:suppressLineNumbers w:val="0"/>
                    <w:bidi w:val="0"/>
                    <w:spacing w:before="0" w:beforeAutospacing="0" w:after="0" w:afterAutospacing="0"/>
                    <w:ind w:left="0" w:right="0"/>
                    <w:jc w:val="center"/>
                    <w:rPr>
                      <w:rFonts w:hint="eastAsia" w:eastAsia="宋体"/>
                      <w:color w:val="auto"/>
                      <w:highlight w:val="none"/>
                      <w:lang w:val="en-US" w:eastAsia="zh-CN"/>
                    </w:rPr>
                  </w:pPr>
                  <w:r>
                    <w:rPr>
                      <w:rFonts w:hint="eastAsia"/>
                      <w:color w:val="auto"/>
                      <w:highlight w:val="none"/>
                      <w:lang w:val="en-US" w:eastAsia="zh-CN"/>
                    </w:rPr>
                    <w:t>3</w:t>
                  </w:r>
                </w:p>
              </w:tc>
              <w:tc>
                <w:tcPr>
                  <w:tcW w:w="489" w:type="pct"/>
                  <w:tcBorders>
                    <w:tl2br w:val="nil"/>
                    <w:tr2bl w:val="nil"/>
                  </w:tcBorders>
                  <w:vAlign w:val="center"/>
                </w:tcPr>
                <w:p w14:paraId="502E999A">
                  <w:pPr>
                    <w:pStyle w:val="7"/>
                    <w:keepNext w:val="0"/>
                    <w:keepLines w:val="0"/>
                    <w:suppressLineNumbers w:val="0"/>
                    <w:bidi w:val="0"/>
                    <w:spacing w:before="0" w:beforeAutospacing="0" w:after="0" w:afterAutospacing="0"/>
                    <w:ind w:left="0" w:right="0"/>
                    <w:jc w:val="center"/>
                    <w:rPr>
                      <w:rFonts w:hint="default"/>
                      <w:color w:val="auto"/>
                      <w:highlight w:val="none"/>
                    </w:rPr>
                  </w:pPr>
                  <w:r>
                    <w:rPr>
                      <w:rFonts w:hint="default"/>
                      <w:color w:val="auto"/>
                      <w:highlight w:val="none"/>
                    </w:rPr>
                    <w:t>西厂界</w:t>
                  </w:r>
                </w:p>
              </w:tc>
              <w:tc>
                <w:tcPr>
                  <w:tcW w:w="249" w:type="pct"/>
                  <w:tcBorders>
                    <w:tl2br w:val="nil"/>
                    <w:tr2bl w:val="nil"/>
                  </w:tcBorders>
                  <w:vAlign w:val="center"/>
                </w:tcPr>
                <w:p w14:paraId="049E90AA">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w:t>
                  </w:r>
                </w:p>
              </w:tc>
              <w:tc>
                <w:tcPr>
                  <w:tcW w:w="248" w:type="pct"/>
                  <w:tcBorders>
                    <w:tl2br w:val="nil"/>
                    <w:tr2bl w:val="nil"/>
                  </w:tcBorders>
                  <w:vAlign w:val="center"/>
                </w:tcPr>
                <w:p w14:paraId="4FF58BB8">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w:t>
                  </w:r>
                </w:p>
              </w:tc>
              <w:tc>
                <w:tcPr>
                  <w:tcW w:w="246" w:type="pct"/>
                  <w:tcBorders>
                    <w:tl2br w:val="nil"/>
                    <w:tr2bl w:val="nil"/>
                  </w:tcBorders>
                  <w:vAlign w:val="center"/>
                </w:tcPr>
                <w:p w14:paraId="0DEC084A">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eastAsia="宋体"/>
                      <w:color w:val="auto"/>
                      <w:highlight w:val="none"/>
                      <w:lang w:val="en-US" w:eastAsia="zh-CN"/>
                    </w:rPr>
                    <w:t>/</w:t>
                  </w:r>
                </w:p>
              </w:tc>
              <w:tc>
                <w:tcPr>
                  <w:tcW w:w="247" w:type="pct"/>
                  <w:tcBorders>
                    <w:tl2br w:val="nil"/>
                    <w:tr2bl w:val="nil"/>
                  </w:tcBorders>
                  <w:vAlign w:val="center"/>
                </w:tcPr>
                <w:p w14:paraId="7F6596BF">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eastAsia="宋体"/>
                      <w:color w:val="auto"/>
                      <w:highlight w:val="none"/>
                      <w:lang w:val="en-US" w:eastAsia="zh-CN"/>
                    </w:rPr>
                    <w:t>/</w:t>
                  </w:r>
                </w:p>
              </w:tc>
              <w:tc>
                <w:tcPr>
                  <w:tcW w:w="249" w:type="pct"/>
                  <w:tcBorders>
                    <w:tl2br w:val="nil"/>
                    <w:tr2bl w:val="nil"/>
                  </w:tcBorders>
                  <w:vAlign w:val="center"/>
                </w:tcPr>
                <w:p w14:paraId="3DEC27D4">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65</w:t>
                  </w:r>
                </w:p>
              </w:tc>
              <w:tc>
                <w:tcPr>
                  <w:tcW w:w="273" w:type="pct"/>
                  <w:tcBorders>
                    <w:tl2br w:val="nil"/>
                    <w:tr2bl w:val="nil"/>
                  </w:tcBorders>
                  <w:vAlign w:val="center"/>
                </w:tcPr>
                <w:p w14:paraId="0B4BD096">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55</w:t>
                  </w:r>
                </w:p>
              </w:tc>
              <w:tc>
                <w:tcPr>
                  <w:tcW w:w="307" w:type="pct"/>
                  <w:tcBorders>
                    <w:tl2br w:val="nil"/>
                    <w:tr2bl w:val="nil"/>
                  </w:tcBorders>
                  <w:vAlign w:val="center"/>
                </w:tcPr>
                <w:p w14:paraId="2E9D1B96">
                  <w:pPr>
                    <w:pStyle w:val="7"/>
                    <w:keepNext w:val="0"/>
                    <w:keepLines w:val="0"/>
                    <w:suppressLineNumbers w:val="0"/>
                    <w:bidi w:val="0"/>
                    <w:spacing w:before="0" w:beforeAutospacing="0" w:after="0" w:afterAutospacing="0"/>
                    <w:ind w:left="0" w:leftChars="0" w:right="0" w:rightChars="0" w:firstLine="0" w:firstLineChars="0"/>
                    <w:jc w:val="center"/>
                    <w:rPr>
                      <w:rFonts w:hint="default"/>
                      <w:color w:val="auto"/>
                      <w:highlight w:val="none"/>
                      <w:lang w:val="en-US" w:eastAsia="zh-CN"/>
                    </w:rPr>
                  </w:pPr>
                  <w:r>
                    <w:rPr>
                      <w:rFonts w:hint="eastAsia"/>
                      <w:color w:val="auto"/>
                      <w:highlight w:val="none"/>
                      <w:lang w:val="en-US" w:eastAsia="zh-CN"/>
                    </w:rPr>
                    <w:t>28.13</w:t>
                  </w:r>
                </w:p>
              </w:tc>
              <w:tc>
                <w:tcPr>
                  <w:tcW w:w="337" w:type="pct"/>
                  <w:tcBorders>
                    <w:tl2br w:val="nil"/>
                    <w:tr2bl w:val="nil"/>
                  </w:tcBorders>
                  <w:vAlign w:val="center"/>
                </w:tcPr>
                <w:p w14:paraId="224CC0E9">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28.13</w:t>
                  </w:r>
                </w:p>
              </w:tc>
              <w:tc>
                <w:tcPr>
                  <w:tcW w:w="338" w:type="pct"/>
                  <w:tcBorders>
                    <w:tl2br w:val="nil"/>
                    <w:tr2bl w:val="nil"/>
                  </w:tcBorders>
                  <w:vAlign w:val="center"/>
                </w:tcPr>
                <w:p w14:paraId="1956C42B">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28.13</w:t>
                  </w:r>
                </w:p>
              </w:tc>
              <w:tc>
                <w:tcPr>
                  <w:tcW w:w="390" w:type="pct"/>
                  <w:tcBorders>
                    <w:tl2br w:val="nil"/>
                    <w:tr2bl w:val="nil"/>
                  </w:tcBorders>
                  <w:vAlign w:val="center"/>
                </w:tcPr>
                <w:p w14:paraId="3C95D6C0">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28.13</w:t>
                  </w:r>
                </w:p>
              </w:tc>
              <w:tc>
                <w:tcPr>
                  <w:tcW w:w="396" w:type="pct"/>
                  <w:tcBorders>
                    <w:tl2br w:val="nil"/>
                    <w:tr2bl w:val="nil"/>
                  </w:tcBorders>
                  <w:vAlign w:val="center"/>
                </w:tcPr>
                <w:p w14:paraId="36BDB45D">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eastAsia="宋体"/>
                      <w:color w:val="auto"/>
                      <w:highlight w:val="none"/>
                      <w:lang w:val="en-US" w:eastAsia="zh-CN"/>
                    </w:rPr>
                    <w:t>/</w:t>
                  </w:r>
                </w:p>
              </w:tc>
              <w:tc>
                <w:tcPr>
                  <w:tcW w:w="386" w:type="pct"/>
                  <w:tcBorders>
                    <w:tl2br w:val="nil"/>
                    <w:tr2bl w:val="nil"/>
                  </w:tcBorders>
                  <w:vAlign w:val="center"/>
                </w:tcPr>
                <w:p w14:paraId="7D445B80">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eastAsia="宋体"/>
                      <w:color w:val="auto"/>
                      <w:highlight w:val="none"/>
                      <w:lang w:val="en-US" w:eastAsia="zh-CN"/>
                    </w:rPr>
                    <w:t>/</w:t>
                  </w:r>
                </w:p>
              </w:tc>
              <w:tc>
                <w:tcPr>
                  <w:tcW w:w="358" w:type="pct"/>
                  <w:tcBorders>
                    <w:tl2br w:val="nil"/>
                    <w:tr2bl w:val="nil"/>
                  </w:tcBorders>
                  <w:vAlign w:val="center"/>
                </w:tcPr>
                <w:p w14:paraId="5E6E50FD">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达标</w:t>
                  </w:r>
                </w:p>
              </w:tc>
              <w:tc>
                <w:tcPr>
                  <w:tcW w:w="294" w:type="pct"/>
                  <w:tcBorders>
                    <w:tl2br w:val="nil"/>
                    <w:tr2bl w:val="nil"/>
                  </w:tcBorders>
                  <w:vAlign w:val="center"/>
                </w:tcPr>
                <w:p w14:paraId="283F879E">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w:t>
                  </w:r>
                </w:p>
              </w:tc>
            </w:tr>
            <w:tr w14:paraId="10755F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8" w:type="pct"/>
                  <w:tcBorders>
                    <w:tl2br w:val="nil"/>
                    <w:tr2bl w:val="nil"/>
                  </w:tcBorders>
                  <w:vAlign w:val="center"/>
                </w:tcPr>
                <w:p w14:paraId="3DE9F60C">
                  <w:pPr>
                    <w:pStyle w:val="7"/>
                    <w:keepNext w:val="0"/>
                    <w:keepLines w:val="0"/>
                    <w:suppressLineNumbers w:val="0"/>
                    <w:bidi w:val="0"/>
                    <w:spacing w:before="0" w:beforeAutospacing="0" w:after="0" w:afterAutospacing="0"/>
                    <w:ind w:left="0" w:right="0"/>
                    <w:jc w:val="center"/>
                    <w:rPr>
                      <w:rFonts w:hint="eastAsia" w:eastAsia="宋体"/>
                      <w:color w:val="auto"/>
                      <w:highlight w:val="none"/>
                      <w:lang w:val="en-US" w:eastAsia="zh-CN"/>
                    </w:rPr>
                  </w:pPr>
                  <w:r>
                    <w:rPr>
                      <w:rFonts w:hint="eastAsia"/>
                      <w:color w:val="auto"/>
                      <w:highlight w:val="none"/>
                      <w:lang w:val="en-US" w:eastAsia="zh-CN"/>
                    </w:rPr>
                    <w:t>4</w:t>
                  </w:r>
                </w:p>
              </w:tc>
              <w:tc>
                <w:tcPr>
                  <w:tcW w:w="489" w:type="pct"/>
                  <w:tcBorders>
                    <w:tl2br w:val="nil"/>
                    <w:tr2bl w:val="nil"/>
                  </w:tcBorders>
                  <w:vAlign w:val="center"/>
                </w:tcPr>
                <w:p w14:paraId="0CFEACAE">
                  <w:pPr>
                    <w:pStyle w:val="7"/>
                    <w:keepNext w:val="0"/>
                    <w:keepLines w:val="0"/>
                    <w:suppressLineNumbers w:val="0"/>
                    <w:bidi w:val="0"/>
                    <w:spacing w:before="0" w:beforeAutospacing="0" w:after="0" w:afterAutospacing="0"/>
                    <w:ind w:left="0" w:right="0"/>
                    <w:jc w:val="center"/>
                    <w:rPr>
                      <w:rFonts w:hint="default"/>
                      <w:color w:val="auto"/>
                      <w:highlight w:val="none"/>
                    </w:rPr>
                  </w:pPr>
                  <w:r>
                    <w:rPr>
                      <w:rFonts w:hint="default"/>
                      <w:color w:val="auto"/>
                      <w:highlight w:val="none"/>
                    </w:rPr>
                    <w:t>北厂界</w:t>
                  </w:r>
                </w:p>
              </w:tc>
              <w:tc>
                <w:tcPr>
                  <w:tcW w:w="249" w:type="pct"/>
                  <w:tcBorders>
                    <w:tl2br w:val="nil"/>
                    <w:tr2bl w:val="nil"/>
                  </w:tcBorders>
                  <w:vAlign w:val="center"/>
                </w:tcPr>
                <w:p w14:paraId="555D39B3">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w:t>
                  </w:r>
                </w:p>
              </w:tc>
              <w:tc>
                <w:tcPr>
                  <w:tcW w:w="248" w:type="pct"/>
                  <w:tcBorders>
                    <w:tl2br w:val="nil"/>
                    <w:tr2bl w:val="nil"/>
                  </w:tcBorders>
                  <w:vAlign w:val="center"/>
                </w:tcPr>
                <w:p w14:paraId="41EBC338">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w:t>
                  </w:r>
                </w:p>
              </w:tc>
              <w:tc>
                <w:tcPr>
                  <w:tcW w:w="246" w:type="pct"/>
                  <w:tcBorders>
                    <w:tl2br w:val="nil"/>
                    <w:tr2bl w:val="nil"/>
                  </w:tcBorders>
                  <w:vAlign w:val="center"/>
                </w:tcPr>
                <w:p w14:paraId="08002589">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eastAsia="宋体"/>
                      <w:color w:val="auto"/>
                      <w:highlight w:val="none"/>
                      <w:lang w:val="en-US" w:eastAsia="zh-CN"/>
                    </w:rPr>
                    <w:t>/</w:t>
                  </w:r>
                </w:p>
              </w:tc>
              <w:tc>
                <w:tcPr>
                  <w:tcW w:w="247" w:type="pct"/>
                  <w:tcBorders>
                    <w:tl2br w:val="nil"/>
                    <w:tr2bl w:val="nil"/>
                  </w:tcBorders>
                  <w:vAlign w:val="center"/>
                </w:tcPr>
                <w:p w14:paraId="18AEFB9B">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eastAsia="宋体"/>
                      <w:color w:val="auto"/>
                      <w:highlight w:val="none"/>
                      <w:lang w:val="en-US" w:eastAsia="zh-CN"/>
                    </w:rPr>
                    <w:t>/</w:t>
                  </w:r>
                </w:p>
              </w:tc>
              <w:tc>
                <w:tcPr>
                  <w:tcW w:w="249" w:type="pct"/>
                  <w:tcBorders>
                    <w:tl2br w:val="nil"/>
                    <w:tr2bl w:val="nil"/>
                  </w:tcBorders>
                  <w:vAlign w:val="center"/>
                </w:tcPr>
                <w:p w14:paraId="119CB3A8">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65</w:t>
                  </w:r>
                </w:p>
              </w:tc>
              <w:tc>
                <w:tcPr>
                  <w:tcW w:w="273" w:type="pct"/>
                  <w:tcBorders>
                    <w:tl2br w:val="nil"/>
                    <w:tr2bl w:val="nil"/>
                  </w:tcBorders>
                  <w:vAlign w:val="center"/>
                </w:tcPr>
                <w:p w14:paraId="13D40D2E">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55</w:t>
                  </w:r>
                </w:p>
              </w:tc>
              <w:tc>
                <w:tcPr>
                  <w:tcW w:w="307" w:type="pct"/>
                  <w:tcBorders>
                    <w:tl2br w:val="nil"/>
                    <w:tr2bl w:val="nil"/>
                  </w:tcBorders>
                  <w:vAlign w:val="center"/>
                </w:tcPr>
                <w:p w14:paraId="5BF446D7">
                  <w:pPr>
                    <w:pStyle w:val="7"/>
                    <w:keepNext w:val="0"/>
                    <w:keepLines w:val="0"/>
                    <w:suppressLineNumbers w:val="0"/>
                    <w:bidi w:val="0"/>
                    <w:spacing w:before="0" w:beforeAutospacing="0" w:after="0" w:afterAutospacing="0"/>
                    <w:ind w:left="0" w:leftChars="0" w:right="0" w:rightChars="0" w:firstLine="0" w:firstLineChars="0"/>
                    <w:jc w:val="center"/>
                    <w:rPr>
                      <w:rFonts w:hint="default"/>
                      <w:color w:val="auto"/>
                      <w:highlight w:val="none"/>
                      <w:lang w:val="en-US" w:eastAsia="zh-CN"/>
                    </w:rPr>
                  </w:pPr>
                  <w:r>
                    <w:rPr>
                      <w:rFonts w:hint="eastAsia"/>
                      <w:color w:val="auto"/>
                      <w:highlight w:val="none"/>
                      <w:lang w:val="en-US" w:eastAsia="zh-CN"/>
                    </w:rPr>
                    <w:t>34.38</w:t>
                  </w:r>
                </w:p>
              </w:tc>
              <w:tc>
                <w:tcPr>
                  <w:tcW w:w="337" w:type="pct"/>
                  <w:tcBorders>
                    <w:tl2br w:val="nil"/>
                    <w:tr2bl w:val="nil"/>
                  </w:tcBorders>
                  <w:vAlign w:val="center"/>
                </w:tcPr>
                <w:p w14:paraId="305CEA72">
                  <w:pPr>
                    <w:pStyle w:val="7"/>
                    <w:keepNext w:val="0"/>
                    <w:keepLines w:val="0"/>
                    <w:suppressLineNumbers w:val="0"/>
                    <w:bidi w:val="0"/>
                    <w:spacing w:before="0" w:beforeAutospacing="0" w:after="0" w:afterAutospacing="0"/>
                    <w:ind w:left="0" w:leftChars="0" w:right="0" w:rightChars="0" w:firstLine="0" w:firstLineChars="0"/>
                    <w:jc w:val="center"/>
                    <w:rPr>
                      <w:rFonts w:hint="default"/>
                      <w:color w:val="auto"/>
                      <w:highlight w:val="none"/>
                      <w:lang w:val="en-US" w:eastAsia="zh-CN"/>
                    </w:rPr>
                  </w:pPr>
                  <w:r>
                    <w:rPr>
                      <w:rFonts w:hint="eastAsia"/>
                      <w:color w:val="auto"/>
                      <w:highlight w:val="none"/>
                      <w:lang w:val="en-US" w:eastAsia="zh-CN"/>
                    </w:rPr>
                    <w:t>34.38</w:t>
                  </w:r>
                </w:p>
              </w:tc>
              <w:tc>
                <w:tcPr>
                  <w:tcW w:w="338" w:type="pct"/>
                  <w:tcBorders>
                    <w:tl2br w:val="nil"/>
                    <w:tr2bl w:val="nil"/>
                  </w:tcBorders>
                  <w:vAlign w:val="center"/>
                </w:tcPr>
                <w:p w14:paraId="78E0F5FA">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34.38</w:t>
                  </w:r>
                </w:p>
              </w:tc>
              <w:tc>
                <w:tcPr>
                  <w:tcW w:w="390" w:type="pct"/>
                  <w:tcBorders>
                    <w:tl2br w:val="nil"/>
                    <w:tr2bl w:val="nil"/>
                  </w:tcBorders>
                  <w:vAlign w:val="center"/>
                </w:tcPr>
                <w:p w14:paraId="64B63B80">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34.38</w:t>
                  </w:r>
                </w:p>
              </w:tc>
              <w:tc>
                <w:tcPr>
                  <w:tcW w:w="396" w:type="pct"/>
                  <w:tcBorders>
                    <w:tl2br w:val="nil"/>
                    <w:tr2bl w:val="nil"/>
                  </w:tcBorders>
                  <w:vAlign w:val="center"/>
                </w:tcPr>
                <w:p w14:paraId="4A190689">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eastAsia="宋体"/>
                      <w:color w:val="auto"/>
                      <w:highlight w:val="none"/>
                      <w:lang w:val="en-US" w:eastAsia="zh-CN"/>
                    </w:rPr>
                    <w:t>/</w:t>
                  </w:r>
                </w:p>
              </w:tc>
              <w:tc>
                <w:tcPr>
                  <w:tcW w:w="386" w:type="pct"/>
                  <w:tcBorders>
                    <w:tl2br w:val="nil"/>
                    <w:tr2bl w:val="nil"/>
                  </w:tcBorders>
                  <w:vAlign w:val="center"/>
                </w:tcPr>
                <w:p w14:paraId="6817D51D">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eastAsia="宋体"/>
                      <w:color w:val="auto"/>
                      <w:highlight w:val="none"/>
                      <w:lang w:val="en-US" w:eastAsia="zh-CN"/>
                    </w:rPr>
                    <w:t>/</w:t>
                  </w:r>
                </w:p>
              </w:tc>
              <w:tc>
                <w:tcPr>
                  <w:tcW w:w="358" w:type="pct"/>
                  <w:tcBorders>
                    <w:tl2br w:val="nil"/>
                    <w:tr2bl w:val="nil"/>
                  </w:tcBorders>
                  <w:vAlign w:val="center"/>
                </w:tcPr>
                <w:p w14:paraId="5BA209DA">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达标</w:t>
                  </w:r>
                </w:p>
              </w:tc>
              <w:tc>
                <w:tcPr>
                  <w:tcW w:w="294" w:type="pct"/>
                  <w:tcBorders>
                    <w:tl2br w:val="nil"/>
                    <w:tr2bl w:val="nil"/>
                  </w:tcBorders>
                  <w:vAlign w:val="center"/>
                </w:tcPr>
                <w:p w14:paraId="69F1D864">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w:t>
                  </w:r>
                </w:p>
              </w:tc>
            </w:tr>
          </w:tbl>
          <w:p w14:paraId="52970208">
            <w:pPr>
              <w:keepNext w:val="0"/>
              <w:keepLines w:val="0"/>
              <w:suppressLineNumbers w:val="0"/>
              <w:bidi w:val="0"/>
              <w:spacing w:before="0" w:beforeAutospacing="0" w:after="0" w:afterAutospacing="0"/>
              <w:ind w:left="0" w:leftChars="0" w:right="0" w:firstLine="480" w:firstLineChars="200"/>
              <w:rPr>
                <w:rFonts w:hint="default"/>
                <w:color w:val="auto"/>
                <w:highlight w:val="none"/>
              </w:rPr>
            </w:pPr>
            <w:r>
              <w:rPr>
                <w:rFonts w:hint="default"/>
                <w:color w:val="auto"/>
                <w:highlight w:val="none"/>
              </w:rPr>
              <w:t>本项目</w:t>
            </w:r>
            <w:r>
              <w:rPr>
                <w:rFonts w:hint="eastAsia"/>
                <w:color w:val="auto"/>
                <w:highlight w:val="none"/>
              </w:rPr>
              <w:t>建成后</w:t>
            </w:r>
            <w:r>
              <w:rPr>
                <w:rFonts w:hint="default"/>
                <w:color w:val="auto"/>
                <w:highlight w:val="none"/>
              </w:rPr>
              <w:t>，从表</w:t>
            </w:r>
            <w:r>
              <w:rPr>
                <w:rFonts w:hint="eastAsia"/>
                <w:color w:val="auto"/>
                <w:highlight w:val="none"/>
              </w:rPr>
              <w:t>4-</w:t>
            </w:r>
            <w:r>
              <w:rPr>
                <w:rFonts w:hint="eastAsia"/>
                <w:color w:val="auto"/>
                <w:highlight w:val="none"/>
                <w:lang w:val="en-US" w:eastAsia="zh-CN"/>
              </w:rPr>
              <w:t>13</w:t>
            </w:r>
            <w:r>
              <w:rPr>
                <w:rFonts w:hint="default"/>
                <w:color w:val="auto"/>
                <w:highlight w:val="none"/>
              </w:rPr>
              <w:t>可知，</w:t>
            </w:r>
            <w:r>
              <w:rPr>
                <w:rFonts w:hint="eastAsia"/>
                <w:color w:val="auto"/>
                <w:highlight w:val="none"/>
              </w:rPr>
              <w:t>评价区域</w:t>
            </w:r>
            <w:r>
              <w:rPr>
                <w:rFonts w:hint="eastAsia"/>
                <w:color w:val="auto"/>
                <w:highlight w:val="none"/>
                <w:lang w:val="en-US" w:eastAsia="zh-CN"/>
              </w:rPr>
              <w:t>厂界噪声</w:t>
            </w:r>
            <w:r>
              <w:rPr>
                <w:rFonts w:hint="eastAsia"/>
                <w:color w:val="auto"/>
                <w:highlight w:val="none"/>
              </w:rPr>
              <w:t>可达到《工业企业厂界环境噪声排放标准》（GB12348-2008）中</w:t>
            </w:r>
            <w:r>
              <w:rPr>
                <w:rFonts w:hint="eastAsia"/>
                <w:color w:val="auto"/>
                <w:highlight w:val="none"/>
                <w:lang w:val="en-US" w:eastAsia="zh-CN"/>
              </w:rPr>
              <w:t>3</w:t>
            </w:r>
            <w:r>
              <w:rPr>
                <w:rFonts w:hint="eastAsia"/>
                <w:color w:val="auto"/>
                <w:highlight w:val="none"/>
              </w:rPr>
              <w:t>类</w:t>
            </w:r>
            <w:r>
              <w:rPr>
                <w:rFonts w:hint="eastAsia"/>
                <w:color w:val="auto"/>
                <w:highlight w:val="none"/>
                <w:lang w:val="en-US" w:eastAsia="zh-CN"/>
              </w:rPr>
              <w:t>标准</w:t>
            </w:r>
            <w:r>
              <w:rPr>
                <w:rFonts w:hint="eastAsia"/>
                <w:color w:val="auto"/>
                <w:highlight w:val="none"/>
              </w:rPr>
              <w:t>要求，故项目对周围环境影响较小。</w:t>
            </w:r>
          </w:p>
          <w:p w14:paraId="06243AAF">
            <w:pPr>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）噪声监测要求</w:t>
            </w:r>
          </w:p>
          <w:p w14:paraId="48CD3982">
            <w:pPr>
              <w:keepNext w:val="0"/>
              <w:keepLines w:val="0"/>
              <w:suppressLineNumbers w:val="0"/>
              <w:bidi w:val="0"/>
              <w:spacing w:before="0" w:beforeAutospacing="0" w:after="0" w:afterAutospacing="0"/>
              <w:ind w:left="0" w:right="0"/>
              <w:rPr>
                <w:rFonts w:hint="eastAsia"/>
                <w:b/>
                <w:bCs/>
                <w:color w:val="auto"/>
                <w:highlight w:val="none"/>
              </w:rPr>
            </w:pPr>
            <w:r>
              <w:rPr>
                <w:rFonts w:hint="eastAsia"/>
                <w:color w:val="auto"/>
                <w:highlight w:val="none"/>
              </w:rPr>
              <w:t>按照</w:t>
            </w:r>
            <w:r>
              <w:rPr>
                <w:rFonts w:hint="eastAsia"/>
                <w:color w:val="auto"/>
                <w:sz w:val="24"/>
                <w:szCs w:val="24"/>
              </w:rPr>
              <w:t>《排污单位自行监测技术指南 橡胶和塑料制品》（HJ 1207-2021）</w:t>
            </w:r>
            <w:r>
              <w:rPr>
                <w:rFonts w:hint="eastAsia"/>
                <w:color w:val="auto"/>
                <w:highlight w:val="none"/>
              </w:rPr>
              <w:t>的要求对项目噪声污染源情况以及污染治理设施的运转情况进行定期检查，监测可委托有资质的单位实施</w:t>
            </w:r>
            <w:r>
              <w:rPr>
                <w:rFonts w:hint="eastAsia"/>
                <w:color w:val="auto"/>
                <w:highlight w:val="none"/>
                <w:lang w:eastAsia="zh-CN"/>
              </w:rPr>
              <w:t>，</w:t>
            </w:r>
            <w:r>
              <w:rPr>
                <w:rFonts w:hint="eastAsia"/>
                <w:color w:val="auto"/>
                <w:highlight w:val="none"/>
              </w:rPr>
              <w:t>监测方法按环境监测技术规范进行。</w:t>
            </w:r>
          </w:p>
          <w:p w14:paraId="4025AB97">
            <w:pPr>
              <w:pStyle w:val="6"/>
              <w:keepNext w:val="0"/>
              <w:keepLines w:val="0"/>
              <w:suppressLineNumbers w:val="0"/>
              <w:bidi w:val="0"/>
              <w:spacing w:before="0" w:beforeAutospacing="0" w:after="0" w:afterAutospacing="0"/>
              <w:ind w:right="0"/>
              <w:jc w:val="center"/>
              <w:rPr>
                <w:rFonts w:hint="default"/>
                <w:b/>
                <w:bCs/>
                <w:color w:val="auto"/>
                <w:highlight w:val="none"/>
              </w:rPr>
            </w:pPr>
            <w:r>
              <w:rPr>
                <w:rFonts w:hint="eastAsia"/>
                <w:b/>
                <w:bCs/>
                <w:color w:val="auto"/>
                <w:highlight w:val="none"/>
              </w:rPr>
              <w:t>表4-</w:t>
            </w:r>
            <w:r>
              <w:rPr>
                <w:rFonts w:hint="eastAsia"/>
                <w:b/>
                <w:bCs/>
                <w:color w:val="auto"/>
                <w:highlight w:val="none"/>
                <w:lang w:val="en-US" w:eastAsia="zh-CN"/>
              </w:rPr>
              <w:t>14</w:t>
            </w:r>
            <w:r>
              <w:rPr>
                <w:rFonts w:hint="eastAsia"/>
                <w:b/>
                <w:bCs/>
                <w:color w:val="auto"/>
                <w:highlight w:val="none"/>
              </w:rPr>
              <w:t xml:space="preserve"> </w:t>
            </w:r>
            <w:r>
              <w:rPr>
                <w:rFonts w:hint="eastAsia"/>
                <w:b/>
                <w:bCs/>
                <w:color w:val="auto"/>
                <w:highlight w:val="none"/>
                <w:lang w:val="en-US" w:eastAsia="zh-CN"/>
              </w:rPr>
              <w:t xml:space="preserve">  </w:t>
            </w:r>
            <w:r>
              <w:rPr>
                <w:rFonts w:hint="eastAsia"/>
                <w:b/>
                <w:bCs/>
                <w:color w:val="auto"/>
                <w:highlight w:val="none"/>
              </w:rPr>
              <w:t>噪声监测计划一览表</w:t>
            </w:r>
          </w:p>
          <w:tbl>
            <w:tblPr>
              <w:tblStyle w:val="3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26"/>
              <w:gridCol w:w="1888"/>
              <w:gridCol w:w="3217"/>
              <w:gridCol w:w="6072"/>
            </w:tblGrid>
            <w:tr w14:paraId="030EAE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735" w:type="pct"/>
                  <w:tcBorders>
                    <w:bottom w:val="single" w:color="auto" w:sz="12" w:space="0"/>
                  </w:tcBorders>
                  <w:vAlign w:val="center"/>
                </w:tcPr>
                <w:p w14:paraId="71024EC6">
                  <w:pPr>
                    <w:pStyle w:val="6"/>
                    <w:keepNext w:val="0"/>
                    <w:keepLines w:val="0"/>
                    <w:suppressLineNumbers w:val="0"/>
                    <w:bidi w:val="0"/>
                    <w:spacing w:before="0" w:beforeAutospacing="0" w:after="0" w:afterAutospacing="0"/>
                    <w:ind w:right="0"/>
                    <w:jc w:val="center"/>
                    <w:rPr>
                      <w:rFonts w:hint="default"/>
                      <w:b/>
                      <w:bCs/>
                      <w:color w:val="auto"/>
                      <w:highlight w:val="none"/>
                    </w:rPr>
                  </w:pPr>
                  <w:r>
                    <w:rPr>
                      <w:rFonts w:hint="default"/>
                      <w:b/>
                      <w:bCs/>
                      <w:color w:val="auto"/>
                      <w:highlight w:val="none"/>
                    </w:rPr>
                    <w:t>监测点位</w:t>
                  </w:r>
                </w:p>
              </w:tc>
              <w:tc>
                <w:tcPr>
                  <w:tcW w:w="720" w:type="pct"/>
                  <w:tcBorders>
                    <w:bottom w:val="single" w:color="auto" w:sz="12" w:space="0"/>
                  </w:tcBorders>
                  <w:vAlign w:val="center"/>
                </w:tcPr>
                <w:p w14:paraId="4F2FD435">
                  <w:pPr>
                    <w:pStyle w:val="6"/>
                    <w:keepNext w:val="0"/>
                    <w:keepLines w:val="0"/>
                    <w:suppressLineNumbers w:val="0"/>
                    <w:bidi w:val="0"/>
                    <w:spacing w:before="0" w:beforeAutospacing="0" w:after="0" w:afterAutospacing="0"/>
                    <w:ind w:right="0"/>
                    <w:jc w:val="center"/>
                    <w:rPr>
                      <w:rFonts w:hint="default"/>
                      <w:b/>
                      <w:bCs/>
                      <w:color w:val="auto"/>
                      <w:highlight w:val="none"/>
                    </w:rPr>
                  </w:pPr>
                  <w:r>
                    <w:rPr>
                      <w:rFonts w:hint="default"/>
                      <w:b/>
                      <w:bCs/>
                      <w:color w:val="auto"/>
                      <w:highlight w:val="none"/>
                    </w:rPr>
                    <w:t>监测指标</w:t>
                  </w:r>
                </w:p>
              </w:tc>
              <w:tc>
                <w:tcPr>
                  <w:tcW w:w="1227" w:type="pct"/>
                  <w:tcBorders>
                    <w:bottom w:val="single" w:color="auto" w:sz="12" w:space="0"/>
                  </w:tcBorders>
                  <w:vAlign w:val="center"/>
                </w:tcPr>
                <w:p w14:paraId="7AA9D180">
                  <w:pPr>
                    <w:pStyle w:val="6"/>
                    <w:keepNext w:val="0"/>
                    <w:keepLines w:val="0"/>
                    <w:suppressLineNumbers w:val="0"/>
                    <w:bidi w:val="0"/>
                    <w:spacing w:before="0" w:beforeAutospacing="0" w:after="0" w:afterAutospacing="0"/>
                    <w:ind w:right="0"/>
                    <w:jc w:val="center"/>
                    <w:rPr>
                      <w:rFonts w:hint="default"/>
                      <w:b/>
                      <w:bCs/>
                      <w:color w:val="auto"/>
                      <w:highlight w:val="none"/>
                    </w:rPr>
                  </w:pPr>
                  <w:r>
                    <w:rPr>
                      <w:rFonts w:hint="default"/>
                      <w:b/>
                      <w:bCs/>
                      <w:color w:val="auto"/>
                      <w:highlight w:val="none"/>
                    </w:rPr>
                    <w:t>监测频次</w:t>
                  </w:r>
                </w:p>
              </w:tc>
              <w:tc>
                <w:tcPr>
                  <w:tcW w:w="2316" w:type="pct"/>
                  <w:tcBorders>
                    <w:bottom w:val="single" w:color="auto" w:sz="12" w:space="0"/>
                  </w:tcBorders>
                  <w:vAlign w:val="center"/>
                </w:tcPr>
                <w:p w14:paraId="6F7BF468">
                  <w:pPr>
                    <w:pStyle w:val="6"/>
                    <w:keepNext w:val="0"/>
                    <w:keepLines w:val="0"/>
                    <w:suppressLineNumbers w:val="0"/>
                    <w:bidi w:val="0"/>
                    <w:spacing w:before="0" w:beforeAutospacing="0" w:after="0" w:afterAutospacing="0"/>
                    <w:ind w:right="0"/>
                    <w:jc w:val="center"/>
                    <w:rPr>
                      <w:rFonts w:hint="default"/>
                      <w:b/>
                      <w:bCs/>
                      <w:color w:val="auto"/>
                      <w:highlight w:val="none"/>
                    </w:rPr>
                  </w:pPr>
                  <w:r>
                    <w:rPr>
                      <w:rFonts w:hint="default"/>
                      <w:b/>
                      <w:bCs/>
                      <w:color w:val="auto"/>
                      <w:highlight w:val="none"/>
                    </w:rPr>
                    <w:t>执行排放标准</w:t>
                  </w:r>
                </w:p>
              </w:tc>
            </w:tr>
            <w:tr w14:paraId="32E03D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5" w:type="pct"/>
                  <w:tcBorders>
                    <w:top w:val="single" w:color="auto" w:sz="12" w:space="0"/>
                    <w:bottom w:val="single" w:color="auto" w:sz="12" w:space="0"/>
                  </w:tcBorders>
                  <w:vAlign w:val="center"/>
                </w:tcPr>
                <w:p w14:paraId="4520F983">
                  <w:pPr>
                    <w:pStyle w:val="6"/>
                    <w:keepNext w:val="0"/>
                    <w:keepLines w:val="0"/>
                    <w:suppressLineNumbers w:val="0"/>
                    <w:bidi w:val="0"/>
                    <w:spacing w:before="0" w:beforeAutospacing="0" w:after="0" w:afterAutospacing="0"/>
                    <w:ind w:right="0"/>
                    <w:jc w:val="both"/>
                    <w:rPr>
                      <w:rFonts w:hint="default"/>
                      <w:color w:val="auto"/>
                      <w:highlight w:val="none"/>
                    </w:rPr>
                  </w:pPr>
                  <w:r>
                    <w:rPr>
                      <w:rFonts w:hint="default"/>
                      <w:color w:val="auto"/>
                      <w:highlight w:val="none"/>
                    </w:rPr>
                    <w:t>厂界</w:t>
                  </w:r>
                  <w:r>
                    <w:rPr>
                      <w:rFonts w:hint="eastAsia"/>
                      <w:color w:val="auto"/>
                      <w:highlight w:val="none"/>
                      <w:lang w:val="en-US" w:eastAsia="zh-CN"/>
                    </w:rPr>
                    <w:t>四周</w:t>
                  </w:r>
                </w:p>
              </w:tc>
              <w:tc>
                <w:tcPr>
                  <w:tcW w:w="720" w:type="pct"/>
                  <w:tcBorders>
                    <w:top w:val="single" w:color="auto" w:sz="12" w:space="0"/>
                    <w:bottom w:val="single" w:color="auto" w:sz="12" w:space="0"/>
                  </w:tcBorders>
                  <w:vAlign w:val="center"/>
                </w:tcPr>
                <w:p w14:paraId="08DEA035">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rPr>
                    <w:t>噪声</w:t>
                  </w:r>
                </w:p>
              </w:tc>
              <w:tc>
                <w:tcPr>
                  <w:tcW w:w="1227" w:type="pct"/>
                  <w:tcBorders>
                    <w:top w:val="single" w:color="auto" w:sz="12" w:space="0"/>
                    <w:bottom w:val="single" w:color="auto" w:sz="12" w:space="0"/>
                  </w:tcBorders>
                  <w:vAlign w:val="center"/>
                </w:tcPr>
                <w:p w14:paraId="4B16A58E">
                  <w:pPr>
                    <w:pStyle w:val="6"/>
                    <w:keepNext w:val="0"/>
                    <w:keepLines w:val="0"/>
                    <w:suppressLineNumbers w:val="0"/>
                    <w:bidi w:val="0"/>
                    <w:spacing w:before="0" w:beforeAutospacing="0" w:after="0" w:afterAutospacing="0"/>
                    <w:ind w:right="0"/>
                    <w:jc w:val="center"/>
                    <w:rPr>
                      <w:rFonts w:hint="default"/>
                      <w:color w:val="auto"/>
                      <w:highlight w:val="none"/>
                    </w:rPr>
                  </w:pPr>
                  <w:r>
                    <w:rPr>
                      <w:rFonts w:hint="default"/>
                      <w:color w:val="auto"/>
                      <w:highlight w:val="none"/>
                    </w:rPr>
                    <w:t>1次/季，昼</w:t>
                  </w:r>
                  <w:r>
                    <w:rPr>
                      <w:rFonts w:hint="eastAsia"/>
                      <w:color w:val="auto"/>
                      <w:highlight w:val="none"/>
                      <w:lang w:val="en-US" w:eastAsia="zh-CN"/>
                    </w:rPr>
                    <w:t>夜间各</w:t>
                  </w:r>
                  <w:r>
                    <w:rPr>
                      <w:rFonts w:hint="default"/>
                      <w:color w:val="auto"/>
                      <w:highlight w:val="none"/>
                    </w:rPr>
                    <w:t>1次</w:t>
                  </w:r>
                </w:p>
              </w:tc>
              <w:tc>
                <w:tcPr>
                  <w:tcW w:w="2316" w:type="pct"/>
                  <w:tcBorders>
                    <w:top w:val="single" w:color="auto" w:sz="12" w:space="0"/>
                    <w:bottom w:val="single" w:color="auto" w:sz="12" w:space="0"/>
                  </w:tcBorders>
                  <w:vAlign w:val="center"/>
                </w:tcPr>
                <w:p w14:paraId="3B1D659D">
                  <w:pPr>
                    <w:pStyle w:val="6"/>
                    <w:keepNext w:val="0"/>
                    <w:keepLines w:val="0"/>
                    <w:suppressLineNumbers w:val="0"/>
                    <w:bidi w:val="0"/>
                    <w:spacing w:before="0" w:beforeAutospacing="0" w:after="0" w:afterAutospacing="0"/>
                    <w:ind w:right="0"/>
                    <w:jc w:val="both"/>
                    <w:rPr>
                      <w:rFonts w:hint="default"/>
                      <w:color w:val="auto"/>
                      <w:highlight w:val="none"/>
                    </w:rPr>
                  </w:pPr>
                  <w:r>
                    <w:rPr>
                      <w:rFonts w:hint="default"/>
                      <w:color w:val="auto"/>
                      <w:highlight w:val="none"/>
                    </w:rPr>
                    <w:t>《工业企业厂界环境噪声排放标准》（GB12348-2008）</w:t>
                  </w:r>
                  <w:r>
                    <w:rPr>
                      <w:rFonts w:hint="eastAsia"/>
                      <w:color w:val="auto"/>
                      <w:highlight w:val="none"/>
                      <w:lang w:val="en-US" w:eastAsia="zh-CN"/>
                    </w:rPr>
                    <w:t>3</w:t>
                  </w:r>
                  <w:r>
                    <w:rPr>
                      <w:rFonts w:hint="default"/>
                      <w:color w:val="auto"/>
                      <w:highlight w:val="none"/>
                    </w:rPr>
                    <w:t>类标准</w:t>
                  </w:r>
                </w:p>
              </w:tc>
            </w:tr>
          </w:tbl>
          <w:p w14:paraId="01A02E9E">
            <w:pPr>
              <w:keepNext w:val="0"/>
              <w:keepLines w:val="0"/>
              <w:suppressLineNumbers w:val="0"/>
              <w:bidi w:val="0"/>
              <w:spacing w:before="0" w:beforeAutospacing="0" w:after="0" w:afterAutospacing="0" w:line="360" w:lineRule="auto"/>
              <w:ind w:left="0" w:right="0"/>
              <w:rPr>
                <w:rFonts w:hint="default"/>
                <w:color w:val="auto"/>
                <w:sz w:val="24"/>
                <w:highlight w:val="none"/>
              </w:rPr>
            </w:pPr>
          </w:p>
        </w:tc>
      </w:tr>
    </w:tbl>
    <w:p w14:paraId="68163CF0">
      <w:pPr>
        <w:pStyle w:val="53"/>
        <w:rPr>
          <w:rFonts w:hint="default"/>
          <w:color w:val="auto"/>
          <w:highlight w:val="none"/>
        </w:rPr>
        <w:sectPr>
          <w:pgSz w:w="16840" w:h="11907" w:orient="landscape"/>
          <w:pgMar w:top="1531" w:right="1531" w:bottom="1531"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32"/>
        <w:tblW w:w="1369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368"/>
        <w:gridCol w:w="13324"/>
      </w:tblGrid>
      <w:tr w14:paraId="26AD6E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8" w:type="dxa"/>
            <w:tcMar>
              <w:left w:w="28" w:type="dxa"/>
              <w:right w:w="28" w:type="dxa"/>
            </w:tcMar>
            <w:vAlign w:val="center"/>
          </w:tcPr>
          <w:p w14:paraId="28E431E8">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4"/>
                <w:szCs w:val="20"/>
                <w:highlight w:val="none"/>
                <w:lang w:val="en-US" w:eastAsia="zh-CN" w:bidi="ar-SA"/>
              </w:rPr>
            </w:pPr>
            <w:r>
              <w:rPr>
                <w:rFonts w:hint="eastAsia" w:ascii="Times New Roman" w:hAnsi="Times New Roman" w:eastAsia="宋体" w:cs="Times New Roman"/>
                <w:b/>
                <w:bCs/>
                <w:color w:val="auto"/>
                <w:kern w:val="0"/>
                <w:sz w:val="24"/>
                <w:szCs w:val="20"/>
                <w:highlight w:val="none"/>
                <w:lang w:val="en-US" w:eastAsia="zh-CN" w:bidi="ar-SA"/>
              </w:rPr>
              <w:t>运营</w:t>
            </w:r>
            <w:r>
              <w:rPr>
                <w:rFonts w:hint="default" w:ascii="Times New Roman" w:hAnsi="Times New Roman" w:eastAsia="宋体" w:cs="Times New Roman"/>
                <w:b/>
                <w:bCs/>
                <w:color w:val="auto"/>
                <w:kern w:val="0"/>
                <w:sz w:val="24"/>
                <w:szCs w:val="20"/>
                <w:highlight w:val="none"/>
                <w:lang w:val="en-US" w:eastAsia="zh-CN" w:bidi="ar-SA"/>
              </w:rPr>
              <w:t>期</w:t>
            </w:r>
          </w:p>
          <w:p w14:paraId="15AA7E20">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4"/>
                <w:szCs w:val="20"/>
                <w:highlight w:val="none"/>
                <w:lang w:val="en-US" w:eastAsia="zh-CN" w:bidi="ar-SA"/>
              </w:rPr>
            </w:pPr>
            <w:r>
              <w:rPr>
                <w:rFonts w:hint="default" w:ascii="Times New Roman" w:hAnsi="Times New Roman" w:eastAsia="宋体" w:cs="Times New Roman"/>
                <w:b/>
                <w:bCs/>
                <w:color w:val="auto"/>
                <w:kern w:val="0"/>
                <w:sz w:val="24"/>
                <w:szCs w:val="20"/>
                <w:highlight w:val="none"/>
                <w:lang w:val="en-US" w:eastAsia="zh-CN" w:bidi="ar-SA"/>
              </w:rPr>
              <w:t>环</w:t>
            </w:r>
          </w:p>
          <w:p w14:paraId="181E4A4A">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4"/>
                <w:szCs w:val="20"/>
                <w:highlight w:val="none"/>
                <w:lang w:val="en-US" w:eastAsia="zh-CN" w:bidi="ar-SA"/>
              </w:rPr>
            </w:pPr>
            <w:r>
              <w:rPr>
                <w:rFonts w:hint="default" w:ascii="Times New Roman" w:hAnsi="Times New Roman" w:eastAsia="宋体" w:cs="Times New Roman"/>
                <w:b/>
                <w:bCs/>
                <w:color w:val="auto"/>
                <w:kern w:val="0"/>
                <w:sz w:val="24"/>
                <w:szCs w:val="20"/>
                <w:highlight w:val="none"/>
                <w:lang w:val="en-US" w:eastAsia="zh-CN" w:bidi="ar-SA"/>
              </w:rPr>
              <w:t>境</w:t>
            </w:r>
          </w:p>
          <w:p w14:paraId="7CEC6FBB">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4"/>
                <w:szCs w:val="20"/>
                <w:highlight w:val="none"/>
                <w:lang w:val="en-US" w:eastAsia="zh-CN" w:bidi="ar-SA"/>
              </w:rPr>
            </w:pPr>
            <w:r>
              <w:rPr>
                <w:rFonts w:hint="default" w:ascii="Times New Roman" w:hAnsi="Times New Roman" w:eastAsia="宋体" w:cs="Times New Roman"/>
                <w:b/>
                <w:bCs/>
                <w:color w:val="auto"/>
                <w:kern w:val="0"/>
                <w:sz w:val="24"/>
                <w:szCs w:val="20"/>
                <w:highlight w:val="none"/>
                <w:lang w:val="en-US" w:eastAsia="zh-CN" w:bidi="ar-SA"/>
              </w:rPr>
              <w:t>保</w:t>
            </w:r>
          </w:p>
          <w:p w14:paraId="027EAEB7">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4"/>
                <w:szCs w:val="20"/>
                <w:highlight w:val="none"/>
                <w:lang w:val="en-US" w:eastAsia="zh-CN" w:bidi="ar-SA"/>
              </w:rPr>
            </w:pPr>
            <w:r>
              <w:rPr>
                <w:rFonts w:hint="default" w:ascii="Times New Roman" w:hAnsi="Times New Roman" w:eastAsia="宋体" w:cs="Times New Roman"/>
                <w:b/>
                <w:bCs/>
                <w:color w:val="auto"/>
                <w:kern w:val="0"/>
                <w:sz w:val="24"/>
                <w:szCs w:val="20"/>
                <w:highlight w:val="none"/>
                <w:lang w:val="en-US" w:eastAsia="zh-CN" w:bidi="ar-SA"/>
              </w:rPr>
              <w:t>护</w:t>
            </w:r>
          </w:p>
          <w:p w14:paraId="1726D744">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4"/>
                <w:szCs w:val="20"/>
                <w:highlight w:val="none"/>
                <w:lang w:val="en-US" w:eastAsia="zh-CN" w:bidi="ar-SA"/>
              </w:rPr>
            </w:pPr>
            <w:r>
              <w:rPr>
                <w:rFonts w:hint="default" w:ascii="Times New Roman" w:hAnsi="Times New Roman" w:eastAsia="宋体" w:cs="Times New Roman"/>
                <w:b/>
                <w:bCs/>
                <w:color w:val="auto"/>
                <w:kern w:val="0"/>
                <w:sz w:val="24"/>
                <w:szCs w:val="20"/>
                <w:highlight w:val="none"/>
                <w:lang w:val="en-US" w:eastAsia="zh-CN" w:bidi="ar-SA"/>
              </w:rPr>
              <w:t>措</w:t>
            </w:r>
          </w:p>
          <w:p w14:paraId="1FC5B28A">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4"/>
                <w:szCs w:val="21"/>
                <w:highlight w:val="none"/>
                <w:lang w:val="en-US" w:eastAsia="zh-CN" w:bidi="ar-SA"/>
              </w:rPr>
            </w:pPr>
            <w:r>
              <w:rPr>
                <w:rFonts w:hint="default" w:ascii="Times New Roman" w:hAnsi="Times New Roman" w:eastAsia="宋体" w:cs="Times New Roman"/>
                <w:b/>
                <w:bCs/>
                <w:color w:val="auto"/>
                <w:kern w:val="0"/>
                <w:sz w:val="24"/>
                <w:szCs w:val="20"/>
                <w:highlight w:val="none"/>
                <w:lang w:val="en-US" w:eastAsia="zh-CN" w:bidi="ar-SA"/>
              </w:rPr>
              <w:t>施</w:t>
            </w:r>
          </w:p>
        </w:tc>
        <w:tc>
          <w:tcPr>
            <w:tcW w:w="13324" w:type="dxa"/>
            <w:vAlign w:val="center"/>
          </w:tcPr>
          <w:p w14:paraId="545FDA05">
            <w:pPr>
              <w:keepNext w:val="0"/>
              <w:keepLines w:val="0"/>
              <w:suppressLineNumbers w:val="0"/>
              <w:bidi w:val="0"/>
              <w:spacing w:before="0" w:beforeAutospacing="0" w:after="0" w:afterAutospacing="0"/>
              <w:ind w:left="0" w:right="0"/>
              <w:rPr>
                <w:rFonts w:hint="default"/>
                <w:b/>
                <w:bCs/>
                <w:color w:val="000000" w:themeColor="text1"/>
                <w:highlight w:val="none"/>
                <w14:textFill>
                  <w14:solidFill>
                    <w14:schemeClr w14:val="tx1"/>
                  </w14:solidFill>
                </w14:textFill>
              </w:rPr>
            </w:pPr>
            <w:r>
              <w:rPr>
                <w:rFonts w:hint="default"/>
                <w:b/>
                <w:bCs/>
                <w:color w:val="000000" w:themeColor="text1"/>
                <w:highlight w:val="none"/>
                <w14:textFill>
                  <w14:solidFill>
                    <w14:schemeClr w14:val="tx1"/>
                  </w14:solidFill>
                </w14:textFill>
              </w:rPr>
              <w:t>4、固体废物</w:t>
            </w:r>
          </w:p>
          <w:p w14:paraId="72886FA1">
            <w:pPr>
              <w:keepNext w:val="0"/>
              <w:keepLines w:val="0"/>
              <w:suppressLineNumbers w:val="0"/>
              <w:bidi w:val="0"/>
              <w:spacing w:before="0" w:beforeAutospacing="0" w:after="0" w:afterAutospacing="0"/>
              <w:ind w:left="0" w:right="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（1）固体废物污染源情况</w:t>
            </w:r>
          </w:p>
          <w:p w14:paraId="16C38E5A">
            <w:pPr>
              <w:keepNext w:val="0"/>
              <w:keepLines w:val="0"/>
              <w:suppressLineNumbers w:val="0"/>
              <w:bidi w:val="0"/>
              <w:spacing w:before="0" w:beforeAutospacing="0" w:after="0" w:afterAutospacing="0"/>
              <w:ind w:left="0" w:right="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本项目固体废物包括一般工业固废、危险废物，产生和处置情况见表4-15。</w:t>
            </w:r>
          </w:p>
          <w:p w14:paraId="2C48577C">
            <w:pPr>
              <w:pStyle w:val="6"/>
              <w:keepNext w:val="0"/>
              <w:keepLines w:val="0"/>
              <w:suppressLineNumbers w:val="0"/>
              <w:bidi w:val="0"/>
              <w:spacing w:before="0" w:beforeAutospacing="0" w:after="0" w:afterAutospacing="0"/>
              <w:ind w:right="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表</w:t>
            </w:r>
            <w:r>
              <w:rPr>
                <w:rFonts w:hint="eastAsia"/>
                <w:b/>
                <w:bCs/>
                <w:color w:val="000000" w:themeColor="text1"/>
                <w:highlight w:val="none"/>
                <w:lang w:val="en-US" w:eastAsia="zh-CN"/>
                <w14:textFill>
                  <w14:solidFill>
                    <w14:schemeClr w14:val="tx1"/>
                  </w14:solidFill>
                </w14:textFill>
              </w:rPr>
              <w:t xml:space="preserve">4-15  </w:t>
            </w:r>
            <w:r>
              <w:rPr>
                <w:rFonts w:hint="default"/>
                <w:b/>
                <w:bCs/>
                <w:color w:val="000000" w:themeColor="text1"/>
                <w:highlight w:val="none"/>
                <w:lang w:val="en-US" w:eastAsia="zh-CN"/>
                <w14:textFill>
                  <w14:solidFill>
                    <w14:schemeClr w14:val="tx1"/>
                  </w14:solidFill>
                </w14:textFill>
              </w:rPr>
              <w:t xml:space="preserve"> 固体废物污染源产生、排放汇总表</w:t>
            </w:r>
          </w:p>
          <w:tbl>
            <w:tblPr>
              <w:tblStyle w:val="32"/>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1348"/>
              <w:gridCol w:w="828"/>
              <w:gridCol w:w="1720"/>
              <w:gridCol w:w="1416"/>
              <w:gridCol w:w="988"/>
              <w:gridCol w:w="886"/>
              <w:gridCol w:w="899"/>
              <w:gridCol w:w="1342"/>
              <w:gridCol w:w="1534"/>
              <w:gridCol w:w="976"/>
            </w:tblGrid>
            <w:tr w14:paraId="452713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tcBorders>
                    <w:bottom w:val="single" w:color="auto" w:sz="12" w:space="0"/>
                  </w:tcBorders>
                  <w:vAlign w:val="center"/>
                </w:tcPr>
                <w:p w14:paraId="631DC854">
                  <w:pPr>
                    <w:pStyle w:val="6"/>
                    <w:keepNext w:val="0"/>
                    <w:keepLines w:val="0"/>
                    <w:suppressLineNumbers w:val="0"/>
                    <w:bidi w:val="0"/>
                    <w:spacing w:before="0" w:beforeAutospacing="0" w:after="0" w:afterAutospacing="0"/>
                    <w:ind w:right="0"/>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固废产生环节</w:t>
                  </w:r>
                </w:p>
              </w:tc>
              <w:tc>
                <w:tcPr>
                  <w:tcW w:w="514" w:type="pct"/>
                  <w:tcBorders>
                    <w:bottom w:val="single" w:color="auto" w:sz="12" w:space="0"/>
                  </w:tcBorders>
                  <w:vAlign w:val="center"/>
                </w:tcPr>
                <w:p w14:paraId="370EFC8D">
                  <w:pPr>
                    <w:pStyle w:val="6"/>
                    <w:keepNext w:val="0"/>
                    <w:keepLines w:val="0"/>
                    <w:suppressLineNumbers w:val="0"/>
                    <w:bidi w:val="0"/>
                    <w:spacing w:before="0" w:beforeAutospacing="0" w:after="0" w:afterAutospacing="0"/>
                    <w:ind w:right="0"/>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固废名称</w:t>
                  </w:r>
                </w:p>
              </w:tc>
              <w:tc>
                <w:tcPr>
                  <w:tcW w:w="316" w:type="pct"/>
                  <w:tcBorders>
                    <w:bottom w:val="single" w:color="auto" w:sz="12" w:space="0"/>
                  </w:tcBorders>
                  <w:vAlign w:val="center"/>
                </w:tcPr>
                <w:p w14:paraId="3830AB52">
                  <w:pPr>
                    <w:pStyle w:val="6"/>
                    <w:keepNext w:val="0"/>
                    <w:keepLines w:val="0"/>
                    <w:suppressLineNumbers w:val="0"/>
                    <w:bidi w:val="0"/>
                    <w:spacing w:before="0" w:beforeAutospacing="0" w:after="0" w:afterAutospacing="0"/>
                    <w:ind w:right="0"/>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固废属性</w:t>
                  </w:r>
                </w:p>
              </w:tc>
              <w:tc>
                <w:tcPr>
                  <w:tcW w:w="656" w:type="pct"/>
                  <w:tcBorders>
                    <w:bottom w:val="single" w:color="auto" w:sz="12" w:space="0"/>
                  </w:tcBorders>
                  <w:vAlign w:val="center"/>
                </w:tcPr>
                <w:p w14:paraId="4431D012">
                  <w:pPr>
                    <w:pStyle w:val="6"/>
                    <w:keepNext w:val="0"/>
                    <w:keepLines w:val="0"/>
                    <w:suppressLineNumbers w:val="0"/>
                    <w:bidi w:val="0"/>
                    <w:spacing w:before="0" w:beforeAutospacing="0" w:after="0" w:afterAutospacing="0"/>
                    <w:ind w:right="0"/>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主要有毒有害物质名称</w:t>
                  </w:r>
                </w:p>
              </w:tc>
              <w:tc>
                <w:tcPr>
                  <w:tcW w:w="540" w:type="pct"/>
                  <w:tcBorders>
                    <w:bottom w:val="single" w:color="auto" w:sz="12" w:space="0"/>
                  </w:tcBorders>
                  <w:vAlign w:val="center"/>
                </w:tcPr>
                <w:p w14:paraId="15481D96">
                  <w:pPr>
                    <w:pStyle w:val="6"/>
                    <w:keepNext w:val="0"/>
                    <w:keepLines w:val="0"/>
                    <w:suppressLineNumbers w:val="0"/>
                    <w:bidi w:val="0"/>
                    <w:spacing w:before="0" w:beforeAutospacing="0" w:after="0" w:afterAutospacing="0"/>
                    <w:ind w:right="0"/>
                    <w:rPr>
                      <w:rFonts w:hint="eastAsia"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固废代码</w:t>
                  </w:r>
                </w:p>
              </w:tc>
              <w:tc>
                <w:tcPr>
                  <w:tcW w:w="377" w:type="pct"/>
                  <w:tcBorders>
                    <w:bottom w:val="single" w:color="auto" w:sz="12" w:space="0"/>
                  </w:tcBorders>
                  <w:vAlign w:val="center"/>
                </w:tcPr>
                <w:p w14:paraId="0B7743FC">
                  <w:pPr>
                    <w:pStyle w:val="6"/>
                    <w:keepNext w:val="0"/>
                    <w:keepLines w:val="0"/>
                    <w:suppressLineNumbers w:val="0"/>
                    <w:bidi w:val="0"/>
                    <w:spacing w:before="0" w:beforeAutospacing="0" w:after="0" w:afterAutospacing="0"/>
                    <w:ind w:right="0"/>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物理</w:t>
                  </w:r>
                </w:p>
                <w:p w14:paraId="2B000F94">
                  <w:pPr>
                    <w:pStyle w:val="6"/>
                    <w:keepNext w:val="0"/>
                    <w:keepLines w:val="0"/>
                    <w:suppressLineNumbers w:val="0"/>
                    <w:bidi w:val="0"/>
                    <w:spacing w:before="0" w:beforeAutospacing="0" w:after="0" w:afterAutospacing="0"/>
                    <w:ind w:right="0"/>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性状</w:t>
                  </w:r>
                </w:p>
              </w:tc>
              <w:tc>
                <w:tcPr>
                  <w:tcW w:w="338" w:type="pct"/>
                  <w:tcBorders>
                    <w:bottom w:val="single" w:color="auto" w:sz="12" w:space="0"/>
                  </w:tcBorders>
                  <w:vAlign w:val="center"/>
                </w:tcPr>
                <w:p w14:paraId="7F295B0A">
                  <w:pPr>
                    <w:pStyle w:val="6"/>
                    <w:keepNext w:val="0"/>
                    <w:keepLines w:val="0"/>
                    <w:suppressLineNumbers w:val="0"/>
                    <w:bidi w:val="0"/>
                    <w:spacing w:before="0" w:beforeAutospacing="0" w:after="0" w:afterAutospacing="0"/>
                    <w:ind w:right="0"/>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环境危险特性</w:t>
                  </w:r>
                </w:p>
              </w:tc>
              <w:tc>
                <w:tcPr>
                  <w:tcW w:w="343" w:type="pct"/>
                  <w:tcBorders>
                    <w:bottom w:val="single" w:color="auto" w:sz="12" w:space="0"/>
                  </w:tcBorders>
                  <w:vAlign w:val="center"/>
                </w:tcPr>
                <w:p w14:paraId="08701406">
                  <w:pPr>
                    <w:pStyle w:val="6"/>
                    <w:keepNext w:val="0"/>
                    <w:keepLines w:val="0"/>
                    <w:suppressLineNumbers w:val="0"/>
                    <w:bidi w:val="0"/>
                    <w:spacing w:before="0" w:beforeAutospacing="0" w:after="0" w:afterAutospacing="0"/>
                    <w:ind w:right="0"/>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产生量</w:t>
                  </w:r>
                </w:p>
                <w:p w14:paraId="752C7682">
                  <w:pPr>
                    <w:pStyle w:val="6"/>
                    <w:keepNext w:val="0"/>
                    <w:keepLines w:val="0"/>
                    <w:suppressLineNumbers w:val="0"/>
                    <w:bidi w:val="0"/>
                    <w:spacing w:before="0" w:beforeAutospacing="0" w:after="0" w:afterAutospacing="0"/>
                    <w:ind w:right="0"/>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t/a</w:t>
                  </w:r>
                </w:p>
              </w:tc>
              <w:tc>
                <w:tcPr>
                  <w:tcW w:w="512" w:type="pct"/>
                  <w:tcBorders>
                    <w:bottom w:val="single" w:color="auto" w:sz="12" w:space="0"/>
                  </w:tcBorders>
                  <w:vAlign w:val="center"/>
                </w:tcPr>
                <w:p w14:paraId="6652194B">
                  <w:pPr>
                    <w:pStyle w:val="6"/>
                    <w:keepNext w:val="0"/>
                    <w:keepLines w:val="0"/>
                    <w:suppressLineNumbers w:val="0"/>
                    <w:bidi w:val="0"/>
                    <w:spacing w:before="0" w:beforeAutospacing="0" w:after="0" w:afterAutospacing="0"/>
                    <w:ind w:right="0"/>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贮存方式</w:t>
                  </w:r>
                </w:p>
              </w:tc>
              <w:tc>
                <w:tcPr>
                  <w:tcW w:w="585" w:type="pct"/>
                  <w:tcBorders>
                    <w:bottom w:val="single" w:color="auto" w:sz="12" w:space="0"/>
                  </w:tcBorders>
                  <w:vAlign w:val="center"/>
                </w:tcPr>
                <w:p w14:paraId="5C2AAB24">
                  <w:pPr>
                    <w:pStyle w:val="6"/>
                    <w:keepNext w:val="0"/>
                    <w:keepLines w:val="0"/>
                    <w:suppressLineNumbers w:val="0"/>
                    <w:bidi w:val="0"/>
                    <w:spacing w:before="0" w:beforeAutospacing="0" w:after="0" w:afterAutospacing="0"/>
                    <w:ind w:right="0"/>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利用处置方式和去向</w:t>
                  </w:r>
                </w:p>
              </w:tc>
              <w:tc>
                <w:tcPr>
                  <w:tcW w:w="372" w:type="pct"/>
                  <w:tcBorders>
                    <w:bottom w:val="single" w:color="auto" w:sz="12" w:space="0"/>
                  </w:tcBorders>
                  <w:vAlign w:val="center"/>
                </w:tcPr>
                <w:p w14:paraId="1B4CD56C">
                  <w:pPr>
                    <w:pStyle w:val="6"/>
                    <w:keepNext w:val="0"/>
                    <w:keepLines w:val="0"/>
                    <w:suppressLineNumbers w:val="0"/>
                    <w:bidi w:val="0"/>
                    <w:spacing w:before="0" w:beforeAutospacing="0" w:after="0" w:afterAutospacing="0"/>
                    <w:ind w:right="0"/>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利用或处置量</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t/a</w:t>
                  </w:r>
                </w:p>
              </w:tc>
            </w:tr>
            <w:tr w14:paraId="57951E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tcBorders>
                    <w:top w:val="single" w:color="auto" w:sz="12" w:space="0"/>
                    <w:bottom w:val="single" w:color="auto" w:sz="4" w:space="0"/>
                  </w:tcBorders>
                  <w:vAlign w:val="center"/>
                </w:tcPr>
                <w:p w14:paraId="06E6DEB8">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原料</w:t>
                  </w:r>
                </w:p>
              </w:tc>
              <w:tc>
                <w:tcPr>
                  <w:tcW w:w="514" w:type="pct"/>
                  <w:tcBorders>
                    <w:top w:val="single" w:color="auto" w:sz="12" w:space="0"/>
                    <w:bottom w:val="single" w:color="auto" w:sz="4" w:space="0"/>
                  </w:tcBorders>
                  <w:vAlign w:val="center"/>
                </w:tcPr>
                <w:p w14:paraId="1335D11C">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废包装材料</w:t>
                  </w:r>
                </w:p>
              </w:tc>
              <w:tc>
                <w:tcPr>
                  <w:tcW w:w="316" w:type="pct"/>
                  <w:vMerge w:val="restart"/>
                  <w:tcBorders>
                    <w:top w:val="single" w:color="auto" w:sz="12" w:space="0"/>
                    <w:bottom w:val="single" w:color="auto" w:sz="4" w:space="0"/>
                  </w:tcBorders>
                  <w:vAlign w:val="center"/>
                </w:tcPr>
                <w:p w14:paraId="75875614">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一般工业固体废物</w:t>
                  </w:r>
                </w:p>
              </w:tc>
              <w:tc>
                <w:tcPr>
                  <w:tcW w:w="656" w:type="pct"/>
                  <w:tcBorders>
                    <w:top w:val="single" w:color="auto" w:sz="12" w:space="0"/>
                    <w:bottom w:val="single" w:color="auto" w:sz="4" w:space="0"/>
                  </w:tcBorders>
                  <w:vAlign w:val="center"/>
                </w:tcPr>
                <w:p w14:paraId="48F19605">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w:t>
                  </w:r>
                </w:p>
              </w:tc>
              <w:tc>
                <w:tcPr>
                  <w:tcW w:w="540" w:type="pct"/>
                  <w:tcBorders>
                    <w:top w:val="single" w:color="auto" w:sz="12" w:space="0"/>
                    <w:bottom w:val="single" w:color="auto" w:sz="4" w:space="0"/>
                  </w:tcBorders>
                  <w:vAlign w:val="center"/>
                </w:tcPr>
                <w:p w14:paraId="1DF42DA5">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900</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099</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S1</w:t>
                  </w:r>
                  <w:r>
                    <w:rPr>
                      <w:rFonts w:hint="default" w:ascii="Times New Roman" w:hAnsi="Times New Roman" w:eastAsia="宋体" w:cs="Times New Roman"/>
                      <w:color w:val="000000" w:themeColor="text1"/>
                      <w:highlight w:val="none"/>
                      <w:lang w:val="en-US" w:eastAsia="zh-CN"/>
                      <w14:textFill>
                        <w14:solidFill>
                          <w14:schemeClr w14:val="tx1"/>
                        </w14:solidFill>
                      </w14:textFill>
                    </w:rPr>
                    <w:t>7</w:t>
                  </w:r>
                </w:p>
              </w:tc>
              <w:tc>
                <w:tcPr>
                  <w:tcW w:w="377" w:type="pct"/>
                  <w:tcBorders>
                    <w:top w:val="single" w:color="auto" w:sz="12" w:space="0"/>
                    <w:bottom w:val="single" w:color="auto" w:sz="4" w:space="0"/>
                  </w:tcBorders>
                  <w:vAlign w:val="center"/>
                </w:tcPr>
                <w:p w14:paraId="6C008755">
                  <w:pPr>
                    <w:pStyle w:val="6"/>
                    <w:keepNext w:val="0"/>
                    <w:keepLines w:val="0"/>
                    <w:suppressLineNumbers w:val="0"/>
                    <w:bidi w:val="0"/>
                    <w:spacing w:before="0" w:beforeAutospacing="0" w:after="0" w:afterAutospacing="0"/>
                    <w:ind w:right="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固态</w:t>
                  </w:r>
                </w:p>
              </w:tc>
              <w:tc>
                <w:tcPr>
                  <w:tcW w:w="338" w:type="pct"/>
                  <w:tcBorders>
                    <w:top w:val="single" w:color="auto" w:sz="12" w:space="0"/>
                    <w:bottom w:val="single" w:color="auto" w:sz="4" w:space="0"/>
                  </w:tcBorders>
                  <w:vAlign w:val="center"/>
                </w:tcPr>
                <w:p w14:paraId="2DD989A3">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343" w:type="pct"/>
                  <w:tcBorders>
                    <w:top w:val="single" w:color="auto" w:sz="12" w:space="0"/>
                    <w:bottom w:val="single" w:color="auto" w:sz="4" w:space="0"/>
                  </w:tcBorders>
                  <w:vAlign w:val="center"/>
                </w:tcPr>
                <w:p w14:paraId="1784CC93">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10.24</w:t>
                  </w:r>
                </w:p>
              </w:tc>
              <w:tc>
                <w:tcPr>
                  <w:tcW w:w="512" w:type="pct"/>
                  <w:vMerge w:val="restart"/>
                  <w:tcBorders>
                    <w:top w:val="single" w:color="auto" w:sz="12" w:space="0"/>
                  </w:tcBorders>
                  <w:vAlign w:val="center"/>
                </w:tcPr>
                <w:p w14:paraId="5DEA9D26">
                  <w:pPr>
                    <w:pStyle w:val="6"/>
                    <w:keepNext w:val="0"/>
                    <w:keepLines w:val="0"/>
                    <w:suppressLineNumbers w:val="0"/>
                    <w:bidi w:val="0"/>
                    <w:spacing w:before="0" w:beforeAutospacing="0" w:after="0" w:afterAutospacing="0"/>
                    <w:ind w:right="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一般工业固废暂存</w:t>
                  </w:r>
                  <w:r>
                    <w:rPr>
                      <w:rFonts w:hint="eastAsia" w:cs="Times New Roman"/>
                      <w:color w:val="000000" w:themeColor="text1"/>
                      <w:highlight w:val="none"/>
                      <w:lang w:val="en-US" w:eastAsia="zh-CN"/>
                      <w14:textFill>
                        <w14:solidFill>
                          <w14:schemeClr w14:val="tx1"/>
                        </w14:solidFill>
                      </w14:textFill>
                    </w:rPr>
                    <w:t>区</w:t>
                  </w:r>
                </w:p>
              </w:tc>
              <w:tc>
                <w:tcPr>
                  <w:tcW w:w="585" w:type="pct"/>
                  <w:tcBorders>
                    <w:top w:val="single" w:color="auto" w:sz="12" w:space="0"/>
                    <w:bottom w:val="single" w:color="000000" w:sz="4" w:space="0"/>
                  </w:tcBorders>
                  <w:vAlign w:val="center"/>
                </w:tcPr>
                <w:p w14:paraId="7CA1A321">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外售综合利用</w:t>
                  </w:r>
                </w:p>
              </w:tc>
              <w:tc>
                <w:tcPr>
                  <w:tcW w:w="372" w:type="pct"/>
                  <w:tcBorders>
                    <w:top w:val="single" w:color="auto" w:sz="12" w:space="0"/>
                    <w:bottom w:val="single" w:color="auto" w:sz="4" w:space="0"/>
                  </w:tcBorders>
                  <w:vAlign w:val="center"/>
                </w:tcPr>
                <w:p w14:paraId="3081D2FB">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10.24</w:t>
                  </w:r>
                </w:p>
              </w:tc>
            </w:tr>
            <w:tr w14:paraId="51BE2B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tcBorders>
                    <w:top w:val="single" w:color="auto" w:sz="4" w:space="0"/>
                    <w:bottom w:val="single" w:color="auto" w:sz="4" w:space="0"/>
                  </w:tcBorders>
                  <w:vAlign w:val="center"/>
                </w:tcPr>
                <w:p w14:paraId="1F4EF3A2">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cs="Times New Roman"/>
                      <w:color w:val="000000" w:themeColor="text1"/>
                      <w:kern w:val="2"/>
                      <w:sz w:val="21"/>
                      <w:szCs w:val="24"/>
                      <w:highlight w:val="none"/>
                      <w:lang w:val="en-US" w:eastAsia="zh-CN" w:bidi="ar-SA"/>
                      <w14:textFill>
                        <w14:solidFill>
                          <w14:schemeClr w14:val="tx1"/>
                        </w14:solidFill>
                      </w14:textFill>
                    </w:rPr>
                    <w:t>切条、检验</w:t>
                  </w:r>
                </w:p>
              </w:tc>
              <w:tc>
                <w:tcPr>
                  <w:tcW w:w="514" w:type="pct"/>
                  <w:tcBorders>
                    <w:top w:val="single" w:color="auto" w:sz="4" w:space="0"/>
                    <w:bottom w:val="single" w:color="auto" w:sz="4" w:space="0"/>
                  </w:tcBorders>
                  <w:vAlign w:val="center"/>
                </w:tcPr>
                <w:p w14:paraId="5DC7C545">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cs="Times New Roman"/>
                      <w:color w:val="000000" w:themeColor="text1"/>
                      <w:kern w:val="2"/>
                      <w:sz w:val="21"/>
                      <w:szCs w:val="24"/>
                      <w:highlight w:val="none"/>
                      <w:lang w:val="en-US" w:eastAsia="zh-CN" w:bidi="ar-SA"/>
                      <w14:textFill>
                        <w14:solidFill>
                          <w14:schemeClr w14:val="tx1"/>
                        </w14:solidFill>
                      </w14:textFill>
                    </w:rPr>
                    <w:t>边角料及</w:t>
                  </w:r>
                  <w:r>
                    <w:rPr>
                      <w:rFonts w:hint="eastAsia" w:ascii="Times New Roman" w:hAnsi="Times New Roman" w:cs="Times New Roman"/>
                      <w:color w:val="000000" w:themeColor="text1"/>
                      <w:kern w:val="2"/>
                      <w:sz w:val="21"/>
                      <w:szCs w:val="24"/>
                      <w:highlight w:val="none"/>
                      <w:lang w:val="en-US" w:eastAsia="zh-CN" w:bidi="ar-SA"/>
                      <w14:textFill>
                        <w14:solidFill>
                          <w14:schemeClr w14:val="tx1"/>
                        </w14:solidFill>
                      </w14:textFill>
                    </w:rPr>
                    <w:t>不合格品</w:t>
                  </w:r>
                </w:p>
              </w:tc>
              <w:tc>
                <w:tcPr>
                  <w:tcW w:w="316" w:type="pct"/>
                  <w:vMerge w:val="continue"/>
                  <w:tcBorders>
                    <w:top w:val="single" w:color="auto" w:sz="4" w:space="0"/>
                    <w:bottom w:val="single" w:color="auto" w:sz="4" w:space="0"/>
                  </w:tcBorders>
                  <w:vAlign w:val="center"/>
                </w:tcPr>
                <w:p w14:paraId="4F77FD41">
                  <w:pPr>
                    <w:pStyle w:val="6"/>
                    <w:keepNext w:val="0"/>
                    <w:keepLines w:val="0"/>
                    <w:suppressLineNumbers w:val="0"/>
                    <w:bidi w:val="0"/>
                    <w:spacing w:before="0" w:beforeAutospacing="0" w:after="0" w:afterAutospacing="0"/>
                    <w:ind w:right="0"/>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56" w:type="pct"/>
                  <w:tcBorders>
                    <w:top w:val="single" w:color="auto" w:sz="4" w:space="0"/>
                    <w:bottom w:val="single" w:color="auto" w:sz="4" w:space="0"/>
                  </w:tcBorders>
                  <w:vAlign w:val="center"/>
                </w:tcPr>
                <w:p w14:paraId="2684815C">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w:t>
                  </w:r>
                </w:p>
              </w:tc>
              <w:tc>
                <w:tcPr>
                  <w:tcW w:w="540" w:type="pct"/>
                  <w:tcBorders>
                    <w:top w:val="single" w:color="auto" w:sz="4" w:space="0"/>
                    <w:bottom w:val="single" w:color="auto" w:sz="4" w:space="0"/>
                  </w:tcBorders>
                  <w:vAlign w:val="center"/>
                </w:tcPr>
                <w:p w14:paraId="23D7B21B">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900-003-S17</w:t>
                  </w:r>
                </w:p>
              </w:tc>
              <w:tc>
                <w:tcPr>
                  <w:tcW w:w="377" w:type="pct"/>
                  <w:tcBorders>
                    <w:top w:val="single" w:color="auto" w:sz="4" w:space="0"/>
                    <w:bottom w:val="single" w:color="auto" w:sz="4" w:space="0"/>
                  </w:tcBorders>
                  <w:vAlign w:val="center"/>
                </w:tcPr>
                <w:p w14:paraId="06DF8129">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固态</w:t>
                  </w:r>
                </w:p>
              </w:tc>
              <w:tc>
                <w:tcPr>
                  <w:tcW w:w="338" w:type="pct"/>
                  <w:tcBorders>
                    <w:top w:val="single" w:color="auto" w:sz="4" w:space="0"/>
                    <w:bottom w:val="single" w:color="auto" w:sz="4" w:space="0"/>
                  </w:tcBorders>
                  <w:vAlign w:val="center"/>
                </w:tcPr>
                <w:p w14:paraId="0C93C22A">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343" w:type="pct"/>
                  <w:tcBorders>
                    <w:top w:val="single" w:color="auto" w:sz="4" w:space="0"/>
                    <w:bottom w:val="single" w:color="auto" w:sz="4" w:space="0"/>
                  </w:tcBorders>
                  <w:vAlign w:val="center"/>
                </w:tcPr>
                <w:p w14:paraId="6F668BC8">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cs="Times New Roman"/>
                      <w:color w:val="000000" w:themeColor="text1"/>
                      <w:kern w:val="2"/>
                      <w:sz w:val="21"/>
                      <w:szCs w:val="24"/>
                      <w:highlight w:val="none"/>
                      <w:lang w:val="en-US" w:eastAsia="zh-CN" w:bidi="ar-SA"/>
                      <w14:textFill>
                        <w14:solidFill>
                          <w14:schemeClr w14:val="tx1"/>
                        </w14:solidFill>
                      </w14:textFill>
                    </w:rPr>
                    <w:t>57.5</w:t>
                  </w:r>
                </w:p>
              </w:tc>
              <w:tc>
                <w:tcPr>
                  <w:tcW w:w="512" w:type="pct"/>
                  <w:vMerge w:val="continue"/>
                  <w:vAlign w:val="center"/>
                </w:tcPr>
                <w:p w14:paraId="76C96177">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585" w:type="pct"/>
                  <w:tcBorders>
                    <w:top w:val="single" w:color="000000" w:sz="4" w:space="0"/>
                    <w:bottom w:val="single" w:color="000000" w:sz="4" w:space="0"/>
                  </w:tcBorders>
                  <w:vAlign w:val="center"/>
                </w:tcPr>
                <w:p w14:paraId="1324C22C">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厂家回收处理</w:t>
                  </w:r>
                </w:p>
              </w:tc>
              <w:tc>
                <w:tcPr>
                  <w:tcW w:w="372" w:type="pct"/>
                  <w:tcBorders>
                    <w:top w:val="single" w:color="auto" w:sz="4" w:space="0"/>
                    <w:bottom w:val="single" w:color="auto" w:sz="4" w:space="0"/>
                  </w:tcBorders>
                  <w:vAlign w:val="center"/>
                </w:tcPr>
                <w:p w14:paraId="09992301">
                  <w:pPr>
                    <w:pStyle w:val="6"/>
                    <w:keepNext w:val="0"/>
                    <w:keepLines w:val="0"/>
                    <w:suppressLineNumbers w:val="0"/>
                    <w:bidi w:val="0"/>
                    <w:spacing w:before="0" w:beforeAutospacing="0" w:after="0" w:afterAutospacing="0"/>
                    <w:ind w:left="0" w:leftChars="0" w:right="0" w:rightChars="0" w:firstLine="0" w:firstLineChars="0"/>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bidi="ar-SA"/>
                      <w14:textFill>
                        <w14:solidFill>
                          <w14:schemeClr w14:val="tx1"/>
                        </w14:solidFill>
                      </w14:textFill>
                    </w:rPr>
                    <w:t>57.5</w:t>
                  </w:r>
                </w:p>
              </w:tc>
            </w:tr>
            <w:tr w14:paraId="1E42DA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vMerge w:val="restart"/>
                  <w:tcBorders>
                    <w:top w:val="single" w:color="auto" w:sz="4" w:space="0"/>
                  </w:tcBorders>
                  <w:vAlign w:val="center"/>
                </w:tcPr>
                <w:p w14:paraId="660C1848">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设备维护与保养</w:t>
                  </w:r>
                </w:p>
              </w:tc>
              <w:tc>
                <w:tcPr>
                  <w:tcW w:w="514" w:type="pct"/>
                  <w:tcBorders>
                    <w:top w:val="single" w:color="auto" w:sz="4" w:space="0"/>
                    <w:bottom w:val="single" w:color="auto" w:sz="4" w:space="0"/>
                  </w:tcBorders>
                  <w:vAlign w:val="center"/>
                </w:tcPr>
                <w:p w14:paraId="09CD40CB">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废含油抹布</w:t>
                  </w:r>
                </w:p>
              </w:tc>
              <w:tc>
                <w:tcPr>
                  <w:tcW w:w="316" w:type="pct"/>
                  <w:vMerge w:val="restart"/>
                  <w:tcBorders>
                    <w:top w:val="single" w:color="auto" w:sz="4" w:space="0"/>
                  </w:tcBorders>
                  <w:vAlign w:val="center"/>
                </w:tcPr>
                <w:p w14:paraId="785C82DA">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危险废物</w:t>
                  </w:r>
                </w:p>
              </w:tc>
              <w:tc>
                <w:tcPr>
                  <w:tcW w:w="656" w:type="pct"/>
                  <w:tcBorders>
                    <w:top w:val="single" w:color="auto" w:sz="4" w:space="0"/>
                    <w:bottom w:val="single" w:color="auto" w:sz="4" w:space="0"/>
                  </w:tcBorders>
                  <w:vAlign w:val="center"/>
                </w:tcPr>
                <w:p w14:paraId="5711E18C">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机油</w:t>
                  </w:r>
                </w:p>
              </w:tc>
              <w:tc>
                <w:tcPr>
                  <w:tcW w:w="540" w:type="pct"/>
                  <w:tcBorders>
                    <w:top w:val="single" w:color="auto" w:sz="4" w:space="0"/>
                    <w:bottom w:val="single" w:color="auto" w:sz="4" w:space="0"/>
                  </w:tcBorders>
                  <w:shd w:val="clear" w:color="auto" w:fill="auto"/>
                  <w:vAlign w:val="center"/>
                </w:tcPr>
                <w:p w14:paraId="2B460558">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900-</w:t>
                  </w:r>
                  <w:r>
                    <w:rPr>
                      <w:rFonts w:hint="eastAsia" w:cs="Times New Roman"/>
                      <w:color w:val="000000" w:themeColor="text1"/>
                      <w:highlight w:val="none"/>
                      <w:lang w:val="en-US" w:eastAsia="zh-CN"/>
                      <w14:textFill>
                        <w14:solidFill>
                          <w14:schemeClr w14:val="tx1"/>
                        </w14:solidFill>
                      </w14:textFill>
                    </w:rPr>
                    <w:t>041</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49</w:t>
                  </w:r>
                </w:p>
              </w:tc>
              <w:tc>
                <w:tcPr>
                  <w:tcW w:w="377" w:type="pct"/>
                  <w:tcBorders>
                    <w:top w:val="single" w:color="auto" w:sz="4" w:space="0"/>
                    <w:bottom w:val="single" w:color="auto" w:sz="4" w:space="0"/>
                  </w:tcBorders>
                  <w:shd w:val="clear" w:color="auto" w:fill="auto"/>
                  <w:vAlign w:val="center"/>
                </w:tcPr>
                <w:p w14:paraId="2AFF9D73">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固态</w:t>
                  </w:r>
                </w:p>
              </w:tc>
              <w:tc>
                <w:tcPr>
                  <w:tcW w:w="338" w:type="pct"/>
                  <w:tcBorders>
                    <w:top w:val="single" w:color="auto" w:sz="4" w:space="0"/>
                    <w:bottom w:val="single" w:color="auto" w:sz="4" w:space="0"/>
                  </w:tcBorders>
                  <w:shd w:val="clear" w:color="auto" w:fill="auto"/>
                  <w:vAlign w:val="center"/>
                </w:tcPr>
                <w:p w14:paraId="23E7BC26">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343" w:type="pct"/>
                  <w:tcBorders>
                    <w:top w:val="single" w:color="auto" w:sz="4" w:space="0"/>
                    <w:bottom w:val="single" w:color="auto" w:sz="4" w:space="0"/>
                  </w:tcBorders>
                  <w:shd w:val="clear" w:color="auto" w:fill="auto"/>
                  <w:vAlign w:val="center"/>
                </w:tcPr>
                <w:p w14:paraId="4C1E9C0E">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w:t>
                  </w:r>
                  <w:r>
                    <w:rPr>
                      <w:rFonts w:hint="eastAsia" w:cs="Times New Roman"/>
                      <w:color w:val="000000" w:themeColor="text1"/>
                      <w:highlight w:val="none"/>
                      <w:lang w:val="en-US" w:eastAsia="zh-CN"/>
                      <w14:textFill>
                        <w14:solidFill>
                          <w14:schemeClr w14:val="tx1"/>
                        </w14:solidFill>
                      </w14:textFill>
                    </w:rPr>
                    <w:t>1</w:t>
                  </w:r>
                </w:p>
              </w:tc>
              <w:tc>
                <w:tcPr>
                  <w:tcW w:w="512" w:type="pct"/>
                  <w:vMerge w:val="restart"/>
                  <w:vAlign w:val="center"/>
                </w:tcPr>
                <w:p w14:paraId="41FDDF39">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危废暂存间</w:t>
                  </w:r>
                </w:p>
              </w:tc>
              <w:tc>
                <w:tcPr>
                  <w:tcW w:w="585" w:type="pct"/>
                  <w:vMerge w:val="restart"/>
                  <w:vAlign w:val="center"/>
                </w:tcPr>
                <w:p w14:paraId="6F28BCD4">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委托有资质单位处理</w:t>
                  </w:r>
                </w:p>
              </w:tc>
              <w:tc>
                <w:tcPr>
                  <w:tcW w:w="372" w:type="pct"/>
                  <w:tcBorders>
                    <w:top w:val="single" w:color="auto" w:sz="4" w:space="0"/>
                    <w:bottom w:val="single" w:color="auto" w:sz="4" w:space="0"/>
                  </w:tcBorders>
                  <w:vAlign w:val="center"/>
                </w:tcPr>
                <w:p w14:paraId="64DF0325">
                  <w:pPr>
                    <w:pStyle w:val="6"/>
                    <w:keepNext w:val="0"/>
                    <w:keepLines w:val="0"/>
                    <w:suppressLineNumbers w:val="0"/>
                    <w:bidi w:val="0"/>
                    <w:spacing w:before="0" w:beforeAutospacing="0" w:after="0" w:afterAutospacing="0"/>
                    <w:ind w:left="0" w:leftChars="0" w:right="0" w:rightChars="0" w:firstLine="0" w:firstLineChars="0"/>
                    <w:rPr>
                      <w:rFonts w:hint="default" w:cs="Times New Roman"/>
                      <w:color w:val="000000" w:themeColor="text1"/>
                      <w:kern w:val="2"/>
                      <w:sz w:val="21"/>
                      <w:szCs w:val="24"/>
                      <w:highlight w:val="none"/>
                      <w:lang w:val="en-US" w:eastAsia="zh-CN" w:bidi="ar-SA"/>
                      <w14:textFill>
                        <w14:solidFill>
                          <w14:schemeClr w14:val="tx1"/>
                        </w14:solidFill>
                      </w14:textFill>
                    </w:rPr>
                  </w:pPr>
                  <w:r>
                    <w:rPr>
                      <w:rFonts w:hint="eastAsia" w:cs="Times New Roman"/>
                      <w:color w:val="000000" w:themeColor="text1"/>
                      <w:kern w:val="2"/>
                      <w:sz w:val="21"/>
                      <w:szCs w:val="24"/>
                      <w:highlight w:val="none"/>
                      <w:lang w:val="en-US" w:eastAsia="zh-CN" w:bidi="ar-SA"/>
                      <w14:textFill>
                        <w14:solidFill>
                          <w14:schemeClr w14:val="tx1"/>
                        </w14:solidFill>
                      </w14:textFill>
                    </w:rPr>
                    <w:t>0.01</w:t>
                  </w:r>
                </w:p>
              </w:tc>
            </w:tr>
            <w:tr w14:paraId="4F8E56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vMerge w:val="continue"/>
                  <w:tcBorders>
                    <w:tl2br w:val="nil"/>
                    <w:tr2bl w:val="nil"/>
                  </w:tcBorders>
                  <w:vAlign w:val="center"/>
                </w:tcPr>
                <w:p w14:paraId="07553E7D">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514" w:type="pct"/>
                  <w:tcBorders>
                    <w:tl2br w:val="nil"/>
                    <w:tr2bl w:val="nil"/>
                  </w:tcBorders>
                  <w:vAlign w:val="center"/>
                </w:tcPr>
                <w:p w14:paraId="44DE21CA">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废机油</w:t>
                  </w:r>
                </w:p>
              </w:tc>
              <w:tc>
                <w:tcPr>
                  <w:tcW w:w="316" w:type="pct"/>
                  <w:vMerge w:val="continue"/>
                  <w:tcBorders>
                    <w:tl2br w:val="nil"/>
                    <w:tr2bl w:val="nil"/>
                  </w:tcBorders>
                  <w:vAlign w:val="center"/>
                </w:tcPr>
                <w:p w14:paraId="2C0C3078">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656" w:type="pct"/>
                  <w:tcBorders>
                    <w:top w:val="single" w:color="000000" w:sz="4" w:space="0"/>
                    <w:tl2br w:val="nil"/>
                    <w:tr2bl w:val="nil"/>
                  </w:tcBorders>
                  <w:vAlign w:val="center"/>
                </w:tcPr>
                <w:p w14:paraId="1A7178F8">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机油</w:t>
                  </w:r>
                </w:p>
              </w:tc>
              <w:tc>
                <w:tcPr>
                  <w:tcW w:w="540" w:type="pct"/>
                  <w:tcBorders>
                    <w:tl2br w:val="nil"/>
                    <w:tr2bl w:val="nil"/>
                  </w:tcBorders>
                  <w:vAlign w:val="center"/>
                </w:tcPr>
                <w:p w14:paraId="262ED984">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900-249-08</w:t>
                  </w:r>
                </w:p>
              </w:tc>
              <w:tc>
                <w:tcPr>
                  <w:tcW w:w="377" w:type="pct"/>
                  <w:tcBorders>
                    <w:tl2br w:val="nil"/>
                    <w:tr2bl w:val="nil"/>
                  </w:tcBorders>
                  <w:vAlign w:val="center"/>
                </w:tcPr>
                <w:p w14:paraId="2CF6B04B">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液态</w:t>
                  </w:r>
                </w:p>
              </w:tc>
              <w:tc>
                <w:tcPr>
                  <w:tcW w:w="338" w:type="pct"/>
                  <w:tcBorders>
                    <w:tl2br w:val="nil"/>
                    <w:tr2bl w:val="nil"/>
                  </w:tcBorders>
                  <w:vAlign w:val="center"/>
                </w:tcPr>
                <w:p w14:paraId="76A174CD">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T/I</w:t>
                  </w:r>
                </w:p>
              </w:tc>
              <w:tc>
                <w:tcPr>
                  <w:tcW w:w="343" w:type="pct"/>
                  <w:tcBorders>
                    <w:tl2br w:val="nil"/>
                    <w:tr2bl w:val="nil"/>
                  </w:tcBorders>
                  <w:vAlign w:val="center"/>
                </w:tcPr>
                <w:p w14:paraId="4667DA55">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w:t>
                  </w:r>
                  <w:r>
                    <w:rPr>
                      <w:rFonts w:hint="eastAsia" w:cs="Times New Roman"/>
                      <w:color w:val="000000" w:themeColor="text1"/>
                      <w:highlight w:val="none"/>
                      <w:lang w:val="en-US" w:eastAsia="zh-CN"/>
                      <w14:textFill>
                        <w14:solidFill>
                          <w14:schemeClr w14:val="tx1"/>
                        </w14:solidFill>
                      </w14:textFill>
                    </w:rPr>
                    <w:t>05</w:t>
                  </w:r>
                </w:p>
              </w:tc>
              <w:tc>
                <w:tcPr>
                  <w:tcW w:w="512" w:type="pct"/>
                  <w:vMerge w:val="continue"/>
                  <w:tcBorders>
                    <w:tl2br w:val="nil"/>
                    <w:tr2bl w:val="nil"/>
                  </w:tcBorders>
                  <w:vAlign w:val="center"/>
                </w:tcPr>
                <w:p w14:paraId="657C52F3">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585" w:type="pct"/>
                  <w:vMerge w:val="continue"/>
                  <w:tcBorders>
                    <w:tl2br w:val="nil"/>
                    <w:tr2bl w:val="nil"/>
                  </w:tcBorders>
                  <w:vAlign w:val="center"/>
                </w:tcPr>
                <w:p w14:paraId="071BF289">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372" w:type="pct"/>
                  <w:tcBorders>
                    <w:tl2br w:val="nil"/>
                    <w:tr2bl w:val="nil"/>
                  </w:tcBorders>
                  <w:vAlign w:val="center"/>
                </w:tcPr>
                <w:p w14:paraId="6803AB70">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0.05</w:t>
                  </w:r>
                </w:p>
              </w:tc>
            </w:tr>
            <w:tr w14:paraId="6AAC99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443" w:type="pct"/>
                  <w:vMerge w:val="continue"/>
                  <w:tcBorders>
                    <w:tl2br w:val="nil"/>
                    <w:tr2bl w:val="nil"/>
                  </w:tcBorders>
                  <w:vAlign w:val="center"/>
                </w:tcPr>
                <w:p w14:paraId="3B0C06B9">
                  <w:pPr>
                    <w:pStyle w:val="6"/>
                    <w:keepNext w:val="0"/>
                    <w:keepLines w:val="0"/>
                    <w:suppressLineNumbers w:val="0"/>
                    <w:bidi w:val="0"/>
                    <w:spacing w:before="0" w:beforeAutospacing="0" w:after="0" w:afterAutospacing="0"/>
                    <w:ind w:right="0"/>
                    <w:rPr>
                      <w:rFonts w:hint="eastAsia" w:cs="Times New Roman"/>
                      <w:color w:val="000000" w:themeColor="text1"/>
                      <w:highlight w:val="none"/>
                      <w:lang w:val="en-US" w:eastAsia="zh-CN"/>
                      <w14:textFill>
                        <w14:solidFill>
                          <w14:schemeClr w14:val="tx1"/>
                        </w14:solidFill>
                      </w14:textFill>
                    </w:rPr>
                  </w:pPr>
                </w:p>
              </w:tc>
              <w:tc>
                <w:tcPr>
                  <w:tcW w:w="514" w:type="pct"/>
                  <w:tcBorders>
                    <w:tl2br w:val="nil"/>
                    <w:tr2bl w:val="nil"/>
                  </w:tcBorders>
                  <w:vAlign w:val="center"/>
                </w:tcPr>
                <w:p w14:paraId="64BCDF9F">
                  <w:pPr>
                    <w:pStyle w:val="6"/>
                    <w:keepNext w:val="0"/>
                    <w:keepLines w:val="0"/>
                    <w:suppressLineNumbers w:val="0"/>
                    <w:bidi w:val="0"/>
                    <w:spacing w:before="0" w:beforeAutospacing="0" w:after="0" w:afterAutospacing="0"/>
                    <w:ind w:right="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废机油桶</w:t>
                  </w:r>
                </w:p>
              </w:tc>
              <w:tc>
                <w:tcPr>
                  <w:tcW w:w="316" w:type="pct"/>
                  <w:vMerge w:val="continue"/>
                  <w:tcBorders>
                    <w:tl2br w:val="nil"/>
                    <w:tr2bl w:val="nil"/>
                  </w:tcBorders>
                  <w:vAlign w:val="center"/>
                </w:tcPr>
                <w:p w14:paraId="603B0CEE">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656" w:type="pct"/>
                  <w:tcBorders>
                    <w:tl2br w:val="nil"/>
                    <w:tr2bl w:val="nil"/>
                  </w:tcBorders>
                  <w:vAlign w:val="center"/>
                </w:tcPr>
                <w:p w14:paraId="284E606B">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机油</w:t>
                  </w:r>
                </w:p>
              </w:tc>
              <w:tc>
                <w:tcPr>
                  <w:tcW w:w="540" w:type="pct"/>
                  <w:tcBorders>
                    <w:tl2br w:val="nil"/>
                    <w:tr2bl w:val="nil"/>
                  </w:tcBorders>
                  <w:shd w:val="clear" w:color="auto" w:fill="auto"/>
                  <w:vAlign w:val="center"/>
                </w:tcPr>
                <w:p w14:paraId="6EEB27FE">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900-249-08</w:t>
                  </w:r>
                </w:p>
              </w:tc>
              <w:tc>
                <w:tcPr>
                  <w:tcW w:w="377" w:type="pct"/>
                  <w:tcBorders>
                    <w:tl2br w:val="nil"/>
                    <w:tr2bl w:val="nil"/>
                  </w:tcBorders>
                  <w:shd w:val="clear" w:color="auto" w:fill="auto"/>
                  <w:vAlign w:val="center"/>
                </w:tcPr>
                <w:p w14:paraId="23A55A75">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固态</w:t>
                  </w:r>
                </w:p>
              </w:tc>
              <w:tc>
                <w:tcPr>
                  <w:tcW w:w="338" w:type="pct"/>
                  <w:tcBorders>
                    <w:tl2br w:val="nil"/>
                    <w:tr2bl w:val="nil"/>
                  </w:tcBorders>
                  <w:shd w:val="clear" w:color="auto" w:fill="auto"/>
                  <w:vAlign w:val="center"/>
                </w:tcPr>
                <w:p w14:paraId="1E038F76">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T，I</w:t>
                  </w:r>
                </w:p>
              </w:tc>
              <w:tc>
                <w:tcPr>
                  <w:tcW w:w="343" w:type="pct"/>
                  <w:tcBorders>
                    <w:tl2br w:val="nil"/>
                    <w:tr2bl w:val="nil"/>
                  </w:tcBorders>
                  <w:shd w:val="clear" w:color="auto" w:fill="auto"/>
                  <w:vAlign w:val="center"/>
                </w:tcPr>
                <w:p w14:paraId="59596CA8">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0.01</w:t>
                  </w:r>
                </w:p>
              </w:tc>
              <w:tc>
                <w:tcPr>
                  <w:tcW w:w="512" w:type="pct"/>
                  <w:vMerge w:val="continue"/>
                  <w:tcBorders>
                    <w:tl2br w:val="nil"/>
                    <w:tr2bl w:val="nil"/>
                  </w:tcBorders>
                  <w:vAlign w:val="center"/>
                </w:tcPr>
                <w:p w14:paraId="6C9D8005">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585" w:type="pct"/>
                  <w:vMerge w:val="continue"/>
                  <w:tcBorders>
                    <w:tl2br w:val="nil"/>
                    <w:tr2bl w:val="nil"/>
                  </w:tcBorders>
                  <w:vAlign w:val="center"/>
                </w:tcPr>
                <w:p w14:paraId="2AF2DE46">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372" w:type="pct"/>
                  <w:tcBorders>
                    <w:tl2br w:val="nil"/>
                    <w:tr2bl w:val="nil"/>
                  </w:tcBorders>
                  <w:vAlign w:val="center"/>
                </w:tcPr>
                <w:p w14:paraId="5BCEF316">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w:t>
                  </w:r>
                  <w:r>
                    <w:rPr>
                      <w:rFonts w:hint="eastAsia" w:cs="Times New Roman"/>
                      <w:color w:val="000000" w:themeColor="text1"/>
                      <w:highlight w:val="none"/>
                      <w:lang w:val="en-US" w:eastAsia="zh-CN"/>
                      <w14:textFill>
                        <w14:solidFill>
                          <w14:schemeClr w14:val="tx1"/>
                        </w14:solidFill>
                      </w14:textFill>
                    </w:rPr>
                    <w:t>01</w:t>
                  </w:r>
                </w:p>
              </w:tc>
            </w:tr>
            <w:tr w14:paraId="36CCC2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tcBorders>
                    <w:tl2br w:val="nil"/>
                    <w:tr2bl w:val="nil"/>
                  </w:tcBorders>
                  <w:vAlign w:val="center"/>
                </w:tcPr>
                <w:p w14:paraId="4221D6BD">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废气处理</w:t>
                  </w:r>
                </w:p>
              </w:tc>
              <w:tc>
                <w:tcPr>
                  <w:tcW w:w="514" w:type="pct"/>
                  <w:tcBorders>
                    <w:tl2br w:val="nil"/>
                    <w:tr2bl w:val="nil"/>
                  </w:tcBorders>
                  <w:vAlign w:val="center"/>
                </w:tcPr>
                <w:p w14:paraId="54576317">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废活性炭</w:t>
                  </w:r>
                </w:p>
              </w:tc>
              <w:tc>
                <w:tcPr>
                  <w:tcW w:w="316" w:type="pct"/>
                  <w:vMerge w:val="continue"/>
                  <w:tcBorders>
                    <w:tl2br w:val="nil"/>
                    <w:tr2bl w:val="nil"/>
                  </w:tcBorders>
                  <w:vAlign w:val="center"/>
                </w:tcPr>
                <w:p w14:paraId="435E703C">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656" w:type="pct"/>
                  <w:tcBorders>
                    <w:tl2br w:val="nil"/>
                    <w:tr2bl w:val="nil"/>
                  </w:tcBorders>
                  <w:vAlign w:val="center"/>
                </w:tcPr>
                <w:p w14:paraId="6A709B3D">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活性炭、VOC</w:t>
                  </w:r>
                  <w:r>
                    <w:rPr>
                      <w:rFonts w:hint="eastAsia" w:cs="Times New Roman"/>
                      <w:color w:val="000000" w:themeColor="text1"/>
                      <w:highlight w:val="none"/>
                      <w:lang w:val="en-US" w:eastAsia="zh-CN"/>
                      <w14:textFill>
                        <w14:solidFill>
                          <w14:schemeClr w14:val="tx1"/>
                        </w14:solidFill>
                      </w14:textFill>
                    </w:rPr>
                    <w:t>s</w:t>
                  </w:r>
                </w:p>
              </w:tc>
              <w:tc>
                <w:tcPr>
                  <w:tcW w:w="540" w:type="pct"/>
                  <w:tcBorders>
                    <w:tl2br w:val="nil"/>
                    <w:tr2bl w:val="nil"/>
                  </w:tcBorders>
                  <w:vAlign w:val="center"/>
                </w:tcPr>
                <w:p w14:paraId="770872C4">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900-039-49</w:t>
                  </w:r>
                </w:p>
              </w:tc>
              <w:tc>
                <w:tcPr>
                  <w:tcW w:w="377" w:type="pct"/>
                  <w:tcBorders>
                    <w:tl2br w:val="nil"/>
                    <w:tr2bl w:val="nil"/>
                  </w:tcBorders>
                  <w:vAlign w:val="center"/>
                </w:tcPr>
                <w:p w14:paraId="6E5172FF">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固态</w:t>
                  </w:r>
                </w:p>
              </w:tc>
              <w:tc>
                <w:tcPr>
                  <w:tcW w:w="338" w:type="pct"/>
                  <w:tcBorders>
                    <w:tl2br w:val="nil"/>
                    <w:tr2bl w:val="nil"/>
                  </w:tcBorders>
                  <w:vAlign w:val="center"/>
                </w:tcPr>
                <w:p w14:paraId="5204C65E">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T/In</w:t>
                  </w:r>
                </w:p>
              </w:tc>
              <w:tc>
                <w:tcPr>
                  <w:tcW w:w="343" w:type="pct"/>
                  <w:tcBorders>
                    <w:tl2br w:val="nil"/>
                    <w:tr2bl w:val="nil"/>
                  </w:tcBorders>
                  <w:vAlign w:val="center"/>
                </w:tcPr>
                <w:p w14:paraId="62EBCD1D">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0.961</w:t>
                  </w:r>
                </w:p>
              </w:tc>
              <w:tc>
                <w:tcPr>
                  <w:tcW w:w="512" w:type="pct"/>
                  <w:vMerge w:val="continue"/>
                  <w:tcBorders>
                    <w:tl2br w:val="nil"/>
                    <w:tr2bl w:val="nil"/>
                  </w:tcBorders>
                  <w:vAlign w:val="center"/>
                </w:tcPr>
                <w:p w14:paraId="04789CBF">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585" w:type="pct"/>
                  <w:vMerge w:val="continue"/>
                  <w:tcBorders>
                    <w:tl2br w:val="nil"/>
                    <w:tr2bl w:val="nil"/>
                  </w:tcBorders>
                  <w:vAlign w:val="center"/>
                </w:tcPr>
                <w:p w14:paraId="0D9386E9">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372" w:type="pct"/>
                  <w:tcBorders>
                    <w:tl2br w:val="nil"/>
                    <w:tr2bl w:val="nil"/>
                  </w:tcBorders>
                  <w:vAlign w:val="center"/>
                </w:tcPr>
                <w:p w14:paraId="5D7DF91A">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0.961</w:t>
                  </w:r>
                </w:p>
              </w:tc>
            </w:tr>
            <w:tr w14:paraId="38086E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tcBorders>
                    <w:tl2br w:val="nil"/>
                    <w:tr2bl w:val="nil"/>
                  </w:tcBorders>
                  <w:vAlign w:val="center"/>
                </w:tcPr>
                <w:p w14:paraId="424C29CF">
                  <w:pPr>
                    <w:pStyle w:val="6"/>
                    <w:keepNext w:val="0"/>
                    <w:keepLines w:val="0"/>
                    <w:suppressLineNumbers w:val="0"/>
                    <w:bidi w:val="0"/>
                    <w:spacing w:before="0" w:beforeAutospacing="0" w:after="0" w:afterAutospacing="0"/>
                    <w:ind w:right="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员工生活</w:t>
                  </w:r>
                </w:p>
              </w:tc>
              <w:tc>
                <w:tcPr>
                  <w:tcW w:w="514" w:type="pct"/>
                  <w:tcBorders>
                    <w:tl2br w:val="nil"/>
                    <w:tr2bl w:val="nil"/>
                  </w:tcBorders>
                  <w:vAlign w:val="center"/>
                </w:tcPr>
                <w:p w14:paraId="647F96B7">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生活垃圾</w:t>
                  </w:r>
                </w:p>
              </w:tc>
              <w:tc>
                <w:tcPr>
                  <w:tcW w:w="316" w:type="pct"/>
                  <w:tcBorders>
                    <w:tl2br w:val="nil"/>
                    <w:tr2bl w:val="nil"/>
                  </w:tcBorders>
                  <w:vAlign w:val="center"/>
                </w:tcPr>
                <w:p w14:paraId="0CF15ED1">
                  <w:pPr>
                    <w:pStyle w:val="6"/>
                    <w:keepNext w:val="0"/>
                    <w:keepLines w:val="0"/>
                    <w:suppressLineNumbers w:val="0"/>
                    <w:bidi w:val="0"/>
                    <w:spacing w:before="0" w:beforeAutospacing="0" w:after="0" w:afterAutospacing="0"/>
                    <w:ind w:right="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生活垃圾</w:t>
                  </w:r>
                </w:p>
              </w:tc>
              <w:tc>
                <w:tcPr>
                  <w:tcW w:w="656" w:type="pct"/>
                  <w:tcBorders>
                    <w:tl2br w:val="nil"/>
                    <w:tr2bl w:val="nil"/>
                  </w:tcBorders>
                  <w:vAlign w:val="center"/>
                </w:tcPr>
                <w:p w14:paraId="038FB16A">
                  <w:pPr>
                    <w:pStyle w:val="6"/>
                    <w:keepNext w:val="0"/>
                    <w:keepLines w:val="0"/>
                    <w:suppressLineNumbers w:val="0"/>
                    <w:bidi w:val="0"/>
                    <w:spacing w:before="0" w:beforeAutospacing="0" w:after="0" w:afterAutospacing="0"/>
                    <w:ind w:right="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540" w:type="pct"/>
                  <w:tcBorders>
                    <w:tl2br w:val="nil"/>
                    <w:tr2bl w:val="nil"/>
                  </w:tcBorders>
                  <w:vAlign w:val="center"/>
                </w:tcPr>
                <w:p w14:paraId="6698B977">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900-002-S61</w:t>
                  </w:r>
                </w:p>
              </w:tc>
              <w:tc>
                <w:tcPr>
                  <w:tcW w:w="377" w:type="pct"/>
                  <w:tcBorders>
                    <w:tl2br w:val="nil"/>
                    <w:tr2bl w:val="nil"/>
                  </w:tcBorders>
                  <w:vAlign w:val="center"/>
                </w:tcPr>
                <w:p w14:paraId="39F84692">
                  <w:pPr>
                    <w:pStyle w:val="6"/>
                    <w:keepNext w:val="0"/>
                    <w:keepLines w:val="0"/>
                    <w:suppressLineNumbers w:val="0"/>
                    <w:bidi w:val="0"/>
                    <w:spacing w:before="0" w:beforeAutospacing="0" w:after="0" w:afterAutospacing="0"/>
                    <w:ind w:right="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固态</w:t>
                  </w:r>
                </w:p>
              </w:tc>
              <w:tc>
                <w:tcPr>
                  <w:tcW w:w="338" w:type="pct"/>
                  <w:tcBorders>
                    <w:tl2br w:val="nil"/>
                    <w:tr2bl w:val="nil"/>
                  </w:tcBorders>
                  <w:vAlign w:val="center"/>
                </w:tcPr>
                <w:p w14:paraId="19E8A13E">
                  <w:pPr>
                    <w:pStyle w:val="6"/>
                    <w:keepNext w:val="0"/>
                    <w:keepLines w:val="0"/>
                    <w:suppressLineNumbers w:val="0"/>
                    <w:bidi w:val="0"/>
                    <w:spacing w:before="0" w:beforeAutospacing="0" w:after="0" w:afterAutospacing="0"/>
                    <w:ind w:right="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343" w:type="pct"/>
                  <w:tcBorders>
                    <w:tl2br w:val="nil"/>
                    <w:tr2bl w:val="nil"/>
                  </w:tcBorders>
                  <w:vAlign w:val="center"/>
                </w:tcPr>
                <w:p w14:paraId="3605EA8B">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4.5</w:t>
                  </w:r>
                </w:p>
              </w:tc>
              <w:tc>
                <w:tcPr>
                  <w:tcW w:w="512" w:type="pct"/>
                  <w:tcBorders>
                    <w:tl2br w:val="nil"/>
                    <w:tr2bl w:val="nil"/>
                  </w:tcBorders>
                  <w:vAlign w:val="center"/>
                </w:tcPr>
                <w:p w14:paraId="35841825">
                  <w:pPr>
                    <w:pStyle w:val="6"/>
                    <w:keepNext w:val="0"/>
                    <w:keepLines w:val="0"/>
                    <w:suppressLineNumbers w:val="0"/>
                    <w:bidi w:val="0"/>
                    <w:spacing w:before="0" w:beforeAutospacing="0" w:after="0" w:afterAutospacing="0"/>
                    <w:ind w:right="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垃圾桶</w:t>
                  </w:r>
                </w:p>
              </w:tc>
              <w:tc>
                <w:tcPr>
                  <w:tcW w:w="585" w:type="pct"/>
                  <w:tcBorders>
                    <w:tl2br w:val="nil"/>
                    <w:tr2bl w:val="nil"/>
                  </w:tcBorders>
                  <w:vAlign w:val="center"/>
                </w:tcPr>
                <w:p w14:paraId="7DB4F106">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环卫部门清运</w:t>
                  </w:r>
                </w:p>
              </w:tc>
              <w:tc>
                <w:tcPr>
                  <w:tcW w:w="372" w:type="pct"/>
                  <w:tcBorders>
                    <w:tl2br w:val="nil"/>
                    <w:tr2bl w:val="nil"/>
                  </w:tcBorders>
                  <w:vAlign w:val="center"/>
                </w:tcPr>
                <w:p w14:paraId="4E20CB70">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4.5</w:t>
                  </w:r>
                </w:p>
              </w:tc>
            </w:tr>
          </w:tbl>
          <w:p w14:paraId="7EE32109">
            <w:pPr>
              <w:pStyle w:val="6"/>
              <w:keepNext w:val="0"/>
              <w:keepLines w:val="0"/>
              <w:suppressLineNumbers w:val="0"/>
              <w:bidi w:val="0"/>
              <w:spacing w:before="0" w:beforeAutospacing="0" w:after="0" w:afterAutospacing="0"/>
              <w:ind w:right="0"/>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表4-16   项目危险废物贮存场所（设施）基本情况表</w:t>
            </w:r>
          </w:p>
          <w:tbl>
            <w:tblPr>
              <w:tblStyle w:val="32"/>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574"/>
              <w:gridCol w:w="1291"/>
              <w:gridCol w:w="1700"/>
              <w:gridCol w:w="1571"/>
              <w:gridCol w:w="1584"/>
              <w:gridCol w:w="1275"/>
              <w:gridCol w:w="1136"/>
              <w:gridCol w:w="1954"/>
              <w:gridCol w:w="1010"/>
              <w:gridCol w:w="1008"/>
            </w:tblGrid>
            <w:tr w14:paraId="57120A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19" w:type="pct"/>
                  <w:tcBorders>
                    <w:bottom w:val="single" w:color="000000" w:sz="12" w:space="0"/>
                  </w:tcBorders>
                  <w:tcMar>
                    <w:top w:w="15" w:type="dxa"/>
                    <w:left w:w="15" w:type="dxa"/>
                    <w:right w:w="15" w:type="dxa"/>
                  </w:tcMar>
                  <w:vAlign w:val="center"/>
                </w:tcPr>
                <w:p w14:paraId="4CC4DD5A">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序号</w:t>
                  </w:r>
                </w:p>
              </w:tc>
              <w:tc>
                <w:tcPr>
                  <w:tcW w:w="492" w:type="pct"/>
                  <w:tcBorders>
                    <w:bottom w:val="single" w:color="000000" w:sz="12" w:space="0"/>
                  </w:tcBorders>
                  <w:tcMar>
                    <w:top w:w="15" w:type="dxa"/>
                    <w:left w:w="15" w:type="dxa"/>
                    <w:right w:w="15" w:type="dxa"/>
                  </w:tcMar>
                  <w:vAlign w:val="center"/>
                </w:tcPr>
                <w:p w14:paraId="402D2F47">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贮存场所（设施）名称</w:t>
                  </w:r>
                </w:p>
              </w:tc>
              <w:tc>
                <w:tcPr>
                  <w:tcW w:w="648" w:type="pct"/>
                  <w:tcBorders>
                    <w:bottom w:val="single" w:color="000000" w:sz="12" w:space="0"/>
                  </w:tcBorders>
                  <w:tcMar>
                    <w:top w:w="15" w:type="dxa"/>
                    <w:left w:w="15" w:type="dxa"/>
                    <w:right w:w="15" w:type="dxa"/>
                  </w:tcMar>
                  <w:vAlign w:val="center"/>
                </w:tcPr>
                <w:p w14:paraId="3C0474F0">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危险废物名称</w:t>
                  </w:r>
                </w:p>
              </w:tc>
              <w:tc>
                <w:tcPr>
                  <w:tcW w:w="599" w:type="pct"/>
                  <w:tcBorders>
                    <w:bottom w:val="single" w:color="000000" w:sz="12" w:space="0"/>
                  </w:tcBorders>
                  <w:tcMar>
                    <w:top w:w="15" w:type="dxa"/>
                    <w:left w:w="15" w:type="dxa"/>
                    <w:right w:w="15" w:type="dxa"/>
                  </w:tcMar>
                  <w:vAlign w:val="center"/>
                </w:tcPr>
                <w:p w14:paraId="2CA7B2D4">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危险废物类别</w:t>
                  </w:r>
                </w:p>
              </w:tc>
              <w:tc>
                <w:tcPr>
                  <w:tcW w:w="604" w:type="pct"/>
                  <w:tcBorders>
                    <w:bottom w:val="single" w:color="000000" w:sz="12" w:space="0"/>
                  </w:tcBorders>
                  <w:tcMar>
                    <w:top w:w="15" w:type="dxa"/>
                    <w:left w:w="15" w:type="dxa"/>
                    <w:right w:w="15" w:type="dxa"/>
                  </w:tcMar>
                  <w:vAlign w:val="center"/>
                </w:tcPr>
                <w:p w14:paraId="514DD527">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危险废物代码</w:t>
                  </w:r>
                </w:p>
              </w:tc>
              <w:tc>
                <w:tcPr>
                  <w:tcW w:w="486" w:type="pct"/>
                  <w:tcBorders>
                    <w:bottom w:val="single" w:color="000000" w:sz="12" w:space="0"/>
                  </w:tcBorders>
                  <w:tcMar>
                    <w:top w:w="15" w:type="dxa"/>
                    <w:left w:w="15" w:type="dxa"/>
                    <w:right w:w="15" w:type="dxa"/>
                  </w:tcMar>
                  <w:vAlign w:val="center"/>
                </w:tcPr>
                <w:p w14:paraId="23498717">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位置</w:t>
                  </w:r>
                </w:p>
              </w:tc>
              <w:tc>
                <w:tcPr>
                  <w:tcW w:w="433" w:type="pct"/>
                  <w:tcBorders>
                    <w:bottom w:val="single" w:color="000000" w:sz="12" w:space="0"/>
                  </w:tcBorders>
                  <w:tcMar>
                    <w:top w:w="15" w:type="dxa"/>
                    <w:left w:w="15" w:type="dxa"/>
                    <w:right w:w="15" w:type="dxa"/>
                  </w:tcMar>
                  <w:vAlign w:val="center"/>
                </w:tcPr>
                <w:p w14:paraId="357251CE">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占地面积</w:t>
                  </w:r>
                </w:p>
              </w:tc>
              <w:tc>
                <w:tcPr>
                  <w:tcW w:w="745" w:type="pct"/>
                  <w:tcBorders>
                    <w:bottom w:val="single" w:color="000000" w:sz="12" w:space="0"/>
                  </w:tcBorders>
                  <w:tcMar>
                    <w:top w:w="15" w:type="dxa"/>
                    <w:left w:w="15" w:type="dxa"/>
                    <w:right w:w="15" w:type="dxa"/>
                  </w:tcMar>
                  <w:vAlign w:val="center"/>
                </w:tcPr>
                <w:p w14:paraId="01DF8791">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贮存方式</w:t>
                  </w:r>
                </w:p>
              </w:tc>
              <w:tc>
                <w:tcPr>
                  <w:tcW w:w="385" w:type="pct"/>
                  <w:tcBorders>
                    <w:bottom w:val="single" w:color="000000" w:sz="12" w:space="0"/>
                  </w:tcBorders>
                  <w:tcMar>
                    <w:top w:w="15" w:type="dxa"/>
                    <w:left w:w="15" w:type="dxa"/>
                    <w:right w:w="15" w:type="dxa"/>
                  </w:tcMar>
                  <w:vAlign w:val="center"/>
                </w:tcPr>
                <w:p w14:paraId="680DECBF">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贮存能力</w:t>
                  </w:r>
                </w:p>
              </w:tc>
              <w:tc>
                <w:tcPr>
                  <w:tcW w:w="384" w:type="pct"/>
                  <w:tcBorders>
                    <w:bottom w:val="single" w:color="000000" w:sz="12" w:space="0"/>
                  </w:tcBorders>
                  <w:tcMar>
                    <w:top w:w="15" w:type="dxa"/>
                    <w:left w:w="15" w:type="dxa"/>
                    <w:right w:w="15" w:type="dxa"/>
                  </w:tcMar>
                  <w:vAlign w:val="center"/>
                </w:tcPr>
                <w:p w14:paraId="11F56DAB">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贮存周期</w:t>
                  </w:r>
                </w:p>
              </w:tc>
            </w:tr>
            <w:tr w14:paraId="55F8B6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9" w:hRule="atLeast"/>
                <w:jc w:val="center"/>
              </w:trPr>
              <w:tc>
                <w:tcPr>
                  <w:tcW w:w="219" w:type="pct"/>
                  <w:tcBorders>
                    <w:top w:val="single" w:color="000000" w:sz="12" w:space="0"/>
                    <w:bottom w:val="single" w:color="000000" w:sz="4" w:space="0"/>
                  </w:tcBorders>
                  <w:tcMar>
                    <w:top w:w="15" w:type="dxa"/>
                    <w:left w:w="15" w:type="dxa"/>
                    <w:right w:w="15" w:type="dxa"/>
                  </w:tcMar>
                  <w:vAlign w:val="center"/>
                </w:tcPr>
                <w:p w14:paraId="3EF35F1C">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w:t>
                  </w:r>
                </w:p>
              </w:tc>
              <w:tc>
                <w:tcPr>
                  <w:tcW w:w="492" w:type="pct"/>
                  <w:vMerge w:val="restart"/>
                  <w:tcBorders>
                    <w:top w:val="single" w:color="000000" w:sz="12" w:space="0"/>
                  </w:tcBorders>
                  <w:tcMar>
                    <w:top w:w="15" w:type="dxa"/>
                    <w:left w:w="15" w:type="dxa"/>
                    <w:right w:w="15" w:type="dxa"/>
                  </w:tcMar>
                  <w:vAlign w:val="center"/>
                </w:tcPr>
                <w:p w14:paraId="6D74571D">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危废暂存间</w:t>
                  </w:r>
                </w:p>
              </w:tc>
              <w:tc>
                <w:tcPr>
                  <w:tcW w:w="648" w:type="pct"/>
                  <w:tcBorders>
                    <w:top w:val="single" w:color="000000" w:sz="12" w:space="0"/>
                  </w:tcBorders>
                  <w:shd w:val="clear" w:color="auto" w:fill="auto"/>
                  <w:tcMar>
                    <w:top w:w="15" w:type="dxa"/>
                    <w:left w:w="15" w:type="dxa"/>
                    <w:right w:w="15" w:type="dxa"/>
                  </w:tcMar>
                  <w:vAlign w:val="center"/>
                </w:tcPr>
                <w:p w14:paraId="7F73FCF1">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废含油抹布</w:t>
                  </w:r>
                </w:p>
              </w:tc>
              <w:tc>
                <w:tcPr>
                  <w:tcW w:w="599" w:type="pct"/>
                  <w:tcBorders>
                    <w:top w:val="single" w:color="000000" w:sz="12" w:space="0"/>
                  </w:tcBorders>
                  <w:shd w:val="clear" w:color="auto" w:fill="auto"/>
                  <w:tcMar>
                    <w:top w:w="15" w:type="dxa"/>
                    <w:left w:w="15" w:type="dxa"/>
                    <w:right w:w="15" w:type="dxa"/>
                  </w:tcMar>
                  <w:vAlign w:val="center"/>
                </w:tcPr>
                <w:p w14:paraId="56971E20">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HW49</w:t>
                  </w:r>
                </w:p>
              </w:tc>
              <w:tc>
                <w:tcPr>
                  <w:tcW w:w="604" w:type="pct"/>
                  <w:tcBorders>
                    <w:top w:val="single" w:color="000000" w:sz="12" w:space="0"/>
                  </w:tcBorders>
                  <w:shd w:val="clear" w:color="auto" w:fill="auto"/>
                  <w:tcMar>
                    <w:top w:w="15" w:type="dxa"/>
                    <w:left w:w="15" w:type="dxa"/>
                    <w:right w:w="15" w:type="dxa"/>
                  </w:tcMar>
                  <w:vAlign w:val="center"/>
                </w:tcPr>
                <w:p w14:paraId="560A306C">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900-</w:t>
                  </w:r>
                  <w:r>
                    <w:rPr>
                      <w:rFonts w:hint="eastAsia" w:cs="Times New Roman"/>
                      <w:color w:val="000000" w:themeColor="text1"/>
                      <w:highlight w:val="none"/>
                      <w:lang w:val="en-US" w:eastAsia="zh-CN"/>
                      <w14:textFill>
                        <w14:solidFill>
                          <w14:schemeClr w14:val="tx1"/>
                        </w14:solidFill>
                      </w14:textFill>
                    </w:rPr>
                    <w:t>041</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49</w:t>
                  </w:r>
                </w:p>
              </w:tc>
              <w:tc>
                <w:tcPr>
                  <w:tcW w:w="486" w:type="pct"/>
                  <w:vMerge w:val="restart"/>
                  <w:tcBorders>
                    <w:top w:val="single" w:color="000000" w:sz="12" w:space="0"/>
                  </w:tcBorders>
                  <w:tcMar>
                    <w:top w:w="15" w:type="dxa"/>
                    <w:left w:w="15" w:type="dxa"/>
                    <w:right w:w="15" w:type="dxa"/>
                  </w:tcMar>
                  <w:vAlign w:val="center"/>
                </w:tcPr>
                <w:p w14:paraId="6E8B36E6">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厂区</w:t>
                  </w:r>
                  <w:r>
                    <w:rPr>
                      <w:rFonts w:hint="eastAsia" w:cs="Times New Roman"/>
                      <w:color w:val="000000" w:themeColor="text1"/>
                      <w:highlight w:val="none"/>
                      <w:lang w:val="en-US" w:eastAsia="zh-CN"/>
                      <w14:textFill>
                        <w14:solidFill>
                          <w14:schemeClr w14:val="tx1"/>
                        </w14:solidFill>
                      </w14:textFill>
                    </w:rPr>
                    <w:t>南</w:t>
                  </w:r>
                  <w:r>
                    <w:rPr>
                      <w:rFonts w:hint="default" w:ascii="Times New Roman" w:hAnsi="Times New Roman" w:eastAsia="宋体" w:cs="Times New Roman"/>
                      <w:color w:val="000000" w:themeColor="text1"/>
                      <w:highlight w:val="none"/>
                      <w:lang w:val="en-US" w:eastAsia="zh-CN"/>
                      <w14:textFill>
                        <w14:solidFill>
                          <w14:schemeClr w14:val="tx1"/>
                        </w14:solidFill>
                      </w14:textFill>
                    </w:rPr>
                    <w:t>侧</w:t>
                  </w:r>
                </w:p>
              </w:tc>
              <w:tc>
                <w:tcPr>
                  <w:tcW w:w="433" w:type="pct"/>
                  <w:vMerge w:val="restart"/>
                  <w:tcBorders>
                    <w:top w:val="single" w:color="000000" w:sz="12" w:space="0"/>
                  </w:tcBorders>
                  <w:tcMar>
                    <w:top w:w="15" w:type="dxa"/>
                    <w:left w:w="15" w:type="dxa"/>
                    <w:right w:w="15" w:type="dxa"/>
                  </w:tcMar>
                  <w:vAlign w:val="center"/>
                </w:tcPr>
                <w:p w14:paraId="4C2386E8">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50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m</w:t>
                  </w:r>
                  <w:r>
                    <w:rPr>
                      <w:rFonts w:hint="eastAsia" w:ascii="Times New Roman" w:hAnsi="Times New Roman" w:eastAsia="宋体" w:cs="Times New Roman"/>
                      <w:color w:val="000000" w:themeColor="text1"/>
                      <w:highlight w:val="none"/>
                      <w:vertAlign w:val="superscript"/>
                      <w:lang w:val="en-US" w:eastAsia="zh-CN"/>
                      <w14:textFill>
                        <w14:solidFill>
                          <w14:schemeClr w14:val="tx1"/>
                        </w14:solidFill>
                      </w14:textFill>
                    </w:rPr>
                    <w:t>2</w:t>
                  </w:r>
                </w:p>
              </w:tc>
              <w:tc>
                <w:tcPr>
                  <w:tcW w:w="745" w:type="pct"/>
                  <w:tcBorders>
                    <w:top w:val="single" w:color="000000" w:sz="12" w:space="0"/>
                  </w:tcBorders>
                  <w:tcMar>
                    <w:top w:w="15" w:type="dxa"/>
                    <w:left w:w="15" w:type="dxa"/>
                    <w:right w:w="15" w:type="dxa"/>
                  </w:tcMar>
                  <w:vAlign w:val="center"/>
                </w:tcPr>
                <w:p w14:paraId="691E48B0">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桶装</w:t>
                  </w:r>
                </w:p>
              </w:tc>
              <w:tc>
                <w:tcPr>
                  <w:tcW w:w="385" w:type="pct"/>
                  <w:vMerge w:val="restart"/>
                  <w:tcBorders>
                    <w:top w:val="single" w:color="000000" w:sz="12" w:space="0"/>
                  </w:tcBorders>
                  <w:tcMar>
                    <w:top w:w="15" w:type="dxa"/>
                    <w:left w:w="15" w:type="dxa"/>
                    <w:right w:w="15" w:type="dxa"/>
                  </w:tcMar>
                  <w:vAlign w:val="center"/>
                </w:tcPr>
                <w:p w14:paraId="7971A7D1">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t</w:t>
                  </w:r>
                </w:p>
              </w:tc>
              <w:tc>
                <w:tcPr>
                  <w:tcW w:w="384" w:type="pct"/>
                  <w:vMerge w:val="restart"/>
                  <w:tcBorders>
                    <w:top w:val="single" w:color="000000" w:sz="12" w:space="0"/>
                  </w:tcBorders>
                  <w:tcMar>
                    <w:top w:w="15" w:type="dxa"/>
                    <w:left w:w="15" w:type="dxa"/>
                    <w:right w:w="15" w:type="dxa"/>
                  </w:tcMar>
                  <w:vAlign w:val="center"/>
                </w:tcPr>
                <w:p w14:paraId="1FA3449F">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三</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个月</w:t>
                  </w:r>
                </w:p>
              </w:tc>
            </w:tr>
            <w:tr w14:paraId="570C64B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40" w:hRule="atLeast"/>
                <w:jc w:val="center"/>
              </w:trPr>
              <w:tc>
                <w:tcPr>
                  <w:tcW w:w="219" w:type="pct"/>
                  <w:tcBorders>
                    <w:tl2br w:val="nil"/>
                    <w:tr2bl w:val="nil"/>
                  </w:tcBorders>
                  <w:tcMar>
                    <w:top w:w="15" w:type="dxa"/>
                    <w:left w:w="15" w:type="dxa"/>
                    <w:right w:w="15" w:type="dxa"/>
                  </w:tcMar>
                  <w:vAlign w:val="center"/>
                </w:tcPr>
                <w:p w14:paraId="3D2BBD8B">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w:t>
                  </w:r>
                </w:p>
              </w:tc>
              <w:tc>
                <w:tcPr>
                  <w:tcW w:w="492" w:type="pct"/>
                  <w:vMerge w:val="continue"/>
                  <w:tcBorders>
                    <w:tl2br w:val="nil"/>
                    <w:tr2bl w:val="nil"/>
                  </w:tcBorders>
                  <w:tcMar>
                    <w:top w:w="15" w:type="dxa"/>
                    <w:left w:w="15" w:type="dxa"/>
                    <w:right w:w="15" w:type="dxa"/>
                  </w:tcMar>
                  <w:vAlign w:val="center"/>
                </w:tcPr>
                <w:p w14:paraId="4C319FEB">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648" w:type="pct"/>
                  <w:tcBorders>
                    <w:tl2br w:val="nil"/>
                    <w:tr2bl w:val="nil"/>
                  </w:tcBorders>
                  <w:shd w:val="clear" w:color="auto" w:fill="auto"/>
                  <w:tcMar>
                    <w:top w:w="15" w:type="dxa"/>
                    <w:left w:w="15" w:type="dxa"/>
                    <w:right w:w="15" w:type="dxa"/>
                  </w:tcMar>
                  <w:vAlign w:val="center"/>
                </w:tcPr>
                <w:p w14:paraId="335F9B17">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w:t>
                  </w:r>
                  <w:r>
                    <w:rPr>
                      <w:rFonts w:hint="eastAsia" w:cs="Times New Roman"/>
                      <w:color w:val="000000" w:themeColor="text1"/>
                      <w:highlight w:val="none"/>
                      <w:lang w:val="en-US" w:eastAsia="zh-CN"/>
                      <w14:textFill>
                        <w14:solidFill>
                          <w14:schemeClr w14:val="tx1"/>
                        </w14:solidFill>
                      </w14:textFill>
                    </w:rPr>
                    <w:t>机</w:t>
                  </w:r>
                  <w:r>
                    <w:rPr>
                      <w:rFonts w:hint="eastAsia" w:ascii="Times New Roman" w:hAnsi="Times New Roman" w:cs="Times New Roman"/>
                      <w:color w:val="000000" w:themeColor="text1"/>
                      <w:highlight w:val="none"/>
                      <w:lang w:val="en-US" w:eastAsia="zh-CN"/>
                      <w14:textFill>
                        <w14:solidFill>
                          <w14:schemeClr w14:val="tx1"/>
                        </w14:solidFill>
                      </w14:textFill>
                    </w:rPr>
                    <w:t>油</w:t>
                  </w:r>
                </w:p>
              </w:tc>
              <w:tc>
                <w:tcPr>
                  <w:tcW w:w="599" w:type="pct"/>
                  <w:tcBorders>
                    <w:tl2br w:val="nil"/>
                    <w:tr2bl w:val="nil"/>
                  </w:tcBorders>
                  <w:shd w:val="clear" w:color="auto" w:fill="auto"/>
                  <w:tcMar>
                    <w:top w:w="15" w:type="dxa"/>
                    <w:left w:w="15" w:type="dxa"/>
                    <w:right w:w="15" w:type="dxa"/>
                  </w:tcMar>
                  <w:vAlign w:val="center"/>
                </w:tcPr>
                <w:p w14:paraId="36D683A2">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HW08</w:t>
                  </w:r>
                </w:p>
              </w:tc>
              <w:tc>
                <w:tcPr>
                  <w:tcW w:w="604" w:type="pct"/>
                  <w:tcBorders>
                    <w:tl2br w:val="nil"/>
                    <w:tr2bl w:val="nil"/>
                  </w:tcBorders>
                  <w:shd w:val="clear" w:color="auto" w:fill="auto"/>
                  <w:tcMar>
                    <w:top w:w="15" w:type="dxa"/>
                    <w:left w:w="15" w:type="dxa"/>
                    <w:right w:w="15" w:type="dxa"/>
                  </w:tcMar>
                  <w:vAlign w:val="center"/>
                </w:tcPr>
                <w:p w14:paraId="6C80D743">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900-249-08</w:t>
                  </w:r>
                </w:p>
              </w:tc>
              <w:tc>
                <w:tcPr>
                  <w:tcW w:w="486" w:type="pct"/>
                  <w:vMerge w:val="continue"/>
                  <w:tcBorders>
                    <w:tl2br w:val="nil"/>
                    <w:tr2bl w:val="nil"/>
                  </w:tcBorders>
                  <w:tcMar>
                    <w:top w:w="15" w:type="dxa"/>
                    <w:left w:w="15" w:type="dxa"/>
                    <w:right w:w="15" w:type="dxa"/>
                  </w:tcMar>
                  <w:vAlign w:val="center"/>
                </w:tcPr>
                <w:p w14:paraId="7BED0C24">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433" w:type="pct"/>
                  <w:vMerge w:val="continue"/>
                  <w:tcBorders>
                    <w:tl2br w:val="nil"/>
                    <w:tr2bl w:val="nil"/>
                  </w:tcBorders>
                  <w:tcMar>
                    <w:top w:w="15" w:type="dxa"/>
                    <w:left w:w="15" w:type="dxa"/>
                    <w:right w:w="15" w:type="dxa"/>
                  </w:tcMar>
                  <w:vAlign w:val="center"/>
                </w:tcPr>
                <w:p w14:paraId="58A215F9">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745" w:type="pct"/>
                  <w:tcBorders>
                    <w:tl2br w:val="nil"/>
                    <w:tr2bl w:val="nil"/>
                  </w:tcBorders>
                  <w:tcMar>
                    <w:top w:w="15" w:type="dxa"/>
                    <w:left w:w="15" w:type="dxa"/>
                    <w:right w:w="15" w:type="dxa"/>
                  </w:tcMar>
                  <w:vAlign w:val="center"/>
                </w:tcPr>
                <w:p w14:paraId="2D38033C">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桶装</w:t>
                  </w:r>
                </w:p>
              </w:tc>
              <w:tc>
                <w:tcPr>
                  <w:tcW w:w="385" w:type="pct"/>
                  <w:vMerge w:val="continue"/>
                  <w:tcBorders>
                    <w:tl2br w:val="nil"/>
                    <w:tr2bl w:val="nil"/>
                  </w:tcBorders>
                  <w:tcMar>
                    <w:top w:w="15" w:type="dxa"/>
                    <w:left w:w="15" w:type="dxa"/>
                    <w:right w:w="15" w:type="dxa"/>
                  </w:tcMar>
                  <w:vAlign w:val="center"/>
                </w:tcPr>
                <w:p w14:paraId="07494187">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384" w:type="pct"/>
                  <w:vMerge w:val="continue"/>
                  <w:tcBorders>
                    <w:tl2br w:val="nil"/>
                    <w:tr2bl w:val="nil"/>
                  </w:tcBorders>
                  <w:tcMar>
                    <w:top w:w="15" w:type="dxa"/>
                    <w:left w:w="15" w:type="dxa"/>
                    <w:right w:w="15" w:type="dxa"/>
                  </w:tcMar>
                  <w:vAlign w:val="center"/>
                </w:tcPr>
                <w:p w14:paraId="37F06185">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7B8FDF6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40" w:hRule="atLeast"/>
                <w:jc w:val="center"/>
              </w:trPr>
              <w:tc>
                <w:tcPr>
                  <w:tcW w:w="219" w:type="pct"/>
                  <w:tcBorders>
                    <w:tl2br w:val="nil"/>
                    <w:tr2bl w:val="nil"/>
                  </w:tcBorders>
                  <w:tcMar>
                    <w:top w:w="15" w:type="dxa"/>
                    <w:left w:w="15" w:type="dxa"/>
                    <w:right w:w="15" w:type="dxa"/>
                  </w:tcMar>
                  <w:vAlign w:val="center"/>
                </w:tcPr>
                <w:p w14:paraId="7352EEC3">
                  <w:pPr>
                    <w:pStyle w:val="6"/>
                    <w:keepNext w:val="0"/>
                    <w:keepLines w:val="0"/>
                    <w:suppressLineNumbers w:val="0"/>
                    <w:bidi w:val="0"/>
                    <w:spacing w:before="0" w:beforeAutospacing="0" w:after="0" w:afterAutospacing="0"/>
                    <w:ind w:left="0" w:leftChars="0" w:right="0" w:rightChars="0" w:firstLine="0" w:firstLineChars="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w:t>
                  </w:r>
                </w:p>
              </w:tc>
              <w:tc>
                <w:tcPr>
                  <w:tcW w:w="492" w:type="pct"/>
                  <w:vMerge w:val="continue"/>
                  <w:tcBorders>
                    <w:tl2br w:val="nil"/>
                    <w:tr2bl w:val="nil"/>
                  </w:tcBorders>
                  <w:tcMar>
                    <w:top w:w="15" w:type="dxa"/>
                    <w:left w:w="15" w:type="dxa"/>
                    <w:right w:w="15" w:type="dxa"/>
                  </w:tcMar>
                  <w:vAlign w:val="center"/>
                </w:tcPr>
                <w:p w14:paraId="692D1A46">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648" w:type="pct"/>
                  <w:tcBorders>
                    <w:tl2br w:val="nil"/>
                    <w:tr2bl w:val="nil"/>
                  </w:tcBorders>
                  <w:shd w:val="clear" w:color="auto" w:fill="auto"/>
                  <w:tcMar>
                    <w:top w:w="15" w:type="dxa"/>
                    <w:left w:w="15" w:type="dxa"/>
                    <w:right w:w="15" w:type="dxa"/>
                  </w:tcMar>
                  <w:vAlign w:val="center"/>
                </w:tcPr>
                <w:p w14:paraId="1428F9E0">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w:t>
                  </w:r>
                  <w:r>
                    <w:rPr>
                      <w:rFonts w:hint="eastAsia" w:ascii="Times New Roman" w:hAnsi="Times New Roman" w:cs="Times New Roman"/>
                      <w:color w:val="000000" w:themeColor="text1"/>
                      <w:highlight w:val="none"/>
                      <w:lang w:val="en-US" w:eastAsia="zh-CN"/>
                      <w14:textFill>
                        <w14:solidFill>
                          <w14:schemeClr w14:val="tx1"/>
                        </w14:solidFill>
                      </w14:textFill>
                    </w:rPr>
                    <w:t>机</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油桶</w:t>
                  </w:r>
                </w:p>
              </w:tc>
              <w:tc>
                <w:tcPr>
                  <w:tcW w:w="599" w:type="pct"/>
                  <w:tcBorders>
                    <w:tl2br w:val="nil"/>
                    <w:tr2bl w:val="nil"/>
                  </w:tcBorders>
                  <w:shd w:val="clear" w:color="auto" w:fill="auto"/>
                  <w:tcMar>
                    <w:top w:w="15" w:type="dxa"/>
                    <w:left w:w="15" w:type="dxa"/>
                    <w:right w:w="15" w:type="dxa"/>
                  </w:tcMar>
                  <w:vAlign w:val="center"/>
                </w:tcPr>
                <w:p w14:paraId="75BADCB4">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HW08</w:t>
                  </w:r>
                </w:p>
              </w:tc>
              <w:tc>
                <w:tcPr>
                  <w:tcW w:w="604" w:type="pct"/>
                  <w:tcBorders>
                    <w:tl2br w:val="nil"/>
                    <w:tr2bl w:val="nil"/>
                  </w:tcBorders>
                  <w:shd w:val="clear" w:color="auto" w:fill="auto"/>
                  <w:tcMar>
                    <w:top w:w="15" w:type="dxa"/>
                    <w:left w:w="15" w:type="dxa"/>
                    <w:right w:w="15" w:type="dxa"/>
                  </w:tcMar>
                  <w:vAlign w:val="center"/>
                </w:tcPr>
                <w:p w14:paraId="3BD84566">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900-249-08</w:t>
                  </w:r>
                </w:p>
              </w:tc>
              <w:tc>
                <w:tcPr>
                  <w:tcW w:w="486" w:type="pct"/>
                  <w:vMerge w:val="continue"/>
                  <w:tcBorders>
                    <w:tl2br w:val="nil"/>
                    <w:tr2bl w:val="nil"/>
                  </w:tcBorders>
                  <w:tcMar>
                    <w:top w:w="15" w:type="dxa"/>
                    <w:left w:w="15" w:type="dxa"/>
                    <w:right w:w="15" w:type="dxa"/>
                  </w:tcMar>
                  <w:vAlign w:val="center"/>
                </w:tcPr>
                <w:p w14:paraId="2CC41729">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433" w:type="pct"/>
                  <w:vMerge w:val="continue"/>
                  <w:tcBorders>
                    <w:tl2br w:val="nil"/>
                    <w:tr2bl w:val="nil"/>
                  </w:tcBorders>
                  <w:tcMar>
                    <w:top w:w="15" w:type="dxa"/>
                    <w:left w:w="15" w:type="dxa"/>
                    <w:right w:w="15" w:type="dxa"/>
                  </w:tcMar>
                  <w:vAlign w:val="center"/>
                </w:tcPr>
                <w:p w14:paraId="6E198414">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745" w:type="pct"/>
                  <w:tcBorders>
                    <w:tl2br w:val="nil"/>
                    <w:tr2bl w:val="nil"/>
                  </w:tcBorders>
                  <w:tcMar>
                    <w:top w:w="15" w:type="dxa"/>
                    <w:left w:w="15" w:type="dxa"/>
                    <w:right w:w="15" w:type="dxa"/>
                  </w:tcMar>
                  <w:vAlign w:val="center"/>
                </w:tcPr>
                <w:p w14:paraId="68DA2F20">
                  <w:pPr>
                    <w:pStyle w:val="6"/>
                    <w:keepNext w:val="0"/>
                    <w:keepLines w:val="0"/>
                    <w:suppressLineNumbers w:val="0"/>
                    <w:bidi w:val="0"/>
                    <w:spacing w:before="0" w:beforeAutospacing="0" w:after="0" w:afterAutospacing="0"/>
                    <w:ind w:right="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桶装</w:t>
                  </w:r>
                </w:p>
              </w:tc>
              <w:tc>
                <w:tcPr>
                  <w:tcW w:w="385" w:type="pct"/>
                  <w:vMerge w:val="continue"/>
                  <w:tcBorders>
                    <w:tl2br w:val="nil"/>
                    <w:tr2bl w:val="nil"/>
                  </w:tcBorders>
                  <w:tcMar>
                    <w:top w:w="15" w:type="dxa"/>
                    <w:left w:w="15" w:type="dxa"/>
                    <w:right w:w="15" w:type="dxa"/>
                  </w:tcMar>
                  <w:vAlign w:val="center"/>
                </w:tcPr>
                <w:p w14:paraId="545AC336">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384" w:type="pct"/>
                  <w:vMerge w:val="continue"/>
                  <w:tcBorders>
                    <w:tl2br w:val="nil"/>
                    <w:tr2bl w:val="nil"/>
                  </w:tcBorders>
                  <w:tcMar>
                    <w:top w:w="15" w:type="dxa"/>
                    <w:left w:w="15" w:type="dxa"/>
                    <w:right w:w="15" w:type="dxa"/>
                  </w:tcMar>
                  <w:vAlign w:val="center"/>
                </w:tcPr>
                <w:p w14:paraId="42386C35">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1F5BABF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40" w:hRule="atLeast"/>
                <w:jc w:val="center"/>
              </w:trPr>
              <w:tc>
                <w:tcPr>
                  <w:tcW w:w="219" w:type="pct"/>
                  <w:tcBorders>
                    <w:tl2br w:val="nil"/>
                    <w:tr2bl w:val="nil"/>
                  </w:tcBorders>
                  <w:tcMar>
                    <w:top w:w="15" w:type="dxa"/>
                    <w:left w:w="15" w:type="dxa"/>
                    <w:right w:w="15" w:type="dxa"/>
                  </w:tcMar>
                  <w:vAlign w:val="center"/>
                </w:tcPr>
                <w:p w14:paraId="0AD54B6A">
                  <w:pPr>
                    <w:pStyle w:val="6"/>
                    <w:keepNext w:val="0"/>
                    <w:keepLines w:val="0"/>
                    <w:suppressLineNumbers w:val="0"/>
                    <w:bidi w:val="0"/>
                    <w:spacing w:before="0" w:beforeAutospacing="0" w:after="0" w:afterAutospacing="0"/>
                    <w:ind w:left="0" w:leftChars="0" w:right="0" w:rightChars="0" w:firstLine="0" w:firstLineChars="0"/>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w:t>
                  </w:r>
                </w:p>
              </w:tc>
              <w:tc>
                <w:tcPr>
                  <w:tcW w:w="492" w:type="pct"/>
                  <w:vMerge w:val="continue"/>
                  <w:tcBorders>
                    <w:tl2br w:val="nil"/>
                    <w:tr2bl w:val="nil"/>
                  </w:tcBorders>
                  <w:tcMar>
                    <w:top w:w="15" w:type="dxa"/>
                    <w:left w:w="15" w:type="dxa"/>
                    <w:right w:w="15" w:type="dxa"/>
                  </w:tcMar>
                  <w:vAlign w:val="center"/>
                </w:tcPr>
                <w:p w14:paraId="60659F80">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648" w:type="pct"/>
                  <w:tcBorders>
                    <w:tl2br w:val="nil"/>
                    <w:tr2bl w:val="nil"/>
                  </w:tcBorders>
                  <w:shd w:val="clear" w:color="auto" w:fill="auto"/>
                  <w:tcMar>
                    <w:top w:w="15" w:type="dxa"/>
                    <w:left w:w="15" w:type="dxa"/>
                    <w:right w:w="15" w:type="dxa"/>
                  </w:tcMar>
                  <w:vAlign w:val="center"/>
                </w:tcPr>
                <w:p w14:paraId="7D4161F9">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废活性炭</w:t>
                  </w:r>
                </w:p>
              </w:tc>
              <w:tc>
                <w:tcPr>
                  <w:tcW w:w="599" w:type="pct"/>
                  <w:tcBorders>
                    <w:tl2br w:val="nil"/>
                    <w:tr2bl w:val="nil"/>
                  </w:tcBorders>
                  <w:shd w:val="clear" w:color="auto" w:fill="auto"/>
                  <w:tcMar>
                    <w:top w:w="15" w:type="dxa"/>
                    <w:left w:w="15" w:type="dxa"/>
                    <w:right w:w="15" w:type="dxa"/>
                  </w:tcMar>
                  <w:vAlign w:val="center"/>
                </w:tcPr>
                <w:p w14:paraId="437E55AA">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HW49</w:t>
                  </w:r>
                </w:p>
              </w:tc>
              <w:tc>
                <w:tcPr>
                  <w:tcW w:w="604" w:type="pct"/>
                  <w:tcBorders>
                    <w:tl2br w:val="nil"/>
                    <w:tr2bl w:val="nil"/>
                  </w:tcBorders>
                  <w:shd w:val="clear" w:color="auto" w:fill="auto"/>
                  <w:tcMar>
                    <w:top w:w="15" w:type="dxa"/>
                    <w:left w:w="15" w:type="dxa"/>
                    <w:right w:w="15" w:type="dxa"/>
                  </w:tcMar>
                  <w:vAlign w:val="center"/>
                </w:tcPr>
                <w:p w14:paraId="41A91BFE">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900-039-49</w:t>
                  </w:r>
                </w:p>
              </w:tc>
              <w:tc>
                <w:tcPr>
                  <w:tcW w:w="486" w:type="pct"/>
                  <w:vMerge w:val="continue"/>
                  <w:tcBorders>
                    <w:tl2br w:val="nil"/>
                    <w:tr2bl w:val="nil"/>
                  </w:tcBorders>
                  <w:tcMar>
                    <w:top w:w="15" w:type="dxa"/>
                    <w:left w:w="15" w:type="dxa"/>
                    <w:right w:w="15" w:type="dxa"/>
                  </w:tcMar>
                  <w:vAlign w:val="center"/>
                </w:tcPr>
                <w:p w14:paraId="37F498D5">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433" w:type="pct"/>
                  <w:vMerge w:val="continue"/>
                  <w:tcBorders>
                    <w:tl2br w:val="nil"/>
                    <w:tr2bl w:val="nil"/>
                  </w:tcBorders>
                  <w:tcMar>
                    <w:top w:w="15" w:type="dxa"/>
                    <w:left w:w="15" w:type="dxa"/>
                    <w:right w:w="15" w:type="dxa"/>
                  </w:tcMar>
                  <w:vAlign w:val="center"/>
                </w:tcPr>
                <w:p w14:paraId="54F499FA">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745" w:type="pct"/>
                  <w:tcBorders>
                    <w:tl2br w:val="nil"/>
                    <w:tr2bl w:val="nil"/>
                  </w:tcBorders>
                  <w:tcMar>
                    <w:top w:w="15" w:type="dxa"/>
                    <w:left w:w="15" w:type="dxa"/>
                    <w:right w:w="15" w:type="dxa"/>
                  </w:tcMar>
                  <w:vAlign w:val="center"/>
                </w:tcPr>
                <w:p w14:paraId="28DDA289">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袋装密封</w:t>
                  </w:r>
                </w:p>
              </w:tc>
              <w:tc>
                <w:tcPr>
                  <w:tcW w:w="385" w:type="pct"/>
                  <w:vMerge w:val="continue"/>
                  <w:tcBorders>
                    <w:tl2br w:val="nil"/>
                    <w:tr2bl w:val="nil"/>
                  </w:tcBorders>
                  <w:tcMar>
                    <w:top w:w="15" w:type="dxa"/>
                    <w:left w:w="15" w:type="dxa"/>
                    <w:right w:w="15" w:type="dxa"/>
                  </w:tcMar>
                  <w:vAlign w:val="center"/>
                </w:tcPr>
                <w:p w14:paraId="1A151A97">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384" w:type="pct"/>
                  <w:vMerge w:val="continue"/>
                  <w:tcBorders>
                    <w:tl2br w:val="nil"/>
                    <w:tr2bl w:val="nil"/>
                  </w:tcBorders>
                  <w:tcMar>
                    <w:top w:w="15" w:type="dxa"/>
                    <w:left w:w="15" w:type="dxa"/>
                    <w:right w:w="15" w:type="dxa"/>
                  </w:tcMar>
                  <w:vAlign w:val="center"/>
                </w:tcPr>
                <w:p w14:paraId="5FB8D2CD">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bl>
          <w:p w14:paraId="16FFB46D">
            <w:pPr>
              <w:keepNext w:val="0"/>
              <w:keepLines w:val="0"/>
              <w:suppressLineNumbers w:val="0"/>
              <w:bidi w:val="0"/>
              <w:spacing w:before="0" w:beforeAutospacing="0" w:after="0" w:afterAutospacing="0" w:line="360" w:lineRule="auto"/>
              <w:ind w:left="0" w:right="0"/>
              <w:rPr>
                <w:rFonts w:hint="default"/>
                <w:color w:val="000000" w:themeColor="text1"/>
                <w:sz w:val="24"/>
                <w:highlight w:val="none"/>
                <w14:textFill>
                  <w14:solidFill>
                    <w14:schemeClr w14:val="tx1"/>
                  </w14:solidFill>
                </w14:textFill>
              </w:rPr>
            </w:pPr>
          </w:p>
        </w:tc>
      </w:tr>
    </w:tbl>
    <w:p w14:paraId="69A85A28">
      <w:pPr>
        <w:pStyle w:val="53"/>
        <w:rPr>
          <w:rFonts w:hint="default"/>
          <w:color w:val="auto"/>
          <w:highlight w:val="none"/>
        </w:rPr>
        <w:sectPr>
          <w:pgSz w:w="16840" w:h="11907" w:orient="landscape"/>
          <w:pgMar w:top="1531" w:right="1531" w:bottom="1531"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32"/>
        <w:tblW w:w="897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97"/>
        <w:gridCol w:w="8682"/>
      </w:tblGrid>
      <w:tr w14:paraId="1B0061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14" w:hRule="atLeast"/>
          <w:jc w:val="center"/>
        </w:trPr>
        <w:tc>
          <w:tcPr>
            <w:tcW w:w="297" w:type="dxa"/>
            <w:tcMar>
              <w:left w:w="28" w:type="dxa"/>
              <w:right w:w="28" w:type="dxa"/>
            </w:tcMar>
            <w:vAlign w:val="center"/>
          </w:tcPr>
          <w:p w14:paraId="13D70662">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4"/>
                <w:szCs w:val="20"/>
                <w:highlight w:val="none"/>
                <w:lang w:val="en-US" w:eastAsia="zh-CN" w:bidi="ar-SA"/>
              </w:rPr>
            </w:pPr>
            <w:r>
              <w:rPr>
                <w:rFonts w:hint="eastAsia" w:ascii="Times New Roman" w:hAnsi="Times New Roman" w:eastAsia="宋体" w:cs="Times New Roman"/>
                <w:b/>
                <w:bCs/>
                <w:color w:val="auto"/>
                <w:kern w:val="0"/>
                <w:sz w:val="24"/>
                <w:szCs w:val="20"/>
                <w:highlight w:val="none"/>
                <w:lang w:val="en-US" w:eastAsia="zh-CN" w:bidi="ar-SA"/>
              </w:rPr>
              <w:t>运营</w:t>
            </w:r>
            <w:r>
              <w:rPr>
                <w:rFonts w:hint="default" w:ascii="Times New Roman" w:hAnsi="Times New Roman" w:eastAsia="宋体" w:cs="Times New Roman"/>
                <w:b/>
                <w:bCs/>
                <w:color w:val="auto"/>
                <w:kern w:val="0"/>
                <w:sz w:val="24"/>
                <w:szCs w:val="20"/>
                <w:highlight w:val="none"/>
                <w:lang w:val="en-US" w:eastAsia="zh-CN" w:bidi="ar-SA"/>
              </w:rPr>
              <w:t>期</w:t>
            </w:r>
          </w:p>
          <w:p w14:paraId="0C442A22">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4"/>
                <w:szCs w:val="20"/>
                <w:highlight w:val="none"/>
                <w:lang w:val="en-US" w:eastAsia="zh-CN" w:bidi="ar-SA"/>
              </w:rPr>
            </w:pPr>
            <w:r>
              <w:rPr>
                <w:rFonts w:hint="default" w:ascii="Times New Roman" w:hAnsi="Times New Roman" w:eastAsia="宋体" w:cs="Times New Roman"/>
                <w:b/>
                <w:bCs/>
                <w:color w:val="auto"/>
                <w:kern w:val="0"/>
                <w:sz w:val="24"/>
                <w:szCs w:val="20"/>
                <w:highlight w:val="none"/>
                <w:lang w:val="en-US" w:eastAsia="zh-CN" w:bidi="ar-SA"/>
              </w:rPr>
              <w:t>环</w:t>
            </w:r>
          </w:p>
          <w:p w14:paraId="6AEC50BF">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4"/>
                <w:szCs w:val="20"/>
                <w:highlight w:val="none"/>
                <w:lang w:val="en-US" w:eastAsia="zh-CN" w:bidi="ar-SA"/>
              </w:rPr>
            </w:pPr>
            <w:r>
              <w:rPr>
                <w:rFonts w:hint="default" w:ascii="Times New Roman" w:hAnsi="Times New Roman" w:eastAsia="宋体" w:cs="Times New Roman"/>
                <w:b/>
                <w:bCs/>
                <w:color w:val="auto"/>
                <w:kern w:val="0"/>
                <w:sz w:val="24"/>
                <w:szCs w:val="20"/>
                <w:highlight w:val="none"/>
                <w:lang w:val="en-US" w:eastAsia="zh-CN" w:bidi="ar-SA"/>
              </w:rPr>
              <w:t>境</w:t>
            </w:r>
          </w:p>
          <w:p w14:paraId="67CDA322">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4"/>
                <w:szCs w:val="20"/>
                <w:highlight w:val="none"/>
                <w:lang w:val="en-US" w:eastAsia="zh-CN" w:bidi="ar-SA"/>
              </w:rPr>
            </w:pPr>
            <w:r>
              <w:rPr>
                <w:rFonts w:hint="default" w:ascii="Times New Roman" w:hAnsi="Times New Roman" w:eastAsia="宋体" w:cs="Times New Roman"/>
                <w:b/>
                <w:bCs/>
                <w:color w:val="auto"/>
                <w:kern w:val="0"/>
                <w:sz w:val="24"/>
                <w:szCs w:val="20"/>
                <w:highlight w:val="none"/>
                <w:lang w:val="en-US" w:eastAsia="zh-CN" w:bidi="ar-SA"/>
              </w:rPr>
              <w:t>保</w:t>
            </w:r>
          </w:p>
          <w:p w14:paraId="52400226">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4"/>
                <w:szCs w:val="20"/>
                <w:highlight w:val="none"/>
                <w:lang w:val="en-US" w:eastAsia="zh-CN" w:bidi="ar-SA"/>
              </w:rPr>
            </w:pPr>
            <w:r>
              <w:rPr>
                <w:rFonts w:hint="default" w:ascii="Times New Roman" w:hAnsi="Times New Roman" w:eastAsia="宋体" w:cs="Times New Roman"/>
                <w:b/>
                <w:bCs/>
                <w:color w:val="auto"/>
                <w:kern w:val="0"/>
                <w:sz w:val="24"/>
                <w:szCs w:val="20"/>
                <w:highlight w:val="none"/>
                <w:lang w:val="en-US" w:eastAsia="zh-CN" w:bidi="ar-SA"/>
              </w:rPr>
              <w:t>护</w:t>
            </w:r>
          </w:p>
          <w:p w14:paraId="52987F22">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4"/>
                <w:szCs w:val="20"/>
                <w:highlight w:val="none"/>
                <w:lang w:val="en-US" w:eastAsia="zh-CN" w:bidi="ar-SA"/>
              </w:rPr>
            </w:pPr>
            <w:r>
              <w:rPr>
                <w:rFonts w:hint="default" w:ascii="Times New Roman" w:hAnsi="Times New Roman" w:eastAsia="宋体" w:cs="Times New Roman"/>
                <w:b/>
                <w:bCs/>
                <w:color w:val="auto"/>
                <w:kern w:val="0"/>
                <w:sz w:val="24"/>
                <w:szCs w:val="20"/>
                <w:highlight w:val="none"/>
                <w:lang w:val="en-US" w:eastAsia="zh-CN" w:bidi="ar-SA"/>
              </w:rPr>
              <w:t>措</w:t>
            </w:r>
          </w:p>
          <w:p w14:paraId="46F78961">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4"/>
                <w:szCs w:val="21"/>
                <w:highlight w:val="none"/>
                <w:lang w:val="en-US" w:eastAsia="zh-CN" w:bidi="ar-SA"/>
              </w:rPr>
            </w:pPr>
            <w:r>
              <w:rPr>
                <w:rFonts w:hint="default" w:ascii="Times New Roman" w:hAnsi="Times New Roman" w:eastAsia="宋体" w:cs="Times New Roman"/>
                <w:b/>
                <w:bCs/>
                <w:color w:val="auto"/>
                <w:kern w:val="0"/>
                <w:sz w:val="24"/>
                <w:szCs w:val="20"/>
                <w:highlight w:val="none"/>
                <w:lang w:val="en-US" w:eastAsia="zh-CN" w:bidi="ar-SA"/>
              </w:rPr>
              <w:t>施</w:t>
            </w:r>
          </w:p>
        </w:tc>
        <w:tc>
          <w:tcPr>
            <w:tcW w:w="8682" w:type="dxa"/>
            <w:vAlign w:val="center"/>
          </w:tcPr>
          <w:p w14:paraId="2D5B79B4">
            <w:pPr>
              <w:keepNext w:val="0"/>
              <w:keepLines w:val="0"/>
              <w:pageBreakBefore w:val="0"/>
              <w:suppressLineNumbers w:val="0"/>
              <w:kinsoku/>
              <w:wordWrap/>
              <w:overflowPunct/>
              <w:topLinePunct w:val="0"/>
              <w:autoSpaceDE/>
              <w:autoSpaceDN/>
              <w:bidi w:val="0"/>
              <w:spacing w:before="0" w:beforeAutospacing="0" w:after="0" w:afterAutospacing="0" w:line="384" w:lineRule="auto"/>
              <w:ind w:left="0" w:right="0"/>
              <w:textAlignment w:val="auto"/>
              <w:rPr>
                <w:rFonts w:hint="eastAsia"/>
                <w:color w:val="auto"/>
                <w:highlight w:val="none"/>
                <w:lang w:val="en-US" w:eastAsia="zh-CN"/>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lang w:val="en-US" w:eastAsia="zh-CN"/>
              </w:rPr>
              <w:t>固体废物源强核算过程</w:t>
            </w:r>
          </w:p>
          <w:p w14:paraId="6BFCFB8A">
            <w:pPr>
              <w:keepNext w:val="0"/>
              <w:keepLines w:val="0"/>
              <w:pageBreakBefore w:val="0"/>
              <w:suppressLineNumbers w:val="0"/>
              <w:kinsoku/>
              <w:wordWrap/>
              <w:overflowPunct/>
              <w:topLinePunct w:val="0"/>
              <w:autoSpaceDE/>
              <w:autoSpaceDN/>
              <w:bidi w:val="0"/>
              <w:spacing w:before="0" w:beforeAutospacing="0" w:after="0" w:afterAutospacing="0" w:line="384" w:lineRule="auto"/>
              <w:ind w:left="0" w:right="0" w:firstLine="480" w:firstLineChars="200"/>
              <w:textAlignment w:val="auto"/>
              <w:rPr>
                <w:rFonts w:hint="eastAsia"/>
                <w:color w:val="auto"/>
                <w:sz w:val="24"/>
                <w:highlight w:val="none"/>
              </w:rPr>
            </w:pPr>
            <w:r>
              <w:rPr>
                <w:rFonts w:hint="eastAsia"/>
                <w:color w:val="auto"/>
                <w:sz w:val="24"/>
                <w:highlight w:val="none"/>
              </w:rPr>
              <w:t>1</w:t>
            </w:r>
            <w:r>
              <w:rPr>
                <w:rFonts w:hint="default"/>
                <w:color w:val="auto"/>
                <w:sz w:val="24"/>
                <w:highlight w:val="none"/>
              </w:rPr>
              <w:t>）生活垃圾</w:t>
            </w:r>
          </w:p>
          <w:p w14:paraId="04AE4299">
            <w:pPr>
              <w:keepNext w:val="0"/>
              <w:keepLines w:val="0"/>
              <w:pageBreakBefore w:val="0"/>
              <w:suppressLineNumbers w:val="0"/>
              <w:kinsoku/>
              <w:wordWrap/>
              <w:overflowPunct/>
              <w:topLinePunct w:val="0"/>
              <w:autoSpaceDE/>
              <w:autoSpaceDN/>
              <w:bidi w:val="0"/>
              <w:spacing w:before="0" w:beforeAutospacing="0" w:after="0" w:afterAutospacing="0" w:line="384" w:lineRule="auto"/>
              <w:ind w:left="0" w:right="0" w:firstLine="480" w:firstLineChars="200"/>
              <w:textAlignment w:val="auto"/>
              <w:rPr>
                <w:rFonts w:hint="default"/>
                <w:color w:val="auto"/>
                <w:sz w:val="24"/>
                <w:highlight w:val="none"/>
              </w:rPr>
            </w:pPr>
            <w:r>
              <w:rPr>
                <w:rFonts w:hint="default"/>
                <w:color w:val="auto"/>
                <w:sz w:val="24"/>
                <w:highlight w:val="none"/>
              </w:rPr>
              <w:t>生活垃圾来源于企业员工办公、生活，</w:t>
            </w:r>
            <w:r>
              <w:rPr>
                <w:rFonts w:hint="eastAsia"/>
                <w:color w:val="auto"/>
                <w:sz w:val="24"/>
                <w:highlight w:val="none"/>
              </w:rPr>
              <w:t>员工</w:t>
            </w:r>
            <w:r>
              <w:rPr>
                <w:rFonts w:hint="default"/>
                <w:color w:val="auto"/>
                <w:sz w:val="24"/>
                <w:highlight w:val="none"/>
              </w:rPr>
              <w:t>生活垃圾产生量按</w:t>
            </w:r>
            <w:r>
              <w:rPr>
                <w:rFonts w:hint="eastAsia"/>
                <w:color w:val="auto"/>
                <w:sz w:val="24"/>
                <w:highlight w:val="none"/>
                <w:lang w:val="en-US" w:eastAsia="zh-CN"/>
              </w:rPr>
              <w:t>1.0</w:t>
            </w:r>
            <w:r>
              <w:rPr>
                <w:rFonts w:hint="default"/>
                <w:color w:val="auto"/>
                <w:sz w:val="24"/>
                <w:highlight w:val="none"/>
              </w:rPr>
              <w:t>kg/人</w:t>
            </w:r>
            <w:r>
              <w:rPr>
                <w:rFonts w:hint="default" w:ascii="Times New Roman" w:hAnsi="Times New Roman" w:cs="Times New Roman"/>
                <w:color w:val="auto"/>
                <w:sz w:val="24"/>
                <w:highlight w:val="none"/>
                <w:lang w:val="en-US" w:eastAsia="zh-CN"/>
              </w:rPr>
              <w:t>·</w:t>
            </w:r>
            <w:r>
              <w:rPr>
                <w:rFonts w:hint="default"/>
                <w:color w:val="auto"/>
                <w:sz w:val="24"/>
                <w:highlight w:val="none"/>
              </w:rPr>
              <w:t>d计，全厂职工人数为</w:t>
            </w:r>
            <w:r>
              <w:rPr>
                <w:rFonts w:hint="eastAsia"/>
                <w:color w:val="auto"/>
                <w:sz w:val="24"/>
                <w:highlight w:val="none"/>
                <w:lang w:val="en-US" w:eastAsia="zh-CN"/>
              </w:rPr>
              <w:t>15</w:t>
            </w:r>
            <w:r>
              <w:rPr>
                <w:rFonts w:hint="default"/>
                <w:color w:val="auto"/>
                <w:sz w:val="24"/>
                <w:highlight w:val="none"/>
              </w:rPr>
              <w:t>人</w:t>
            </w:r>
            <w:r>
              <w:rPr>
                <w:rFonts w:hint="eastAsia"/>
                <w:color w:val="auto"/>
                <w:sz w:val="24"/>
                <w:highlight w:val="none"/>
              </w:rPr>
              <w:t>，员工</w:t>
            </w:r>
            <w:r>
              <w:rPr>
                <w:rFonts w:hint="default"/>
                <w:color w:val="auto"/>
                <w:sz w:val="24"/>
                <w:highlight w:val="none"/>
              </w:rPr>
              <w:t>生活垃圾产生量为</w:t>
            </w:r>
            <w:r>
              <w:rPr>
                <w:rFonts w:hint="eastAsia"/>
                <w:color w:val="auto"/>
                <w:sz w:val="24"/>
                <w:highlight w:val="none"/>
                <w:lang w:val="en-US" w:eastAsia="zh-CN"/>
              </w:rPr>
              <w:t>4.5</w:t>
            </w:r>
            <w:r>
              <w:rPr>
                <w:rFonts w:hint="default"/>
                <w:color w:val="auto"/>
                <w:sz w:val="24"/>
                <w:highlight w:val="none"/>
              </w:rPr>
              <w:t>t/a。本项目生活垃圾经收集后由市政环卫</w:t>
            </w:r>
            <w:r>
              <w:rPr>
                <w:rFonts w:hint="eastAsia"/>
                <w:color w:val="auto"/>
                <w:sz w:val="24"/>
                <w:highlight w:val="none"/>
                <w:lang w:val="en-US" w:eastAsia="zh-CN"/>
              </w:rPr>
              <w:t>部门</w:t>
            </w:r>
            <w:r>
              <w:rPr>
                <w:rFonts w:hint="eastAsia"/>
                <w:color w:val="auto"/>
                <w:sz w:val="24"/>
                <w:highlight w:val="none"/>
              </w:rPr>
              <w:t>定期清运</w:t>
            </w:r>
            <w:r>
              <w:rPr>
                <w:rFonts w:hint="default"/>
                <w:color w:val="auto"/>
                <w:sz w:val="24"/>
                <w:highlight w:val="none"/>
              </w:rPr>
              <w:t>。</w:t>
            </w:r>
          </w:p>
          <w:p w14:paraId="10DE954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84" w:lineRule="auto"/>
              <w:ind w:left="0" w:right="0" w:firstLine="480" w:firstLineChars="200"/>
              <w:textAlignment w:val="auto"/>
              <w:rPr>
                <w:rFonts w:hint="eastAsia" w:eastAsia="宋体"/>
                <w:color w:val="auto"/>
                <w:sz w:val="24"/>
                <w:highlight w:val="none"/>
                <w:lang w:eastAsia="zh-CN"/>
              </w:rPr>
            </w:pPr>
            <w:r>
              <w:rPr>
                <w:rFonts w:hint="eastAsia"/>
                <w:color w:val="auto"/>
                <w:sz w:val="24"/>
                <w:highlight w:val="none"/>
              </w:rPr>
              <w:t>2）</w:t>
            </w:r>
            <w:r>
              <w:rPr>
                <w:rFonts w:hint="eastAsia"/>
                <w:color w:val="auto"/>
                <w:sz w:val="24"/>
                <w:highlight w:val="none"/>
                <w:lang w:val="en-US" w:eastAsia="zh-CN"/>
              </w:rPr>
              <w:t>废包装材料</w:t>
            </w:r>
          </w:p>
          <w:p w14:paraId="5923B20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84" w:lineRule="auto"/>
              <w:ind w:left="0" w:right="0"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本项目原辅材料拆包使用过程会产生一定量的废包装材料，根据建设单位提供资料，本项目原辅材料的总使用量约为2559.104t/a。包装袋规格均为25kg/袋，每个空包装袋约0.1kg，则产生废包装材料约为10.24t/a，暂存在一般固废暂存区。项目废包装材料收集后外售综合利用。</w:t>
            </w:r>
          </w:p>
          <w:p w14:paraId="762E38A5">
            <w:pPr>
              <w:keepNext w:val="0"/>
              <w:keepLines w:val="0"/>
              <w:pageBreakBefore w:val="0"/>
              <w:suppressLineNumbers w:val="0"/>
              <w:kinsoku/>
              <w:wordWrap/>
              <w:overflowPunct/>
              <w:topLinePunct w:val="0"/>
              <w:autoSpaceDE/>
              <w:autoSpaceDN/>
              <w:bidi w:val="0"/>
              <w:spacing w:before="0" w:beforeAutospacing="0" w:after="0" w:afterAutospacing="0" w:line="384" w:lineRule="auto"/>
              <w:ind w:left="0" w:right="0" w:firstLine="480" w:firstLineChars="200"/>
              <w:textAlignment w:val="auto"/>
              <w:rPr>
                <w:rFonts w:hint="default"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3）</w:t>
            </w:r>
            <w:r>
              <w:rPr>
                <w:rFonts w:hint="eastAsia" w:cs="Times New Roman"/>
                <w:color w:val="auto"/>
                <w:sz w:val="24"/>
                <w:highlight w:val="none"/>
                <w:lang w:val="en-US" w:eastAsia="zh-CN"/>
              </w:rPr>
              <w:t>边角料及不合格品</w:t>
            </w:r>
          </w:p>
          <w:p w14:paraId="152055FF">
            <w:pPr>
              <w:keepNext w:val="0"/>
              <w:keepLines w:val="0"/>
              <w:pageBreakBefore w:val="0"/>
              <w:suppressLineNumbers w:val="0"/>
              <w:kinsoku/>
              <w:wordWrap/>
              <w:overflowPunct/>
              <w:topLinePunct w:val="0"/>
              <w:autoSpaceDE/>
              <w:autoSpaceDN/>
              <w:bidi w:val="0"/>
              <w:spacing w:before="0" w:beforeAutospacing="0" w:after="0" w:afterAutospacing="0" w:line="384" w:lineRule="auto"/>
              <w:ind w:left="0" w:right="0" w:firstLine="480" w:firstLineChars="200"/>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根据建设单位提供技术资料，项目在</w:t>
            </w:r>
            <w:r>
              <w:rPr>
                <w:rFonts w:hint="eastAsia" w:cs="Times New Roman"/>
                <w:color w:val="auto"/>
                <w:sz w:val="24"/>
                <w:highlight w:val="none"/>
                <w:lang w:val="en-US" w:eastAsia="zh-CN"/>
              </w:rPr>
              <w:t>挤出、</w:t>
            </w:r>
            <w:r>
              <w:rPr>
                <w:rFonts w:hint="eastAsia" w:ascii="Times New Roman" w:hAnsi="Times New Roman" w:cs="Times New Roman"/>
                <w:color w:val="auto"/>
                <w:sz w:val="24"/>
                <w:highlight w:val="none"/>
                <w:lang w:val="en-US" w:eastAsia="zh-CN"/>
              </w:rPr>
              <w:t>切</w:t>
            </w:r>
            <w:r>
              <w:rPr>
                <w:rFonts w:hint="eastAsia" w:cs="Times New Roman"/>
                <w:color w:val="auto"/>
                <w:sz w:val="24"/>
                <w:highlight w:val="none"/>
                <w:lang w:val="en-US" w:eastAsia="zh-CN"/>
              </w:rPr>
              <w:t>条</w:t>
            </w:r>
            <w:r>
              <w:rPr>
                <w:rFonts w:hint="eastAsia" w:ascii="Times New Roman" w:hAnsi="Times New Roman" w:cs="Times New Roman"/>
                <w:color w:val="auto"/>
                <w:sz w:val="24"/>
                <w:highlight w:val="none"/>
                <w:lang w:val="en-US" w:eastAsia="zh-CN"/>
              </w:rPr>
              <w:t>及检验过程中会产生边角料及不合格品，边角料及不合格品</w:t>
            </w:r>
            <w:r>
              <w:rPr>
                <w:rFonts w:hint="eastAsia" w:cs="Times New Roman"/>
                <w:color w:val="auto"/>
                <w:sz w:val="24"/>
                <w:highlight w:val="none"/>
                <w:lang w:val="en-US" w:eastAsia="zh-CN"/>
              </w:rPr>
              <w:t>约占产品产量2.3%，</w:t>
            </w:r>
            <w:r>
              <w:rPr>
                <w:rFonts w:hint="eastAsia" w:ascii="Times New Roman" w:hAnsi="Times New Roman" w:cs="Times New Roman"/>
                <w:color w:val="auto"/>
                <w:sz w:val="24"/>
                <w:highlight w:val="none"/>
                <w:lang w:val="en-US" w:eastAsia="zh-CN"/>
              </w:rPr>
              <w:t>边角料及不合格品的产生量为</w:t>
            </w:r>
            <w:r>
              <w:rPr>
                <w:rFonts w:hint="eastAsia" w:cs="Times New Roman"/>
                <w:color w:val="auto"/>
                <w:sz w:val="24"/>
                <w:highlight w:val="none"/>
                <w:lang w:val="en-US" w:eastAsia="zh-CN"/>
              </w:rPr>
              <w:t>57.5</w:t>
            </w:r>
            <w:r>
              <w:rPr>
                <w:rFonts w:hint="eastAsia" w:ascii="Times New Roman" w:hAnsi="Times New Roman" w:cs="Times New Roman"/>
                <w:color w:val="auto"/>
                <w:sz w:val="24"/>
                <w:highlight w:val="none"/>
                <w:lang w:val="en-US" w:eastAsia="zh-CN"/>
              </w:rPr>
              <w:t>/a，废物代码为SW17 900-003-S17，暂存于一般工业固废暂存</w:t>
            </w:r>
            <w:r>
              <w:rPr>
                <w:rFonts w:hint="eastAsia" w:cs="Times New Roman"/>
                <w:color w:val="auto"/>
                <w:sz w:val="24"/>
                <w:highlight w:val="none"/>
                <w:lang w:val="en-US" w:eastAsia="zh-CN"/>
              </w:rPr>
              <w:t>区</w:t>
            </w:r>
            <w:r>
              <w:rPr>
                <w:rFonts w:hint="eastAsia" w:ascii="Times New Roman" w:hAnsi="Times New Roman" w:cs="Times New Roman"/>
                <w:color w:val="auto"/>
                <w:sz w:val="24"/>
                <w:highlight w:val="none"/>
                <w:lang w:val="en-US" w:eastAsia="zh-CN"/>
              </w:rPr>
              <w:t>，定期</w:t>
            </w:r>
            <w:r>
              <w:rPr>
                <w:rFonts w:hint="eastAsia" w:cs="Times New Roman"/>
                <w:color w:val="auto"/>
                <w:sz w:val="24"/>
                <w:highlight w:val="none"/>
                <w:lang w:val="en-US" w:eastAsia="zh-CN"/>
              </w:rPr>
              <w:t>由</w:t>
            </w:r>
            <w:r>
              <w:rPr>
                <w:rFonts w:hint="eastAsia" w:ascii="Times New Roman" w:hAnsi="Times New Roman" w:cs="Times New Roman"/>
                <w:color w:val="auto"/>
                <w:sz w:val="24"/>
                <w:highlight w:val="none"/>
                <w:lang w:val="en-US" w:eastAsia="zh-CN"/>
              </w:rPr>
              <w:t>厂家</w:t>
            </w:r>
            <w:r>
              <w:rPr>
                <w:rFonts w:hint="eastAsia" w:cs="Times New Roman"/>
                <w:color w:val="auto"/>
                <w:sz w:val="24"/>
                <w:highlight w:val="none"/>
                <w:lang w:val="en-US" w:eastAsia="zh-CN"/>
              </w:rPr>
              <w:t>回收</w:t>
            </w:r>
            <w:r>
              <w:rPr>
                <w:rFonts w:hint="eastAsia" w:ascii="Times New Roman" w:hAnsi="Times New Roman" w:cs="Times New Roman"/>
                <w:color w:val="auto"/>
                <w:sz w:val="24"/>
                <w:highlight w:val="none"/>
                <w:lang w:val="en-US" w:eastAsia="zh-CN"/>
              </w:rPr>
              <w:t>处理。</w:t>
            </w:r>
          </w:p>
          <w:p w14:paraId="62E4EBA3">
            <w:pPr>
              <w:pStyle w:val="159"/>
              <w:keepNext w:val="0"/>
              <w:keepLines w:val="0"/>
              <w:suppressLineNumbers w:val="0"/>
              <w:spacing w:before="0" w:beforeAutospacing="0" w:after="0" w:afterAutospacing="0"/>
              <w:ind w:left="0" w:right="0"/>
              <w:rPr>
                <w:rFonts w:hint="default"/>
                <w:color w:val="auto"/>
                <w:sz w:val="24"/>
              </w:rPr>
            </w:pPr>
            <w:r>
              <w:rPr>
                <w:rFonts w:hint="eastAsia"/>
                <w:color w:val="auto"/>
                <w:sz w:val="24"/>
                <w:lang w:val="en-US" w:eastAsia="zh-CN"/>
              </w:rPr>
              <w:t>4</w:t>
            </w:r>
            <w:r>
              <w:rPr>
                <w:rFonts w:hint="eastAsia"/>
                <w:color w:val="auto"/>
                <w:sz w:val="24"/>
              </w:rPr>
              <w:t>）废机油</w:t>
            </w:r>
          </w:p>
          <w:p w14:paraId="0330BBA3">
            <w:pPr>
              <w:pStyle w:val="159"/>
              <w:keepNext w:val="0"/>
              <w:keepLines w:val="0"/>
              <w:suppressLineNumbers w:val="0"/>
              <w:spacing w:before="0" w:beforeAutospacing="0" w:after="0" w:afterAutospacing="0"/>
              <w:ind w:left="0" w:right="0"/>
              <w:rPr>
                <w:rFonts w:hint="default"/>
                <w:color w:val="auto"/>
                <w:sz w:val="24"/>
                <w:szCs w:val="24"/>
              </w:rPr>
            </w:pPr>
            <w:r>
              <w:rPr>
                <w:rFonts w:hint="eastAsia"/>
                <w:color w:val="auto"/>
                <w:sz w:val="24"/>
              </w:rPr>
              <w:t>项目机械</w:t>
            </w:r>
            <w:r>
              <w:rPr>
                <w:rFonts w:hint="default"/>
                <w:color w:val="auto"/>
                <w:sz w:val="24"/>
              </w:rPr>
              <w:t>设备</w:t>
            </w:r>
            <w:r>
              <w:rPr>
                <w:rFonts w:hint="eastAsia"/>
                <w:color w:val="auto"/>
                <w:sz w:val="24"/>
              </w:rPr>
              <w:t>在</w:t>
            </w:r>
            <w:r>
              <w:rPr>
                <w:rFonts w:hint="default"/>
                <w:color w:val="auto"/>
                <w:sz w:val="24"/>
              </w:rPr>
              <w:t>定期维修保养的过程会产生废机油，</w:t>
            </w:r>
            <w:r>
              <w:rPr>
                <w:rFonts w:hint="eastAsia"/>
                <w:color w:val="auto"/>
                <w:sz w:val="24"/>
              </w:rPr>
              <w:t>根据企业生产经验，废机油产生量为</w:t>
            </w:r>
            <w:r>
              <w:rPr>
                <w:rFonts w:hint="default"/>
                <w:color w:val="auto"/>
                <w:sz w:val="24"/>
              </w:rPr>
              <w:t>0.0</w:t>
            </w:r>
            <w:r>
              <w:rPr>
                <w:rFonts w:hint="eastAsia"/>
                <w:color w:val="auto"/>
                <w:sz w:val="24"/>
                <w:lang w:val="en-US" w:eastAsia="zh-CN"/>
              </w:rPr>
              <w:t>5</w:t>
            </w:r>
            <w:r>
              <w:rPr>
                <w:rFonts w:hint="default"/>
                <w:color w:val="auto"/>
                <w:sz w:val="24"/>
              </w:rPr>
              <w:t>t/a</w:t>
            </w:r>
            <w:r>
              <w:rPr>
                <w:rFonts w:hint="eastAsia"/>
                <w:color w:val="auto"/>
                <w:sz w:val="24"/>
              </w:rPr>
              <w:t>，根据</w:t>
            </w:r>
            <w:r>
              <w:rPr>
                <w:rFonts w:hint="eastAsia"/>
                <w:color w:val="auto"/>
                <w:sz w:val="24"/>
                <w:szCs w:val="24"/>
              </w:rPr>
              <w:t>《国家危险废物名录》（2</w:t>
            </w:r>
            <w:r>
              <w:rPr>
                <w:rFonts w:hint="default"/>
                <w:color w:val="auto"/>
                <w:sz w:val="24"/>
                <w:szCs w:val="24"/>
              </w:rPr>
              <w:t>02</w:t>
            </w:r>
            <w:r>
              <w:rPr>
                <w:rFonts w:hint="eastAsia"/>
                <w:color w:val="auto"/>
                <w:sz w:val="24"/>
                <w:szCs w:val="24"/>
              </w:rPr>
              <w:t>5年版）</w:t>
            </w:r>
            <w:r>
              <w:rPr>
                <w:rFonts w:hint="eastAsia"/>
                <w:color w:val="auto"/>
                <w:sz w:val="24"/>
              </w:rPr>
              <w:t>，其属于危险废物，危废</w:t>
            </w:r>
            <w:r>
              <w:rPr>
                <w:rFonts w:hint="default"/>
                <w:color w:val="auto"/>
                <w:sz w:val="24"/>
              </w:rPr>
              <w:t>代码为</w:t>
            </w:r>
            <w:r>
              <w:rPr>
                <w:rFonts w:hint="eastAsia"/>
                <w:color w:val="auto"/>
                <w:sz w:val="24"/>
              </w:rPr>
              <w:t>HW</w:t>
            </w:r>
            <w:r>
              <w:rPr>
                <w:rFonts w:hint="default"/>
                <w:color w:val="auto"/>
                <w:sz w:val="24"/>
              </w:rPr>
              <w:t xml:space="preserve">08 </w:t>
            </w:r>
            <w:r>
              <w:rPr>
                <w:rFonts w:hint="eastAsia"/>
                <w:color w:val="auto"/>
                <w:sz w:val="24"/>
              </w:rPr>
              <w:t>900-214-08，该部分</w:t>
            </w:r>
            <w:r>
              <w:rPr>
                <w:rFonts w:hint="default"/>
                <w:color w:val="auto"/>
                <w:sz w:val="24"/>
              </w:rPr>
              <w:t>废物</w:t>
            </w:r>
            <w:r>
              <w:rPr>
                <w:rFonts w:hint="default"/>
                <w:color w:val="auto"/>
                <w:sz w:val="24"/>
                <w:szCs w:val="24"/>
              </w:rPr>
              <w:t>定期交由有</w:t>
            </w:r>
            <w:r>
              <w:rPr>
                <w:rFonts w:hint="eastAsia"/>
                <w:color w:val="auto"/>
                <w:sz w:val="24"/>
                <w:szCs w:val="24"/>
              </w:rPr>
              <w:t>危险废物</w:t>
            </w:r>
            <w:r>
              <w:rPr>
                <w:rFonts w:hint="default"/>
                <w:color w:val="auto"/>
                <w:sz w:val="24"/>
                <w:szCs w:val="24"/>
              </w:rPr>
              <w:t>处置资质的单位处置</w:t>
            </w:r>
            <w:r>
              <w:rPr>
                <w:rFonts w:hint="eastAsia"/>
                <w:color w:val="auto"/>
                <w:sz w:val="24"/>
                <w:szCs w:val="24"/>
              </w:rPr>
              <w:t>。</w:t>
            </w:r>
          </w:p>
          <w:p w14:paraId="7F9B1382">
            <w:pPr>
              <w:pStyle w:val="159"/>
              <w:keepNext w:val="0"/>
              <w:keepLines w:val="0"/>
              <w:suppressLineNumbers w:val="0"/>
              <w:spacing w:before="0" w:beforeAutospacing="0" w:after="0" w:afterAutospacing="0"/>
              <w:ind w:left="0" w:right="0"/>
              <w:rPr>
                <w:rFonts w:hint="default"/>
                <w:color w:val="auto"/>
                <w:sz w:val="24"/>
              </w:rPr>
            </w:pPr>
            <w:r>
              <w:rPr>
                <w:rFonts w:hint="eastAsia"/>
                <w:color w:val="auto"/>
                <w:sz w:val="24"/>
                <w:lang w:val="en-US" w:eastAsia="zh-CN"/>
              </w:rPr>
              <w:t>5</w:t>
            </w:r>
            <w:r>
              <w:rPr>
                <w:rFonts w:hint="eastAsia"/>
                <w:color w:val="auto"/>
                <w:sz w:val="24"/>
              </w:rPr>
              <w:t>）废机油桶</w:t>
            </w:r>
          </w:p>
          <w:p w14:paraId="7B486460">
            <w:pPr>
              <w:pStyle w:val="159"/>
              <w:keepNext w:val="0"/>
              <w:keepLines w:val="0"/>
              <w:suppressLineNumbers w:val="0"/>
              <w:spacing w:before="0" w:beforeAutospacing="0" w:after="0" w:afterAutospacing="0"/>
              <w:ind w:left="0" w:right="0"/>
              <w:rPr>
                <w:rFonts w:hint="default"/>
                <w:color w:val="auto"/>
                <w:sz w:val="24"/>
                <w:szCs w:val="24"/>
              </w:rPr>
            </w:pPr>
            <w:r>
              <w:rPr>
                <w:rFonts w:hint="eastAsia"/>
                <w:color w:val="auto"/>
                <w:sz w:val="24"/>
              </w:rPr>
              <w:t>项目机油使用后会产生废机油桶，根据企业生产经验，产生量为0.01t/a。根据《国家危险废物名录》（2025年版），其属于危险废物，危废代码为HW08 900-249-08，建议该部分废物集中收集定期交由有危险废物处置资质的单位进行处置</w:t>
            </w:r>
            <w:r>
              <w:rPr>
                <w:rFonts w:hint="eastAsia"/>
                <w:color w:val="auto"/>
                <w:sz w:val="24"/>
                <w:szCs w:val="24"/>
              </w:rPr>
              <w:t>。</w:t>
            </w:r>
          </w:p>
          <w:p w14:paraId="233FBB46">
            <w:pPr>
              <w:pStyle w:val="159"/>
              <w:keepNext w:val="0"/>
              <w:keepLines w:val="0"/>
              <w:suppressLineNumbers w:val="0"/>
              <w:spacing w:before="0" w:beforeAutospacing="0" w:after="0" w:afterAutospacing="0"/>
              <w:ind w:left="0" w:right="0"/>
              <w:rPr>
                <w:rFonts w:hint="default"/>
                <w:color w:val="auto"/>
                <w:sz w:val="24"/>
              </w:rPr>
            </w:pPr>
            <w:r>
              <w:rPr>
                <w:rFonts w:hint="eastAsia"/>
                <w:color w:val="auto"/>
                <w:sz w:val="24"/>
                <w:lang w:val="en-US" w:eastAsia="zh-CN"/>
              </w:rPr>
              <w:t>6</w:t>
            </w:r>
            <w:r>
              <w:rPr>
                <w:rFonts w:hint="eastAsia"/>
                <w:color w:val="auto"/>
                <w:sz w:val="24"/>
              </w:rPr>
              <w:t>）</w:t>
            </w:r>
            <w:r>
              <w:rPr>
                <w:rFonts w:hint="eastAsia" w:ascii="Times New Roman" w:hAnsi="Times New Roman" w:cs="Times New Roman"/>
                <w:color w:val="auto"/>
                <w:sz w:val="24"/>
                <w:highlight w:val="none"/>
                <w:lang w:val="en-US" w:eastAsia="zh-CN"/>
              </w:rPr>
              <w:t>废含油抹布</w:t>
            </w:r>
          </w:p>
          <w:p w14:paraId="5F0044C5">
            <w:pPr>
              <w:pStyle w:val="159"/>
              <w:keepNext w:val="0"/>
              <w:keepLines w:val="0"/>
              <w:suppressLineNumbers w:val="0"/>
              <w:spacing w:before="0" w:beforeAutospacing="0" w:after="0" w:afterAutospacing="0"/>
              <w:ind w:left="0" w:right="0"/>
              <w:rPr>
                <w:rFonts w:hint="default"/>
                <w:color w:val="auto"/>
                <w:sz w:val="24"/>
              </w:rPr>
            </w:pPr>
            <w:r>
              <w:rPr>
                <w:rFonts w:hint="eastAsia"/>
                <w:color w:val="auto"/>
                <w:sz w:val="24"/>
              </w:rPr>
              <w:t>项目设备维护、清洁过程会产生含油废抹布及手套，根据企业生产经验，产生量为0.</w:t>
            </w:r>
            <w:r>
              <w:rPr>
                <w:rFonts w:hint="default"/>
                <w:color w:val="auto"/>
                <w:sz w:val="24"/>
              </w:rPr>
              <w:t>0</w:t>
            </w:r>
            <w:r>
              <w:rPr>
                <w:rFonts w:hint="default"/>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t/a。根据《国家危险废物名录》（2025年版），其属于危险废物，危废</w:t>
            </w:r>
            <w:r>
              <w:rPr>
                <w:rFonts w:hint="default"/>
                <w:color w:val="000000" w:themeColor="text1"/>
                <w:sz w:val="24"/>
                <w14:textFill>
                  <w14:solidFill>
                    <w14:schemeClr w14:val="tx1"/>
                  </w14:solidFill>
                </w14:textFill>
              </w:rPr>
              <w:t>代码为</w:t>
            </w:r>
            <w:r>
              <w:rPr>
                <w:rFonts w:hint="eastAsia"/>
                <w:color w:val="000000" w:themeColor="text1"/>
                <w:sz w:val="24"/>
                <w14:textFill>
                  <w14:solidFill>
                    <w14:schemeClr w14:val="tx1"/>
                  </w14:solidFill>
                </w14:textFill>
              </w:rPr>
              <w:t>HW08 900-249-08，该部分</w:t>
            </w:r>
            <w:r>
              <w:rPr>
                <w:rFonts w:hint="default"/>
                <w:color w:val="000000" w:themeColor="text1"/>
                <w:sz w:val="24"/>
                <w14:textFill>
                  <w14:solidFill>
                    <w14:schemeClr w14:val="tx1"/>
                  </w14:solidFill>
                </w14:textFill>
              </w:rPr>
              <w:t>废物</w:t>
            </w:r>
            <w:r>
              <w:rPr>
                <w:rFonts w:hint="eastAsia"/>
                <w:color w:val="000000" w:themeColor="text1"/>
                <w:sz w:val="24"/>
                <w14:textFill>
                  <w14:solidFill>
                    <w14:schemeClr w14:val="tx1"/>
                  </w14:solidFill>
                </w14:textFill>
              </w:rPr>
              <w:t>集中收集</w:t>
            </w:r>
            <w:r>
              <w:rPr>
                <w:rFonts w:hint="eastAsia"/>
                <w:color w:val="000000" w:themeColor="text1"/>
                <w:sz w:val="24"/>
                <w:szCs w:val="24"/>
                <w14:textFill>
                  <w14:solidFill>
                    <w14:schemeClr w14:val="tx1"/>
                  </w14:solidFill>
                </w14:textFill>
              </w:rPr>
              <w:t>定期交由有危险废物处置资质的单位处置</w:t>
            </w:r>
            <w:r>
              <w:rPr>
                <w:rFonts w:hint="eastAsia"/>
                <w:color w:val="000000" w:themeColor="text1"/>
                <w:sz w:val="24"/>
                <w14:textFill>
                  <w14:solidFill>
                    <w14:schemeClr w14:val="tx1"/>
                  </w14:solidFill>
                </w14:textFill>
              </w:rPr>
              <w:t>。</w:t>
            </w:r>
          </w:p>
          <w:p w14:paraId="285B1954">
            <w:pPr>
              <w:pStyle w:val="159"/>
              <w:keepNext w:val="0"/>
              <w:keepLines w:val="0"/>
              <w:suppressLineNumbers w:val="0"/>
              <w:spacing w:before="0" w:beforeAutospacing="0" w:after="0" w:afterAutospacing="0"/>
              <w:ind w:left="0" w:right="0"/>
              <w:rPr>
                <w:rFonts w:hint="default"/>
                <w:color w:val="auto"/>
                <w:sz w:val="24"/>
              </w:rPr>
            </w:pPr>
            <w:r>
              <w:rPr>
                <w:rFonts w:hint="eastAsia"/>
                <w:color w:val="auto"/>
                <w:sz w:val="24"/>
                <w:lang w:val="en-US" w:eastAsia="zh-CN"/>
              </w:rPr>
              <w:t>7</w:t>
            </w:r>
            <w:r>
              <w:rPr>
                <w:rFonts w:hint="eastAsia"/>
                <w:color w:val="auto"/>
                <w:sz w:val="24"/>
              </w:rPr>
              <w:t>）废活性炭</w:t>
            </w:r>
          </w:p>
          <w:p w14:paraId="6D158BC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both"/>
              <w:textAlignment w:val="auto"/>
              <w:rPr>
                <w:rFonts w:hint="eastAsia"/>
                <w:color w:val="auto"/>
                <w:sz w:val="24"/>
              </w:rPr>
            </w:pPr>
            <w:r>
              <w:rPr>
                <w:rFonts w:hint="eastAsia"/>
                <w:color w:val="auto"/>
                <w:sz w:val="24"/>
                <w:lang w:val="en-US" w:eastAsia="zh-CN"/>
              </w:rPr>
              <w:t>项目活性炭吸附的废气量为0.121t/a，</w:t>
            </w:r>
            <w:r>
              <w:rPr>
                <w:rFonts w:hint="eastAsia"/>
                <w:color w:val="auto"/>
                <w:sz w:val="24"/>
              </w:rPr>
              <w:t>项目活性炭装置的每级有效填充长度为</w:t>
            </w:r>
            <w:r>
              <w:rPr>
                <w:rFonts w:hint="eastAsia"/>
                <w:color w:val="auto"/>
                <w:sz w:val="24"/>
                <w:lang w:val="en-US" w:eastAsia="zh-CN"/>
              </w:rPr>
              <w:t>12</w:t>
            </w:r>
            <w:r>
              <w:rPr>
                <w:rFonts w:hint="eastAsia"/>
                <w:color w:val="auto"/>
                <w:sz w:val="24"/>
              </w:rPr>
              <w:t>00mm、宽度为500mm，内部平铺4层活性炭，单层炭层厚度为100mm，每层炭层间隔为100mm。则单级活性炭吸附装置内有效填充容积为</w:t>
            </w:r>
            <w:r>
              <w:rPr>
                <w:rFonts w:hint="eastAsia"/>
                <w:color w:val="auto"/>
                <w:sz w:val="24"/>
                <w:lang w:val="en-US" w:eastAsia="zh-CN"/>
              </w:rPr>
              <w:t>1.2</w:t>
            </w:r>
            <w:r>
              <w:rPr>
                <w:rFonts w:hint="eastAsia"/>
                <w:color w:val="auto"/>
                <w:sz w:val="24"/>
              </w:rPr>
              <w:t>m</w:t>
            </w:r>
            <w:r>
              <w:rPr>
                <w:rFonts w:hint="default" w:ascii="Times New Roman" w:hAnsi="Times New Roman" w:cs="Times New Roman"/>
                <w:color w:val="auto"/>
                <w:sz w:val="24"/>
                <w:lang w:val="en-US" w:eastAsia="zh-CN"/>
              </w:rPr>
              <w:t>×</w:t>
            </w:r>
            <w:r>
              <w:rPr>
                <w:rFonts w:hint="eastAsia"/>
                <w:color w:val="auto"/>
                <w:sz w:val="24"/>
              </w:rPr>
              <w:t>0.5m</w:t>
            </w:r>
            <w:r>
              <w:rPr>
                <w:rFonts w:hint="default" w:ascii="Times New Roman" w:hAnsi="Times New Roman" w:cs="Times New Roman"/>
                <w:color w:val="auto"/>
                <w:sz w:val="24"/>
                <w:lang w:val="en-US" w:eastAsia="zh-CN"/>
              </w:rPr>
              <w:t>×</w:t>
            </w:r>
            <w:r>
              <w:rPr>
                <w:rFonts w:hint="eastAsia"/>
                <w:color w:val="auto"/>
                <w:sz w:val="24"/>
              </w:rPr>
              <w:t>0.1m</w:t>
            </w:r>
            <w:r>
              <w:rPr>
                <w:rFonts w:hint="default" w:ascii="Times New Roman" w:hAnsi="Times New Roman" w:cs="Times New Roman"/>
                <w:color w:val="auto"/>
                <w:sz w:val="24"/>
                <w:lang w:val="en-US" w:eastAsia="zh-CN"/>
              </w:rPr>
              <w:t>×</w:t>
            </w:r>
            <w:r>
              <w:rPr>
                <w:rFonts w:hint="eastAsia"/>
                <w:color w:val="auto"/>
                <w:sz w:val="24"/>
              </w:rPr>
              <w:t>4=0.</w:t>
            </w:r>
            <w:r>
              <w:rPr>
                <w:rFonts w:hint="eastAsia"/>
                <w:color w:val="auto"/>
                <w:sz w:val="24"/>
                <w:lang w:val="en-US" w:eastAsia="zh-CN"/>
              </w:rPr>
              <w:t>24</w:t>
            </w:r>
            <w:r>
              <w:rPr>
                <w:rFonts w:hint="eastAsia"/>
                <w:color w:val="auto"/>
                <w:sz w:val="24"/>
              </w:rPr>
              <w:t>m</w:t>
            </w:r>
            <w:r>
              <w:rPr>
                <w:rFonts w:hint="eastAsia"/>
                <w:color w:val="auto"/>
                <w:sz w:val="24"/>
                <w:vertAlign w:val="superscript"/>
              </w:rPr>
              <w:t>3</w:t>
            </w:r>
            <w:r>
              <w:rPr>
                <w:rFonts w:hint="eastAsia"/>
                <w:color w:val="auto"/>
                <w:sz w:val="24"/>
              </w:rPr>
              <w:t>，活性炭密度约为500kg/m</w:t>
            </w:r>
            <w:r>
              <w:rPr>
                <w:rFonts w:hint="eastAsia"/>
                <w:color w:val="auto"/>
                <w:sz w:val="24"/>
                <w:vertAlign w:val="superscript"/>
              </w:rPr>
              <w:t>3</w:t>
            </w:r>
            <w:r>
              <w:rPr>
                <w:rFonts w:hint="eastAsia"/>
                <w:color w:val="auto"/>
                <w:sz w:val="24"/>
              </w:rPr>
              <w:t>，则一级活性炭装置总装填量为</w:t>
            </w:r>
            <w:r>
              <w:rPr>
                <w:rFonts w:hint="eastAsia"/>
                <w:color w:val="auto"/>
                <w:sz w:val="24"/>
                <w:lang w:val="en-US" w:eastAsia="zh-CN"/>
              </w:rPr>
              <w:t>12</w:t>
            </w:r>
            <w:r>
              <w:rPr>
                <w:rFonts w:hint="eastAsia"/>
                <w:color w:val="auto"/>
                <w:sz w:val="24"/>
              </w:rPr>
              <w:t>0kg。</w:t>
            </w:r>
          </w:p>
          <w:p w14:paraId="471A146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lang w:val="en-US" w:eastAsia="zh-CN"/>
              </w:rPr>
              <w:t>根据《关于强化VOCs治理攻坚着力做好2023年臭氧污染防治工作的通知》（赣环大气委办字〔2023〕4号），</w:t>
            </w:r>
            <w:r>
              <w:rPr>
                <w:rFonts w:hint="eastAsia" w:ascii="Times New Roman" w:hAnsi="Times New Roman" w:eastAsia="宋体" w:cs="Times New Roman"/>
                <w:color w:val="auto"/>
                <w:sz w:val="24"/>
              </w:rPr>
              <w:t>活性炭更换周期根据公式</w:t>
            </w:r>
            <w:r>
              <w:rPr>
                <w:rFonts w:hint="eastAsia" w:ascii="Times New Roman" w:hAnsi="Times New Roman" w:eastAsia="宋体" w:cs="Times New Roman"/>
                <w:color w:val="auto"/>
                <w:sz w:val="24"/>
                <w:highlight w:val="none"/>
                <w:lang w:val="en-US" w:eastAsia="zh-CN"/>
              </w:rPr>
              <w:t>：</w:t>
            </w:r>
          </w:p>
          <w:p w14:paraId="4E61ECE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leftChars="0" w:right="0" w:firstLine="0" w:firstLineChars="0"/>
              <w:jc w:val="center"/>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position w:val="-28"/>
                <w:sz w:val="24"/>
                <w:highlight w:val="none"/>
                <w:lang w:val="en-US" w:eastAsia="zh-CN"/>
              </w:rPr>
              <w:object>
                <v:shape id="_x0000_i1033" o:spt="75" type="#_x0000_t75" style="height:33pt;width:91pt;" o:ole="t" filled="f" o:preferrelative="t" stroked="f" coordsize="21600,21600">
                  <v:path/>
                  <v:fill on="f" focussize="0,0"/>
                  <v:stroke on="f"/>
                  <v:imagedata r:id="rId35" o:title=""/>
                  <o:lock v:ext="edit" aspectratio="t"/>
                  <w10:wrap type="none"/>
                  <w10:anchorlock/>
                </v:shape>
                <o:OLEObject Type="Embed" ProgID="Equation.KSEE3" ShapeID="_x0000_i1033" DrawAspect="Content" ObjectID="_1468075733" r:id="rId34">
                  <o:LockedField>false</o:LockedField>
                </o:OLEObject>
              </w:object>
            </w:r>
          </w:p>
          <w:p w14:paraId="1F3ECD1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both"/>
              <w:textAlignment w:val="auto"/>
              <w:rPr>
                <w:rFonts w:hint="eastAsia" w:eastAsia="宋体"/>
                <w:color w:val="auto"/>
                <w:sz w:val="24"/>
                <w:lang w:eastAsia="zh-CN"/>
              </w:rPr>
            </w:pPr>
            <w:r>
              <w:rPr>
                <w:rFonts w:hint="eastAsia"/>
                <w:color w:val="auto"/>
                <w:sz w:val="24"/>
                <w:lang w:val="en-US" w:eastAsia="zh-CN"/>
              </w:rPr>
              <w:t>式中</w:t>
            </w:r>
            <w:r>
              <w:rPr>
                <w:rFonts w:hint="eastAsia"/>
                <w:color w:val="auto"/>
                <w:sz w:val="24"/>
              </w:rPr>
              <w:t>，m一活性炭的用量</w:t>
            </w:r>
            <w:r>
              <w:rPr>
                <w:rFonts w:hint="eastAsia"/>
                <w:color w:val="auto"/>
                <w:sz w:val="24"/>
                <w:lang w:val="en-US" w:eastAsia="zh-CN"/>
              </w:rPr>
              <w:t>12</w:t>
            </w:r>
            <w:r>
              <w:rPr>
                <w:rFonts w:hint="eastAsia"/>
                <w:color w:val="auto"/>
                <w:sz w:val="24"/>
              </w:rPr>
              <w:t>0kg</w:t>
            </w:r>
            <w:r>
              <w:rPr>
                <w:rFonts w:hint="eastAsia"/>
                <w:color w:val="auto"/>
                <w:sz w:val="24"/>
                <w:lang w:val="en-US" w:eastAsia="zh-CN"/>
              </w:rPr>
              <w:t>；</w:t>
            </w:r>
          </w:p>
          <w:p w14:paraId="304A6ED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1200" w:firstLineChars="500"/>
              <w:jc w:val="both"/>
              <w:textAlignment w:val="auto"/>
              <w:rPr>
                <w:rFonts w:hint="eastAsia" w:eastAsia="宋体"/>
                <w:color w:val="auto"/>
                <w:sz w:val="24"/>
                <w:lang w:val="en-US" w:eastAsia="zh-CN"/>
              </w:rPr>
            </w:pPr>
            <w:r>
              <w:rPr>
                <w:rFonts w:hint="eastAsia"/>
                <w:color w:val="auto"/>
                <w:sz w:val="24"/>
              </w:rPr>
              <w:t>s一动态吸附量一般取15%</w:t>
            </w:r>
            <w:r>
              <w:rPr>
                <w:rFonts w:hint="eastAsia"/>
                <w:color w:val="auto"/>
                <w:sz w:val="24"/>
                <w:lang w:val="en-US" w:eastAsia="zh-CN"/>
              </w:rPr>
              <w:t>；</w:t>
            </w:r>
          </w:p>
          <w:p w14:paraId="3C2C77E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1200" w:firstLineChars="500"/>
              <w:jc w:val="both"/>
              <w:textAlignment w:val="auto"/>
              <w:rPr>
                <w:rFonts w:hint="eastAsia"/>
                <w:color w:val="auto"/>
                <w:sz w:val="24"/>
                <w:lang w:eastAsia="zh-CN"/>
              </w:rPr>
            </w:pPr>
            <w:r>
              <w:rPr>
                <w:rFonts w:hint="eastAsia"/>
                <w:color w:val="auto"/>
                <w:sz w:val="24"/>
              </w:rPr>
              <w:t>c一活性炭削减废气浓度0.</w:t>
            </w:r>
            <w:r>
              <w:rPr>
                <w:rFonts w:hint="eastAsia"/>
                <w:color w:val="auto"/>
                <w:sz w:val="24"/>
                <w:lang w:val="en-US" w:eastAsia="zh-CN"/>
              </w:rPr>
              <w:t>886</w:t>
            </w:r>
            <w:r>
              <w:rPr>
                <w:rFonts w:hint="eastAsia"/>
                <w:color w:val="auto"/>
                <w:sz w:val="24"/>
              </w:rPr>
              <w:t>mg/Nm</w:t>
            </w:r>
            <w:r>
              <w:rPr>
                <w:rFonts w:hint="eastAsia"/>
                <w:color w:val="auto"/>
                <w:sz w:val="24"/>
                <w:vertAlign w:val="superscript"/>
              </w:rPr>
              <w:t>3</w:t>
            </w:r>
            <w:r>
              <w:rPr>
                <w:rFonts w:hint="eastAsia"/>
                <w:color w:val="auto"/>
                <w:sz w:val="24"/>
                <w:lang w:eastAsia="zh-CN"/>
              </w:rPr>
              <w:t>；</w:t>
            </w:r>
          </w:p>
          <w:p w14:paraId="2E5B633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1200" w:firstLineChars="500"/>
              <w:jc w:val="both"/>
              <w:textAlignment w:val="auto"/>
              <w:rPr>
                <w:rFonts w:hint="eastAsia"/>
                <w:color w:val="auto"/>
                <w:sz w:val="24"/>
                <w:lang w:eastAsia="zh-CN"/>
              </w:rPr>
            </w:pPr>
            <w:r>
              <w:rPr>
                <w:rFonts w:hint="eastAsia"/>
                <w:color w:val="auto"/>
                <w:sz w:val="24"/>
              </w:rPr>
              <w:t>Q一风量</w:t>
            </w:r>
            <w:r>
              <w:rPr>
                <w:rFonts w:hint="eastAsia"/>
                <w:color w:val="auto"/>
                <w:sz w:val="24"/>
                <w:lang w:val="en-US" w:eastAsia="zh-CN"/>
              </w:rPr>
              <w:t>19</w:t>
            </w:r>
            <w:r>
              <w:rPr>
                <w:rFonts w:hint="eastAsia"/>
                <w:color w:val="auto"/>
                <w:sz w:val="24"/>
              </w:rPr>
              <w:t>200Nm</w:t>
            </w:r>
            <w:r>
              <w:rPr>
                <w:rFonts w:hint="eastAsia"/>
                <w:color w:val="auto"/>
                <w:sz w:val="24"/>
                <w:vertAlign w:val="superscript"/>
              </w:rPr>
              <w:t>3</w:t>
            </w:r>
            <w:r>
              <w:rPr>
                <w:rFonts w:hint="eastAsia"/>
                <w:color w:val="auto"/>
                <w:sz w:val="24"/>
              </w:rPr>
              <w:t>/h</w:t>
            </w:r>
            <w:r>
              <w:rPr>
                <w:rFonts w:hint="eastAsia"/>
                <w:color w:val="auto"/>
                <w:sz w:val="24"/>
                <w:lang w:eastAsia="zh-CN"/>
              </w:rPr>
              <w:t>；</w:t>
            </w:r>
          </w:p>
          <w:p w14:paraId="3ECF067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1200" w:firstLineChars="500"/>
              <w:jc w:val="both"/>
              <w:textAlignment w:val="auto"/>
              <w:rPr>
                <w:rFonts w:hint="eastAsia" w:eastAsia="宋体"/>
                <w:color w:val="auto"/>
                <w:sz w:val="24"/>
                <w:lang w:eastAsia="zh-CN"/>
              </w:rPr>
            </w:pPr>
            <w:r>
              <w:rPr>
                <w:rFonts w:hint="eastAsia"/>
                <w:color w:val="auto"/>
                <w:sz w:val="24"/>
              </w:rPr>
              <w:t>t一运行时间24h/d</w:t>
            </w:r>
            <w:r>
              <w:rPr>
                <w:rFonts w:hint="eastAsia"/>
                <w:color w:val="auto"/>
                <w:sz w:val="24"/>
                <w:lang w:eastAsia="zh-CN"/>
              </w:rPr>
              <w:t>。</w:t>
            </w:r>
          </w:p>
          <w:p w14:paraId="3E0DDEB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both"/>
              <w:textAlignment w:val="auto"/>
              <w:rPr>
                <w:rFonts w:hint="eastAsia" w:ascii="Times New Roman" w:hAnsi="Times New Roman" w:cs="Times New Roman"/>
                <w:color w:val="auto"/>
                <w:sz w:val="24"/>
                <w:highlight w:val="none"/>
                <w:lang w:val="en-US" w:eastAsia="zh-CN"/>
              </w:rPr>
            </w:pPr>
            <w:r>
              <w:rPr>
                <w:rFonts w:hint="eastAsia"/>
                <w:color w:val="auto"/>
                <w:sz w:val="24"/>
              </w:rPr>
              <w:t>计算得出项目活性炭更换周期为</w:t>
            </w:r>
            <w:r>
              <w:rPr>
                <w:rFonts w:hint="eastAsia"/>
                <w:color w:val="auto"/>
                <w:sz w:val="24"/>
                <w:lang w:val="en-US" w:eastAsia="zh-CN"/>
              </w:rPr>
              <w:t>44.1</w:t>
            </w:r>
            <w:r>
              <w:rPr>
                <w:rFonts w:hint="eastAsia"/>
                <w:color w:val="auto"/>
                <w:sz w:val="24"/>
              </w:rPr>
              <w:t>天，项目取</w:t>
            </w:r>
            <w:r>
              <w:rPr>
                <w:rFonts w:hint="eastAsia"/>
                <w:color w:val="auto"/>
                <w:sz w:val="24"/>
                <w:lang w:val="en-US" w:eastAsia="zh-CN"/>
              </w:rPr>
              <w:t>44</w:t>
            </w:r>
            <w:r>
              <w:rPr>
                <w:rFonts w:hint="eastAsia"/>
                <w:color w:val="auto"/>
                <w:sz w:val="24"/>
              </w:rPr>
              <w:t>天，</w:t>
            </w:r>
            <w:r>
              <w:rPr>
                <w:rFonts w:hint="eastAsia"/>
                <w:color w:val="auto"/>
                <w:sz w:val="24"/>
                <w:lang w:val="en-US" w:eastAsia="zh-CN"/>
              </w:rPr>
              <w:t>一年更换7次，</w:t>
            </w:r>
            <w:r>
              <w:rPr>
                <w:rFonts w:hint="eastAsia"/>
                <w:color w:val="auto"/>
                <w:sz w:val="24"/>
              </w:rPr>
              <w:t>则废活性炭产生量为</w:t>
            </w:r>
            <w:r>
              <w:rPr>
                <w:rFonts w:hint="eastAsia"/>
                <w:color w:val="auto"/>
                <w:sz w:val="24"/>
                <w:lang w:val="en-US" w:eastAsia="zh-CN"/>
              </w:rPr>
              <w:t>0.961</w:t>
            </w:r>
            <w:r>
              <w:rPr>
                <w:rFonts w:hint="eastAsia"/>
                <w:color w:val="auto"/>
                <w:sz w:val="24"/>
              </w:rPr>
              <w:t>t/a</w:t>
            </w:r>
            <w:r>
              <w:rPr>
                <w:rFonts w:hint="eastAsia"/>
                <w:color w:val="auto"/>
                <w:sz w:val="24"/>
                <w:lang w:val="en-US" w:eastAsia="zh-CN"/>
              </w:rPr>
              <w:t>。</w:t>
            </w:r>
            <w:r>
              <w:rPr>
                <w:rFonts w:hint="eastAsia" w:ascii="Times New Roman" w:hAnsi="Times New Roman" w:cs="Times New Roman"/>
                <w:color w:val="auto"/>
                <w:sz w:val="24"/>
                <w:highlight w:val="none"/>
                <w:lang w:val="en-US" w:eastAsia="zh-CN"/>
              </w:rPr>
              <w:t>废活性炭属《国家危险废物名录（202</w:t>
            </w:r>
            <w:r>
              <w:rPr>
                <w:rFonts w:hint="eastAsia" w:cs="Times New Roman"/>
                <w:color w:val="auto"/>
                <w:sz w:val="24"/>
                <w:highlight w:val="none"/>
                <w:lang w:val="en-US" w:eastAsia="zh-CN"/>
              </w:rPr>
              <w:t>5年</w:t>
            </w:r>
            <w:r>
              <w:rPr>
                <w:rFonts w:hint="eastAsia" w:ascii="Times New Roman" w:hAnsi="Times New Roman" w:cs="Times New Roman"/>
                <w:color w:val="auto"/>
                <w:sz w:val="24"/>
                <w:highlight w:val="none"/>
                <w:lang w:val="en-US" w:eastAsia="zh-CN"/>
              </w:rPr>
              <w:t>版）》HW49类危险废物，危险废物编号900-039-49。在厂内临时贮存后，交由有资质单位进行处置。</w:t>
            </w:r>
          </w:p>
          <w:p w14:paraId="245C34EE">
            <w:pPr>
              <w:keepNext w:val="0"/>
              <w:keepLines w:val="0"/>
              <w:suppressLineNumbers w:val="0"/>
              <w:bidi w:val="0"/>
              <w:spacing w:before="0" w:beforeAutospacing="0" w:after="0" w:afterAutospacing="0"/>
              <w:ind w:left="0" w:right="0"/>
              <w:rPr>
                <w:rFonts w:hint="default"/>
                <w:color w:val="auto"/>
                <w:sz w:val="24"/>
                <w:highlight w:val="none"/>
              </w:rPr>
            </w:pPr>
            <w:r>
              <w:rPr>
                <w:rFonts w:hint="default"/>
                <w:color w:val="auto"/>
                <w:sz w:val="24"/>
                <w:highlight w:val="none"/>
              </w:rPr>
              <w:t>在严格采取以上措施情况下，本项目</w:t>
            </w:r>
            <w:r>
              <w:rPr>
                <w:rFonts w:hint="eastAsia"/>
                <w:color w:val="auto"/>
                <w:sz w:val="24"/>
                <w:highlight w:val="none"/>
                <w:lang w:eastAsia="zh-CN"/>
              </w:rPr>
              <w:t>运营期</w:t>
            </w:r>
            <w:r>
              <w:rPr>
                <w:rFonts w:hint="default"/>
                <w:color w:val="auto"/>
                <w:sz w:val="24"/>
                <w:highlight w:val="none"/>
              </w:rPr>
              <w:t>产生的各类固体废物均可得到妥善处理和处置，不会对周围环境产生二次污染，对环境影响较小。</w:t>
            </w:r>
          </w:p>
          <w:p w14:paraId="5C09CF07">
            <w:pPr>
              <w:keepNext w:val="0"/>
              <w:keepLines w:val="0"/>
              <w:suppressLineNumbers w:val="0"/>
              <w:bidi w:val="0"/>
              <w:spacing w:before="0" w:beforeAutospacing="0" w:after="0" w:afterAutospacing="0"/>
              <w:ind w:left="0" w:right="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3</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固体废物环境保护措施</w:t>
            </w:r>
          </w:p>
          <w:p w14:paraId="05592A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1）</w:t>
            </w:r>
            <w:r>
              <w:rPr>
                <w:rFonts w:hint="default" w:ascii="Times New Roman" w:hAnsi="Times New Roman" w:eastAsia="宋体" w:cs="Times New Roman"/>
                <w:color w:val="auto"/>
                <w:sz w:val="24"/>
                <w:szCs w:val="24"/>
                <w:highlight w:val="none"/>
                <w:vertAlign w:val="baseline"/>
                <w:lang w:val="en-US" w:eastAsia="zh-CN"/>
              </w:rPr>
              <w:t>一般工业固体废物环境影响分析</w:t>
            </w:r>
          </w:p>
          <w:p w14:paraId="2EE8FA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本项目</w:t>
            </w:r>
            <w:r>
              <w:rPr>
                <w:rFonts w:hint="eastAsia" w:ascii="Times New Roman" w:hAnsi="Times New Roman" w:eastAsia="宋体" w:cs="Times New Roman"/>
                <w:color w:val="auto"/>
                <w:highlight w:val="none"/>
                <w:lang w:val="en-US" w:eastAsia="zh-CN"/>
              </w:rPr>
              <w:t>废包装</w:t>
            </w:r>
            <w:r>
              <w:rPr>
                <w:rFonts w:hint="eastAsia" w:cs="Times New Roman"/>
                <w:color w:val="auto"/>
                <w:highlight w:val="none"/>
                <w:lang w:val="en-US" w:eastAsia="zh-CN"/>
              </w:rPr>
              <w:t>材料</w:t>
            </w:r>
            <w:r>
              <w:rPr>
                <w:rFonts w:hint="eastAsia" w:ascii="Times New Roman" w:hAnsi="Times New Roman" w:eastAsia="宋体" w:cs="Times New Roman"/>
                <w:color w:val="auto"/>
                <w:highlight w:val="none"/>
                <w:lang w:val="en-US" w:eastAsia="zh-CN"/>
              </w:rPr>
              <w:t>、</w:t>
            </w:r>
            <w:r>
              <w:rPr>
                <w:rFonts w:hint="eastAsia" w:cs="Times New Roman"/>
                <w:color w:val="auto"/>
                <w:highlight w:val="none"/>
                <w:lang w:val="en-US" w:eastAsia="zh-CN"/>
              </w:rPr>
              <w:t>边角料及不合格品</w:t>
            </w:r>
            <w:r>
              <w:rPr>
                <w:rFonts w:hint="default" w:ascii="Times New Roman" w:hAnsi="Times New Roman" w:eastAsia="宋体" w:cs="Times New Roman"/>
                <w:color w:val="auto"/>
                <w:sz w:val="24"/>
                <w:szCs w:val="24"/>
                <w:highlight w:val="none"/>
                <w:vertAlign w:val="baseline"/>
                <w:lang w:val="en-US" w:eastAsia="zh-CN"/>
              </w:rPr>
              <w:t>属于一般工业固体废物，在处置前存放在一般固废暂存场所内，</w:t>
            </w:r>
            <w:r>
              <w:rPr>
                <w:rFonts w:hint="default" w:ascii="Times New Roman" w:hAnsi="Times New Roman" w:eastAsia="宋体" w:cs="Times New Roman"/>
                <w:color w:val="auto"/>
                <w:spacing w:val="0"/>
                <w:sz w:val="24"/>
                <w:szCs w:val="24"/>
                <w:highlight w:val="none"/>
              </w:rPr>
              <w:t>一般</w:t>
            </w:r>
            <w:r>
              <w:rPr>
                <w:rFonts w:hint="eastAsia" w:ascii="Times New Roman" w:hAnsi="Times New Roman" w:eastAsia="宋体" w:cs="Times New Roman"/>
                <w:color w:val="auto"/>
                <w:spacing w:val="0"/>
                <w:sz w:val="24"/>
                <w:szCs w:val="24"/>
                <w:highlight w:val="none"/>
                <w:lang w:val="en-US" w:eastAsia="zh-CN"/>
              </w:rPr>
              <w:t>工业</w:t>
            </w:r>
            <w:r>
              <w:rPr>
                <w:rFonts w:hint="default" w:ascii="Times New Roman" w:hAnsi="Times New Roman" w:eastAsia="宋体" w:cs="Times New Roman"/>
                <w:color w:val="auto"/>
                <w:spacing w:val="0"/>
                <w:sz w:val="24"/>
                <w:szCs w:val="24"/>
                <w:highlight w:val="none"/>
              </w:rPr>
              <w:t>固废</w:t>
            </w:r>
            <w:r>
              <w:rPr>
                <w:rFonts w:hint="eastAsia" w:ascii="Times New Roman" w:hAnsi="Times New Roman" w:eastAsia="宋体" w:cs="Times New Roman"/>
                <w:color w:val="auto"/>
                <w:spacing w:val="0"/>
                <w:sz w:val="24"/>
                <w:szCs w:val="24"/>
                <w:highlight w:val="none"/>
                <w:lang w:val="en-US" w:eastAsia="zh-CN"/>
              </w:rPr>
              <w:t>暂存间满足防渗漏、防雨淋、防扬尘要求，</w:t>
            </w:r>
            <w:r>
              <w:rPr>
                <w:rFonts w:hint="default" w:ascii="Times New Roman" w:hAnsi="Times New Roman" w:eastAsia="宋体" w:cs="Times New Roman"/>
                <w:color w:val="auto"/>
                <w:sz w:val="24"/>
                <w:szCs w:val="24"/>
                <w:highlight w:val="none"/>
                <w:vertAlign w:val="baseline"/>
                <w:lang w:val="en-US" w:eastAsia="zh-CN"/>
              </w:rPr>
              <w:t>不会对周围土壤和地下水环境产生污染。</w:t>
            </w:r>
          </w:p>
          <w:p w14:paraId="57723D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建设单位在厂房内设置</w:t>
            </w:r>
            <w:r>
              <w:rPr>
                <w:rFonts w:hint="default" w:ascii="Times New Roman" w:hAnsi="Times New Roman" w:eastAsia="宋体" w:cs="Times New Roman"/>
                <w:color w:val="auto"/>
                <w:sz w:val="24"/>
                <w:szCs w:val="24"/>
                <w:highlight w:val="none"/>
                <w:vertAlign w:val="baseline"/>
                <w:lang w:val="en-US" w:eastAsia="zh-CN"/>
              </w:rPr>
              <w:t>一般固废暂存</w:t>
            </w:r>
            <w:r>
              <w:rPr>
                <w:rFonts w:hint="eastAsia" w:ascii="Times New Roman" w:hAnsi="Times New Roman" w:eastAsia="宋体" w:cs="Times New Roman"/>
                <w:color w:val="auto"/>
                <w:sz w:val="24"/>
                <w:szCs w:val="24"/>
                <w:highlight w:val="none"/>
                <w:vertAlign w:val="baseline"/>
                <w:lang w:val="en-US" w:eastAsia="zh-CN"/>
              </w:rPr>
              <w:t>区5</w:t>
            </w:r>
            <w:r>
              <w:rPr>
                <w:rFonts w:hint="default" w:ascii="Times New Roman" w:hAnsi="Times New Roman" w:eastAsia="宋体" w:cs="Times New Roman"/>
                <w:color w:val="auto"/>
                <w:sz w:val="24"/>
                <w:szCs w:val="24"/>
                <w:highlight w:val="none"/>
                <w:vertAlign w:val="baseline"/>
                <w:lang w:val="en-US" w:eastAsia="zh-CN"/>
              </w:rPr>
              <w:t>0m</w:t>
            </w:r>
            <w:r>
              <w:rPr>
                <w:rFonts w:hint="default" w:ascii="Times New Roman" w:hAnsi="Times New Roman" w:eastAsia="宋体" w:cs="Times New Roman"/>
                <w:color w:val="auto"/>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vertAlign w:val="baseline"/>
                <w:lang w:val="en-US" w:eastAsia="zh-CN"/>
              </w:rPr>
              <w:t>，最大贮存能力</w:t>
            </w:r>
            <w:r>
              <w:rPr>
                <w:rFonts w:hint="eastAsia" w:cs="Times New Roman"/>
                <w:color w:val="auto"/>
                <w:sz w:val="24"/>
                <w:szCs w:val="24"/>
                <w:highlight w:val="none"/>
                <w:vertAlign w:val="baseline"/>
                <w:lang w:val="en-US" w:eastAsia="zh-CN"/>
              </w:rPr>
              <w:t>3</w:t>
            </w:r>
            <w:r>
              <w:rPr>
                <w:rFonts w:hint="eastAsia" w:ascii="Times New Roman" w:hAnsi="Times New Roman" w:eastAsia="宋体" w:cs="Times New Roman"/>
                <w:color w:val="auto"/>
                <w:sz w:val="24"/>
                <w:szCs w:val="24"/>
                <w:highlight w:val="none"/>
                <w:vertAlign w:val="baseline"/>
                <w:lang w:val="en-US" w:eastAsia="zh-CN"/>
              </w:rPr>
              <w:t>0t，</w:t>
            </w:r>
            <w:r>
              <w:rPr>
                <w:rFonts w:hint="default" w:ascii="Times New Roman" w:hAnsi="Times New Roman" w:eastAsia="宋体" w:cs="Times New Roman"/>
                <w:color w:val="auto"/>
                <w:spacing w:val="0"/>
                <w:sz w:val="24"/>
                <w:szCs w:val="24"/>
                <w:highlight w:val="none"/>
                <w:lang w:val="en-US" w:eastAsia="zh-CN"/>
              </w:rPr>
              <w:t>建成后一般工业固废年产生量为</w:t>
            </w:r>
            <w:r>
              <w:rPr>
                <w:rFonts w:hint="eastAsia" w:cs="Times New Roman"/>
                <w:color w:val="auto"/>
                <w:spacing w:val="0"/>
                <w:sz w:val="24"/>
                <w:szCs w:val="24"/>
                <w:highlight w:val="none"/>
                <w:lang w:val="en-US" w:eastAsia="zh-CN"/>
              </w:rPr>
              <w:t>67.74</w:t>
            </w:r>
            <w:r>
              <w:rPr>
                <w:rFonts w:hint="default" w:ascii="Times New Roman" w:hAnsi="Times New Roman" w:eastAsia="宋体" w:cs="Times New Roman"/>
                <w:color w:val="auto"/>
                <w:spacing w:val="0"/>
                <w:sz w:val="24"/>
                <w:szCs w:val="24"/>
                <w:highlight w:val="none"/>
                <w:lang w:val="en-US" w:eastAsia="zh-CN"/>
              </w:rPr>
              <w:t>t/a</w:t>
            </w:r>
            <w:r>
              <w:rPr>
                <w:rFonts w:hint="eastAsia"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lang w:val="en-US" w:eastAsia="zh-CN"/>
              </w:rPr>
              <w:t>一般工业固废平均转运周期为</w:t>
            </w:r>
            <w:r>
              <w:rPr>
                <w:rFonts w:hint="eastAsia" w:cs="Times New Roman"/>
                <w:color w:val="auto"/>
                <w:spacing w:val="0"/>
                <w:sz w:val="24"/>
                <w:szCs w:val="24"/>
                <w:highlight w:val="none"/>
                <w:lang w:val="en-US" w:eastAsia="zh-CN"/>
              </w:rPr>
              <w:t>2个月</w:t>
            </w:r>
            <w:r>
              <w:rPr>
                <w:rFonts w:hint="default" w:ascii="Times New Roman" w:hAnsi="Times New Roman" w:eastAsia="宋体" w:cs="Times New Roman"/>
                <w:color w:val="auto"/>
                <w:spacing w:val="0"/>
                <w:sz w:val="24"/>
                <w:szCs w:val="24"/>
                <w:highlight w:val="none"/>
                <w:lang w:val="en-US" w:eastAsia="zh-CN"/>
              </w:rPr>
              <w:t>，</w:t>
            </w:r>
            <w:r>
              <w:rPr>
                <w:rFonts w:hint="eastAsia" w:ascii="Times New Roman" w:hAnsi="Times New Roman" w:eastAsia="宋体" w:cs="Times New Roman"/>
                <w:color w:val="auto"/>
                <w:spacing w:val="0"/>
                <w:sz w:val="24"/>
                <w:szCs w:val="24"/>
                <w:highlight w:val="none"/>
                <w:lang w:val="en-US" w:eastAsia="zh-CN"/>
              </w:rPr>
              <w:t>则一般</w:t>
            </w:r>
            <w:r>
              <w:rPr>
                <w:rFonts w:hint="default" w:ascii="Times New Roman" w:hAnsi="Times New Roman" w:eastAsia="宋体" w:cs="Times New Roman"/>
                <w:color w:val="auto"/>
                <w:spacing w:val="0"/>
                <w:sz w:val="24"/>
                <w:szCs w:val="24"/>
                <w:highlight w:val="none"/>
                <w:lang w:val="en-US" w:eastAsia="zh-CN"/>
              </w:rPr>
              <w:t>固废最大</w:t>
            </w:r>
            <w:r>
              <w:rPr>
                <w:rFonts w:hint="eastAsia" w:ascii="Times New Roman" w:hAnsi="Times New Roman" w:eastAsia="宋体" w:cs="Times New Roman"/>
                <w:color w:val="auto"/>
                <w:spacing w:val="0"/>
                <w:sz w:val="24"/>
                <w:szCs w:val="24"/>
                <w:highlight w:val="none"/>
                <w:lang w:val="en-US" w:eastAsia="zh-CN"/>
              </w:rPr>
              <w:t>暂存</w:t>
            </w:r>
            <w:r>
              <w:rPr>
                <w:rFonts w:hint="default" w:ascii="Times New Roman" w:hAnsi="Times New Roman" w:eastAsia="宋体" w:cs="Times New Roman"/>
                <w:color w:val="auto"/>
                <w:spacing w:val="0"/>
                <w:sz w:val="24"/>
                <w:szCs w:val="24"/>
                <w:highlight w:val="none"/>
                <w:lang w:val="en-US" w:eastAsia="zh-CN"/>
              </w:rPr>
              <w:t>量为</w:t>
            </w:r>
            <w:r>
              <w:rPr>
                <w:rFonts w:hint="eastAsia" w:cs="Times New Roman"/>
                <w:color w:val="auto"/>
                <w:spacing w:val="0"/>
                <w:sz w:val="24"/>
                <w:szCs w:val="24"/>
                <w:highlight w:val="none"/>
                <w:lang w:val="en-US" w:eastAsia="zh-CN"/>
              </w:rPr>
              <w:t>11.29</w:t>
            </w:r>
            <w:r>
              <w:rPr>
                <w:rFonts w:hint="default" w:ascii="Times New Roman" w:hAnsi="Times New Roman" w:eastAsia="宋体" w:cs="Times New Roman"/>
                <w:color w:val="auto"/>
                <w:spacing w:val="0"/>
                <w:sz w:val="24"/>
                <w:szCs w:val="24"/>
                <w:highlight w:val="none"/>
                <w:lang w:val="en-US" w:eastAsia="zh-CN"/>
              </w:rPr>
              <w:t>t</w:t>
            </w:r>
            <w:r>
              <w:rPr>
                <w:rFonts w:hint="default" w:ascii="Times New Roman" w:hAnsi="Times New Roman" w:eastAsia="宋体" w:cs="Times New Roman"/>
                <w:color w:val="auto"/>
                <w:spacing w:val="0"/>
                <w:sz w:val="24"/>
                <w:szCs w:val="24"/>
                <w:highlight w:val="none"/>
                <w:vertAlign w:val="baseline"/>
                <w:lang w:eastAsia="zh-CN"/>
              </w:rPr>
              <w:t>，</w:t>
            </w:r>
            <w:r>
              <w:rPr>
                <w:rFonts w:hint="default" w:ascii="Times New Roman" w:hAnsi="Times New Roman" w:eastAsia="宋体" w:cs="Times New Roman"/>
                <w:color w:val="auto"/>
                <w:spacing w:val="0"/>
                <w:sz w:val="24"/>
                <w:szCs w:val="24"/>
                <w:highlight w:val="none"/>
                <w:lang w:val="en-US" w:eastAsia="zh-CN"/>
              </w:rPr>
              <w:t>所以</w:t>
            </w:r>
            <w:r>
              <w:rPr>
                <w:rFonts w:hint="eastAsia" w:ascii="Times New Roman" w:hAnsi="Times New Roman" w:eastAsia="宋体" w:cs="Times New Roman"/>
                <w:color w:val="auto"/>
                <w:sz w:val="24"/>
                <w:szCs w:val="24"/>
                <w:highlight w:val="none"/>
                <w:vertAlign w:val="baseline"/>
                <w:lang w:val="en-US" w:eastAsia="zh-CN"/>
              </w:rPr>
              <w:t>建设单位设置</w:t>
            </w:r>
            <w:r>
              <w:rPr>
                <w:rFonts w:hint="default" w:ascii="Times New Roman" w:hAnsi="Times New Roman" w:eastAsia="宋体" w:cs="Times New Roman"/>
                <w:color w:val="auto"/>
                <w:sz w:val="24"/>
                <w:szCs w:val="24"/>
                <w:highlight w:val="none"/>
                <w:vertAlign w:val="baseline"/>
                <w:lang w:val="en-US" w:eastAsia="zh-CN"/>
              </w:rPr>
              <w:t>一般固废暂存</w:t>
            </w:r>
            <w:r>
              <w:rPr>
                <w:rFonts w:hint="eastAsia" w:ascii="Times New Roman" w:hAnsi="Times New Roman" w:eastAsia="宋体" w:cs="Times New Roman"/>
                <w:color w:val="auto"/>
                <w:sz w:val="24"/>
                <w:szCs w:val="24"/>
                <w:highlight w:val="none"/>
                <w:vertAlign w:val="baseline"/>
                <w:lang w:val="en-US" w:eastAsia="zh-CN"/>
              </w:rPr>
              <w:t>区5</w:t>
            </w:r>
            <w:r>
              <w:rPr>
                <w:rFonts w:hint="default" w:ascii="Times New Roman" w:hAnsi="Times New Roman" w:eastAsia="宋体" w:cs="Times New Roman"/>
                <w:color w:val="auto"/>
                <w:sz w:val="24"/>
                <w:szCs w:val="24"/>
                <w:highlight w:val="none"/>
                <w:vertAlign w:val="baseline"/>
                <w:lang w:val="en-US" w:eastAsia="zh-CN"/>
              </w:rPr>
              <w:t>0m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vertAlign w:val="baseline"/>
                <w:lang w:val="en-US" w:eastAsia="zh-CN"/>
              </w:rPr>
              <w:t>贮存容量可以满足本项目一般固废的暂存需求。因此本项目一般固废暂存</w:t>
            </w:r>
            <w:r>
              <w:rPr>
                <w:rFonts w:hint="eastAsia" w:ascii="Times New Roman" w:hAnsi="Times New Roman" w:eastAsia="宋体" w:cs="Times New Roman"/>
                <w:color w:val="auto"/>
                <w:sz w:val="24"/>
                <w:szCs w:val="24"/>
                <w:highlight w:val="none"/>
                <w:vertAlign w:val="baseline"/>
                <w:lang w:val="en-US" w:eastAsia="zh-CN"/>
              </w:rPr>
              <w:t>区</w:t>
            </w:r>
            <w:r>
              <w:rPr>
                <w:rFonts w:hint="default" w:ascii="Times New Roman" w:hAnsi="Times New Roman" w:eastAsia="宋体" w:cs="Times New Roman"/>
                <w:color w:val="auto"/>
                <w:sz w:val="24"/>
                <w:szCs w:val="24"/>
                <w:highlight w:val="none"/>
                <w:vertAlign w:val="baseline"/>
                <w:lang w:val="en-US" w:eastAsia="zh-CN"/>
              </w:rPr>
              <w:t>是可行的。</w:t>
            </w:r>
          </w:p>
          <w:p w14:paraId="62CECD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2）</w:t>
            </w:r>
            <w:r>
              <w:rPr>
                <w:rFonts w:hint="default" w:ascii="Times New Roman" w:hAnsi="Times New Roman" w:eastAsia="宋体" w:cs="Times New Roman"/>
                <w:color w:val="auto"/>
                <w:sz w:val="24"/>
                <w:szCs w:val="24"/>
                <w:highlight w:val="none"/>
                <w:vertAlign w:val="baseline"/>
                <w:lang w:val="en-US" w:eastAsia="zh-CN"/>
              </w:rPr>
              <w:t>危险废物环境影响分析</w:t>
            </w:r>
          </w:p>
          <w:p w14:paraId="21248D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①</w:t>
            </w:r>
            <w:r>
              <w:rPr>
                <w:rFonts w:hint="default" w:ascii="Times New Roman" w:hAnsi="Times New Roman" w:eastAsia="宋体" w:cs="Times New Roman"/>
                <w:color w:val="auto"/>
                <w:sz w:val="24"/>
                <w:szCs w:val="24"/>
                <w:highlight w:val="none"/>
                <w:vertAlign w:val="baseline"/>
                <w:lang w:val="en-US" w:eastAsia="zh-CN"/>
              </w:rPr>
              <w:t>危险废物贮存场所（设施）环境影响分析</w:t>
            </w:r>
          </w:p>
          <w:p w14:paraId="438DA2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rPr>
              <w:t>危险固废暂存</w:t>
            </w:r>
            <w:r>
              <w:rPr>
                <w:rFonts w:hint="eastAsia" w:ascii="Times New Roman" w:hAnsi="Times New Roman" w:eastAsia="宋体" w:cs="Times New Roman"/>
                <w:color w:val="auto"/>
                <w:spacing w:val="0"/>
                <w:sz w:val="24"/>
                <w:szCs w:val="24"/>
                <w:highlight w:val="none"/>
                <w:lang w:val="en-US" w:eastAsia="zh-CN"/>
              </w:rPr>
              <w:t>间</w:t>
            </w:r>
            <w:r>
              <w:rPr>
                <w:rFonts w:hint="default" w:ascii="Times New Roman" w:hAnsi="Times New Roman" w:eastAsia="宋体" w:cs="Times New Roman"/>
                <w:color w:val="auto"/>
                <w:spacing w:val="0"/>
                <w:sz w:val="24"/>
                <w:szCs w:val="24"/>
                <w:highlight w:val="none"/>
              </w:rPr>
              <w:t>严格按照《危险废物贮存污染控制标准》（GB18597-20</w:t>
            </w:r>
            <w:r>
              <w:rPr>
                <w:rFonts w:hint="eastAsia" w:ascii="Times New Roman" w:hAnsi="Times New Roman" w:eastAsia="宋体" w:cs="Times New Roman"/>
                <w:color w:val="auto"/>
                <w:spacing w:val="0"/>
                <w:sz w:val="24"/>
                <w:szCs w:val="24"/>
                <w:highlight w:val="none"/>
                <w:lang w:val="en-US" w:eastAsia="zh-CN"/>
              </w:rPr>
              <w:t>23</w:t>
            </w:r>
            <w:r>
              <w:rPr>
                <w:rFonts w:hint="default" w:ascii="Times New Roman" w:hAnsi="Times New Roman" w:eastAsia="宋体" w:cs="Times New Roman"/>
                <w:color w:val="auto"/>
                <w:spacing w:val="0"/>
                <w:sz w:val="24"/>
                <w:szCs w:val="24"/>
                <w:highlight w:val="none"/>
              </w:rPr>
              <w:t>）的有关要求建设，具体固体废物贮存要求如下：</w:t>
            </w:r>
          </w:p>
          <w:p w14:paraId="20CA48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pacing w:val="0"/>
                <w:sz w:val="24"/>
                <w:szCs w:val="24"/>
                <w:highlight w:val="none"/>
              </w:rPr>
            </w:pPr>
            <w:r>
              <w:rPr>
                <w:rFonts w:hint="eastAsia" w:ascii="Times New Roman" w:hAnsi="Times New Roman" w:eastAsia="宋体" w:cs="Times New Roman"/>
                <w:color w:val="auto"/>
                <w:spacing w:val="0"/>
                <w:sz w:val="24"/>
                <w:szCs w:val="24"/>
                <w:highlight w:val="none"/>
                <w:lang w:val="en-US" w:eastAsia="zh-CN"/>
              </w:rPr>
              <w:t>A.贮存设施应根据危险废物的形态、物理化学性质、包装形式和污染物迁移途径，采取必要的防风、防晒、防雨、防漏、防渗、防腐以及其他环境污染防治措施，不应露天堆放危险废物</w:t>
            </w:r>
            <w:r>
              <w:rPr>
                <w:rFonts w:hint="default" w:ascii="Times New Roman" w:hAnsi="Times New Roman" w:eastAsia="宋体" w:cs="Times New Roman"/>
                <w:color w:val="auto"/>
                <w:spacing w:val="0"/>
                <w:sz w:val="24"/>
                <w:szCs w:val="24"/>
                <w:highlight w:val="none"/>
              </w:rPr>
              <w:t>。</w:t>
            </w:r>
          </w:p>
          <w:p w14:paraId="2B793D4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pacing w:val="0"/>
                <w:sz w:val="24"/>
                <w:szCs w:val="24"/>
                <w:highlight w:val="none"/>
              </w:rPr>
            </w:pPr>
            <w:r>
              <w:rPr>
                <w:rFonts w:hint="eastAsia" w:ascii="Times New Roman" w:hAnsi="Times New Roman" w:eastAsia="宋体" w:cs="Times New Roman"/>
                <w:color w:val="auto"/>
                <w:spacing w:val="0"/>
                <w:sz w:val="24"/>
                <w:szCs w:val="24"/>
                <w:highlight w:val="none"/>
                <w:lang w:val="en-US" w:eastAsia="zh-CN"/>
              </w:rPr>
              <w:t>B.贮存设施应根据危险废物的类别、数量、形态、物理化学性质和污染防治等要求设置必要的贮存分区，避免不相容的危险废物接触、混合</w:t>
            </w:r>
            <w:r>
              <w:rPr>
                <w:rFonts w:hint="default" w:ascii="Times New Roman" w:hAnsi="Times New Roman" w:eastAsia="宋体" w:cs="Times New Roman"/>
                <w:color w:val="auto"/>
                <w:spacing w:val="0"/>
                <w:sz w:val="24"/>
                <w:szCs w:val="24"/>
                <w:highlight w:val="none"/>
              </w:rPr>
              <w:t>。</w:t>
            </w:r>
          </w:p>
          <w:p w14:paraId="0572309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pacing w:val="0"/>
                <w:sz w:val="24"/>
                <w:szCs w:val="24"/>
                <w:highlight w:val="none"/>
              </w:rPr>
            </w:pPr>
            <w:r>
              <w:rPr>
                <w:rFonts w:hint="eastAsia" w:ascii="Times New Roman" w:hAnsi="Times New Roman" w:eastAsia="宋体" w:cs="Times New Roman"/>
                <w:color w:val="auto"/>
                <w:spacing w:val="0"/>
                <w:sz w:val="24"/>
                <w:szCs w:val="24"/>
                <w:highlight w:val="none"/>
                <w:lang w:val="en-US" w:eastAsia="zh-CN"/>
              </w:rPr>
              <w:t>C.贮存设施或贮存分区内地面、墙面裙脚、堵截泄漏的围堰、接触危险废物的隔板和墙体等应采用坚固的材料建造，表面无裂缝</w:t>
            </w:r>
            <w:r>
              <w:rPr>
                <w:rFonts w:hint="default" w:ascii="Times New Roman" w:hAnsi="Times New Roman" w:eastAsia="宋体" w:cs="Times New Roman"/>
                <w:color w:val="auto"/>
                <w:spacing w:val="0"/>
                <w:sz w:val="24"/>
                <w:szCs w:val="24"/>
                <w:highlight w:val="none"/>
              </w:rPr>
              <w:t>。</w:t>
            </w:r>
          </w:p>
          <w:p w14:paraId="56763B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pacing w:val="0"/>
                <w:sz w:val="24"/>
                <w:szCs w:val="24"/>
                <w:highlight w:val="none"/>
                <w:lang w:val="en-US" w:eastAsia="zh-CN"/>
              </w:rPr>
            </w:pPr>
            <w:r>
              <w:rPr>
                <w:rFonts w:hint="eastAsia" w:ascii="Times New Roman" w:hAnsi="Times New Roman" w:eastAsia="宋体" w:cs="Times New Roman"/>
                <w:color w:val="auto"/>
                <w:spacing w:val="0"/>
                <w:sz w:val="24"/>
                <w:szCs w:val="24"/>
                <w:highlight w:val="none"/>
                <w:lang w:val="en-US" w:eastAsia="zh-CN"/>
              </w:rPr>
              <w:t>D.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eastAsia" w:ascii="Times New Roman" w:hAnsi="Times New Roman" w:eastAsia="宋体" w:cs="Times New Roman"/>
                <w:color w:val="auto"/>
                <w:spacing w:val="0"/>
                <w:sz w:val="24"/>
                <w:szCs w:val="24"/>
                <w:highlight w:val="none"/>
                <w:vertAlign w:val="superscript"/>
                <w:lang w:val="en-US" w:eastAsia="zh-CN"/>
              </w:rPr>
              <w:t>-7</w:t>
            </w:r>
            <w:r>
              <w:rPr>
                <w:rFonts w:hint="eastAsia" w:ascii="Times New Roman" w:hAnsi="Times New Roman" w:eastAsia="宋体" w:cs="Times New Roman"/>
                <w:color w:val="auto"/>
                <w:spacing w:val="0"/>
                <w:sz w:val="24"/>
                <w:szCs w:val="24"/>
                <w:highlight w:val="none"/>
                <w:lang w:val="en-US" w:eastAsia="zh-CN"/>
              </w:rPr>
              <w:t>cm/s)，或至少2mm厚高密度聚乙烯膜等人工防渗材料（渗透系数不大于10</w:t>
            </w:r>
            <w:r>
              <w:rPr>
                <w:rFonts w:hint="eastAsia" w:ascii="Times New Roman" w:hAnsi="Times New Roman" w:eastAsia="宋体" w:cs="Times New Roman"/>
                <w:color w:val="auto"/>
                <w:spacing w:val="0"/>
                <w:sz w:val="24"/>
                <w:szCs w:val="24"/>
                <w:highlight w:val="none"/>
                <w:vertAlign w:val="superscript"/>
                <w:lang w:val="en-US" w:eastAsia="zh-CN"/>
              </w:rPr>
              <w:t>-10</w:t>
            </w:r>
            <w:r>
              <w:rPr>
                <w:rFonts w:hint="eastAsia" w:ascii="Times New Roman" w:hAnsi="Times New Roman" w:eastAsia="宋体" w:cs="Times New Roman"/>
                <w:color w:val="auto"/>
                <w:spacing w:val="0"/>
                <w:sz w:val="24"/>
                <w:szCs w:val="24"/>
                <w:highlight w:val="none"/>
                <w:lang w:val="en-US" w:eastAsia="zh-CN"/>
              </w:rPr>
              <w:t>cm/s)，或其他防渗性能等效的材料。</w:t>
            </w:r>
          </w:p>
          <w:p w14:paraId="3F24A1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pacing w:val="0"/>
                <w:sz w:val="24"/>
                <w:szCs w:val="24"/>
                <w:highlight w:val="none"/>
              </w:rPr>
            </w:pPr>
            <w:r>
              <w:rPr>
                <w:rFonts w:hint="eastAsia" w:ascii="Times New Roman" w:hAnsi="Times New Roman" w:eastAsia="宋体" w:cs="Times New Roman"/>
                <w:color w:val="auto"/>
                <w:spacing w:val="0"/>
                <w:sz w:val="24"/>
                <w:szCs w:val="24"/>
                <w:highlight w:val="none"/>
                <w:lang w:val="en-US" w:eastAsia="zh-CN"/>
              </w:rPr>
              <w:t>E.同一贮存设施宜采用相同的防渗、防腐工艺（包括防渗、防腐结构或材料），防渗、防腐材料应覆盖所有可能与废物及其渗滤液、渗漏液等接触的构筑物表面；采用不同防渗、防腐工艺应分别建设贮存分区</w:t>
            </w:r>
            <w:r>
              <w:rPr>
                <w:rFonts w:hint="default" w:ascii="Times New Roman" w:hAnsi="Times New Roman" w:eastAsia="宋体" w:cs="Times New Roman"/>
                <w:color w:val="auto"/>
                <w:spacing w:val="0"/>
                <w:sz w:val="24"/>
                <w:szCs w:val="24"/>
                <w:highlight w:val="none"/>
              </w:rPr>
              <w:t>。</w:t>
            </w:r>
          </w:p>
          <w:p w14:paraId="3AE8F2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pacing w:val="0"/>
                <w:sz w:val="24"/>
                <w:szCs w:val="24"/>
                <w:highlight w:val="none"/>
                <w:lang w:val="en-US" w:eastAsia="zh-CN"/>
              </w:rPr>
            </w:pPr>
            <w:r>
              <w:rPr>
                <w:rFonts w:hint="eastAsia" w:ascii="Times New Roman" w:hAnsi="Times New Roman" w:eastAsia="宋体" w:cs="Times New Roman"/>
                <w:color w:val="auto"/>
                <w:spacing w:val="0"/>
                <w:sz w:val="24"/>
                <w:szCs w:val="24"/>
                <w:highlight w:val="none"/>
                <w:lang w:val="en-US" w:eastAsia="zh-CN"/>
              </w:rPr>
              <w:t>F.贮存设施应采取技术和管理措施防止无关人员进入。</w:t>
            </w:r>
          </w:p>
          <w:p w14:paraId="3BD5B9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yellow"/>
                <w:vertAlign w:val="baseline"/>
                <w:lang w:val="en-US" w:eastAsia="zh-CN"/>
              </w:rPr>
            </w:pPr>
            <w:r>
              <w:rPr>
                <w:rFonts w:hint="eastAsia" w:cs="Times New Roman"/>
                <w:color w:val="auto"/>
                <w:spacing w:val="0"/>
                <w:sz w:val="24"/>
                <w:szCs w:val="24"/>
                <w:highlight w:val="none"/>
                <w:lang w:val="en-US" w:eastAsia="zh-CN"/>
              </w:rPr>
              <w:t>本</w:t>
            </w:r>
            <w:r>
              <w:rPr>
                <w:rFonts w:hint="default" w:ascii="Times New Roman" w:hAnsi="Times New Roman" w:eastAsia="宋体" w:cs="Times New Roman"/>
                <w:color w:val="auto"/>
                <w:spacing w:val="0"/>
                <w:sz w:val="24"/>
                <w:szCs w:val="24"/>
                <w:highlight w:val="none"/>
                <w:lang w:val="en-US" w:eastAsia="zh-CN"/>
              </w:rPr>
              <w:t>项目</w:t>
            </w:r>
            <w:r>
              <w:rPr>
                <w:rFonts w:hint="eastAsia" w:cs="Times New Roman"/>
                <w:color w:val="auto"/>
                <w:spacing w:val="0"/>
                <w:sz w:val="24"/>
                <w:szCs w:val="24"/>
                <w:highlight w:val="none"/>
                <w:lang w:val="en-US" w:eastAsia="zh-CN"/>
              </w:rPr>
              <w:t>依托现有项目已建</w:t>
            </w:r>
            <w:r>
              <w:rPr>
                <w:rFonts w:hint="eastAsia" w:ascii="Times New Roman" w:hAnsi="Times New Roman" w:eastAsia="宋体" w:cs="Times New Roman"/>
                <w:color w:val="auto"/>
                <w:spacing w:val="0"/>
                <w:sz w:val="24"/>
                <w:szCs w:val="24"/>
                <w:highlight w:val="none"/>
                <w:lang w:val="en-US" w:eastAsia="zh-CN"/>
              </w:rPr>
              <w:t>危废暂存间</w:t>
            </w:r>
            <w:r>
              <w:rPr>
                <w:rFonts w:hint="default" w:ascii="Times New Roman" w:hAnsi="Times New Roman" w:eastAsia="宋体" w:cs="Times New Roman"/>
                <w:color w:val="auto"/>
                <w:spacing w:val="0"/>
                <w:sz w:val="24"/>
                <w:szCs w:val="24"/>
                <w:highlight w:val="none"/>
                <w:lang w:val="en-US" w:eastAsia="zh-CN"/>
              </w:rPr>
              <w:t>，</w:t>
            </w:r>
            <w:r>
              <w:rPr>
                <w:rFonts w:hint="eastAsia" w:cs="Times New Roman"/>
                <w:color w:val="auto"/>
                <w:spacing w:val="0"/>
                <w:sz w:val="24"/>
                <w:szCs w:val="24"/>
                <w:highlight w:val="none"/>
                <w:lang w:val="en-US" w:eastAsia="zh-CN"/>
              </w:rPr>
              <w:t>已设置贮存分区，</w:t>
            </w:r>
            <w:r>
              <w:rPr>
                <w:rFonts w:hint="eastAsia" w:ascii="Times New Roman" w:hAnsi="Times New Roman" w:eastAsia="宋体" w:cs="Times New Roman"/>
                <w:color w:val="auto"/>
                <w:spacing w:val="0"/>
                <w:sz w:val="24"/>
                <w:szCs w:val="24"/>
                <w:highlight w:val="none"/>
                <w:lang w:val="en-US" w:eastAsia="zh-CN"/>
              </w:rPr>
              <w:t>地面、墙面裙脚已采取防腐、防渗处理，危废</w:t>
            </w:r>
            <w:r>
              <w:rPr>
                <w:rFonts w:hint="eastAsia" w:cs="Times New Roman"/>
                <w:color w:val="auto"/>
                <w:spacing w:val="0"/>
                <w:sz w:val="24"/>
                <w:szCs w:val="24"/>
                <w:highlight w:val="none"/>
                <w:lang w:val="en-US" w:eastAsia="zh-CN"/>
              </w:rPr>
              <w:t>暂存间面积50m</w:t>
            </w:r>
            <w:r>
              <w:rPr>
                <w:rFonts w:hint="eastAsia" w:cs="Times New Roman"/>
                <w:color w:val="auto"/>
                <w:spacing w:val="0"/>
                <w:sz w:val="24"/>
                <w:szCs w:val="24"/>
                <w:highlight w:val="none"/>
                <w:vertAlign w:val="superscript"/>
                <w:lang w:val="en-US" w:eastAsia="zh-CN"/>
              </w:rPr>
              <w:t>2</w:t>
            </w:r>
            <w:r>
              <w:rPr>
                <w:rFonts w:hint="eastAsia" w:cs="Times New Roman"/>
                <w:color w:val="auto"/>
                <w:spacing w:val="0"/>
                <w:sz w:val="24"/>
                <w:szCs w:val="24"/>
                <w:highlight w:val="none"/>
                <w:lang w:val="en-US" w:eastAsia="zh-CN"/>
              </w:rPr>
              <w:t>，最大暂存量</w:t>
            </w:r>
            <w:r>
              <w:rPr>
                <w:rFonts w:hint="eastAsia" w:ascii="Times New Roman" w:hAnsi="Times New Roman" w:cs="Times New Roman"/>
                <w:color w:val="auto"/>
                <w:spacing w:val="0"/>
                <w:sz w:val="24"/>
                <w:szCs w:val="24"/>
                <w:highlight w:val="none"/>
                <w:lang w:val="en-US" w:eastAsia="zh-CN"/>
              </w:rPr>
              <w:t>30</w:t>
            </w:r>
            <w:r>
              <w:rPr>
                <w:rFonts w:hint="eastAsia" w:ascii="Times New Roman" w:hAnsi="Times New Roman" w:eastAsia="宋体" w:cs="Times New Roman"/>
                <w:color w:val="auto"/>
                <w:spacing w:val="0"/>
                <w:sz w:val="24"/>
                <w:szCs w:val="24"/>
                <w:highlight w:val="none"/>
                <w:lang w:val="en-US" w:eastAsia="zh-CN"/>
              </w:rPr>
              <w:t>t</w:t>
            </w:r>
            <w:r>
              <w:rPr>
                <w:rFonts w:hint="default" w:ascii="Times New Roman" w:hAnsi="Times New Roman" w:eastAsia="宋体" w:cs="Times New Roman"/>
                <w:color w:val="auto"/>
                <w:spacing w:val="0"/>
                <w:sz w:val="24"/>
                <w:szCs w:val="24"/>
                <w:highlight w:val="none"/>
              </w:rPr>
              <w:t>，</w:t>
            </w:r>
            <w:r>
              <w:rPr>
                <w:rFonts w:hint="eastAsia" w:ascii="Times New Roman" w:hAnsi="Times New Roman" w:cs="Times New Roman"/>
                <w:color w:val="auto"/>
                <w:spacing w:val="0"/>
                <w:sz w:val="24"/>
                <w:szCs w:val="24"/>
                <w:highlight w:val="none"/>
                <w:lang w:val="en-US" w:eastAsia="zh-CN"/>
              </w:rPr>
              <w:t>现有项目危险废物最大暂存量为2.81</w:t>
            </w:r>
            <w:r>
              <w:rPr>
                <w:rFonts w:hint="eastAsia" w:ascii="Times New Roman" w:hAnsi="Times New Roman" w:eastAsia="宋体" w:cs="Times New Roman"/>
                <w:color w:val="auto"/>
                <w:spacing w:val="0"/>
                <w:sz w:val="24"/>
                <w:szCs w:val="24"/>
                <w:highlight w:val="none"/>
                <w:lang w:val="en-US" w:eastAsia="zh-CN"/>
              </w:rPr>
              <w:t>t</w:t>
            </w:r>
            <w:r>
              <w:rPr>
                <w:rFonts w:hint="eastAsia" w:ascii="Times New Roman" w:hAnsi="Times New Roman" w:cs="Times New Roman"/>
                <w:color w:val="auto"/>
                <w:spacing w:val="0"/>
                <w:sz w:val="24"/>
                <w:szCs w:val="24"/>
                <w:highlight w:val="none"/>
                <w:lang w:val="en-US" w:eastAsia="zh-CN"/>
              </w:rPr>
              <w:t>，剩余容量27.19</w:t>
            </w:r>
            <w:r>
              <w:rPr>
                <w:rFonts w:hint="eastAsia" w:ascii="Times New Roman" w:hAnsi="Times New Roman" w:eastAsia="宋体" w:cs="Times New Roman"/>
                <w:color w:val="auto"/>
                <w:spacing w:val="0"/>
                <w:sz w:val="24"/>
                <w:szCs w:val="24"/>
                <w:highlight w:val="none"/>
                <w:lang w:val="en-US" w:eastAsia="zh-CN"/>
              </w:rPr>
              <w:t>t</w:t>
            </w:r>
            <w:r>
              <w:rPr>
                <w:rFonts w:hint="eastAsia" w:ascii="Times New Roman" w:hAnsi="Times New Roman" w:cs="Times New Roman"/>
                <w:color w:val="auto"/>
                <w:spacing w:val="0"/>
                <w:sz w:val="24"/>
                <w:szCs w:val="24"/>
                <w:highlight w:val="none"/>
                <w:lang w:val="en-US" w:eastAsia="zh-CN"/>
              </w:rPr>
              <w:t>，本</w:t>
            </w:r>
            <w:r>
              <w:rPr>
                <w:rFonts w:hint="default" w:ascii="Times New Roman" w:hAnsi="Times New Roman" w:eastAsia="宋体" w:cs="Times New Roman"/>
                <w:color w:val="auto"/>
                <w:spacing w:val="0"/>
                <w:sz w:val="24"/>
                <w:szCs w:val="24"/>
                <w:highlight w:val="none"/>
                <w:lang w:val="en-US" w:eastAsia="zh-CN"/>
              </w:rPr>
              <w:t>项目建成后</w:t>
            </w:r>
            <w:r>
              <w:rPr>
                <w:rFonts w:hint="eastAsia" w:ascii="Times New Roman" w:hAnsi="Times New Roman" w:eastAsia="宋体" w:cs="Times New Roman"/>
                <w:color w:val="auto"/>
                <w:spacing w:val="0"/>
                <w:sz w:val="24"/>
                <w:szCs w:val="24"/>
                <w:highlight w:val="none"/>
                <w:lang w:val="en-US" w:eastAsia="zh-CN"/>
              </w:rPr>
              <w:t>危废</w:t>
            </w:r>
            <w:r>
              <w:rPr>
                <w:rFonts w:hint="default" w:ascii="Times New Roman" w:hAnsi="Times New Roman" w:eastAsia="宋体" w:cs="Times New Roman"/>
                <w:color w:val="auto"/>
                <w:spacing w:val="0"/>
                <w:sz w:val="24"/>
                <w:szCs w:val="24"/>
                <w:highlight w:val="none"/>
                <w:lang w:val="en-US" w:eastAsia="zh-CN"/>
              </w:rPr>
              <w:t>年产生量为</w:t>
            </w:r>
            <w:r>
              <w:rPr>
                <w:rFonts w:hint="eastAsia" w:cs="Times New Roman"/>
                <w:color w:val="auto"/>
                <w:spacing w:val="0"/>
                <w:sz w:val="24"/>
                <w:szCs w:val="24"/>
                <w:highlight w:val="none"/>
                <w:lang w:val="en-US" w:eastAsia="zh-CN"/>
              </w:rPr>
              <w:t>1.031</w:t>
            </w:r>
            <w:r>
              <w:rPr>
                <w:rFonts w:hint="default" w:ascii="Times New Roman" w:hAnsi="Times New Roman" w:eastAsia="宋体" w:cs="Times New Roman"/>
                <w:color w:val="auto"/>
                <w:spacing w:val="0"/>
                <w:sz w:val="24"/>
                <w:szCs w:val="24"/>
                <w:highlight w:val="none"/>
                <w:lang w:val="en-US" w:eastAsia="zh-CN"/>
              </w:rPr>
              <w:t>t/a</w:t>
            </w:r>
            <w:r>
              <w:rPr>
                <w:rFonts w:hint="eastAsia" w:ascii="Times New Roman" w:hAnsi="Times New Roman" w:eastAsia="宋体" w:cs="Times New Roman"/>
                <w:color w:val="auto"/>
                <w:spacing w:val="0"/>
                <w:sz w:val="24"/>
                <w:szCs w:val="24"/>
                <w:highlight w:val="none"/>
                <w:lang w:val="en-US" w:eastAsia="zh-CN"/>
              </w:rPr>
              <w:t>，预计暂存</w:t>
            </w:r>
            <w:r>
              <w:rPr>
                <w:rFonts w:hint="eastAsia" w:cs="Times New Roman"/>
                <w:color w:val="auto"/>
                <w:spacing w:val="0"/>
                <w:sz w:val="24"/>
                <w:szCs w:val="24"/>
                <w:highlight w:val="none"/>
                <w:lang w:val="en-US" w:eastAsia="zh-CN"/>
              </w:rPr>
              <w:t>3</w:t>
            </w:r>
            <w:r>
              <w:rPr>
                <w:rFonts w:hint="eastAsia" w:ascii="Times New Roman" w:hAnsi="Times New Roman" w:eastAsia="宋体" w:cs="Times New Roman"/>
                <w:color w:val="auto"/>
                <w:spacing w:val="0"/>
                <w:sz w:val="24"/>
                <w:szCs w:val="24"/>
                <w:highlight w:val="none"/>
                <w:lang w:val="en-US" w:eastAsia="zh-CN"/>
              </w:rPr>
              <w:t>个月，</w:t>
            </w:r>
            <w:r>
              <w:rPr>
                <w:rFonts w:hint="eastAsia" w:cs="Times New Roman"/>
                <w:color w:val="auto"/>
                <w:spacing w:val="0"/>
                <w:sz w:val="24"/>
                <w:szCs w:val="24"/>
                <w:highlight w:val="none"/>
                <w:lang w:val="en-US" w:eastAsia="zh-CN"/>
              </w:rPr>
              <w:t>最大暂存量0.258t，现有危废暂存间剩余容量可满足项目</w:t>
            </w:r>
            <w:r>
              <w:rPr>
                <w:rFonts w:hint="eastAsia" w:ascii="Times New Roman" w:hAnsi="Times New Roman" w:eastAsia="宋体" w:cs="Times New Roman"/>
                <w:color w:val="auto"/>
                <w:spacing w:val="0"/>
                <w:sz w:val="24"/>
                <w:szCs w:val="24"/>
                <w:highlight w:val="none"/>
                <w:lang w:val="en-US" w:eastAsia="zh-CN"/>
              </w:rPr>
              <w:t>危废</w:t>
            </w:r>
            <w:r>
              <w:rPr>
                <w:rFonts w:hint="default" w:ascii="Times New Roman" w:hAnsi="Times New Roman" w:eastAsia="宋体" w:cs="Times New Roman"/>
                <w:color w:val="auto"/>
                <w:spacing w:val="0"/>
                <w:sz w:val="24"/>
                <w:szCs w:val="24"/>
                <w:highlight w:val="none"/>
                <w:lang w:val="en-US" w:eastAsia="zh-CN"/>
              </w:rPr>
              <w:t>暂存需求。</w:t>
            </w:r>
          </w:p>
          <w:p w14:paraId="698E6C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pacing w:val="0"/>
                <w:sz w:val="24"/>
                <w:szCs w:val="24"/>
                <w:highlight w:val="none"/>
                <w:lang w:val="en-US" w:eastAsia="zh-CN"/>
              </w:rPr>
            </w:pPr>
            <w:r>
              <w:rPr>
                <w:rFonts w:hint="eastAsia" w:ascii="Times New Roman" w:hAnsi="Times New Roman" w:eastAsia="宋体" w:cs="Times New Roman"/>
                <w:color w:val="auto"/>
                <w:spacing w:val="0"/>
                <w:sz w:val="24"/>
                <w:szCs w:val="24"/>
                <w:highlight w:val="none"/>
                <w:lang w:val="en-US" w:eastAsia="zh-CN"/>
              </w:rPr>
              <w:t>②</w:t>
            </w:r>
            <w:r>
              <w:rPr>
                <w:rFonts w:hint="default" w:ascii="Times New Roman" w:hAnsi="Times New Roman" w:eastAsia="宋体" w:cs="Times New Roman"/>
                <w:color w:val="auto"/>
                <w:spacing w:val="0"/>
                <w:sz w:val="24"/>
                <w:szCs w:val="24"/>
                <w:highlight w:val="none"/>
                <w:lang w:val="en-US" w:eastAsia="zh-CN"/>
              </w:rPr>
              <w:t>危险废物</w:t>
            </w:r>
            <w:r>
              <w:rPr>
                <w:rFonts w:hint="eastAsia" w:ascii="Times New Roman" w:hAnsi="Times New Roman" w:eastAsia="宋体" w:cs="Times New Roman"/>
                <w:color w:val="auto"/>
                <w:spacing w:val="0"/>
                <w:sz w:val="24"/>
                <w:szCs w:val="24"/>
                <w:highlight w:val="none"/>
                <w:lang w:val="en-US" w:eastAsia="zh-CN"/>
              </w:rPr>
              <w:t>运输过程的环境影响分析</w:t>
            </w:r>
          </w:p>
          <w:p w14:paraId="120B4F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b w:val="0"/>
                <w:bCs w:val="0"/>
                <w:color w:val="auto"/>
                <w:kern w:val="2"/>
                <w:sz w:val="28"/>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本项目产生的危险废物将委托有资质单位进行集中处理，做到合理处置，将对环境的危害降到最低。</w:t>
            </w:r>
            <w:r>
              <w:rPr>
                <w:rFonts w:hint="default" w:ascii="Times New Roman" w:hAnsi="Times New Roman" w:eastAsia="宋体" w:cs="Times New Roman"/>
                <w:color w:val="auto"/>
                <w:kern w:val="2"/>
                <w:sz w:val="24"/>
                <w:szCs w:val="24"/>
                <w:highlight w:val="none"/>
                <w:lang w:val="en-US" w:eastAsia="zh-CN" w:bidi="ar-SA"/>
              </w:rPr>
              <w:t>废</w:t>
            </w:r>
            <w:r>
              <w:rPr>
                <w:rFonts w:hint="eastAsia" w:ascii="Times New Roman" w:hAnsi="Times New Roman" w:eastAsia="宋体" w:cs="Times New Roman"/>
                <w:color w:val="auto"/>
                <w:kern w:val="2"/>
                <w:sz w:val="24"/>
                <w:szCs w:val="24"/>
                <w:highlight w:val="none"/>
                <w:lang w:val="en-US" w:eastAsia="zh-CN" w:bidi="ar-SA"/>
              </w:rPr>
              <w:t>机油、废油桶、废含油抹布、</w:t>
            </w:r>
            <w:r>
              <w:rPr>
                <w:rFonts w:hint="default" w:ascii="Times New Roman" w:hAnsi="Times New Roman" w:eastAsia="宋体" w:cs="Times New Roman"/>
                <w:color w:val="auto"/>
                <w:kern w:val="2"/>
                <w:sz w:val="24"/>
                <w:szCs w:val="24"/>
                <w:highlight w:val="none"/>
                <w:lang w:val="en-US" w:eastAsia="zh-CN" w:bidi="ar-SA"/>
              </w:rPr>
              <w:t>废活性炭</w:t>
            </w:r>
            <w:r>
              <w:rPr>
                <w:rFonts w:hint="eastAsia" w:ascii="Times New Roman" w:hAnsi="Times New Roman" w:eastAsia="宋体" w:cs="Times New Roman"/>
                <w:b w:val="0"/>
                <w:bCs w:val="0"/>
                <w:color w:val="auto"/>
                <w:kern w:val="2"/>
                <w:sz w:val="24"/>
                <w:szCs w:val="24"/>
                <w:highlight w:val="none"/>
                <w:lang w:val="en-US" w:eastAsia="zh-CN" w:bidi="ar-SA"/>
              </w:rPr>
              <w:t>等收集后由专用容器盛装，一并暂存于危废暂存间，由于量不多，且路程短，正常情况下不会有危险废物的散落、泄</w:t>
            </w:r>
            <w:r>
              <w:rPr>
                <w:rFonts w:hint="eastAsia" w:cs="Times New Roman"/>
                <w:b w:val="0"/>
                <w:bCs w:val="0"/>
                <w:color w:val="auto"/>
                <w:kern w:val="2"/>
                <w:sz w:val="24"/>
                <w:szCs w:val="24"/>
                <w:highlight w:val="none"/>
                <w:lang w:val="en-US" w:eastAsia="zh-CN" w:bidi="ar-SA"/>
              </w:rPr>
              <w:t>漏</w:t>
            </w:r>
            <w:r>
              <w:rPr>
                <w:rFonts w:hint="eastAsia" w:ascii="Times New Roman" w:hAnsi="Times New Roman" w:eastAsia="宋体" w:cs="Times New Roman"/>
                <w:b w:val="0"/>
                <w:bCs w:val="0"/>
                <w:color w:val="auto"/>
                <w:kern w:val="2"/>
                <w:sz w:val="24"/>
                <w:szCs w:val="24"/>
                <w:highlight w:val="none"/>
                <w:lang w:val="en-US" w:eastAsia="zh-CN" w:bidi="ar-SA"/>
              </w:rPr>
              <w:t>。对于危险废物的收集和管理，建设单位应委派专人负责，认真执行五联单制度。做好每次转交处理废弃物的运输登记，认真填写危险废物转移联单，并加盖公司公章，经运输单位核实验收签字后，将联单第一联副联自留存档，将联单第二联交移出当地生态环境行政主管部门，第三联及其余各联交付运输单位，随危险废物转移运行，第四联交接受单位，第五联交接受地生态环境局，进入江西省危废监管平台进行管理。</w:t>
            </w:r>
          </w:p>
          <w:p w14:paraId="0DB8BA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危险废物暂存危废暂存间，定期由专业有资质的单位进行运输，运输方式为汽运，运输时应当采取密闭、遮盖、捆扎等措施防止散落和泄露；运输危险废物的人员，应当接受专业培训，经考核合格后，方可从事运输危险废物的工作；运输危险废物的单位应制定在发生意外事故时应采取的应急措施和防范措施，运输时发生突发性事故必须采取措施消除或者减轻对环境的污染危害，及时通报给附近的单位和居民，并向事故发生地以上的人民政府生态环境行政主管部门和有关部门报告，接受调查处理。通过采取以上措施后，可将对运输路线沿线环境敏感点的危害性降至最低。</w:t>
            </w:r>
          </w:p>
          <w:p w14:paraId="59EBF865">
            <w:pPr>
              <w:keepNext w:val="0"/>
              <w:keepLines w:val="0"/>
              <w:suppressLineNumbers w:val="0"/>
              <w:bidi w:val="0"/>
              <w:spacing w:before="0" w:beforeAutospacing="0" w:after="0" w:afterAutospacing="0"/>
              <w:ind w:left="0" w:right="0"/>
              <w:rPr>
                <w:rFonts w:hint="default"/>
                <w:b/>
                <w:bCs/>
                <w:color w:val="auto"/>
                <w:highlight w:val="none"/>
                <w:lang w:val="zh-CN"/>
              </w:rPr>
            </w:pPr>
            <w:r>
              <w:rPr>
                <w:rFonts w:hint="eastAsia"/>
                <w:b/>
                <w:bCs/>
                <w:color w:val="auto"/>
                <w:highlight w:val="none"/>
                <w:lang w:val="en-US" w:eastAsia="zh-CN"/>
              </w:rPr>
              <w:t>5、</w:t>
            </w:r>
            <w:r>
              <w:rPr>
                <w:rFonts w:hint="default"/>
                <w:b/>
                <w:bCs/>
                <w:color w:val="auto"/>
                <w:highlight w:val="none"/>
                <w:lang w:val="zh-CN"/>
              </w:rPr>
              <w:t>地下水</w:t>
            </w:r>
            <w:r>
              <w:rPr>
                <w:rFonts w:hint="eastAsia"/>
                <w:b/>
                <w:bCs/>
                <w:color w:val="auto"/>
                <w:highlight w:val="none"/>
                <w:lang w:val="zh-CN"/>
              </w:rPr>
              <w:t>、</w:t>
            </w:r>
            <w:r>
              <w:rPr>
                <w:rFonts w:hint="default"/>
                <w:b/>
                <w:bCs/>
                <w:color w:val="auto"/>
                <w:highlight w:val="none"/>
                <w:lang w:val="zh-CN"/>
              </w:rPr>
              <w:t>土壤环境影响分析</w:t>
            </w:r>
          </w:p>
          <w:p w14:paraId="645C46C2">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default"/>
                <w:color w:val="auto"/>
                <w:highlight w:val="none"/>
              </w:rPr>
              <w:t>地下水</w:t>
            </w:r>
            <w:r>
              <w:rPr>
                <w:rFonts w:hint="eastAsia"/>
                <w:color w:val="auto"/>
                <w:highlight w:val="none"/>
              </w:rPr>
              <w:t>、土壤</w:t>
            </w:r>
            <w:r>
              <w:rPr>
                <w:rFonts w:hint="eastAsia"/>
                <w:color w:val="auto"/>
                <w:highlight w:val="none"/>
                <w:lang w:val="en-US" w:eastAsia="zh-CN"/>
              </w:rPr>
              <w:t>污染途径</w:t>
            </w:r>
          </w:p>
          <w:p w14:paraId="251D4273">
            <w:pPr>
              <w:keepNext w:val="0"/>
              <w:keepLines w:val="0"/>
              <w:suppressLineNumbers w:val="0"/>
              <w:bidi w:val="0"/>
              <w:spacing w:before="0" w:beforeAutospacing="0" w:after="0" w:afterAutospacing="0"/>
              <w:ind w:left="0" w:right="0"/>
              <w:rPr>
                <w:rFonts w:hint="eastAsia"/>
                <w:color w:val="auto"/>
                <w:highlight w:val="none"/>
              </w:rPr>
            </w:pPr>
            <w:r>
              <w:rPr>
                <w:rFonts w:hint="default"/>
                <w:color w:val="auto"/>
                <w:highlight w:val="none"/>
              </w:rPr>
              <w:t>本项目采用源头控制措施，根据项目生产特点，设置分区防渗等措施，不存在土壤、地下水环境污染途径</w:t>
            </w:r>
            <w:r>
              <w:rPr>
                <w:rFonts w:hint="default"/>
                <w:color w:val="auto"/>
                <w:highlight w:val="none"/>
                <w:lang w:eastAsia="zh-CN"/>
              </w:rPr>
              <w:t>。</w:t>
            </w:r>
          </w:p>
          <w:p w14:paraId="358E8E5F">
            <w:pPr>
              <w:keepNext w:val="0"/>
              <w:keepLines w:val="0"/>
              <w:suppressLineNumbers w:val="0"/>
              <w:bidi w:val="0"/>
              <w:spacing w:before="0" w:beforeAutospacing="0" w:after="0" w:afterAutospacing="0"/>
              <w:ind w:left="0" w:right="0"/>
              <w:rPr>
                <w:rFonts w:hint="eastAsia"/>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）防控</w:t>
            </w:r>
            <w:r>
              <w:rPr>
                <w:rFonts w:hint="eastAsia"/>
                <w:color w:val="auto"/>
                <w:highlight w:val="none"/>
              </w:rPr>
              <w:t>措施</w:t>
            </w:r>
          </w:p>
          <w:p w14:paraId="7D0C4C80">
            <w:pPr>
              <w:keepNext w:val="0"/>
              <w:keepLines w:val="0"/>
              <w:suppressLineNumbers w:val="0"/>
              <w:bidi w:val="0"/>
              <w:spacing w:before="0" w:beforeAutospacing="0" w:after="0" w:afterAutospacing="0"/>
              <w:ind w:left="0" w:right="0"/>
              <w:rPr>
                <w:rFonts w:hint="eastAsia"/>
                <w:color w:val="auto"/>
                <w:highlight w:val="none"/>
              </w:rPr>
            </w:pPr>
            <w:r>
              <w:rPr>
                <w:rFonts w:hint="default"/>
                <w:color w:val="auto"/>
                <w:highlight w:val="none"/>
              </w:rPr>
              <w:t>鉴于本项目污染物产生和排放特点，针对土壤、地下水环境污染的可能途径，为防止建设项目</w:t>
            </w:r>
            <w:r>
              <w:rPr>
                <w:rFonts w:hint="eastAsia"/>
                <w:color w:val="auto"/>
                <w:highlight w:val="none"/>
                <w:lang w:val="en-US" w:eastAsia="zh-CN"/>
              </w:rPr>
              <w:t>危险废物</w:t>
            </w:r>
            <w:r>
              <w:rPr>
                <w:rFonts w:hint="default"/>
                <w:color w:val="auto"/>
                <w:highlight w:val="none"/>
              </w:rPr>
              <w:t>下渗对地下水造成污染，</w:t>
            </w:r>
            <w:r>
              <w:rPr>
                <w:rFonts w:hint="eastAsia"/>
                <w:color w:val="auto"/>
                <w:highlight w:val="none"/>
              </w:rPr>
              <w:t>本评价建议：</w:t>
            </w:r>
          </w:p>
          <w:p w14:paraId="0C4784C0">
            <w:pPr>
              <w:keepNext w:val="0"/>
              <w:keepLines w:val="0"/>
              <w:suppressLineNumbers w:val="0"/>
              <w:bidi w:val="0"/>
              <w:spacing w:before="0" w:beforeAutospacing="0" w:after="0" w:afterAutospacing="0"/>
              <w:ind w:left="0" w:right="0"/>
              <w:rPr>
                <w:rFonts w:hint="eastAsia"/>
                <w:color w:val="auto"/>
                <w:highlight w:val="none"/>
              </w:rPr>
            </w:pPr>
            <w:r>
              <w:rPr>
                <w:rFonts w:hint="eastAsia"/>
                <w:color w:val="auto"/>
                <w:highlight w:val="none"/>
                <w:lang w:val="en-US" w:eastAsia="zh-CN"/>
              </w:rPr>
              <w:t>1</w:t>
            </w:r>
            <w:r>
              <w:rPr>
                <w:rFonts w:hint="eastAsia"/>
                <w:color w:val="auto"/>
                <w:highlight w:val="none"/>
                <w:lang w:eastAsia="zh-CN"/>
              </w:rPr>
              <w:t>）</w:t>
            </w:r>
            <w:r>
              <w:rPr>
                <w:rFonts w:hint="default"/>
                <w:color w:val="auto"/>
                <w:highlight w:val="none"/>
              </w:rPr>
              <w:t>项目一般</w:t>
            </w:r>
            <w:r>
              <w:rPr>
                <w:rFonts w:hint="eastAsia"/>
                <w:color w:val="auto"/>
                <w:highlight w:val="none"/>
                <w:lang w:val="en-US" w:eastAsia="zh-CN"/>
              </w:rPr>
              <w:t>工业</w:t>
            </w:r>
            <w:r>
              <w:rPr>
                <w:rFonts w:hint="default"/>
                <w:color w:val="auto"/>
                <w:highlight w:val="none"/>
              </w:rPr>
              <w:t>固废和危险废物分类存放于相应的暂存</w:t>
            </w:r>
            <w:r>
              <w:rPr>
                <w:rFonts w:hint="eastAsia"/>
                <w:color w:val="auto"/>
                <w:highlight w:val="none"/>
                <w:lang w:val="en-US" w:eastAsia="zh-CN"/>
              </w:rPr>
              <w:t>间</w:t>
            </w:r>
            <w:r>
              <w:rPr>
                <w:rFonts w:hint="default"/>
                <w:color w:val="auto"/>
                <w:highlight w:val="none"/>
              </w:rPr>
              <w:t>内，不设置露天堆场</w:t>
            </w:r>
            <w:r>
              <w:rPr>
                <w:rFonts w:hint="eastAsia"/>
                <w:color w:val="auto"/>
                <w:highlight w:val="none"/>
              </w:rPr>
              <w:t>。</w:t>
            </w:r>
          </w:p>
          <w:p w14:paraId="6F456B8A">
            <w:pPr>
              <w:keepNext w:val="0"/>
              <w:keepLines w:val="0"/>
              <w:suppressLineNumbers w:val="0"/>
              <w:bidi w:val="0"/>
              <w:spacing w:before="0" w:beforeAutospacing="0" w:after="0" w:afterAutospacing="0"/>
              <w:ind w:left="0" w:right="0"/>
              <w:rPr>
                <w:rFonts w:hint="default" w:eastAsia="宋体"/>
                <w:color w:val="auto"/>
                <w:highlight w:val="none"/>
                <w:lang w:val="en-US" w:eastAsia="zh-CN"/>
              </w:rPr>
            </w:pPr>
            <w:r>
              <w:rPr>
                <w:rFonts w:hint="eastAsia"/>
                <w:color w:val="auto"/>
                <w:highlight w:val="none"/>
                <w:lang w:val="en-US" w:eastAsia="zh-CN"/>
              </w:rPr>
              <w:t>2</w:t>
            </w:r>
            <w:r>
              <w:rPr>
                <w:rFonts w:hint="eastAsia"/>
                <w:color w:val="auto"/>
                <w:highlight w:val="none"/>
                <w:lang w:eastAsia="zh-CN"/>
              </w:rPr>
              <w:t>）</w:t>
            </w:r>
            <w:r>
              <w:rPr>
                <w:rFonts w:hint="eastAsia"/>
                <w:color w:val="auto"/>
                <w:highlight w:val="none"/>
              </w:rPr>
              <w:t>根据本项目厂区可能泄漏至地面区域污染物的性质和生产单元的构筑方式，将厂区划分为重点防渗区</w:t>
            </w:r>
            <w:r>
              <w:rPr>
                <w:rFonts w:hint="eastAsia"/>
                <w:color w:val="auto"/>
                <w:highlight w:val="none"/>
                <w:lang w:eastAsia="zh-CN"/>
              </w:rPr>
              <w:t>、</w:t>
            </w:r>
            <w:r>
              <w:rPr>
                <w:rFonts w:hint="eastAsia"/>
                <w:color w:val="auto"/>
                <w:highlight w:val="none"/>
              </w:rPr>
              <w:t>一般防渗区，针对不同的区域提出相应的防渗措施。</w:t>
            </w:r>
            <w:r>
              <w:rPr>
                <w:rFonts w:hint="eastAsia"/>
                <w:color w:val="auto"/>
                <w:highlight w:val="none"/>
                <w:lang w:val="en-US" w:eastAsia="zh-CN"/>
              </w:rPr>
              <w:t>现有项目已对危废暂存间进行防风、防晒、防雨、防漏、防渗、防腐等处理。项目地下水分区防渗图见附图五。</w:t>
            </w:r>
          </w:p>
          <w:p w14:paraId="58CE41DE">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default"/>
                <w:b/>
                <w:bCs/>
                <w:color w:val="auto"/>
                <w:highlight w:val="none"/>
                <w:lang w:val="en-US" w:eastAsia="zh-CN"/>
              </w:rPr>
              <w:t>表4-</w:t>
            </w:r>
            <w:r>
              <w:rPr>
                <w:rFonts w:hint="eastAsia"/>
                <w:b/>
                <w:bCs/>
                <w:color w:val="auto"/>
                <w:highlight w:val="none"/>
                <w:lang w:val="en-US" w:eastAsia="zh-CN"/>
              </w:rPr>
              <w:t xml:space="preserve">17  </w:t>
            </w:r>
            <w:r>
              <w:rPr>
                <w:rFonts w:hint="default"/>
                <w:b/>
                <w:bCs/>
                <w:color w:val="auto"/>
                <w:highlight w:val="none"/>
                <w:lang w:val="en-US" w:eastAsia="zh-CN"/>
              </w:rPr>
              <w:t xml:space="preserve"> 项目污染区划分及防渗等级一览表</w:t>
            </w:r>
          </w:p>
          <w:tbl>
            <w:tblPr>
              <w:tblStyle w:val="32"/>
              <w:tblW w:w="843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7"/>
              <w:gridCol w:w="2285"/>
              <w:gridCol w:w="1431"/>
              <w:gridCol w:w="4070"/>
            </w:tblGrid>
            <w:tr w14:paraId="299942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47" w:type="dxa"/>
                  <w:tcBorders>
                    <w:bottom w:val="single" w:color="auto" w:sz="12" w:space="0"/>
                  </w:tcBorders>
                  <w:vAlign w:val="center"/>
                </w:tcPr>
                <w:p w14:paraId="099FF8EC">
                  <w:pPr>
                    <w:pStyle w:val="6"/>
                    <w:keepNext w:val="0"/>
                    <w:keepLines w:val="0"/>
                    <w:suppressLineNumbers w:val="0"/>
                    <w:bidi w:val="0"/>
                    <w:spacing w:before="0" w:beforeAutospacing="0" w:after="0" w:afterAutospacing="0"/>
                    <w:ind w:right="0"/>
                    <w:rPr>
                      <w:rFonts w:hint="default"/>
                      <w:b/>
                      <w:bCs/>
                      <w:color w:val="auto"/>
                      <w:sz w:val="21"/>
                      <w:szCs w:val="21"/>
                      <w:highlight w:val="none"/>
                      <w:lang w:val="en-US" w:eastAsia="zh-CN"/>
                    </w:rPr>
                  </w:pPr>
                  <w:r>
                    <w:rPr>
                      <w:rFonts w:hint="default"/>
                      <w:b/>
                      <w:bCs/>
                      <w:color w:val="auto"/>
                      <w:sz w:val="21"/>
                      <w:szCs w:val="21"/>
                      <w:highlight w:val="none"/>
                      <w:lang w:val="en-US" w:eastAsia="zh-CN"/>
                    </w:rPr>
                    <w:t>序号</w:t>
                  </w:r>
                </w:p>
              </w:tc>
              <w:tc>
                <w:tcPr>
                  <w:tcW w:w="2285" w:type="dxa"/>
                  <w:tcBorders>
                    <w:bottom w:val="single" w:color="auto" w:sz="12" w:space="0"/>
                  </w:tcBorders>
                  <w:vAlign w:val="center"/>
                </w:tcPr>
                <w:p w14:paraId="44595E26">
                  <w:pPr>
                    <w:pStyle w:val="6"/>
                    <w:keepNext w:val="0"/>
                    <w:keepLines w:val="0"/>
                    <w:suppressLineNumbers w:val="0"/>
                    <w:bidi w:val="0"/>
                    <w:spacing w:before="0" w:beforeAutospacing="0" w:after="0" w:afterAutospacing="0"/>
                    <w:ind w:right="0"/>
                    <w:rPr>
                      <w:rFonts w:hint="default"/>
                      <w:b/>
                      <w:bCs/>
                      <w:color w:val="auto"/>
                      <w:sz w:val="21"/>
                      <w:szCs w:val="21"/>
                      <w:highlight w:val="none"/>
                      <w:lang w:val="en-US" w:eastAsia="zh-CN"/>
                    </w:rPr>
                  </w:pPr>
                  <w:r>
                    <w:rPr>
                      <w:rFonts w:hint="default"/>
                      <w:b/>
                      <w:bCs/>
                      <w:color w:val="auto"/>
                      <w:sz w:val="21"/>
                      <w:szCs w:val="21"/>
                      <w:highlight w:val="none"/>
                      <w:lang w:val="en-US" w:eastAsia="zh-CN"/>
                    </w:rPr>
                    <w:t>防渗区域或部位</w:t>
                  </w:r>
                </w:p>
              </w:tc>
              <w:tc>
                <w:tcPr>
                  <w:tcW w:w="1431" w:type="dxa"/>
                  <w:tcBorders>
                    <w:bottom w:val="single" w:color="auto" w:sz="12" w:space="0"/>
                  </w:tcBorders>
                  <w:vAlign w:val="center"/>
                </w:tcPr>
                <w:p w14:paraId="37C3D3DF">
                  <w:pPr>
                    <w:pStyle w:val="6"/>
                    <w:keepNext w:val="0"/>
                    <w:keepLines w:val="0"/>
                    <w:suppressLineNumbers w:val="0"/>
                    <w:bidi w:val="0"/>
                    <w:spacing w:before="0" w:beforeAutospacing="0" w:after="0" w:afterAutospacing="0"/>
                    <w:ind w:right="0"/>
                    <w:rPr>
                      <w:rFonts w:hint="default"/>
                      <w:b/>
                      <w:bCs/>
                      <w:color w:val="auto"/>
                      <w:sz w:val="21"/>
                      <w:szCs w:val="21"/>
                      <w:highlight w:val="none"/>
                      <w:lang w:val="en-US" w:eastAsia="zh-CN"/>
                    </w:rPr>
                  </w:pPr>
                  <w:r>
                    <w:rPr>
                      <w:rFonts w:hint="default"/>
                      <w:b/>
                      <w:bCs/>
                      <w:color w:val="auto"/>
                      <w:sz w:val="21"/>
                      <w:szCs w:val="21"/>
                      <w:highlight w:val="none"/>
                      <w:lang w:val="en-US" w:eastAsia="zh-CN"/>
                    </w:rPr>
                    <w:t>防渗等级</w:t>
                  </w:r>
                </w:p>
              </w:tc>
              <w:tc>
                <w:tcPr>
                  <w:tcW w:w="4070" w:type="dxa"/>
                  <w:tcBorders>
                    <w:bottom w:val="single" w:color="auto" w:sz="12" w:space="0"/>
                  </w:tcBorders>
                  <w:vAlign w:val="center"/>
                </w:tcPr>
                <w:p w14:paraId="1A29E263">
                  <w:pPr>
                    <w:pStyle w:val="6"/>
                    <w:keepNext w:val="0"/>
                    <w:keepLines w:val="0"/>
                    <w:suppressLineNumbers w:val="0"/>
                    <w:bidi w:val="0"/>
                    <w:spacing w:before="0" w:beforeAutospacing="0" w:after="0" w:afterAutospacing="0"/>
                    <w:ind w:right="0"/>
                    <w:rPr>
                      <w:rFonts w:hint="default"/>
                      <w:b/>
                      <w:bCs/>
                      <w:color w:val="auto"/>
                      <w:sz w:val="21"/>
                      <w:szCs w:val="21"/>
                      <w:highlight w:val="none"/>
                      <w:lang w:val="en-US" w:eastAsia="zh-CN"/>
                    </w:rPr>
                  </w:pPr>
                  <w:r>
                    <w:rPr>
                      <w:rFonts w:hint="default"/>
                      <w:b/>
                      <w:bCs/>
                      <w:color w:val="auto"/>
                      <w:sz w:val="21"/>
                      <w:szCs w:val="21"/>
                      <w:highlight w:val="none"/>
                      <w:lang w:val="en-US" w:eastAsia="zh-CN"/>
                    </w:rPr>
                    <w:t>防渗要求</w:t>
                  </w:r>
                </w:p>
              </w:tc>
            </w:tr>
            <w:tr w14:paraId="574439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47" w:type="dxa"/>
                  <w:tcBorders>
                    <w:top w:val="single" w:color="auto" w:sz="12" w:space="0"/>
                  </w:tcBorders>
                  <w:vAlign w:val="center"/>
                </w:tcPr>
                <w:p w14:paraId="2E64EF62">
                  <w:pPr>
                    <w:pStyle w:val="6"/>
                    <w:keepNext w:val="0"/>
                    <w:keepLines w:val="0"/>
                    <w:suppressLineNumbers w:val="0"/>
                    <w:bidi w:val="0"/>
                    <w:spacing w:before="0" w:beforeAutospacing="0" w:after="0" w:afterAutospacing="0"/>
                    <w:ind w:right="0"/>
                    <w:rPr>
                      <w:rFonts w:hint="default"/>
                      <w:color w:val="auto"/>
                      <w:sz w:val="21"/>
                      <w:szCs w:val="21"/>
                      <w:highlight w:val="none"/>
                      <w:lang w:val="en-US" w:eastAsia="zh-CN"/>
                    </w:rPr>
                  </w:pPr>
                  <w:r>
                    <w:rPr>
                      <w:rFonts w:hint="default"/>
                      <w:color w:val="auto"/>
                      <w:sz w:val="21"/>
                      <w:szCs w:val="21"/>
                      <w:highlight w:val="none"/>
                      <w:lang w:val="en-US" w:eastAsia="zh-CN"/>
                    </w:rPr>
                    <w:t>1</w:t>
                  </w:r>
                </w:p>
              </w:tc>
              <w:tc>
                <w:tcPr>
                  <w:tcW w:w="2285" w:type="dxa"/>
                  <w:tcBorders>
                    <w:top w:val="single" w:color="auto" w:sz="12" w:space="0"/>
                  </w:tcBorders>
                  <w:vAlign w:val="center"/>
                </w:tcPr>
                <w:p w14:paraId="048E6CD9">
                  <w:pPr>
                    <w:pStyle w:val="6"/>
                    <w:keepNext w:val="0"/>
                    <w:keepLines w:val="0"/>
                    <w:suppressLineNumbers w:val="0"/>
                    <w:bidi w:val="0"/>
                    <w:spacing w:before="0" w:beforeAutospacing="0" w:after="0" w:afterAutospacing="0"/>
                    <w:ind w:right="0"/>
                    <w:rPr>
                      <w:rFonts w:hint="default"/>
                      <w:color w:val="auto"/>
                      <w:sz w:val="21"/>
                      <w:szCs w:val="21"/>
                      <w:highlight w:val="none"/>
                      <w:lang w:val="en-US" w:eastAsia="zh-CN"/>
                    </w:rPr>
                  </w:pPr>
                  <w:r>
                    <w:rPr>
                      <w:rFonts w:hint="default"/>
                      <w:color w:val="auto"/>
                      <w:sz w:val="21"/>
                      <w:szCs w:val="21"/>
                      <w:highlight w:val="none"/>
                      <w:lang w:val="en-US" w:eastAsia="zh-CN"/>
                    </w:rPr>
                    <w:t>危废暂存</w:t>
                  </w:r>
                  <w:r>
                    <w:rPr>
                      <w:rFonts w:hint="eastAsia"/>
                      <w:color w:val="auto"/>
                      <w:sz w:val="21"/>
                      <w:szCs w:val="21"/>
                      <w:highlight w:val="none"/>
                      <w:lang w:val="en-US" w:eastAsia="zh-CN"/>
                    </w:rPr>
                    <w:t>间（依托）</w:t>
                  </w:r>
                </w:p>
              </w:tc>
              <w:tc>
                <w:tcPr>
                  <w:tcW w:w="1431" w:type="dxa"/>
                  <w:tcBorders>
                    <w:top w:val="single" w:color="auto" w:sz="12" w:space="0"/>
                  </w:tcBorders>
                  <w:vAlign w:val="center"/>
                </w:tcPr>
                <w:p w14:paraId="2D45D4E4">
                  <w:pPr>
                    <w:pStyle w:val="6"/>
                    <w:keepNext w:val="0"/>
                    <w:keepLines w:val="0"/>
                    <w:suppressLineNumbers w:val="0"/>
                    <w:bidi w:val="0"/>
                    <w:spacing w:before="0" w:beforeAutospacing="0" w:after="0" w:afterAutospacing="0"/>
                    <w:ind w:right="0"/>
                    <w:rPr>
                      <w:rFonts w:hint="default"/>
                      <w:color w:val="auto"/>
                      <w:sz w:val="21"/>
                      <w:szCs w:val="21"/>
                      <w:highlight w:val="none"/>
                      <w:lang w:val="en-US" w:eastAsia="zh-CN"/>
                    </w:rPr>
                  </w:pPr>
                  <w:r>
                    <w:rPr>
                      <w:rFonts w:hint="default"/>
                      <w:color w:val="auto"/>
                      <w:sz w:val="21"/>
                      <w:szCs w:val="21"/>
                      <w:highlight w:val="none"/>
                      <w:lang w:val="en-US" w:eastAsia="zh-CN"/>
                    </w:rPr>
                    <w:t>重点防渗区</w:t>
                  </w:r>
                </w:p>
              </w:tc>
              <w:tc>
                <w:tcPr>
                  <w:tcW w:w="4070" w:type="dxa"/>
                  <w:tcBorders>
                    <w:top w:val="single" w:color="auto" w:sz="12" w:space="0"/>
                  </w:tcBorders>
                  <w:vAlign w:val="center"/>
                </w:tcPr>
                <w:p w14:paraId="3196B6FF">
                  <w:pPr>
                    <w:pStyle w:val="6"/>
                    <w:keepNext w:val="0"/>
                    <w:keepLines w:val="0"/>
                    <w:suppressLineNumbers w:val="0"/>
                    <w:bidi w:val="0"/>
                    <w:spacing w:before="0" w:beforeAutospacing="0" w:after="0" w:afterAutospacing="0"/>
                    <w:ind w:right="0"/>
                    <w:jc w:val="both"/>
                    <w:rPr>
                      <w:rFonts w:hint="default"/>
                      <w:color w:val="auto"/>
                      <w:sz w:val="21"/>
                      <w:szCs w:val="21"/>
                      <w:highlight w:val="none"/>
                      <w:lang w:val="en-US" w:eastAsia="zh-CN"/>
                    </w:rPr>
                  </w:pPr>
                  <w:r>
                    <w:rPr>
                      <w:rFonts w:hint="eastAsia"/>
                      <w:color w:val="auto"/>
                      <w:sz w:val="21"/>
                      <w:szCs w:val="21"/>
                      <w:highlight w:val="none"/>
                      <w:lang w:val="en-US" w:eastAsia="zh-CN"/>
                    </w:rPr>
                    <w:t>已</w:t>
                  </w:r>
                  <w:r>
                    <w:rPr>
                      <w:rFonts w:hint="default"/>
                      <w:color w:val="auto"/>
                      <w:sz w:val="21"/>
                      <w:szCs w:val="21"/>
                      <w:highlight w:val="none"/>
                      <w:lang w:val="en-US" w:eastAsia="zh-CN"/>
                    </w:rPr>
                    <w:t>采用混凝土硬化，在硬化的混凝土表面再铺设防腐防渗膜，并采用环氧树脂胶泥勾缝进行防腐防渗，确保暂存区防渗层渗透系数小于1.0×10</w:t>
                  </w:r>
                  <w:r>
                    <w:rPr>
                      <w:rFonts w:hint="default"/>
                      <w:color w:val="auto"/>
                      <w:sz w:val="21"/>
                      <w:szCs w:val="21"/>
                      <w:highlight w:val="none"/>
                      <w:vertAlign w:val="superscript"/>
                      <w:lang w:val="en-US" w:eastAsia="zh-CN"/>
                    </w:rPr>
                    <w:t>-</w:t>
                  </w:r>
                  <w:r>
                    <w:rPr>
                      <w:rFonts w:hint="eastAsia"/>
                      <w:color w:val="auto"/>
                      <w:sz w:val="21"/>
                      <w:szCs w:val="21"/>
                      <w:highlight w:val="none"/>
                      <w:vertAlign w:val="superscript"/>
                      <w:lang w:val="en-US" w:eastAsia="zh-CN"/>
                    </w:rPr>
                    <w:t>10</w:t>
                  </w:r>
                  <w:r>
                    <w:rPr>
                      <w:rFonts w:hint="default"/>
                      <w:color w:val="auto"/>
                      <w:sz w:val="21"/>
                      <w:szCs w:val="21"/>
                      <w:highlight w:val="none"/>
                      <w:lang w:val="en-US" w:eastAsia="zh-CN"/>
                    </w:rPr>
                    <w:t>cm/s。</w:t>
                  </w:r>
                </w:p>
              </w:tc>
            </w:tr>
            <w:tr w14:paraId="442B3F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47" w:type="dxa"/>
                  <w:vAlign w:val="center"/>
                </w:tcPr>
                <w:p w14:paraId="78F57B17">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21"/>
                      <w:szCs w:val="21"/>
                      <w:highlight w:val="none"/>
                      <w:lang w:val="en-US" w:eastAsia="zh-CN"/>
                    </w:rPr>
                  </w:pPr>
                  <w:r>
                    <w:rPr>
                      <w:rFonts w:hint="default"/>
                      <w:color w:val="auto"/>
                      <w:sz w:val="21"/>
                      <w:szCs w:val="21"/>
                      <w:highlight w:val="none"/>
                      <w:lang w:val="en-US" w:eastAsia="zh-CN"/>
                    </w:rPr>
                    <w:t>2</w:t>
                  </w:r>
                </w:p>
              </w:tc>
              <w:tc>
                <w:tcPr>
                  <w:tcW w:w="2285" w:type="dxa"/>
                  <w:vAlign w:val="center"/>
                </w:tcPr>
                <w:p w14:paraId="6AEA3A6C">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车间办公区、原料区、成品区、生产区、一般固废暂存区、隔油池、化粪池</w:t>
                  </w:r>
                </w:p>
              </w:tc>
              <w:tc>
                <w:tcPr>
                  <w:tcW w:w="1431" w:type="dxa"/>
                  <w:vAlign w:val="center"/>
                </w:tcPr>
                <w:p w14:paraId="6D05D05E">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21"/>
                      <w:szCs w:val="21"/>
                      <w:highlight w:val="none"/>
                      <w:lang w:val="en-US" w:eastAsia="zh-CN"/>
                    </w:rPr>
                  </w:pPr>
                  <w:r>
                    <w:rPr>
                      <w:rFonts w:hint="default"/>
                      <w:color w:val="auto"/>
                      <w:sz w:val="21"/>
                      <w:szCs w:val="21"/>
                      <w:highlight w:val="none"/>
                      <w:lang w:val="en-US" w:eastAsia="zh-CN"/>
                    </w:rPr>
                    <w:t>一般防渗区</w:t>
                  </w:r>
                </w:p>
              </w:tc>
              <w:tc>
                <w:tcPr>
                  <w:tcW w:w="4070" w:type="dxa"/>
                  <w:vAlign w:val="center"/>
                </w:tcPr>
                <w:p w14:paraId="70C6EF90">
                  <w:pPr>
                    <w:pStyle w:val="6"/>
                    <w:keepNext w:val="0"/>
                    <w:keepLines w:val="0"/>
                    <w:suppressLineNumbers w:val="0"/>
                    <w:bidi w:val="0"/>
                    <w:spacing w:before="0" w:beforeAutospacing="0" w:after="0" w:afterAutospacing="0"/>
                    <w:ind w:left="0" w:leftChars="0" w:right="0" w:rightChars="0" w:firstLine="0" w:firstLineChars="0"/>
                    <w:jc w:val="both"/>
                    <w:rPr>
                      <w:rFonts w:hint="default"/>
                      <w:color w:val="auto"/>
                      <w:sz w:val="21"/>
                      <w:szCs w:val="21"/>
                      <w:highlight w:val="none"/>
                      <w:lang w:val="en-US" w:eastAsia="zh-CN"/>
                    </w:rPr>
                  </w:pPr>
                  <w:r>
                    <w:rPr>
                      <w:rFonts w:hint="default"/>
                      <w:color w:val="auto"/>
                      <w:sz w:val="21"/>
                      <w:szCs w:val="21"/>
                      <w:highlight w:val="none"/>
                      <w:lang w:val="en-US" w:eastAsia="zh-CN"/>
                    </w:rPr>
                    <w:t>等效黏土防渗层Mb≥1.5m，K≤</w:t>
                  </w:r>
                  <w:r>
                    <w:rPr>
                      <w:rFonts w:hint="eastAsia"/>
                      <w:color w:val="auto"/>
                      <w:sz w:val="21"/>
                      <w:szCs w:val="21"/>
                      <w:highlight w:val="none"/>
                      <w:lang w:val="en-US" w:eastAsia="zh-CN"/>
                    </w:rPr>
                    <w:t>1.0</w:t>
                  </w:r>
                  <w:r>
                    <w:rPr>
                      <w:rFonts w:hint="default"/>
                      <w:color w:val="auto"/>
                      <w:sz w:val="21"/>
                      <w:szCs w:val="21"/>
                      <w:highlight w:val="none"/>
                      <w:lang w:val="en-US" w:eastAsia="zh-CN"/>
                    </w:rPr>
                    <w:t>×10</w:t>
                  </w:r>
                  <w:r>
                    <w:rPr>
                      <w:rFonts w:hint="default"/>
                      <w:color w:val="auto"/>
                      <w:sz w:val="21"/>
                      <w:szCs w:val="21"/>
                      <w:highlight w:val="none"/>
                      <w:vertAlign w:val="superscript"/>
                      <w:lang w:val="en-US" w:eastAsia="zh-CN"/>
                    </w:rPr>
                    <w:t>-7</w:t>
                  </w:r>
                  <w:r>
                    <w:rPr>
                      <w:rFonts w:hint="default"/>
                      <w:color w:val="auto"/>
                      <w:sz w:val="21"/>
                      <w:szCs w:val="21"/>
                      <w:highlight w:val="none"/>
                      <w:lang w:val="en-US" w:eastAsia="zh-CN"/>
                    </w:rPr>
                    <w:t>cm/s</w:t>
                  </w:r>
                  <w:r>
                    <w:rPr>
                      <w:rFonts w:hint="eastAsia"/>
                      <w:color w:val="auto"/>
                      <w:sz w:val="21"/>
                      <w:szCs w:val="21"/>
                      <w:highlight w:val="none"/>
                      <w:lang w:val="en-US" w:eastAsia="zh-CN"/>
                    </w:rPr>
                    <w:t>；或参照GB16889执行。</w:t>
                  </w:r>
                </w:p>
              </w:tc>
            </w:tr>
            <w:tr w14:paraId="2C2CC3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47" w:type="dxa"/>
                  <w:vAlign w:val="center"/>
                </w:tcPr>
                <w:p w14:paraId="65B35395">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3</w:t>
                  </w:r>
                </w:p>
              </w:tc>
              <w:tc>
                <w:tcPr>
                  <w:tcW w:w="2285" w:type="dxa"/>
                  <w:vAlign w:val="center"/>
                </w:tcPr>
                <w:p w14:paraId="3AAB1CCA">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宿舍楼</w:t>
                  </w:r>
                </w:p>
              </w:tc>
              <w:tc>
                <w:tcPr>
                  <w:tcW w:w="1431" w:type="dxa"/>
                  <w:vAlign w:val="center"/>
                </w:tcPr>
                <w:p w14:paraId="0675A011">
                  <w:pPr>
                    <w:pStyle w:val="6"/>
                    <w:keepNext w:val="0"/>
                    <w:keepLines w:val="0"/>
                    <w:suppressLineNumbers w:val="0"/>
                    <w:bidi w:val="0"/>
                    <w:spacing w:before="0" w:beforeAutospacing="0" w:after="0" w:afterAutospacing="0"/>
                    <w:ind w:left="0" w:leftChars="0" w:right="0" w:rightChars="0"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简单防渗区</w:t>
                  </w:r>
                </w:p>
              </w:tc>
              <w:tc>
                <w:tcPr>
                  <w:tcW w:w="4070" w:type="dxa"/>
                  <w:vAlign w:val="center"/>
                </w:tcPr>
                <w:p w14:paraId="06D69BE4">
                  <w:pPr>
                    <w:pStyle w:val="6"/>
                    <w:keepNext w:val="0"/>
                    <w:keepLines w:val="0"/>
                    <w:suppressLineNumbers w:val="0"/>
                    <w:bidi w:val="0"/>
                    <w:spacing w:before="0" w:beforeAutospacing="0" w:after="0" w:afterAutospacing="0"/>
                    <w:ind w:left="0" w:leftChars="0" w:right="0" w:rightChars="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水泥硬化</w:t>
                  </w:r>
                </w:p>
              </w:tc>
            </w:tr>
          </w:tbl>
          <w:p w14:paraId="78EF8F39">
            <w:pPr>
              <w:keepNext w:val="0"/>
              <w:keepLines w:val="0"/>
              <w:suppressLineNumbers w:val="0"/>
              <w:bidi w:val="0"/>
              <w:spacing w:before="0" w:beforeAutospacing="0" w:after="0" w:afterAutospacing="0"/>
              <w:ind w:left="0" w:right="0"/>
              <w:rPr>
                <w:rFonts w:hint="default"/>
                <w:b/>
                <w:bCs/>
                <w:color w:val="auto"/>
                <w:highlight w:val="none"/>
              </w:rPr>
            </w:pPr>
            <w:r>
              <w:rPr>
                <w:rFonts w:hint="eastAsia"/>
                <w:b/>
                <w:bCs/>
                <w:color w:val="auto"/>
                <w:highlight w:val="none"/>
                <w:lang w:val="en-US" w:eastAsia="zh-CN"/>
              </w:rPr>
              <w:t>6、</w:t>
            </w:r>
            <w:r>
              <w:rPr>
                <w:rFonts w:hint="default"/>
                <w:b/>
                <w:bCs/>
                <w:color w:val="auto"/>
                <w:highlight w:val="none"/>
              </w:rPr>
              <w:t>环境风险分析</w:t>
            </w:r>
          </w:p>
          <w:p w14:paraId="3BEE7C5E">
            <w:pPr>
              <w:keepNext w:val="0"/>
              <w:keepLines w:val="0"/>
              <w:suppressLineNumbers w:val="0"/>
              <w:bidi w:val="0"/>
              <w:spacing w:before="0" w:beforeAutospacing="0" w:after="0" w:afterAutospacing="0" w:line="360" w:lineRule="auto"/>
              <w:ind w:left="0" w:right="0" w:firstLine="480" w:firstLineChars="200"/>
              <w:rPr>
                <w:rFonts w:hint="eastAsia"/>
                <w:color w:val="auto"/>
                <w:highlight w:val="none"/>
              </w:rPr>
            </w:pPr>
            <w:r>
              <w:rPr>
                <w:rFonts w:hint="eastAsia"/>
                <w:color w:val="auto"/>
                <w:highlight w:val="none"/>
              </w:rPr>
              <w:t>（1）风险调查</w:t>
            </w:r>
          </w:p>
          <w:p w14:paraId="10AE1D0A">
            <w:pPr>
              <w:keepNext w:val="0"/>
              <w:keepLines w:val="0"/>
              <w:suppressLineNumbers w:val="0"/>
              <w:bidi w:val="0"/>
              <w:spacing w:before="0" w:beforeAutospacing="0" w:after="0" w:afterAutospacing="0" w:line="360" w:lineRule="auto"/>
              <w:ind w:left="0" w:right="0" w:firstLine="480" w:firstLineChars="200"/>
              <w:rPr>
                <w:rFonts w:hint="eastAsia"/>
                <w:color w:val="auto"/>
                <w:highlight w:val="none"/>
              </w:rPr>
            </w:pPr>
            <w:r>
              <w:rPr>
                <w:rFonts w:hint="eastAsia"/>
                <w:color w:val="auto"/>
                <w:highlight w:val="none"/>
              </w:rPr>
              <w:t>根据《建设项目环境风险评价技术导则》（HJ169</w:t>
            </w:r>
            <w:r>
              <w:rPr>
                <w:rFonts w:hint="eastAsia"/>
                <w:color w:val="auto"/>
                <w:highlight w:val="none"/>
                <w:lang w:val="en-US" w:eastAsia="zh-CN"/>
              </w:rPr>
              <w:t>-</w:t>
            </w:r>
            <w:r>
              <w:rPr>
                <w:rFonts w:hint="eastAsia"/>
                <w:color w:val="auto"/>
                <w:highlight w:val="none"/>
              </w:rPr>
              <w:t>2018）附录C，Q按下式进行计算：</w:t>
            </w:r>
          </w:p>
          <w:p w14:paraId="6400BB2D">
            <w:pPr>
              <w:keepNext w:val="0"/>
              <w:keepLines w:val="0"/>
              <w:suppressLineNumbers w:val="0"/>
              <w:bidi w:val="0"/>
              <w:spacing w:before="0" w:beforeAutospacing="0" w:after="0" w:afterAutospacing="0" w:line="360" w:lineRule="auto"/>
              <w:ind w:left="0" w:right="0"/>
              <w:jc w:val="center"/>
              <w:rPr>
                <w:rFonts w:hint="eastAsia"/>
                <w:color w:val="auto"/>
                <w:highlight w:val="none"/>
              </w:rPr>
            </w:pPr>
            <w:r>
              <w:rPr>
                <w:rFonts w:hint="eastAsia"/>
                <w:color w:val="auto"/>
                <w:highlight w:val="none"/>
              </w:rPr>
              <w:drawing>
                <wp:inline distT="0" distB="0" distL="114300" distR="114300">
                  <wp:extent cx="2076450" cy="628650"/>
                  <wp:effectExtent l="0" t="0" r="0" b="0"/>
                  <wp:docPr id="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
                          <pic:cNvPicPr>
                            <a:picLocks noChangeAspect="1"/>
                          </pic:cNvPicPr>
                        </pic:nvPicPr>
                        <pic:blipFill>
                          <a:blip r:embed="rId36"/>
                          <a:stretch>
                            <a:fillRect/>
                          </a:stretch>
                        </pic:blipFill>
                        <pic:spPr>
                          <a:xfrm>
                            <a:off x="0" y="0"/>
                            <a:ext cx="2076450" cy="628650"/>
                          </a:xfrm>
                          <a:prstGeom prst="rect">
                            <a:avLst/>
                          </a:prstGeom>
                          <a:noFill/>
                          <a:ln>
                            <a:noFill/>
                          </a:ln>
                        </pic:spPr>
                      </pic:pic>
                    </a:graphicData>
                  </a:graphic>
                </wp:inline>
              </w:drawing>
            </w:r>
          </w:p>
          <w:p w14:paraId="493E14D7">
            <w:pPr>
              <w:keepNext w:val="0"/>
              <w:keepLines w:val="0"/>
              <w:suppressLineNumbers w:val="0"/>
              <w:bidi w:val="0"/>
              <w:spacing w:before="0" w:beforeAutospacing="0" w:after="0" w:afterAutospacing="0" w:line="360" w:lineRule="auto"/>
              <w:ind w:left="0" w:right="0" w:firstLine="480" w:firstLineChars="200"/>
              <w:rPr>
                <w:rFonts w:hint="eastAsia"/>
                <w:color w:val="auto"/>
                <w:highlight w:val="none"/>
              </w:rPr>
            </w:pPr>
            <w:r>
              <w:rPr>
                <w:rFonts w:hint="eastAsia"/>
                <w:color w:val="auto"/>
                <w:highlight w:val="none"/>
              </w:rPr>
              <w:t>式中：q1，q2……qn—每种危险物质的最大存在量，t；</w:t>
            </w:r>
          </w:p>
          <w:p w14:paraId="4294C2AF">
            <w:pPr>
              <w:keepNext w:val="0"/>
              <w:keepLines w:val="0"/>
              <w:suppressLineNumbers w:val="0"/>
              <w:bidi w:val="0"/>
              <w:spacing w:before="0" w:beforeAutospacing="0" w:after="0" w:afterAutospacing="0" w:line="360" w:lineRule="auto"/>
              <w:ind w:left="0" w:right="0" w:firstLine="1200" w:firstLineChars="500"/>
              <w:rPr>
                <w:rFonts w:hint="eastAsia"/>
                <w:color w:val="auto"/>
                <w:highlight w:val="none"/>
              </w:rPr>
            </w:pPr>
            <w:r>
              <w:rPr>
                <w:rFonts w:hint="eastAsia"/>
                <w:color w:val="auto"/>
                <w:highlight w:val="none"/>
              </w:rPr>
              <w:t>Q1，Q2…Qn—每种危险物质的临界量，t。</w:t>
            </w:r>
          </w:p>
          <w:p w14:paraId="5A6992AC">
            <w:pPr>
              <w:keepNext w:val="0"/>
              <w:keepLines w:val="0"/>
              <w:suppressLineNumbers w:val="0"/>
              <w:bidi w:val="0"/>
              <w:spacing w:before="0" w:beforeAutospacing="0" w:after="0" w:afterAutospacing="0" w:line="360" w:lineRule="auto"/>
              <w:ind w:left="0" w:right="0" w:firstLine="480" w:firstLineChars="200"/>
              <w:rPr>
                <w:rFonts w:hint="default"/>
                <w:color w:val="auto"/>
                <w:highlight w:val="none"/>
              </w:rPr>
            </w:pPr>
            <w:r>
              <w:rPr>
                <w:rFonts w:hint="eastAsia"/>
                <w:color w:val="auto"/>
                <w:highlight w:val="none"/>
              </w:rPr>
              <w:t>当Q</w:t>
            </w:r>
            <w:r>
              <w:rPr>
                <w:rFonts w:hint="eastAsia"/>
                <w:color w:val="auto"/>
                <w:highlight w:val="none"/>
                <w:lang w:val="en-US" w:eastAsia="zh-CN"/>
              </w:rPr>
              <w:t>&lt;</w:t>
            </w:r>
            <w:r>
              <w:rPr>
                <w:rFonts w:hint="default"/>
                <w:color w:val="auto"/>
                <w:highlight w:val="none"/>
              </w:rPr>
              <w:t>1时，该项目环境风险潜势为I。</w:t>
            </w:r>
          </w:p>
          <w:p w14:paraId="5804DAA0">
            <w:pPr>
              <w:keepNext w:val="0"/>
              <w:keepLines w:val="0"/>
              <w:suppressLineNumbers w:val="0"/>
              <w:bidi w:val="0"/>
              <w:spacing w:before="0" w:beforeAutospacing="0" w:after="0" w:afterAutospacing="0" w:line="360" w:lineRule="auto"/>
              <w:ind w:left="0" w:right="0" w:firstLine="480" w:firstLineChars="200"/>
              <w:rPr>
                <w:rFonts w:hint="default"/>
                <w:color w:val="auto"/>
                <w:highlight w:val="none"/>
              </w:rPr>
            </w:pPr>
            <w:r>
              <w:rPr>
                <w:rFonts w:hint="default"/>
                <w:color w:val="auto"/>
                <w:highlight w:val="none"/>
              </w:rPr>
              <w:t>当Q≥1时，将Q值划分为：1≤Q＜10；10≤Q＜100；Q≥100。</w:t>
            </w:r>
          </w:p>
          <w:p w14:paraId="00D54D45">
            <w:pPr>
              <w:keepNext w:val="0"/>
              <w:keepLines w:val="0"/>
              <w:suppressLineNumbers w:val="0"/>
              <w:bidi w:val="0"/>
              <w:spacing w:before="0" w:beforeAutospacing="0" w:after="0" w:afterAutospacing="0"/>
              <w:ind w:left="0" w:right="0"/>
              <w:rPr>
                <w:rFonts w:hint="eastAsia"/>
                <w:color w:val="auto"/>
                <w:highlight w:val="none"/>
              </w:rPr>
            </w:pPr>
            <w:r>
              <w:rPr>
                <w:rFonts w:hint="eastAsia"/>
                <w:color w:val="auto"/>
                <w:highlight w:val="none"/>
              </w:rPr>
              <w:t>本项目</w:t>
            </w:r>
            <w:r>
              <w:rPr>
                <w:rFonts w:hint="eastAsia"/>
                <w:color w:val="auto"/>
                <w:highlight w:val="none"/>
                <w:lang w:val="en-US" w:eastAsia="zh-CN"/>
              </w:rPr>
              <w:t>涉及环境风险物质为油类物质和危险废物</w:t>
            </w:r>
            <w:r>
              <w:rPr>
                <w:rFonts w:hint="eastAsia"/>
                <w:color w:val="auto"/>
                <w:highlight w:val="none"/>
              </w:rPr>
              <w:t>。本项目Q值计算见表</w:t>
            </w:r>
            <w:r>
              <w:rPr>
                <w:rFonts w:hint="eastAsia"/>
                <w:color w:val="auto"/>
                <w:highlight w:val="none"/>
                <w:lang w:val="en-US" w:eastAsia="zh-CN"/>
              </w:rPr>
              <w:t>4-18</w:t>
            </w:r>
            <w:r>
              <w:rPr>
                <w:rFonts w:hint="eastAsia"/>
                <w:color w:val="auto"/>
                <w:highlight w:val="none"/>
              </w:rPr>
              <w:t>。</w:t>
            </w:r>
          </w:p>
          <w:p w14:paraId="7A6E4A5B">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default"/>
                <w:b/>
                <w:bCs/>
                <w:color w:val="auto"/>
                <w:highlight w:val="none"/>
                <w:lang w:val="en-US" w:eastAsia="zh-CN"/>
              </w:rPr>
              <w:t>表4-</w:t>
            </w:r>
            <w:r>
              <w:rPr>
                <w:rFonts w:hint="eastAsia"/>
                <w:b/>
                <w:bCs/>
                <w:color w:val="auto"/>
                <w:highlight w:val="none"/>
                <w:lang w:val="en-US" w:eastAsia="zh-CN"/>
              </w:rPr>
              <w:t xml:space="preserve">18  </w:t>
            </w:r>
            <w:r>
              <w:rPr>
                <w:rFonts w:hint="default"/>
                <w:b/>
                <w:bCs/>
                <w:color w:val="auto"/>
                <w:highlight w:val="none"/>
                <w:lang w:val="en-US" w:eastAsia="zh-CN"/>
              </w:rPr>
              <w:t xml:space="preserve"> 项目</w:t>
            </w:r>
            <w:r>
              <w:rPr>
                <w:rFonts w:hint="eastAsia"/>
                <w:b/>
                <w:bCs/>
                <w:color w:val="auto"/>
                <w:highlight w:val="none"/>
                <w:lang w:val="en-US" w:eastAsia="zh-CN"/>
              </w:rPr>
              <w:t>Q值计算</w:t>
            </w:r>
            <w:r>
              <w:rPr>
                <w:rFonts w:hint="default"/>
                <w:b/>
                <w:bCs/>
                <w:color w:val="auto"/>
                <w:highlight w:val="none"/>
                <w:lang w:val="en-US" w:eastAsia="zh-CN"/>
              </w:rPr>
              <w:t>表</w:t>
            </w:r>
          </w:p>
          <w:tbl>
            <w:tblPr>
              <w:tblStyle w:val="32"/>
              <w:tblW w:w="8433"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98"/>
              <w:gridCol w:w="1283"/>
              <w:gridCol w:w="993"/>
              <w:gridCol w:w="1308"/>
              <w:gridCol w:w="1548"/>
              <w:gridCol w:w="1056"/>
              <w:gridCol w:w="1647"/>
            </w:tblGrid>
            <w:tr w14:paraId="3B4EEA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98" w:type="dxa"/>
                  <w:tcBorders>
                    <w:bottom w:val="single" w:color="auto" w:sz="12" w:space="0"/>
                  </w:tcBorders>
                  <w:vAlign w:val="center"/>
                </w:tcPr>
                <w:p w14:paraId="134A9024">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eastAsia="宋体" w:cs="Times New Roman"/>
                      <w:b/>
                      <w:bCs/>
                      <w:color w:val="auto"/>
                      <w:kern w:val="2"/>
                      <w:sz w:val="21"/>
                      <w:szCs w:val="24"/>
                      <w:highlight w:val="none"/>
                      <w:lang w:val="en-US" w:eastAsia="zh-CN" w:bidi="ar-SA"/>
                    </w:rPr>
                    <w:t>序号</w:t>
                  </w:r>
                </w:p>
              </w:tc>
              <w:tc>
                <w:tcPr>
                  <w:tcW w:w="1283" w:type="dxa"/>
                  <w:tcBorders>
                    <w:bottom w:val="single" w:color="auto" w:sz="12" w:space="0"/>
                  </w:tcBorders>
                  <w:vAlign w:val="center"/>
                </w:tcPr>
                <w:p w14:paraId="1F39E348">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eastAsia="宋体" w:cs="Times New Roman"/>
                      <w:b/>
                      <w:bCs/>
                      <w:color w:val="auto"/>
                      <w:kern w:val="2"/>
                      <w:sz w:val="21"/>
                      <w:szCs w:val="24"/>
                      <w:highlight w:val="none"/>
                      <w:lang w:val="en-US" w:eastAsia="zh-CN" w:bidi="ar-SA"/>
                    </w:rPr>
                    <w:t>危险物质名称</w:t>
                  </w:r>
                </w:p>
              </w:tc>
              <w:tc>
                <w:tcPr>
                  <w:tcW w:w="993" w:type="dxa"/>
                  <w:tcBorders>
                    <w:bottom w:val="single" w:color="auto" w:sz="12" w:space="0"/>
                  </w:tcBorders>
                  <w:vAlign w:val="center"/>
                </w:tcPr>
                <w:p w14:paraId="1FDFF58C">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4"/>
                      <w:highlight w:val="none"/>
                      <w:lang w:val="en-US" w:eastAsia="zh-CN" w:bidi="ar-SA"/>
                    </w:rPr>
                  </w:pPr>
                  <w:r>
                    <w:rPr>
                      <w:rFonts w:hint="eastAsia" w:ascii="Times New Roman" w:hAnsi="Times New Roman" w:eastAsia="宋体" w:cs="Times New Roman"/>
                      <w:b/>
                      <w:bCs/>
                      <w:color w:val="auto"/>
                      <w:kern w:val="2"/>
                      <w:sz w:val="21"/>
                      <w:szCs w:val="24"/>
                      <w:highlight w:val="none"/>
                      <w:lang w:val="en-US" w:eastAsia="zh-CN" w:bidi="ar-SA"/>
                    </w:rPr>
                    <w:t>CAS号</w:t>
                  </w:r>
                </w:p>
              </w:tc>
              <w:tc>
                <w:tcPr>
                  <w:tcW w:w="1308" w:type="dxa"/>
                  <w:tcBorders>
                    <w:bottom w:val="single" w:color="auto" w:sz="12" w:space="0"/>
                  </w:tcBorders>
                  <w:vAlign w:val="center"/>
                </w:tcPr>
                <w:p w14:paraId="588B591E">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eastAsia="宋体" w:cs="Times New Roman"/>
                      <w:b/>
                      <w:bCs/>
                      <w:color w:val="auto"/>
                      <w:kern w:val="2"/>
                      <w:sz w:val="21"/>
                      <w:szCs w:val="24"/>
                      <w:highlight w:val="none"/>
                      <w:lang w:val="en-US" w:eastAsia="zh-CN" w:bidi="ar-SA"/>
                    </w:rPr>
                    <w:t>分布情况</w:t>
                  </w:r>
                </w:p>
              </w:tc>
              <w:tc>
                <w:tcPr>
                  <w:tcW w:w="1548" w:type="dxa"/>
                  <w:tcBorders>
                    <w:bottom w:val="single" w:color="auto" w:sz="12" w:space="0"/>
                  </w:tcBorders>
                  <w:vAlign w:val="center"/>
                </w:tcPr>
                <w:p w14:paraId="6D25F6C2">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eastAsia="宋体" w:cs="Times New Roman"/>
                      <w:b/>
                      <w:bCs/>
                      <w:color w:val="auto"/>
                      <w:kern w:val="2"/>
                      <w:sz w:val="21"/>
                      <w:szCs w:val="24"/>
                      <w:highlight w:val="none"/>
                      <w:lang w:val="en-US" w:eastAsia="zh-CN" w:bidi="ar-SA"/>
                    </w:rPr>
                    <w:t>最大存在总量q</w:t>
                  </w:r>
                  <w:r>
                    <w:rPr>
                      <w:rFonts w:hint="default" w:ascii="Times New Roman" w:hAnsi="Times New Roman" w:eastAsia="宋体" w:cs="Times New Roman"/>
                      <w:b/>
                      <w:bCs/>
                      <w:color w:val="auto"/>
                      <w:kern w:val="2"/>
                      <w:sz w:val="21"/>
                      <w:szCs w:val="24"/>
                      <w:highlight w:val="none"/>
                      <w:vertAlign w:val="subscript"/>
                      <w:lang w:val="en-US" w:eastAsia="zh-CN" w:bidi="ar-SA"/>
                    </w:rPr>
                    <w:t>n</w:t>
                  </w:r>
                  <w:r>
                    <w:rPr>
                      <w:rFonts w:hint="eastAsia" w:ascii="Times New Roman" w:hAnsi="Times New Roman" w:eastAsia="宋体" w:cs="Times New Roman"/>
                      <w:b/>
                      <w:bCs/>
                      <w:color w:val="auto"/>
                      <w:kern w:val="2"/>
                      <w:sz w:val="21"/>
                      <w:szCs w:val="24"/>
                      <w:highlight w:val="none"/>
                      <w:lang w:val="en-US" w:eastAsia="zh-CN" w:bidi="ar-SA"/>
                    </w:rPr>
                    <w:t>/t</w:t>
                  </w:r>
                </w:p>
              </w:tc>
              <w:tc>
                <w:tcPr>
                  <w:tcW w:w="1056" w:type="dxa"/>
                  <w:tcBorders>
                    <w:bottom w:val="single" w:color="auto" w:sz="12" w:space="0"/>
                  </w:tcBorders>
                  <w:vAlign w:val="center"/>
                </w:tcPr>
                <w:p w14:paraId="0C22D417">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eastAsia="宋体" w:cs="Times New Roman"/>
                      <w:b/>
                      <w:bCs/>
                      <w:color w:val="auto"/>
                      <w:kern w:val="2"/>
                      <w:sz w:val="21"/>
                      <w:szCs w:val="24"/>
                      <w:highlight w:val="none"/>
                      <w:lang w:val="en-US" w:eastAsia="zh-CN" w:bidi="ar-SA"/>
                    </w:rPr>
                    <w:t>临界量</w:t>
                  </w:r>
                  <w:r>
                    <w:rPr>
                      <w:rFonts w:hint="eastAsia" w:ascii="Times New Roman" w:hAnsi="Times New Roman" w:eastAsia="宋体" w:cs="Times New Roman"/>
                      <w:b/>
                      <w:bCs/>
                      <w:color w:val="auto"/>
                      <w:kern w:val="2"/>
                      <w:sz w:val="21"/>
                      <w:szCs w:val="24"/>
                      <w:highlight w:val="none"/>
                      <w:lang w:val="en-US" w:eastAsia="zh-CN" w:bidi="ar-SA"/>
                    </w:rPr>
                    <w:t>Q</w:t>
                  </w:r>
                  <w:r>
                    <w:rPr>
                      <w:rFonts w:hint="default" w:ascii="Times New Roman" w:hAnsi="Times New Roman" w:eastAsia="宋体" w:cs="Times New Roman"/>
                      <w:b/>
                      <w:bCs/>
                      <w:color w:val="auto"/>
                      <w:kern w:val="2"/>
                      <w:sz w:val="21"/>
                      <w:szCs w:val="24"/>
                      <w:highlight w:val="none"/>
                      <w:vertAlign w:val="subscript"/>
                      <w:lang w:val="en-US" w:eastAsia="zh-CN" w:bidi="ar-SA"/>
                    </w:rPr>
                    <w:t>n</w:t>
                  </w:r>
                  <w:r>
                    <w:rPr>
                      <w:rFonts w:hint="eastAsia" w:ascii="Times New Roman" w:hAnsi="Times New Roman" w:eastAsia="宋体" w:cs="Times New Roman"/>
                      <w:b/>
                      <w:bCs/>
                      <w:color w:val="auto"/>
                      <w:kern w:val="2"/>
                      <w:sz w:val="21"/>
                      <w:szCs w:val="24"/>
                      <w:highlight w:val="none"/>
                      <w:lang w:val="en-US" w:eastAsia="zh-CN" w:bidi="ar-SA"/>
                    </w:rPr>
                    <w:t>/t</w:t>
                  </w:r>
                </w:p>
              </w:tc>
              <w:tc>
                <w:tcPr>
                  <w:tcW w:w="1647" w:type="dxa"/>
                  <w:tcBorders>
                    <w:bottom w:val="single" w:color="auto" w:sz="12" w:space="0"/>
                  </w:tcBorders>
                  <w:vAlign w:val="center"/>
                </w:tcPr>
                <w:p w14:paraId="4B6CD735">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eastAsia="宋体" w:cs="Times New Roman"/>
                      <w:b/>
                      <w:bCs/>
                      <w:color w:val="auto"/>
                      <w:kern w:val="2"/>
                      <w:sz w:val="21"/>
                      <w:szCs w:val="24"/>
                      <w:highlight w:val="none"/>
                      <w:lang w:val="en-US" w:eastAsia="zh-CN" w:bidi="ar-SA"/>
                    </w:rPr>
                    <w:t>该种危险物质</w:t>
                  </w:r>
                  <w:r>
                    <w:rPr>
                      <w:rFonts w:hint="eastAsia" w:ascii="Times New Roman" w:hAnsi="Times New Roman" w:eastAsia="宋体" w:cs="Times New Roman"/>
                      <w:b/>
                      <w:bCs/>
                      <w:color w:val="auto"/>
                      <w:kern w:val="2"/>
                      <w:sz w:val="21"/>
                      <w:szCs w:val="24"/>
                      <w:highlight w:val="none"/>
                      <w:lang w:val="en-US" w:eastAsia="zh-CN" w:bidi="ar-SA"/>
                    </w:rPr>
                    <w:t>Q值</w:t>
                  </w:r>
                </w:p>
              </w:tc>
            </w:tr>
            <w:tr w14:paraId="7EA745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98" w:type="dxa"/>
                  <w:vAlign w:val="center"/>
                </w:tcPr>
                <w:p w14:paraId="1F0D2A6E">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1</w:t>
                  </w:r>
                </w:p>
              </w:tc>
              <w:tc>
                <w:tcPr>
                  <w:tcW w:w="1283" w:type="dxa"/>
                  <w:vAlign w:val="center"/>
                </w:tcPr>
                <w:p w14:paraId="2D51FB82">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机油</w:t>
                  </w:r>
                </w:p>
              </w:tc>
              <w:tc>
                <w:tcPr>
                  <w:tcW w:w="993" w:type="dxa"/>
                  <w:vAlign w:val="center"/>
                </w:tcPr>
                <w:p w14:paraId="23ED0B61">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1308" w:type="dxa"/>
                  <w:vAlign w:val="center"/>
                </w:tcPr>
                <w:p w14:paraId="7BBF7497">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原料库</w:t>
                  </w:r>
                </w:p>
              </w:tc>
              <w:tc>
                <w:tcPr>
                  <w:tcW w:w="1548" w:type="dxa"/>
                  <w:vAlign w:val="center"/>
                </w:tcPr>
                <w:p w14:paraId="61374A58">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w:t>
                  </w:r>
                  <w:r>
                    <w:rPr>
                      <w:rFonts w:hint="eastAsia" w:cs="Times New Roman"/>
                      <w:color w:val="auto"/>
                      <w:kern w:val="2"/>
                      <w:sz w:val="21"/>
                      <w:szCs w:val="24"/>
                      <w:highlight w:val="none"/>
                      <w:lang w:val="en-US" w:eastAsia="zh-CN" w:bidi="ar-SA"/>
                    </w:rPr>
                    <w:t>1</w:t>
                  </w:r>
                </w:p>
              </w:tc>
              <w:tc>
                <w:tcPr>
                  <w:tcW w:w="1056" w:type="dxa"/>
                  <w:vAlign w:val="center"/>
                </w:tcPr>
                <w:p w14:paraId="1E507EC2">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2500</w:t>
                  </w:r>
                </w:p>
              </w:tc>
              <w:tc>
                <w:tcPr>
                  <w:tcW w:w="1647" w:type="dxa"/>
                  <w:vAlign w:val="center"/>
                </w:tcPr>
                <w:p w14:paraId="3B751569">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0.000</w:t>
                  </w:r>
                  <w:r>
                    <w:rPr>
                      <w:rFonts w:hint="eastAsia" w:cs="Times New Roman"/>
                      <w:color w:val="auto"/>
                      <w:kern w:val="2"/>
                      <w:sz w:val="21"/>
                      <w:szCs w:val="24"/>
                      <w:highlight w:val="none"/>
                      <w:lang w:val="en-US" w:eastAsia="zh-CN" w:bidi="ar-SA"/>
                    </w:rPr>
                    <w:t>04</w:t>
                  </w:r>
                </w:p>
              </w:tc>
            </w:tr>
            <w:tr w14:paraId="083F86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98" w:type="dxa"/>
                  <w:vAlign w:val="center"/>
                </w:tcPr>
                <w:p w14:paraId="6472F206">
                  <w:pPr>
                    <w:pStyle w:val="149"/>
                    <w:keepNext w:val="0"/>
                    <w:keepLines w:val="0"/>
                    <w:widowControl/>
                    <w:suppressLineNumbers w:val="0"/>
                    <w:snapToGrid w:val="0"/>
                    <w:spacing w:before="0" w:beforeAutospacing="0" w:after="0" w:afterAutospacing="0" w:line="240" w:lineRule="atLeast"/>
                    <w:ind w:left="0" w:right="0"/>
                    <w:rPr>
                      <w:rFonts w:hint="default"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2</w:t>
                  </w:r>
                </w:p>
              </w:tc>
              <w:tc>
                <w:tcPr>
                  <w:tcW w:w="1283" w:type="dxa"/>
                  <w:vAlign w:val="center"/>
                </w:tcPr>
                <w:p w14:paraId="6F5198C1">
                  <w:pPr>
                    <w:pStyle w:val="150"/>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废机油</w:t>
                  </w:r>
                </w:p>
              </w:tc>
              <w:tc>
                <w:tcPr>
                  <w:tcW w:w="993" w:type="dxa"/>
                  <w:vAlign w:val="center"/>
                </w:tcPr>
                <w:p w14:paraId="39AB0A5E">
                  <w:pPr>
                    <w:pStyle w:val="150"/>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1308" w:type="dxa"/>
                  <w:vAlign w:val="center"/>
                </w:tcPr>
                <w:p w14:paraId="73247833">
                  <w:pPr>
                    <w:pStyle w:val="1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危废暂存间</w:t>
                  </w:r>
                </w:p>
              </w:tc>
              <w:tc>
                <w:tcPr>
                  <w:tcW w:w="1548" w:type="dxa"/>
                  <w:vAlign w:val="center"/>
                </w:tcPr>
                <w:p w14:paraId="07C3DF9B">
                  <w:pPr>
                    <w:pStyle w:val="151"/>
                    <w:keepNext w:val="0"/>
                    <w:keepLines w:val="0"/>
                    <w:widowControl/>
                    <w:suppressLineNumbers w:val="0"/>
                    <w:snapToGrid w:val="0"/>
                    <w:spacing w:before="0" w:beforeAutospacing="0" w:after="0" w:afterAutospacing="0" w:line="240" w:lineRule="atLeast"/>
                    <w:ind w:left="0" w:right="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0.1</w:t>
                  </w:r>
                </w:p>
              </w:tc>
              <w:tc>
                <w:tcPr>
                  <w:tcW w:w="1056" w:type="dxa"/>
                  <w:vAlign w:val="center"/>
                </w:tcPr>
                <w:p w14:paraId="5EBC3D9B">
                  <w:pPr>
                    <w:pStyle w:val="149"/>
                    <w:keepNext w:val="0"/>
                    <w:keepLines w:val="0"/>
                    <w:widowControl/>
                    <w:suppressLineNumbers w:val="0"/>
                    <w:snapToGrid w:val="0"/>
                    <w:spacing w:before="0" w:beforeAutospacing="0" w:after="0" w:afterAutospacing="0" w:line="240" w:lineRule="atLeast"/>
                    <w:ind w:left="0" w:right="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50</w:t>
                  </w:r>
                </w:p>
              </w:tc>
              <w:tc>
                <w:tcPr>
                  <w:tcW w:w="1647" w:type="dxa"/>
                  <w:vAlign w:val="center"/>
                </w:tcPr>
                <w:p w14:paraId="25C7E0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0.002</w:t>
                  </w:r>
                </w:p>
              </w:tc>
            </w:tr>
            <w:tr w14:paraId="1B69E1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86" w:type="dxa"/>
                  <w:gridSpan w:val="6"/>
                  <w:vAlign w:val="center"/>
                </w:tcPr>
                <w:p w14:paraId="7EBB183A">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合计</w:t>
                  </w:r>
                </w:p>
              </w:tc>
              <w:tc>
                <w:tcPr>
                  <w:tcW w:w="1647" w:type="dxa"/>
                  <w:vAlign w:val="center"/>
                </w:tcPr>
                <w:p w14:paraId="46341FAF">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0.00204</w:t>
                  </w:r>
                </w:p>
              </w:tc>
            </w:tr>
          </w:tbl>
          <w:p w14:paraId="25B2453E">
            <w:pPr>
              <w:keepNext w:val="0"/>
              <w:keepLines w:val="0"/>
              <w:suppressLineNumbers w:val="0"/>
              <w:bidi w:val="0"/>
              <w:spacing w:before="0" w:beforeAutospacing="0" w:after="0" w:afterAutospacing="0"/>
              <w:ind w:left="0" w:leftChars="0" w:right="0" w:firstLine="480" w:firstLineChars="200"/>
              <w:rPr>
                <w:rFonts w:hint="default"/>
                <w:color w:val="auto"/>
                <w:highlight w:val="none"/>
                <w:lang w:val="en-US" w:eastAsia="zh-CN"/>
              </w:rPr>
            </w:pPr>
            <w:r>
              <w:rPr>
                <w:rFonts w:hint="eastAsia"/>
                <w:color w:val="auto"/>
                <w:highlight w:val="none"/>
                <w:lang w:val="en-US" w:eastAsia="zh-CN"/>
              </w:rPr>
              <w:t>根据本项目Q值计算结果，本项目环境风险评价工作等级为“简单分析”。</w:t>
            </w:r>
          </w:p>
          <w:p w14:paraId="27F91E88">
            <w:pPr>
              <w:keepNext w:val="0"/>
              <w:keepLines w:val="0"/>
              <w:suppressLineNumbers w:val="0"/>
              <w:bidi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rPr>
              <w:t>2</w:t>
            </w:r>
            <w:r>
              <w:rPr>
                <w:rFonts w:hint="default" w:ascii="Times New Roman" w:hAnsi="Times New Roman" w:cs="Times New Roman"/>
                <w:color w:val="auto"/>
                <w:sz w:val="24"/>
                <w:highlight w:val="none"/>
              </w:rPr>
              <w:t>）环境风险识别</w:t>
            </w:r>
          </w:p>
          <w:p w14:paraId="36585CA2">
            <w:pPr>
              <w:keepNext w:val="0"/>
              <w:keepLines w:val="0"/>
              <w:suppressLineNumbers w:val="0"/>
              <w:bidi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rPr>
              <w:t>分析危险物质特性及可能的环境风险类型，识别危险物质影响环境的途径，分析可能影响的环境敏感目标，具体见表</w:t>
            </w:r>
            <w:r>
              <w:rPr>
                <w:rFonts w:hint="eastAsia" w:ascii="Times New Roman" w:hAnsi="Times New Roman" w:cs="Times New Roman"/>
                <w:color w:val="auto"/>
                <w:sz w:val="24"/>
                <w:highlight w:val="none"/>
                <w:lang w:val="en-US" w:eastAsia="zh-CN"/>
              </w:rPr>
              <w:t>4-1</w:t>
            </w:r>
            <w:r>
              <w:rPr>
                <w:rFonts w:hint="eastAsia" w:cs="Times New Roman"/>
                <w:color w:val="auto"/>
                <w:sz w:val="24"/>
                <w:highlight w:val="none"/>
                <w:lang w:val="en-US" w:eastAsia="zh-CN"/>
              </w:rPr>
              <w:t>9</w:t>
            </w:r>
            <w:r>
              <w:rPr>
                <w:rFonts w:hint="eastAsia" w:ascii="Times New Roman" w:hAnsi="Times New Roman" w:cs="Times New Roman"/>
                <w:color w:val="auto"/>
                <w:sz w:val="24"/>
                <w:highlight w:val="none"/>
              </w:rPr>
              <w:t>。</w:t>
            </w:r>
          </w:p>
          <w:p w14:paraId="2E8AB85B">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eastAsia="宋体" w:cs="Times New Roman"/>
                <w:b/>
                <w:bCs/>
                <w:color w:val="auto"/>
                <w:kern w:val="2"/>
                <w:sz w:val="21"/>
                <w:szCs w:val="24"/>
                <w:highlight w:val="none"/>
                <w:lang w:val="en-US" w:eastAsia="zh-CN" w:bidi="ar-SA"/>
              </w:rPr>
              <w:t>表4-</w:t>
            </w:r>
            <w:r>
              <w:rPr>
                <w:rFonts w:hint="eastAsia" w:ascii="Times New Roman" w:hAnsi="Times New Roman" w:eastAsia="宋体" w:cs="Times New Roman"/>
                <w:b/>
                <w:bCs/>
                <w:color w:val="auto"/>
                <w:kern w:val="2"/>
                <w:sz w:val="21"/>
                <w:szCs w:val="24"/>
                <w:highlight w:val="none"/>
                <w:lang w:val="en-US" w:eastAsia="zh-CN" w:bidi="ar-SA"/>
              </w:rPr>
              <w:t>1</w:t>
            </w:r>
            <w:r>
              <w:rPr>
                <w:rFonts w:hint="eastAsia" w:cs="Times New Roman"/>
                <w:b/>
                <w:bCs/>
                <w:color w:val="auto"/>
                <w:kern w:val="2"/>
                <w:sz w:val="21"/>
                <w:szCs w:val="24"/>
                <w:highlight w:val="none"/>
                <w:lang w:val="en-US" w:eastAsia="zh-CN" w:bidi="ar-SA"/>
              </w:rPr>
              <w:t xml:space="preserve">9  </w:t>
            </w:r>
            <w:r>
              <w:rPr>
                <w:rFonts w:hint="default" w:ascii="Times New Roman" w:hAnsi="Times New Roman" w:eastAsia="宋体" w:cs="Times New Roman"/>
                <w:b/>
                <w:bCs/>
                <w:color w:val="auto"/>
                <w:kern w:val="2"/>
                <w:sz w:val="21"/>
                <w:szCs w:val="24"/>
                <w:highlight w:val="none"/>
                <w:lang w:val="en-US" w:eastAsia="zh-CN" w:bidi="ar-SA"/>
              </w:rPr>
              <w:t xml:space="preserve"> </w:t>
            </w:r>
            <w:r>
              <w:rPr>
                <w:rFonts w:hint="eastAsia" w:ascii="Times New Roman" w:hAnsi="Times New Roman" w:eastAsia="宋体" w:cs="Times New Roman"/>
                <w:b/>
                <w:bCs/>
                <w:color w:val="auto"/>
                <w:kern w:val="2"/>
                <w:sz w:val="21"/>
                <w:szCs w:val="24"/>
                <w:highlight w:val="none"/>
                <w:lang w:val="en-US" w:eastAsia="zh-CN" w:bidi="ar-SA"/>
              </w:rPr>
              <w:t>建设项目环境风险识别表</w:t>
            </w:r>
          </w:p>
          <w:tbl>
            <w:tblPr>
              <w:tblStyle w:val="32"/>
              <w:tblW w:w="8433"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9"/>
              <w:gridCol w:w="650"/>
              <w:gridCol w:w="870"/>
              <w:gridCol w:w="890"/>
              <w:gridCol w:w="950"/>
              <w:gridCol w:w="970"/>
              <w:gridCol w:w="2180"/>
              <w:gridCol w:w="1514"/>
            </w:tblGrid>
            <w:tr w14:paraId="3528E0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409" w:type="dxa"/>
                  <w:tcBorders>
                    <w:bottom w:val="single" w:color="auto" w:sz="12" w:space="0"/>
                  </w:tcBorders>
                  <w:vAlign w:val="center"/>
                </w:tcPr>
                <w:p w14:paraId="79FC3DC1">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eastAsia="宋体" w:cs="Times New Roman"/>
                      <w:b/>
                      <w:bCs/>
                      <w:color w:val="auto"/>
                      <w:kern w:val="2"/>
                      <w:sz w:val="21"/>
                      <w:szCs w:val="24"/>
                      <w:highlight w:val="none"/>
                      <w:lang w:val="en-US" w:eastAsia="zh-CN" w:bidi="ar-SA"/>
                    </w:rPr>
                    <w:t>序号</w:t>
                  </w:r>
                </w:p>
              </w:tc>
              <w:tc>
                <w:tcPr>
                  <w:tcW w:w="650" w:type="dxa"/>
                  <w:tcBorders>
                    <w:bottom w:val="single" w:color="auto" w:sz="12" w:space="0"/>
                  </w:tcBorders>
                  <w:vAlign w:val="center"/>
                </w:tcPr>
                <w:p w14:paraId="0E5B8A06">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eastAsia="宋体" w:cs="Times New Roman"/>
                      <w:b/>
                      <w:bCs/>
                      <w:color w:val="auto"/>
                      <w:kern w:val="2"/>
                      <w:sz w:val="21"/>
                      <w:szCs w:val="24"/>
                      <w:highlight w:val="none"/>
                      <w:lang w:val="en-US" w:eastAsia="zh-CN" w:bidi="ar-SA"/>
                    </w:rPr>
                    <w:t>危险单元</w:t>
                  </w:r>
                </w:p>
              </w:tc>
              <w:tc>
                <w:tcPr>
                  <w:tcW w:w="870" w:type="dxa"/>
                  <w:tcBorders>
                    <w:bottom w:val="single" w:color="auto" w:sz="12" w:space="0"/>
                  </w:tcBorders>
                  <w:vAlign w:val="center"/>
                </w:tcPr>
                <w:p w14:paraId="2E79E4FA">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eastAsia="宋体" w:cs="Times New Roman"/>
                      <w:b/>
                      <w:bCs/>
                      <w:color w:val="auto"/>
                      <w:kern w:val="2"/>
                      <w:sz w:val="21"/>
                      <w:szCs w:val="24"/>
                      <w:highlight w:val="none"/>
                      <w:lang w:val="en-US" w:eastAsia="zh-CN" w:bidi="ar-SA"/>
                    </w:rPr>
                    <w:t>风险源</w:t>
                  </w:r>
                </w:p>
              </w:tc>
              <w:tc>
                <w:tcPr>
                  <w:tcW w:w="890" w:type="dxa"/>
                  <w:tcBorders>
                    <w:bottom w:val="single" w:color="auto" w:sz="12" w:space="0"/>
                  </w:tcBorders>
                  <w:vAlign w:val="center"/>
                </w:tcPr>
                <w:p w14:paraId="5EB0020F">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eastAsia="宋体" w:cs="Times New Roman"/>
                      <w:b/>
                      <w:bCs/>
                      <w:color w:val="auto"/>
                      <w:kern w:val="2"/>
                      <w:sz w:val="21"/>
                      <w:szCs w:val="24"/>
                      <w:highlight w:val="none"/>
                      <w:lang w:val="en-US" w:eastAsia="zh-CN" w:bidi="ar-SA"/>
                    </w:rPr>
                    <w:t>主要风险物质</w:t>
                  </w:r>
                </w:p>
              </w:tc>
              <w:tc>
                <w:tcPr>
                  <w:tcW w:w="950" w:type="dxa"/>
                  <w:tcBorders>
                    <w:bottom w:val="single" w:color="auto" w:sz="12" w:space="0"/>
                  </w:tcBorders>
                  <w:vAlign w:val="center"/>
                </w:tcPr>
                <w:p w14:paraId="57748909">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eastAsia="宋体" w:cs="Times New Roman"/>
                      <w:b/>
                      <w:bCs/>
                      <w:color w:val="auto"/>
                      <w:kern w:val="2"/>
                      <w:sz w:val="21"/>
                      <w:szCs w:val="24"/>
                      <w:highlight w:val="none"/>
                      <w:lang w:val="en-US" w:eastAsia="zh-CN" w:bidi="ar-SA"/>
                    </w:rPr>
                    <w:t>环境风险类型</w:t>
                  </w:r>
                </w:p>
              </w:tc>
              <w:tc>
                <w:tcPr>
                  <w:tcW w:w="970" w:type="dxa"/>
                  <w:tcBorders>
                    <w:bottom w:val="single" w:color="auto" w:sz="12" w:space="0"/>
                  </w:tcBorders>
                  <w:vAlign w:val="center"/>
                </w:tcPr>
                <w:p w14:paraId="592C2704">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eastAsia="宋体" w:cs="Times New Roman"/>
                      <w:b/>
                      <w:bCs/>
                      <w:color w:val="auto"/>
                      <w:kern w:val="2"/>
                      <w:sz w:val="21"/>
                      <w:szCs w:val="24"/>
                      <w:highlight w:val="none"/>
                      <w:lang w:val="en-US" w:eastAsia="zh-CN" w:bidi="ar-SA"/>
                    </w:rPr>
                    <w:t>环境风险途径</w:t>
                  </w:r>
                </w:p>
              </w:tc>
              <w:tc>
                <w:tcPr>
                  <w:tcW w:w="2180" w:type="dxa"/>
                  <w:tcBorders>
                    <w:bottom w:val="single" w:color="auto" w:sz="12" w:space="0"/>
                  </w:tcBorders>
                  <w:vAlign w:val="center"/>
                </w:tcPr>
                <w:p w14:paraId="728893B1">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eastAsia="宋体" w:cs="Times New Roman"/>
                      <w:b/>
                      <w:bCs/>
                      <w:color w:val="auto"/>
                      <w:kern w:val="2"/>
                      <w:sz w:val="21"/>
                      <w:szCs w:val="24"/>
                      <w:highlight w:val="none"/>
                      <w:lang w:val="en-US" w:eastAsia="zh-CN" w:bidi="ar-SA"/>
                    </w:rPr>
                    <w:t>次生</w:t>
                  </w:r>
                  <w:r>
                    <w:rPr>
                      <w:rFonts w:hint="eastAsia" w:ascii="Times New Roman" w:hAnsi="Times New Roman" w:eastAsia="宋体" w:cs="Times New Roman"/>
                      <w:b/>
                      <w:bCs/>
                      <w:color w:val="auto"/>
                      <w:kern w:val="2"/>
                      <w:sz w:val="21"/>
                      <w:szCs w:val="24"/>
                      <w:highlight w:val="none"/>
                      <w:lang w:val="en-US" w:eastAsia="zh-CN" w:bidi="ar-SA"/>
                    </w:rPr>
                    <w:t>/伴生污染物</w:t>
                  </w:r>
                  <w:r>
                    <w:rPr>
                      <w:rFonts w:hint="eastAsia" w:cs="Times New Roman"/>
                      <w:b/>
                      <w:bCs/>
                      <w:color w:val="auto"/>
                      <w:kern w:val="2"/>
                      <w:sz w:val="21"/>
                      <w:szCs w:val="24"/>
                      <w:highlight w:val="none"/>
                      <w:lang w:val="en-US" w:eastAsia="zh-CN" w:bidi="ar-SA"/>
                    </w:rPr>
                    <w:t>影响</w:t>
                  </w:r>
                </w:p>
              </w:tc>
              <w:tc>
                <w:tcPr>
                  <w:tcW w:w="1514" w:type="dxa"/>
                  <w:tcBorders>
                    <w:bottom w:val="single" w:color="auto" w:sz="12" w:space="0"/>
                  </w:tcBorders>
                  <w:vAlign w:val="center"/>
                </w:tcPr>
                <w:p w14:paraId="58BD35EB">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eastAsia="宋体" w:cs="Times New Roman"/>
                      <w:b/>
                      <w:bCs/>
                      <w:color w:val="auto"/>
                      <w:kern w:val="2"/>
                      <w:sz w:val="21"/>
                      <w:szCs w:val="24"/>
                      <w:highlight w:val="none"/>
                      <w:lang w:val="en-US" w:eastAsia="zh-CN" w:bidi="ar-SA"/>
                    </w:rPr>
                    <w:t>可能影响的环境敏感目标</w:t>
                  </w:r>
                </w:p>
              </w:tc>
            </w:tr>
            <w:tr w14:paraId="535477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09" w:type="dxa"/>
                  <w:vAlign w:val="center"/>
                </w:tcPr>
                <w:p w14:paraId="147FAEB3">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1</w:t>
                  </w:r>
                </w:p>
              </w:tc>
              <w:tc>
                <w:tcPr>
                  <w:tcW w:w="650" w:type="dxa"/>
                  <w:vAlign w:val="center"/>
                </w:tcPr>
                <w:p w14:paraId="4745D4F8">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原料</w:t>
                  </w:r>
                  <w:r>
                    <w:rPr>
                      <w:rFonts w:hint="eastAsia" w:cs="Times New Roman"/>
                      <w:color w:val="auto"/>
                      <w:kern w:val="2"/>
                      <w:sz w:val="21"/>
                      <w:szCs w:val="24"/>
                      <w:highlight w:val="none"/>
                      <w:lang w:val="en-US" w:eastAsia="zh-CN" w:bidi="ar-SA"/>
                    </w:rPr>
                    <w:t>区</w:t>
                  </w:r>
                </w:p>
              </w:tc>
              <w:tc>
                <w:tcPr>
                  <w:tcW w:w="870" w:type="dxa"/>
                  <w:vAlign w:val="center"/>
                </w:tcPr>
                <w:p w14:paraId="29A6C487">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机油</w:t>
                  </w:r>
                </w:p>
              </w:tc>
              <w:tc>
                <w:tcPr>
                  <w:tcW w:w="890" w:type="dxa"/>
                  <w:vAlign w:val="center"/>
                </w:tcPr>
                <w:p w14:paraId="1A8FE85D">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油类</w:t>
                  </w:r>
                </w:p>
                <w:p w14:paraId="5BF870C1">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物质</w:t>
                  </w:r>
                </w:p>
              </w:tc>
              <w:tc>
                <w:tcPr>
                  <w:tcW w:w="950" w:type="dxa"/>
                  <w:vAlign w:val="center"/>
                </w:tcPr>
                <w:p w14:paraId="42CE2E8A">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火灾</w:t>
                  </w:r>
                  <w:r>
                    <w:rPr>
                      <w:rFonts w:hint="eastAsia" w:cs="Times New Roman"/>
                      <w:color w:val="auto"/>
                      <w:kern w:val="2"/>
                      <w:sz w:val="21"/>
                      <w:szCs w:val="24"/>
                      <w:highlight w:val="none"/>
                      <w:lang w:val="en-US" w:eastAsia="zh-CN" w:bidi="ar-SA"/>
                    </w:rPr>
                    <w:t>、</w:t>
                  </w:r>
                  <w:r>
                    <w:rPr>
                      <w:rFonts w:hint="eastAsia" w:ascii="Times New Roman" w:hAnsi="Times New Roman" w:eastAsia="宋体" w:cs="Times New Roman"/>
                      <w:color w:val="auto"/>
                      <w:kern w:val="2"/>
                      <w:sz w:val="21"/>
                      <w:szCs w:val="24"/>
                      <w:highlight w:val="none"/>
                      <w:lang w:val="en-US" w:eastAsia="zh-CN" w:bidi="ar-SA"/>
                    </w:rPr>
                    <w:t>泄漏</w:t>
                  </w:r>
                  <w:r>
                    <w:rPr>
                      <w:rFonts w:hint="eastAsia" w:cs="Times New Roman"/>
                      <w:color w:val="auto"/>
                      <w:kern w:val="2"/>
                      <w:sz w:val="21"/>
                      <w:szCs w:val="24"/>
                      <w:highlight w:val="none"/>
                      <w:lang w:val="en-US" w:eastAsia="zh-CN" w:bidi="ar-SA"/>
                    </w:rPr>
                    <w:t>、爆炸</w:t>
                  </w:r>
                </w:p>
              </w:tc>
              <w:tc>
                <w:tcPr>
                  <w:tcW w:w="970" w:type="dxa"/>
                  <w:vAlign w:val="center"/>
                </w:tcPr>
                <w:p w14:paraId="710CB212">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olor w:val="auto"/>
                      <w:sz w:val="21"/>
                      <w:szCs w:val="21"/>
                    </w:rPr>
                    <w:t>大气、地表</w:t>
                  </w:r>
                  <w:r>
                    <w:rPr>
                      <w:rFonts w:hint="eastAsia"/>
                      <w:color w:val="auto"/>
                      <w:sz w:val="21"/>
                      <w:szCs w:val="21"/>
                      <w:lang w:val="en-US" w:eastAsia="zh-CN"/>
                    </w:rPr>
                    <w:t>水、</w:t>
                  </w:r>
                  <w:r>
                    <w:rPr>
                      <w:rFonts w:hint="eastAsia"/>
                      <w:color w:val="auto"/>
                      <w:sz w:val="21"/>
                      <w:szCs w:val="21"/>
                    </w:rPr>
                    <w:t>地下水及土壤</w:t>
                  </w:r>
                </w:p>
              </w:tc>
              <w:tc>
                <w:tcPr>
                  <w:tcW w:w="2180" w:type="dxa"/>
                  <w:vAlign w:val="center"/>
                </w:tcPr>
                <w:p w14:paraId="4096FB83">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火灾爆炸情况下，爆炸后产生的大量碎片会导致爆炸区域周围一定范围内生产设施破坏，引起其中物料泄漏；若该物料为易燃物料，事故源燃烧产生的热辐射、爆炸余热或飞溅火种会引发新的火灾。油类不完全燃烧伴生CO、VOCs、烟尘及多环芳烃；灭火产生的消防废水携带油类、悬浮物进入地表水体及土壤。</w:t>
                  </w:r>
                </w:p>
              </w:tc>
              <w:tc>
                <w:tcPr>
                  <w:tcW w:w="1514" w:type="dxa"/>
                  <w:vAlign w:val="center"/>
                </w:tcPr>
                <w:p w14:paraId="424401EE">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主要可能影响泄漏点附近的员工</w:t>
                  </w:r>
                  <w:r>
                    <w:rPr>
                      <w:rFonts w:hint="eastAsia" w:cs="Times New Roman"/>
                      <w:color w:val="auto"/>
                      <w:kern w:val="2"/>
                      <w:sz w:val="21"/>
                      <w:szCs w:val="24"/>
                      <w:highlight w:val="none"/>
                      <w:lang w:val="en-US" w:eastAsia="zh-CN" w:bidi="ar-SA"/>
                    </w:rPr>
                    <w:t>和居民</w:t>
                  </w:r>
                </w:p>
              </w:tc>
            </w:tr>
            <w:tr w14:paraId="0B1A7B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09" w:type="dxa"/>
                  <w:vAlign w:val="center"/>
                </w:tcPr>
                <w:p w14:paraId="03F1ADC4">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2</w:t>
                  </w:r>
                </w:p>
              </w:tc>
              <w:tc>
                <w:tcPr>
                  <w:tcW w:w="650" w:type="dxa"/>
                  <w:vAlign w:val="center"/>
                </w:tcPr>
                <w:p w14:paraId="140ED453">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危废暂存间</w:t>
                  </w:r>
                </w:p>
              </w:tc>
              <w:tc>
                <w:tcPr>
                  <w:tcW w:w="870" w:type="dxa"/>
                  <w:vAlign w:val="center"/>
                </w:tcPr>
                <w:p w14:paraId="26699AC3">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废机油等</w:t>
                  </w:r>
                </w:p>
              </w:tc>
              <w:tc>
                <w:tcPr>
                  <w:tcW w:w="890" w:type="dxa"/>
                  <w:vAlign w:val="center"/>
                </w:tcPr>
                <w:p w14:paraId="597B8137">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油类</w:t>
                  </w:r>
                </w:p>
                <w:p w14:paraId="51FEE4FC">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物质</w:t>
                  </w:r>
                </w:p>
              </w:tc>
              <w:tc>
                <w:tcPr>
                  <w:tcW w:w="950" w:type="dxa"/>
                  <w:vAlign w:val="center"/>
                </w:tcPr>
                <w:p w14:paraId="4F291184">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火灾</w:t>
                  </w:r>
                  <w:r>
                    <w:rPr>
                      <w:rFonts w:hint="eastAsia" w:cs="Times New Roman"/>
                      <w:color w:val="auto"/>
                      <w:kern w:val="2"/>
                      <w:sz w:val="21"/>
                      <w:szCs w:val="24"/>
                      <w:highlight w:val="none"/>
                      <w:lang w:val="en-US" w:eastAsia="zh-CN" w:bidi="ar-SA"/>
                    </w:rPr>
                    <w:t>、</w:t>
                  </w:r>
                  <w:r>
                    <w:rPr>
                      <w:rFonts w:hint="eastAsia" w:ascii="Times New Roman" w:hAnsi="Times New Roman" w:eastAsia="宋体" w:cs="Times New Roman"/>
                      <w:color w:val="auto"/>
                      <w:kern w:val="2"/>
                      <w:sz w:val="21"/>
                      <w:szCs w:val="24"/>
                      <w:highlight w:val="none"/>
                      <w:lang w:val="en-US" w:eastAsia="zh-CN" w:bidi="ar-SA"/>
                    </w:rPr>
                    <w:t>泄漏</w:t>
                  </w:r>
                  <w:r>
                    <w:rPr>
                      <w:rFonts w:hint="eastAsia" w:cs="Times New Roman"/>
                      <w:color w:val="auto"/>
                      <w:kern w:val="2"/>
                      <w:sz w:val="21"/>
                      <w:szCs w:val="24"/>
                      <w:highlight w:val="none"/>
                      <w:lang w:val="en-US" w:eastAsia="zh-CN" w:bidi="ar-SA"/>
                    </w:rPr>
                    <w:t>、爆炸</w:t>
                  </w:r>
                </w:p>
              </w:tc>
              <w:tc>
                <w:tcPr>
                  <w:tcW w:w="970" w:type="dxa"/>
                  <w:vAlign w:val="center"/>
                </w:tcPr>
                <w:p w14:paraId="50FF8986">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olor w:val="auto"/>
                      <w:sz w:val="21"/>
                      <w:szCs w:val="21"/>
                    </w:rPr>
                    <w:t>大气、地表</w:t>
                  </w:r>
                  <w:r>
                    <w:rPr>
                      <w:rFonts w:hint="eastAsia"/>
                      <w:color w:val="auto"/>
                      <w:sz w:val="21"/>
                      <w:szCs w:val="21"/>
                      <w:lang w:val="en-US" w:eastAsia="zh-CN"/>
                    </w:rPr>
                    <w:t>水、</w:t>
                  </w:r>
                  <w:r>
                    <w:rPr>
                      <w:rFonts w:hint="eastAsia"/>
                      <w:color w:val="auto"/>
                      <w:sz w:val="21"/>
                      <w:szCs w:val="21"/>
                    </w:rPr>
                    <w:t>地下水及土壤</w:t>
                  </w:r>
                </w:p>
              </w:tc>
              <w:tc>
                <w:tcPr>
                  <w:tcW w:w="2180" w:type="dxa"/>
                  <w:vAlign w:val="center"/>
                </w:tcPr>
                <w:p w14:paraId="451C5F88">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废机油等危废遇火源燃烧，伴生CO、VOCs、烟尘及多环芳烃等有毒烟气；泄漏废液及灭火消防废水携带油类、有机物、悬浮物，经地面漫流或雨水管网进入地表水、下渗污染土壤及地下水。</w:t>
                  </w:r>
                </w:p>
              </w:tc>
              <w:tc>
                <w:tcPr>
                  <w:tcW w:w="1514" w:type="dxa"/>
                  <w:vAlign w:val="center"/>
                </w:tcPr>
                <w:p w14:paraId="5854D1DB">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主要可能影响泄漏点附近的员工</w:t>
                  </w:r>
                  <w:r>
                    <w:rPr>
                      <w:rFonts w:hint="eastAsia" w:cs="Times New Roman"/>
                      <w:color w:val="auto"/>
                      <w:kern w:val="2"/>
                      <w:sz w:val="21"/>
                      <w:szCs w:val="24"/>
                      <w:highlight w:val="none"/>
                      <w:lang w:val="en-US" w:eastAsia="zh-CN" w:bidi="ar-SA"/>
                    </w:rPr>
                    <w:t>和居民</w:t>
                  </w:r>
                </w:p>
              </w:tc>
            </w:tr>
            <w:tr w14:paraId="54FD30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09" w:type="dxa"/>
                  <w:vAlign w:val="center"/>
                </w:tcPr>
                <w:p w14:paraId="633A744E">
                  <w:pPr>
                    <w:keepNext w:val="0"/>
                    <w:keepLines w:val="0"/>
                    <w:widowControl w:val="0"/>
                    <w:suppressLineNumbers w:val="0"/>
                    <w:bidi w:val="0"/>
                    <w:adjustRightInd/>
                    <w:spacing w:before="0" w:beforeAutospacing="0" w:after="0" w:afterAutospacing="0" w:line="240" w:lineRule="auto"/>
                    <w:ind w:left="0" w:leftChars="0" w:right="0" w:firstLine="0" w:firstLineChars="0"/>
                    <w:jc w:val="center"/>
                    <w:textAlignment w:val="auto"/>
                    <w:rPr>
                      <w:rFonts w:hint="default"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3</w:t>
                  </w:r>
                </w:p>
              </w:tc>
              <w:tc>
                <w:tcPr>
                  <w:tcW w:w="650" w:type="dxa"/>
                  <w:vAlign w:val="center"/>
                </w:tcPr>
                <w:p w14:paraId="32FC0B58">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原料区、成品区</w:t>
                  </w:r>
                </w:p>
              </w:tc>
              <w:tc>
                <w:tcPr>
                  <w:tcW w:w="870" w:type="dxa"/>
                  <w:vAlign w:val="center"/>
                </w:tcPr>
                <w:p w14:paraId="57806CB7">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default"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塑料</w:t>
                  </w:r>
                </w:p>
              </w:tc>
              <w:tc>
                <w:tcPr>
                  <w:tcW w:w="890" w:type="dxa"/>
                  <w:vAlign w:val="center"/>
                </w:tcPr>
                <w:p w14:paraId="11166020">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塑料</w:t>
                  </w:r>
                </w:p>
              </w:tc>
              <w:tc>
                <w:tcPr>
                  <w:tcW w:w="950" w:type="dxa"/>
                  <w:vAlign w:val="center"/>
                </w:tcPr>
                <w:p w14:paraId="7473B8D1">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火灾</w:t>
                  </w:r>
                </w:p>
              </w:tc>
              <w:tc>
                <w:tcPr>
                  <w:tcW w:w="970" w:type="dxa"/>
                  <w:vAlign w:val="center"/>
                </w:tcPr>
                <w:p w14:paraId="75CA2E6D">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olor w:val="auto"/>
                      <w:sz w:val="21"/>
                      <w:szCs w:val="21"/>
                    </w:rPr>
                    <w:t>大气、地表</w:t>
                  </w:r>
                  <w:r>
                    <w:rPr>
                      <w:rFonts w:hint="eastAsia"/>
                      <w:color w:val="auto"/>
                      <w:sz w:val="21"/>
                      <w:szCs w:val="21"/>
                      <w:lang w:val="en-US" w:eastAsia="zh-CN"/>
                    </w:rPr>
                    <w:t>水、</w:t>
                  </w:r>
                  <w:r>
                    <w:rPr>
                      <w:rFonts w:hint="eastAsia"/>
                      <w:color w:val="auto"/>
                      <w:sz w:val="21"/>
                      <w:szCs w:val="21"/>
                    </w:rPr>
                    <w:t>地下水及土壤</w:t>
                  </w:r>
                </w:p>
              </w:tc>
              <w:tc>
                <w:tcPr>
                  <w:tcW w:w="2180" w:type="dxa"/>
                  <w:vAlign w:val="center"/>
                </w:tcPr>
                <w:p w14:paraId="084C818B">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塑料粒子不完全燃烧，除CO、烟尘外，伴生大量火灾伴生VOCs（烷烃、烯烃、苯系物、醛酮类、小分子有机酸）、多环芳烃（PAHs）；PA66尼龙燃烧特征性产生氰化氢（HCN），含氯助剂燃烧释放氯化氢。灭火消防废水携带塑料熔融残渣、炭黑颗粒物、未燃烧碎屑、助剂及半挥发性有机物，形成高浓度有机废水，若导流失效可经雨水管网进入地表水体或下渗污染土壤、地下水。燃烧热辐射及飞溅火种可引燃周边堆料，扩大火灾范围。</w:t>
                  </w:r>
                </w:p>
              </w:tc>
              <w:tc>
                <w:tcPr>
                  <w:tcW w:w="1514" w:type="dxa"/>
                  <w:vAlign w:val="center"/>
                </w:tcPr>
                <w:p w14:paraId="5FE4095B">
                  <w:pPr>
                    <w:keepNext w:val="0"/>
                    <w:keepLines w:val="0"/>
                    <w:widowControl w:val="0"/>
                    <w:suppressLineNumbers w:val="0"/>
                    <w:bidi w:val="0"/>
                    <w:adjustRightInd/>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主要可能影响泄漏点附近的员工</w:t>
                  </w:r>
                  <w:r>
                    <w:rPr>
                      <w:rFonts w:hint="eastAsia" w:cs="Times New Roman"/>
                      <w:color w:val="auto"/>
                      <w:kern w:val="2"/>
                      <w:sz w:val="21"/>
                      <w:szCs w:val="24"/>
                      <w:highlight w:val="none"/>
                      <w:lang w:val="en-US" w:eastAsia="zh-CN" w:bidi="ar-SA"/>
                    </w:rPr>
                    <w:t>和居民</w:t>
                  </w:r>
                </w:p>
              </w:tc>
            </w:tr>
          </w:tbl>
          <w:p w14:paraId="53DBC732">
            <w:pPr>
              <w:keepNext w:val="0"/>
              <w:keepLines w:val="0"/>
              <w:suppressLineNumbers w:val="0"/>
              <w:bidi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rPr>
              <w:t>）环境风险分析</w:t>
            </w:r>
          </w:p>
          <w:p w14:paraId="0D80F581">
            <w:pPr>
              <w:keepNext w:val="0"/>
              <w:keepLines w:val="0"/>
              <w:suppressLineNumbers w:val="0"/>
              <w:bidi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rPr>
              <w:t>从建设项目环境风险识别表可见，项目风险类型主要为泄漏、</w:t>
            </w:r>
            <w:r>
              <w:rPr>
                <w:rFonts w:hint="eastAsia" w:ascii="Times New Roman" w:hAnsi="Times New Roman" w:cs="Times New Roman"/>
                <w:color w:val="auto"/>
                <w:sz w:val="24"/>
                <w:highlight w:val="none"/>
                <w:lang w:val="en-US" w:eastAsia="zh-CN"/>
              </w:rPr>
              <w:t>爆炸、</w:t>
            </w:r>
            <w:r>
              <w:rPr>
                <w:rFonts w:hint="eastAsia" w:ascii="Times New Roman" w:hAnsi="Times New Roman" w:cs="Times New Roman"/>
                <w:color w:val="auto"/>
                <w:sz w:val="24"/>
                <w:highlight w:val="none"/>
              </w:rPr>
              <w:t>火灾，由于主要危险物质在厂区内储存量</w:t>
            </w:r>
            <w:r>
              <w:rPr>
                <w:rFonts w:hint="eastAsia" w:ascii="Times New Roman" w:hAnsi="Times New Roman" w:cs="Times New Roman"/>
                <w:color w:val="auto"/>
                <w:sz w:val="24"/>
                <w:highlight w:val="none"/>
                <w:lang w:val="en-US" w:eastAsia="zh-CN"/>
              </w:rPr>
              <w:t>较</w:t>
            </w:r>
            <w:r>
              <w:rPr>
                <w:rFonts w:hint="eastAsia" w:ascii="Times New Roman" w:hAnsi="Times New Roman" w:cs="Times New Roman"/>
                <w:color w:val="auto"/>
                <w:sz w:val="24"/>
                <w:highlight w:val="none"/>
              </w:rPr>
              <w:t>小，哪怕发生风险事故的影响范围也不是很大，只要做好泄漏后的收集工作，环境风险总体可控，不会对环境敏感目标造成大的影响。</w:t>
            </w:r>
          </w:p>
          <w:p w14:paraId="6AC6D071">
            <w:pPr>
              <w:keepNext w:val="0"/>
              <w:keepLines w:val="0"/>
              <w:suppressLineNumbers w:val="0"/>
              <w:bidi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4</w:t>
            </w:r>
            <w:r>
              <w:rPr>
                <w:rFonts w:hint="default" w:ascii="Times New Roman" w:hAnsi="Times New Roman" w:cs="Times New Roman"/>
                <w:color w:val="auto"/>
                <w:sz w:val="24"/>
                <w:highlight w:val="none"/>
              </w:rPr>
              <w:t>）环境风险防范措施及应急要求</w:t>
            </w:r>
          </w:p>
          <w:p w14:paraId="7D8DD8A4">
            <w:pPr>
              <w:keepNext w:val="0"/>
              <w:keepLines w:val="0"/>
              <w:suppressLineNumbers w:val="0"/>
              <w:spacing w:before="0" w:beforeAutospacing="0" w:after="0" w:afterAutospacing="0" w:line="360" w:lineRule="auto"/>
              <w:ind w:left="0" w:right="0" w:firstLine="480" w:firstLineChars="200"/>
              <w:rPr>
                <w:rFonts w:hint="default"/>
                <w:color w:val="auto"/>
                <w:sz w:val="24"/>
                <w:highlight w:val="none"/>
              </w:rPr>
            </w:pPr>
            <w:r>
              <w:rPr>
                <w:rFonts w:hint="eastAsia"/>
                <w:color w:val="auto"/>
                <w:sz w:val="24"/>
                <w:highlight w:val="none"/>
                <w:lang w:val="en-US" w:eastAsia="zh-CN"/>
              </w:rPr>
              <w:t>1</w:t>
            </w:r>
            <w:r>
              <w:rPr>
                <w:rFonts w:hint="eastAsia"/>
                <w:color w:val="auto"/>
                <w:sz w:val="24"/>
                <w:highlight w:val="none"/>
              </w:rPr>
              <w:t>）</w:t>
            </w:r>
            <w:r>
              <w:rPr>
                <w:rFonts w:hint="default"/>
                <w:color w:val="auto"/>
                <w:sz w:val="24"/>
                <w:highlight w:val="none"/>
              </w:rPr>
              <w:t>火灾、燃爆事故的防范措施</w:t>
            </w:r>
          </w:p>
          <w:p w14:paraId="2EB0B8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80" w:firstLineChars="200"/>
              <w:textAlignment w:val="auto"/>
              <w:rPr>
                <w:rFonts w:hint="eastAsia" w:ascii="Times New Roman" w:hAnsi="Times New Roman" w:cs="Times New Roman" w:eastAsiaTheme="minorEastAsia"/>
                <w:bCs/>
                <w:snapToGrid w:val="0"/>
                <w:color w:val="auto"/>
                <w:sz w:val="24"/>
                <w:lang w:val="en-US" w:eastAsia="zh-CN"/>
              </w:rPr>
            </w:pPr>
            <w:r>
              <w:rPr>
                <w:rFonts w:hint="default"/>
                <w:color w:val="auto"/>
                <w:sz w:val="24"/>
                <w:highlight w:val="none"/>
              </w:rPr>
              <w:t>火灾和爆炸事故主要是由明火引起的，这主要是管理方面的问题。因此，应该加强火源管理和其</w:t>
            </w:r>
            <w:r>
              <w:rPr>
                <w:rFonts w:hint="eastAsia"/>
                <w:color w:val="auto"/>
                <w:sz w:val="24"/>
                <w:highlight w:val="none"/>
                <w:lang w:val="en-US" w:eastAsia="zh-CN"/>
              </w:rPr>
              <w:t>他</w:t>
            </w:r>
            <w:r>
              <w:rPr>
                <w:rFonts w:hint="default"/>
                <w:color w:val="auto"/>
                <w:sz w:val="24"/>
                <w:highlight w:val="none"/>
              </w:rPr>
              <w:t>方面的管理，严禁烟火，应该防止机械（撞击、摩擦）着火源，加强通风。</w:t>
            </w:r>
            <w:r>
              <w:rPr>
                <w:rFonts w:hint="default" w:ascii="Times New Roman" w:hAnsi="Times New Roman" w:cs="Times New Roman"/>
                <w:bCs/>
                <w:snapToGrid w:val="0"/>
                <w:color w:val="auto"/>
                <w:sz w:val="24"/>
              </w:rPr>
              <w:t>厂内按规定建设消防设施，划分禁火区域，消防设施配置安全报警系统、灭火器、消防栓、泡沫灭火器等</w:t>
            </w:r>
            <w:r>
              <w:rPr>
                <w:rFonts w:hint="eastAsia" w:ascii="Times New Roman" w:hAnsi="Times New Roman" w:cs="Times New Roman"/>
                <w:bCs/>
                <w:snapToGrid w:val="0"/>
                <w:color w:val="auto"/>
                <w:sz w:val="24"/>
                <w:lang w:val="en-US" w:eastAsia="zh-CN"/>
              </w:rPr>
              <w:t>。</w:t>
            </w:r>
          </w:p>
          <w:p w14:paraId="3BCFAB1C">
            <w:pPr>
              <w:keepNext w:val="0"/>
              <w:keepLines w:val="0"/>
              <w:suppressLineNumbers w:val="0"/>
              <w:adjustRightInd w:val="0"/>
              <w:spacing w:before="0" w:beforeAutospacing="0" w:after="0" w:afterAutospacing="0" w:line="360" w:lineRule="auto"/>
              <w:ind w:left="0" w:right="0" w:firstLine="480" w:firstLineChars="200"/>
              <w:rPr>
                <w:rFonts w:hint="eastAsia" w:cs="Times New Roman"/>
                <w:color w:val="auto"/>
                <w:sz w:val="24"/>
                <w:highlight w:val="none"/>
                <w:lang w:eastAsia="zh-CN"/>
              </w:rPr>
            </w:pPr>
            <w:r>
              <w:rPr>
                <w:rFonts w:hint="eastAsia" w:cs="Times New Roman"/>
                <w:color w:val="auto"/>
                <w:sz w:val="24"/>
                <w:highlight w:val="none"/>
                <w:lang w:val="en-US" w:eastAsia="zh-CN"/>
              </w:rPr>
              <w:t>2</w:t>
            </w:r>
            <w:r>
              <w:rPr>
                <w:rFonts w:hint="eastAsia" w:cs="Times New Roman"/>
                <w:color w:val="auto"/>
                <w:sz w:val="24"/>
                <w:highlight w:val="none"/>
                <w:lang w:eastAsia="zh-CN"/>
              </w:rPr>
              <w:t>）火灾伴生VOCs防控措施</w:t>
            </w:r>
          </w:p>
          <w:p w14:paraId="3A3439A4">
            <w:pPr>
              <w:keepNext w:val="0"/>
              <w:keepLines w:val="0"/>
              <w:suppressLineNumbers w:val="0"/>
              <w:adjustRightInd w:val="0"/>
              <w:spacing w:before="0" w:beforeAutospacing="0" w:after="0" w:afterAutospacing="0" w:line="360" w:lineRule="auto"/>
              <w:ind w:left="0" w:right="0" w:firstLine="480" w:firstLineChars="200"/>
              <w:rPr>
                <w:rFonts w:hint="eastAsia" w:cs="Times New Roman"/>
                <w:color w:val="auto"/>
                <w:sz w:val="24"/>
                <w:highlight w:val="none"/>
                <w:lang w:eastAsia="zh-CN"/>
              </w:rPr>
            </w:pPr>
            <w:r>
              <w:rPr>
                <w:rFonts w:hint="eastAsia" w:cs="Times New Roman"/>
                <w:color w:val="auto"/>
                <w:sz w:val="24"/>
                <w:highlight w:val="none"/>
                <w:lang w:eastAsia="zh-CN"/>
              </w:rPr>
              <w:t>仓库、车间合理控制堆料高度与堆距，设置通风、可燃气体探测、烟感报警，降低起火概率；车间、仓库禁止违规动火。火灾发生后，人员优先撤离，启动厂内应急广播，通知周边敏感点短时避让，避开烟气下风向。对受污染地面洒水抑尘，减少残余VOCs无组织挥发；事故后对厂区内废气处理设施进行检查，确认无熔融物料堵塞后再恢复生产。</w:t>
            </w:r>
          </w:p>
          <w:p w14:paraId="7C1EF105">
            <w:pPr>
              <w:keepNext w:val="0"/>
              <w:keepLines w:val="0"/>
              <w:suppressLineNumbers w:val="0"/>
              <w:adjustRightInd w:val="0"/>
              <w:spacing w:before="0" w:beforeAutospacing="0" w:after="0" w:afterAutospacing="0" w:line="360" w:lineRule="auto"/>
              <w:ind w:left="0" w:right="0" w:firstLine="480" w:firstLineChars="200"/>
              <w:rPr>
                <w:rFonts w:hint="eastAsia" w:cs="Times New Roman"/>
                <w:color w:val="auto"/>
                <w:sz w:val="24"/>
                <w:highlight w:val="none"/>
                <w:lang w:eastAsia="zh-CN"/>
              </w:rPr>
            </w:pPr>
            <w:r>
              <w:rPr>
                <w:rFonts w:hint="eastAsia" w:cs="Times New Roman"/>
                <w:color w:val="auto"/>
                <w:sz w:val="24"/>
                <w:highlight w:val="none"/>
                <w:lang w:val="en-US" w:eastAsia="zh-CN"/>
              </w:rPr>
              <w:t>3</w:t>
            </w:r>
            <w:r>
              <w:rPr>
                <w:rFonts w:hint="eastAsia" w:cs="Times New Roman"/>
                <w:color w:val="auto"/>
                <w:sz w:val="24"/>
                <w:highlight w:val="none"/>
                <w:lang w:eastAsia="zh-CN"/>
              </w:rPr>
              <w:t>）消防废水风险防控措施</w:t>
            </w:r>
          </w:p>
          <w:p w14:paraId="3DA9E45B">
            <w:pPr>
              <w:keepNext w:val="0"/>
              <w:keepLines w:val="0"/>
              <w:suppressLineNumbers w:val="0"/>
              <w:adjustRightInd w:val="0"/>
              <w:spacing w:before="0" w:beforeAutospacing="0" w:after="0" w:afterAutospacing="0" w:line="360" w:lineRule="auto"/>
              <w:ind w:left="0" w:right="0" w:firstLine="480" w:firstLineChars="200"/>
              <w:rPr>
                <w:rFonts w:hint="eastAsia" w:cs="Times New Roman"/>
                <w:color w:val="auto"/>
                <w:sz w:val="24"/>
                <w:highlight w:val="none"/>
                <w:lang w:eastAsia="zh-CN"/>
              </w:rPr>
            </w:pPr>
            <w:r>
              <w:rPr>
                <w:rFonts w:hint="eastAsia" w:cs="Times New Roman"/>
                <w:color w:val="auto"/>
                <w:sz w:val="24"/>
                <w:highlight w:val="none"/>
                <w:lang w:eastAsia="zh-CN"/>
              </w:rPr>
              <w:t>事故状态下关闭雨水外排总阀，切断消防废水向外环境的排放通道。消防废水</w:t>
            </w:r>
            <w:r>
              <w:rPr>
                <w:rFonts w:hint="eastAsia" w:cs="Times New Roman"/>
                <w:color w:val="auto"/>
                <w:sz w:val="24"/>
                <w:highlight w:val="none"/>
                <w:lang w:val="en-US" w:eastAsia="zh-CN"/>
              </w:rPr>
              <w:t>排至</w:t>
            </w:r>
            <w:r>
              <w:rPr>
                <w:rFonts w:hint="eastAsia" w:cs="Times New Roman"/>
                <w:color w:val="auto"/>
                <w:sz w:val="24"/>
                <w:highlight w:val="none"/>
                <w:lang w:eastAsia="zh-CN"/>
              </w:rPr>
              <w:t>事故应急池；严禁消防废水直接进入雨水管网。收集后的消防废水，检测COD、SS、VOCs、石油类等指标；可纳管的，</w:t>
            </w:r>
            <w:r>
              <w:rPr>
                <w:rFonts w:hint="eastAsia" w:cs="Times New Roman"/>
                <w:color w:val="auto"/>
                <w:sz w:val="24"/>
                <w:highlight w:val="none"/>
                <w:lang w:val="en-US" w:eastAsia="zh-CN"/>
              </w:rPr>
              <w:t>经</w:t>
            </w:r>
            <w:r>
              <w:rPr>
                <w:rFonts w:hint="eastAsia" w:cs="Times New Roman"/>
                <w:color w:val="auto"/>
                <w:sz w:val="24"/>
                <w:highlight w:val="none"/>
                <w:lang w:eastAsia="zh-CN"/>
              </w:rPr>
              <w:t>处理后纳管；浓度过高、含难降解燃烧产物的，委托有资质单位作为危废处置。</w:t>
            </w:r>
          </w:p>
          <w:p w14:paraId="096DDA8D">
            <w:pPr>
              <w:keepNext w:val="0"/>
              <w:keepLines w:val="0"/>
              <w:suppressLineNumbers w:val="0"/>
              <w:spacing w:before="0" w:beforeAutospacing="0" w:after="0" w:afterAutospacing="0" w:line="360" w:lineRule="auto"/>
              <w:ind w:left="0" w:right="0" w:firstLine="480" w:firstLineChars="200"/>
              <w:rPr>
                <w:rFonts w:hint="default"/>
                <w:color w:val="auto"/>
                <w:sz w:val="24"/>
                <w:highlight w:val="none"/>
              </w:rPr>
            </w:pPr>
            <w:r>
              <w:rPr>
                <w:rFonts w:hint="eastAsia"/>
                <w:color w:val="auto"/>
                <w:sz w:val="24"/>
                <w:highlight w:val="none"/>
                <w:lang w:val="en-US" w:eastAsia="zh-CN"/>
              </w:rPr>
              <w:t>4</w:t>
            </w:r>
            <w:r>
              <w:rPr>
                <w:rFonts w:hint="eastAsia"/>
                <w:color w:val="auto"/>
                <w:sz w:val="24"/>
                <w:highlight w:val="none"/>
              </w:rPr>
              <w:t>）泄漏</w:t>
            </w:r>
            <w:r>
              <w:rPr>
                <w:rFonts w:hint="default"/>
                <w:color w:val="auto"/>
                <w:sz w:val="24"/>
                <w:highlight w:val="none"/>
              </w:rPr>
              <w:t>应急措施</w:t>
            </w:r>
          </w:p>
          <w:p w14:paraId="5092E6EF">
            <w:pPr>
              <w:keepNext w:val="0"/>
              <w:keepLines w:val="0"/>
              <w:suppressLineNumbers w:val="0"/>
              <w:bidi w:val="0"/>
              <w:spacing w:before="0" w:beforeAutospacing="0" w:after="0" w:afterAutospacing="0" w:line="360" w:lineRule="auto"/>
              <w:ind w:left="0" w:right="0" w:firstLine="480" w:firstLineChars="200"/>
              <w:rPr>
                <w:rFonts w:hint="eastAsia"/>
                <w:color w:val="auto"/>
                <w:sz w:val="24"/>
                <w:highlight w:val="none"/>
              </w:rPr>
            </w:pPr>
            <w:r>
              <w:rPr>
                <w:rFonts w:hint="default"/>
                <w:color w:val="auto"/>
                <w:sz w:val="24"/>
                <w:szCs w:val="24"/>
                <w:highlight w:val="none"/>
              </w:rPr>
              <w:t>规范管理，</w:t>
            </w:r>
            <w:r>
              <w:rPr>
                <w:rFonts w:hint="eastAsia"/>
                <w:color w:val="auto"/>
                <w:sz w:val="24"/>
                <w:szCs w:val="24"/>
                <w:highlight w:val="none"/>
                <w:lang w:val="en-US" w:eastAsia="zh-CN"/>
              </w:rPr>
              <w:t>竖立</w:t>
            </w:r>
            <w:r>
              <w:rPr>
                <w:rFonts w:hint="default"/>
                <w:color w:val="auto"/>
                <w:sz w:val="24"/>
                <w:szCs w:val="24"/>
                <w:highlight w:val="none"/>
              </w:rPr>
              <w:t>安全警示标志，管线远离火种，热源，工作场所严禁吸烟，使用防爆型的通风系统和设备，安装相应的气体传感报警系统，避免与氧化剂接触，配备相应品种和数量的消防器材及泄漏应急处理设备，杜绝事故发生</w:t>
            </w:r>
            <w:r>
              <w:rPr>
                <w:rFonts w:hint="eastAsia"/>
                <w:color w:val="auto"/>
                <w:sz w:val="24"/>
                <w:highlight w:val="none"/>
              </w:rPr>
              <w:t>。</w:t>
            </w:r>
          </w:p>
          <w:p w14:paraId="0658FB42">
            <w:pPr>
              <w:keepNext w:val="0"/>
              <w:keepLines w:val="0"/>
              <w:suppressLineNumbers w:val="0"/>
              <w:bidi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eastAsia" w:cs="Times New Roman"/>
                <w:color w:val="auto"/>
                <w:sz w:val="24"/>
                <w:highlight w:val="none"/>
                <w:lang w:val="en-US" w:eastAsia="zh-CN"/>
              </w:rPr>
              <w:t>5</w:t>
            </w:r>
            <w:r>
              <w:rPr>
                <w:rFonts w:hint="eastAsia" w:ascii="Times New Roman" w:hAnsi="Times New Roman" w:cs="Times New Roman"/>
                <w:color w:val="auto"/>
                <w:sz w:val="24"/>
                <w:highlight w:val="none"/>
                <w:lang w:val="en-US" w:eastAsia="zh-CN"/>
              </w:rPr>
              <w:t>）原料</w:t>
            </w:r>
            <w:r>
              <w:rPr>
                <w:rFonts w:hint="eastAsia" w:ascii="Times New Roman" w:hAnsi="Times New Roman" w:cs="Times New Roman"/>
                <w:color w:val="auto"/>
                <w:sz w:val="24"/>
                <w:highlight w:val="none"/>
              </w:rPr>
              <w:t>储存场所应设置防爆型的通风系统和设备。</w:t>
            </w:r>
            <w:r>
              <w:rPr>
                <w:rFonts w:hint="eastAsia" w:ascii="Times New Roman" w:hAnsi="Times New Roman" w:cs="Times New Roman"/>
                <w:color w:val="auto"/>
                <w:sz w:val="24"/>
                <w:highlight w:val="none"/>
                <w:lang w:val="en-US" w:eastAsia="zh-CN"/>
              </w:rPr>
              <w:t>按照</w:t>
            </w:r>
            <w:r>
              <w:rPr>
                <w:rFonts w:hint="eastAsia" w:ascii="Times New Roman" w:hAnsi="Times New Roman" w:cs="Times New Roman"/>
                <w:color w:val="auto"/>
                <w:sz w:val="24"/>
                <w:highlight w:val="none"/>
              </w:rPr>
              <w:t>消防主管部门要求，配备相关的灭火装置、物资。</w:t>
            </w:r>
          </w:p>
          <w:p w14:paraId="6F75692C">
            <w:pPr>
              <w:keepNext w:val="0"/>
              <w:keepLines w:val="0"/>
              <w:suppressLineNumbers w:val="0"/>
              <w:bidi w:val="0"/>
              <w:spacing w:before="0" w:beforeAutospacing="0" w:after="0" w:afterAutospacing="0" w:line="360" w:lineRule="auto"/>
              <w:ind w:left="0" w:right="0" w:firstLine="480" w:firstLineChars="200"/>
              <w:rPr>
                <w:rFonts w:hint="eastAsia"/>
                <w:color w:val="auto"/>
                <w:highlight w:val="none"/>
                <w:lang w:val="en-US" w:eastAsia="zh-CN"/>
              </w:rPr>
            </w:pPr>
            <w:r>
              <w:rPr>
                <w:rFonts w:hint="eastAsia" w:cs="Times New Roman"/>
                <w:color w:val="auto"/>
                <w:sz w:val="24"/>
                <w:highlight w:val="none"/>
                <w:lang w:val="en-US" w:eastAsia="zh-CN"/>
              </w:rPr>
              <w:t>6</w:t>
            </w:r>
            <w:r>
              <w:rPr>
                <w:rFonts w:hint="eastAsia" w:ascii="Times New Roman" w:hAnsi="Times New Roman" w:cs="Times New Roman"/>
                <w:color w:val="auto"/>
                <w:sz w:val="24"/>
                <w:highlight w:val="none"/>
                <w:lang w:val="en-US" w:eastAsia="zh-CN"/>
              </w:rPr>
              <w:t>）制</w:t>
            </w:r>
            <w:r>
              <w:rPr>
                <w:rFonts w:hint="eastAsia" w:ascii="Times New Roman" w:hAnsi="Times New Roman" w:cs="Times New Roman"/>
                <w:color w:val="auto"/>
                <w:sz w:val="24"/>
                <w:highlight w:val="none"/>
              </w:rPr>
              <w:t>定应急预案，定期组织应急演练。</w:t>
            </w:r>
          </w:p>
          <w:p w14:paraId="4EB8354A">
            <w:pPr>
              <w:keepNext w:val="0"/>
              <w:keepLines w:val="0"/>
              <w:suppressLineNumbers w:val="0"/>
              <w:adjustRightInd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w:t>
            </w:r>
            <w:r>
              <w:rPr>
                <w:rFonts w:hint="eastAsia" w:cs="Times New Roman"/>
                <w:color w:val="auto"/>
                <w:sz w:val="24"/>
                <w:highlight w:val="none"/>
                <w:lang w:val="en-US" w:eastAsia="zh-CN"/>
              </w:rPr>
              <w:t>5</w:t>
            </w:r>
            <w:r>
              <w:rPr>
                <w:rFonts w:hint="eastAsia" w:cs="Times New Roman"/>
                <w:color w:val="auto"/>
                <w:sz w:val="24"/>
                <w:highlight w:val="none"/>
                <w:lang w:eastAsia="zh-CN"/>
              </w:rPr>
              <w:t>）</w:t>
            </w:r>
            <w:r>
              <w:rPr>
                <w:rFonts w:hint="eastAsia" w:cs="Times New Roman"/>
                <w:color w:val="auto"/>
                <w:sz w:val="24"/>
                <w:highlight w:val="none"/>
                <w:lang w:val="en-US" w:eastAsia="zh-CN"/>
              </w:rPr>
              <w:t>环境风险防范</w:t>
            </w:r>
            <w:r>
              <w:rPr>
                <w:rFonts w:hint="default" w:ascii="Times New Roman" w:hAnsi="Times New Roman" w:cs="Times New Roman"/>
                <w:color w:val="auto"/>
              </w:rPr>
              <w:t>措施</w:t>
            </w:r>
          </w:p>
          <w:p w14:paraId="05651C5C">
            <w:pPr>
              <w:keepNext w:val="0"/>
              <w:keepLines w:val="0"/>
              <w:suppressLineNumbers w:val="0"/>
              <w:spacing w:before="0" w:beforeAutospacing="0" w:after="0" w:afterAutospacing="0" w:line="324" w:lineRule="auto"/>
              <w:ind w:left="0" w:right="0" w:firstLine="480" w:firstLineChars="200"/>
              <w:rPr>
                <w:rFonts w:hint="default" w:ascii="Times New Roman" w:hAnsi="Times New Roman" w:cs="Times New Roman"/>
                <w:bCs/>
                <w:snapToGrid w:val="0"/>
                <w:color w:val="auto"/>
                <w:sz w:val="24"/>
              </w:rPr>
            </w:pPr>
            <w:r>
              <w:rPr>
                <w:rFonts w:hint="default" w:ascii="Times New Roman" w:hAnsi="Times New Roman" w:cs="Times New Roman"/>
                <w:bCs/>
                <w:snapToGrid w:val="0"/>
                <w:color w:val="auto"/>
                <w:sz w:val="24"/>
              </w:rPr>
              <w:t>1）大气环境风险防范</w:t>
            </w:r>
          </w:p>
          <w:p w14:paraId="2D3E397B">
            <w:pPr>
              <w:pStyle w:val="122"/>
              <w:keepNext w:val="0"/>
              <w:keepLines w:val="0"/>
              <w:suppressLineNumbers w:val="0"/>
              <w:snapToGrid/>
              <w:spacing w:before="0" w:beforeAutospacing="0" w:after="0" w:afterAutospacing="0"/>
              <w:ind w:left="0" w:right="0" w:firstLine="480"/>
              <w:rPr>
                <w:rFonts w:hint="default" w:ascii="Times New Roman" w:hAnsi="Times New Roman" w:eastAsia="宋体" w:cs="Times New Roman"/>
                <w:caps w:val="0"/>
                <w:smallCaps w:val="0"/>
                <w:snapToGrid/>
                <w:color w:val="auto"/>
                <w:spacing w:val="0"/>
                <w:w w:val="100"/>
                <w:kern w:val="0"/>
                <w:position w:val="0"/>
                <w:lang w:val="en-GB"/>
              </w:rPr>
            </w:pPr>
            <w:r>
              <w:rPr>
                <w:rFonts w:hint="eastAsia" w:ascii="Times New Roman" w:hAnsi="Times New Roman" w:eastAsia="宋体" w:cs="Times New Roman"/>
                <w:caps w:val="0"/>
                <w:smallCaps w:val="0"/>
                <w:snapToGrid/>
                <w:color w:val="auto"/>
                <w:spacing w:val="0"/>
                <w:w w:val="100"/>
                <w:kern w:val="0"/>
                <w:position w:val="0"/>
                <w:lang w:val="en-US" w:eastAsia="zh-CN"/>
              </w:rPr>
              <w:t>①</w:t>
            </w:r>
            <w:r>
              <w:rPr>
                <w:rFonts w:hint="default" w:ascii="Times New Roman" w:hAnsi="Times New Roman" w:eastAsia="宋体" w:cs="Times New Roman"/>
                <w:caps w:val="0"/>
                <w:smallCaps w:val="0"/>
                <w:snapToGrid/>
                <w:color w:val="auto"/>
                <w:spacing w:val="0"/>
                <w:w w:val="100"/>
                <w:kern w:val="0"/>
                <w:position w:val="0"/>
                <w:lang w:val="en-GB"/>
              </w:rPr>
              <w:t>加强管理，制订设备运行操作规程、维修保养、巡回检查等管理制度，严格规范操作，竭力避免废气的事故排放。</w:t>
            </w:r>
          </w:p>
          <w:p w14:paraId="4241DD3D">
            <w:pPr>
              <w:pStyle w:val="122"/>
              <w:keepNext w:val="0"/>
              <w:keepLines w:val="0"/>
              <w:suppressLineNumbers w:val="0"/>
              <w:snapToGrid/>
              <w:spacing w:before="0" w:beforeAutospacing="0" w:after="0" w:afterAutospacing="0"/>
              <w:ind w:left="0" w:right="0" w:firstLine="480"/>
              <w:rPr>
                <w:rFonts w:hint="default" w:ascii="Times New Roman" w:hAnsi="Times New Roman" w:eastAsia="宋体" w:cs="Times New Roman"/>
                <w:caps w:val="0"/>
                <w:smallCaps w:val="0"/>
                <w:snapToGrid/>
                <w:color w:val="auto"/>
                <w:spacing w:val="0"/>
                <w:w w:val="100"/>
                <w:kern w:val="0"/>
                <w:position w:val="0"/>
                <w:lang w:val="en-GB"/>
              </w:rPr>
            </w:pPr>
            <w:r>
              <w:rPr>
                <w:rFonts w:hint="eastAsia" w:ascii="Times New Roman" w:hAnsi="Times New Roman" w:eastAsia="宋体" w:cs="Times New Roman"/>
                <w:caps w:val="0"/>
                <w:smallCaps w:val="0"/>
                <w:snapToGrid/>
                <w:color w:val="auto"/>
                <w:spacing w:val="0"/>
                <w:w w:val="100"/>
                <w:kern w:val="0"/>
                <w:position w:val="0"/>
                <w:lang w:val="en-US" w:eastAsia="zh-CN"/>
              </w:rPr>
              <w:t>②</w:t>
            </w:r>
            <w:r>
              <w:rPr>
                <w:rFonts w:hint="default" w:ascii="Times New Roman" w:hAnsi="Times New Roman" w:eastAsia="宋体" w:cs="Times New Roman"/>
                <w:color w:val="auto"/>
                <w:kern w:val="0"/>
                <w:sz w:val="24"/>
                <w:szCs w:val="24"/>
                <w:highlight w:val="none"/>
                <w:u w:val="none"/>
                <w:lang w:val="en-US" w:eastAsia="zh-CN" w:bidi="ar-SA"/>
              </w:rPr>
              <w:t>项目废气处理设施事故主要为</w:t>
            </w:r>
            <w:r>
              <w:rPr>
                <w:rFonts w:hint="eastAsia" w:cs="Times New Roman"/>
                <w:color w:val="auto"/>
                <w:kern w:val="0"/>
                <w:sz w:val="24"/>
                <w:szCs w:val="24"/>
                <w:highlight w:val="none"/>
                <w:u w:val="none"/>
                <w:lang w:val="en-US" w:eastAsia="zh-CN" w:bidi="ar-SA"/>
              </w:rPr>
              <w:t>生产车间</w:t>
            </w:r>
            <w:r>
              <w:rPr>
                <w:rFonts w:hint="default" w:ascii="Times New Roman" w:hAnsi="Times New Roman" w:eastAsia="宋体" w:cs="Times New Roman"/>
                <w:color w:val="auto"/>
                <w:kern w:val="0"/>
                <w:sz w:val="24"/>
                <w:szCs w:val="24"/>
                <w:highlight w:val="none"/>
                <w:u w:val="none"/>
                <w:lang w:val="en-US" w:eastAsia="zh-CN" w:bidi="ar-SA"/>
              </w:rPr>
              <w:t>废气处理装置等发生故障导致废气超标排放，企业应定期对各废气处理装置进行巡查，如处理装置故障，应及时维修，并停止</w:t>
            </w:r>
            <w:r>
              <w:rPr>
                <w:rFonts w:hint="eastAsia" w:ascii="Times New Roman" w:hAnsi="Times New Roman" w:cs="Times New Roman"/>
                <w:color w:val="auto"/>
                <w:kern w:val="0"/>
                <w:sz w:val="24"/>
                <w:szCs w:val="24"/>
                <w:highlight w:val="none"/>
                <w:u w:val="none"/>
                <w:lang w:val="en-US" w:eastAsia="zh-CN" w:bidi="ar-SA"/>
              </w:rPr>
              <w:t>相应工段</w:t>
            </w:r>
            <w:r>
              <w:rPr>
                <w:rFonts w:hint="default" w:ascii="Times New Roman" w:hAnsi="Times New Roman" w:eastAsia="宋体" w:cs="Times New Roman"/>
                <w:color w:val="auto"/>
                <w:kern w:val="0"/>
                <w:sz w:val="24"/>
                <w:szCs w:val="24"/>
                <w:highlight w:val="none"/>
                <w:u w:val="none"/>
                <w:lang w:val="en-US" w:eastAsia="zh-CN" w:bidi="ar-SA"/>
              </w:rPr>
              <w:t>生产加工。</w:t>
            </w:r>
          </w:p>
          <w:p w14:paraId="0B24D9C4">
            <w:pPr>
              <w:pStyle w:val="122"/>
              <w:keepNext w:val="0"/>
              <w:keepLines w:val="0"/>
              <w:suppressLineNumbers w:val="0"/>
              <w:snapToGrid/>
              <w:spacing w:before="0" w:beforeAutospacing="0" w:after="0" w:afterAutospacing="0"/>
              <w:ind w:left="0" w:right="0" w:firstLine="480"/>
              <w:rPr>
                <w:rFonts w:hint="default" w:ascii="Times New Roman" w:hAnsi="Times New Roman" w:eastAsia="宋体" w:cs="Times New Roman"/>
                <w:caps w:val="0"/>
                <w:smallCaps w:val="0"/>
                <w:snapToGrid/>
                <w:color w:val="auto"/>
                <w:spacing w:val="0"/>
                <w:w w:val="100"/>
                <w:kern w:val="0"/>
                <w:position w:val="0"/>
                <w:lang w:val="en-GB"/>
              </w:rPr>
            </w:pPr>
            <w:r>
              <w:rPr>
                <w:rFonts w:hint="eastAsia" w:ascii="Times New Roman" w:hAnsi="Times New Roman" w:eastAsia="宋体" w:cs="Times New Roman"/>
                <w:caps w:val="0"/>
                <w:smallCaps w:val="0"/>
                <w:snapToGrid/>
                <w:color w:val="auto"/>
                <w:spacing w:val="0"/>
                <w:w w:val="100"/>
                <w:kern w:val="0"/>
                <w:position w:val="0"/>
                <w:lang w:val="en-US" w:eastAsia="zh-CN"/>
              </w:rPr>
              <w:t>③</w:t>
            </w:r>
            <w:r>
              <w:rPr>
                <w:rFonts w:hint="default" w:ascii="Times New Roman" w:hAnsi="Times New Roman" w:eastAsia="宋体" w:cs="Times New Roman"/>
                <w:caps w:val="0"/>
                <w:smallCaps w:val="0"/>
                <w:snapToGrid/>
                <w:color w:val="auto"/>
                <w:spacing w:val="0"/>
                <w:w w:val="100"/>
                <w:kern w:val="0"/>
                <w:position w:val="0"/>
                <w:lang w:val="en-GB"/>
              </w:rPr>
              <w:t>操作工在上岗前须通过上岗培训，提高职工素质，并把日常的运行维护与职工个人的经济效益挂钩。</w:t>
            </w:r>
          </w:p>
          <w:p w14:paraId="37DE576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snapToGrid w:val="0"/>
                <w:color w:val="auto"/>
                <w:sz w:val="24"/>
              </w:rPr>
            </w:pPr>
            <w:r>
              <w:rPr>
                <w:rFonts w:hint="default" w:ascii="Times New Roman" w:hAnsi="Times New Roman" w:cs="Times New Roman"/>
                <w:bCs/>
                <w:snapToGrid w:val="0"/>
                <w:color w:val="auto"/>
                <w:sz w:val="24"/>
              </w:rPr>
              <w:t>2）废水环境风险防范</w:t>
            </w:r>
          </w:p>
          <w:p w14:paraId="7F0DF8ED">
            <w:pPr>
              <w:keepNext w:val="0"/>
              <w:keepLines w:val="0"/>
              <w:suppressLineNumbers w:val="0"/>
              <w:adjustRightInd w:val="0"/>
              <w:spacing w:before="0" w:beforeAutospacing="0" w:after="0" w:afterAutospacing="0" w:line="360" w:lineRule="auto"/>
              <w:ind w:left="0" w:right="0"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本项目生产废水为冷却循环水，不外排</w:t>
            </w:r>
            <w:r>
              <w:rPr>
                <w:rFonts w:hint="eastAsia" w:ascii="Times New Roman" w:eastAsia="宋体"/>
                <w:color w:val="auto"/>
                <w:sz w:val="24"/>
                <w:highlight w:val="none"/>
                <w:lang w:val="en-US" w:eastAsia="zh-CN"/>
              </w:rPr>
              <w:t>，对环境影响较小。建议企业加强</w:t>
            </w:r>
            <w:r>
              <w:rPr>
                <w:rFonts w:hint="eastAsia" w:cs="Times New Roman"/>
                <w:color w:val="auto"/>
                <w:sz w:val="24"/>
                <w:highlight w:val="none"/>
                <w:lang w:val="en-US" w:eastAsia="zh-CN"/>
              </w:rPr>
              <w:t>日常监管等，企业发生污染事故的可能性较小。</w:t>
            </w:r>
          </w:p>
          <w:p w14:paraId="0D901C3B">
            <w:pPr>
              <w:keepNext w:val="0"/>
              <w:keepLines w:val="0"/>
              <w:suppressLineNumbers w:val="0"/>
              <w:spacing w:before="0" w:beforeAutospacing="0" w:after="0" w:afterAutospacing="0" w:line="324" w:lineRule="auto"/>
              <w:ind w:left="0" w:right="0" w:firstLine="480" w:firstLineChars="200"/>
              <w:rPr>
                <w:rFonts w:hint="default" w:ascii="Times New Roman" w:hAnsi="Times New Roman" w:cs="Times New Roman"/>
                <w:bCs/>
                <w:snapToGrid w:val="0"/>
                <w:color w:val="auto"/>
                <w:sz w:val="24"/>
              </w:rPr>
            </w:pPr>
            <w:r>
              <w:rPr>
                <w:rFonts w:hint="default" w:ascii="Times New Roman" w:hAnsi="Times New Roman" w:cs="Times New Roman"/>
                <w:bCs/>
                <w:snapToGrid w:val="0"/>
                <w:color w:val="auto"/>
                <w:sz w:val="24"/>
              </w:rPr>
              <w:t>3）地下水环境风险防范</w:t>
            </w:r>
          </w:p>
          <w:p w14:paraId="06EB94DF">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jc w:val="left"/>
              <w:textAlignment w:val="auto"/>
              <w:rPr>
                <w:rFonts w:hint="default" w:ascii="宋体" w:hAnsi="Times New Roman" w:eastAsia="宋体" w:cs="宋体"/>
                <w:color w:val="auto"/>
                <w:kern w:val="0"/>
                <w:sz w:val="24"/>
              </w:rPr>
            </w:pPr>
            <w:r>
              <w:rPr>
                <w:rFonts w:hint="eastAsia" w:ascii="宋体" w:hAnsi="Times New Roman" w:eastAsia="宋体" w:cs="宋体"/>
                <w:color w:val="auto"/>
                <w:kern w:val="0"/>
                <w:sz w:val="24"/>
              </w:rPr>
              <w:t>为防止</w:t>
            </w:r>
            <w:r>
              <w:rPr>
                <w:rFonts w:hint="eastAsia" w:ascii="宋体" w:hAnsi="Times New Roman" w:eastAsia="宋体" w:cs="宋体"/>
                <w:color w:val="auto"/>
                <w:kern w:val="0"/>
                <w:sz w:val="24"/>
                <w:lang w:eastAsia="zh-CN"/>
              </w:rPr>
              <w:t>泄漏</w:t>
            </w:r>
            <w:r>
              <w:rPr>
                <w:rFonts w:hint="eastAsia" w:ascii="宋体" w:hAnsi="Times New Roman" w:eastAsia="宋体" w:cs="宋体"/>
                <w:color w:val="auto"/>
                <w:kern w:val="0"/>
                <w:sz w:val="24"/>
              </w:rPr>
              <w:t>事故造成土壤和地下水污染，除设置配套有效的收集、处置物资，以保证及时发现和有效处置外，企业还通过分区有效防渗，降低物料泄漏污染土壤和地下水的可能性。</w:t>
            </w:r>
          </w:p>
          <w:p w14:paraId="736FDB0E">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4）厂区收集设施说明</w:t>
            </w:r>
          </w:p>
          <w:p w14:paraId="2BECB5E4">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szCs w:val="24"/>
              </w:rPr>
              <w:t>厂区设置事故应急池，具备事故消防废水贮存硬件条件；车间、仓库、危废暂存间地面采取防渗硬化，危废暂存间设置围堰，可一定程度避免废水直接下渗土壤地下水。厂区配置消防灭火器、消火栓、烟感报警装置，可处置初期火灾，降低大规模燃烧，减少火灾伴生VOCs、消防废水产生量</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危废分区存放，降低危废起火泄漏风险。</w:t>
            </w:r>
            <w:r>
              <w:rPr>
                <w:rFonts w:hint="default" w:ascii="Times New Roman" w:hAnsi="Times New Roman" w:cs="Times New Roman"/>
                <w:color w:val="auto"/>
                <w:sz w:val="24"/>
                <w:highlight w:val="none"/>
              </w:rPr>
              <w:t>厂区配置移动式提升泵，用于将事故废水转运</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szCs w:val="24"/>
              </w:rPr>
              <w:t>厂区雨水总排口设置手动切断阀，事故发生后人工关闭，切断消防废水外排雨水系统通道；正常生产期间阀门处于开启状态。在事故处置及时、人员操作到位、应急物资充足的前提下，厂区现有风险防范措施基本满足环境风险防控要求，能够实现消防废水的收集暂存，避免事故废水直接外排外环境。</w:t>
            </w:r>
          </w:p>
          <w:p w14:paraId="026511A1">
            <w:pPr>
              <w:keepNext w:val="0"/>
              <w:keepLines w:val="0"/>
              <w:suppressLineNumbers w:val="0"/>
              <w:adjustRightInd w:val="0"/>
              <w:spacing w:before="0" w:beforeAutospacing="0" w:after="0" w:afterAutospacing="0" w:line="360" w:lineRule="auto"/>
              <w:ind w:left="0" w:right="0" w:firstLine="480" w:firstLineChars="200"/>
              <w:rPr>
                <w:rFonts w:hint="default"/>
                <w:bCs/>
                <w:color w:val="auto"/>
                <w:sz w:val="24"/>
                <w:highlight w:val="none"/>
              </w:rPr>
            </w:pP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6</w:t>
            </w:r>
            <w:r>
              <w:rPr>
                <w:rFonts w:hint="default" w:ascii="Times New Roman" w:hAnsi="Times New Roman" w:cs="Times New Roman"/>
                <w:color w:val="auto"/>
                <w:sz w:val="24"/>
                <w:highlight w:val="none"/>
              </w:rPr>
              <w:t>）突发性环境事故应急预案</w:t>
            </w:r>
            <w:r>
              <w:rPr>
                <w:rFonts w:hint="eastAsia" w:ascii="Times New Roman" w:hAnsi="Times New Roman" w:cs="Times New Roman"/>
                <w:color w:val="auto"/>
                <w:sz w:val="24"/>
                <w:highlight w:val="none"/>
                <w:lang w:val="en-US" w:eastAsia="zh-CN"/>
              </w:rPr>
              <w:t>要求</w:t>
            </w:r>
          </w:p>
          <w:p w14:paraId="702F4525">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①指导思想</w:t>
            </w:r>
          </w:p>
          <w:p w14:paraId="05FA8A4E">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为建立健全机构突发事件应急管理工作体制和机制，保证社会和人民生命财产安全，明确应急管理和应急处置工作的职责和程序，提高果断应对突发事件的组织指挥、快速处置、协同配合能力，最大程度地控制事态扩大，避免或减少人员伤亡、财产损失，切实保障人员生命和财产安全，特制定本机构“风险事故应急救援预案”（以下简称“预案”）。</w:t>
            </w:r>
          </w:p>
          <w:p w14:paraId="37AD8419">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②应急计划区</w:t>
            </w:r>
          </w:p>
          <w:p w14:paraId="585F8D10">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本项目的应急计划区为危废暂存间、</w:t>
            </w:r>
            <w:r>
              <w:rPr>
                <w:rFonts w:hint="eastAsia"/>
                <w:color w:val="auto"/>
                <w:sz w:val="24"/>
                <w:highlight w:val="none"/>
                <w:lang w:val="en-US" w:eastAsia="zh-CN"/>
              </w:rPr>
              <w:t>原料区</w:t>
            </w:r>
            <w:r>
              <w:rPr>
                <w:rFonts w:hint="default"/>
                <w:color w:val="auto"/>
                <w:sz w:val="24"/>
                <w:highlight w:val="none"/>
              </w:rPr>
              <w:t>等。</w:t>
            </w:r>
          </w:p>
          <w:p w14:paraId="7E9688F3">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③应急组织机构、人员</w:t>
            </w:r>
          </w:p>
          <w:p w14:paraId="68260CAF">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成立风险事故应急救援“指挥领导小组”，由</w:t>
            </w:r>
            <w:r>
              <w:rPr>
                <w:rFonts w:hint="eastAsia"/>
                <w:color w:val="auto"/>
                <w:sz w:val="24"/>
                <w:highlight w:val="none"/>
                <w:lang w:val="en-US" w:eastAsia="zh-CN"/>
              </w:rPr>
              <w:t>生产技术部门</w:t>
            </w:r>
            <w:r>
              <w:rPr>
                <w:rFonts w:hint="default"/>
                <w:color w:val="auto"/>
                <w:sz w:val="24"/>
                <w:highlight w:val="none"/>
              </w:rPr>
              <w:t>的领导组成，下设应急救援办公室。发生重大事故时，以指挥领导小组为基础，立即成立事故应急救援指挥部，</w:t>
            </w:r>
            <w:r>
              <w:rPr>
                <w:rFonts w:hint="eastAsia"/>
                <w:color w:val="auto"/>
                <w:sz w:val="24"/>
                <w:highlight w:val="none"/>
                <w:lang w:val="en-US" w:eastAsia="zh-CN"/>
              </w:rPr>
              <w:t>厂长</w:t>
            </w:r>
            <w:r>
              <w:rPr>
                <w:rFonts w:hint="default"/>
                <w:color w:val="auto"/>
                <w:sz w:val="24"/>
                <w:highlight w:val="none"/>
              </w:rPr>
              <w:t>任总指挥，</w:t>
            </w:r>
            <w:r>
              <w:rPr>
                <w:rFonts w:hint="eastAsia"/>
                <w:color w:val="auto"/>
                <w:sz w:val="24"/>
                <w:highlight w:val="none"/>
                <w:lang w:val="en-US" w:eastAsia="zh-CN"/>
              </w:rPr>
              <w:t>车间主任</w:t>
            </w:r>
            <w:r>
              <w:rPr>
                <w:rFonts w:hint="default"/>
                <w:color w:val="auto"/>
                <w:sz w:val="24"/>
                <w:highlight w:val="none"/>
              </w:rPr>
              <w:t>任副总指挥，负责全机构应急救援工作的组织和指挥。若</w:t>
            </w:r>
            <w:r>
              <w:rPr>
                <w:rFonts w:hint="eastAsia"/>
                <w:color w:val="auto"/>
                <w:sz w:val="24"/>
                <w:highlight w:val="none"/>
                <w:lang w:val="en-US" w:eastAsia="zh-CN"/>
              </w:rPr>
              <w:t>厂长</w:t>
            </w:r>
            <w:r>
              <w:rPr>
                <w:rFonts w:hint="default"/>
                <w:color w:val="auto"/>
                <w:sz w:val="24"/>
                <w:highlight w:val="none"/>
              </w:rPr>
              <w:t>和</w:t>
            </w:r>
            <w:r>
              <w:rPr>
                <w:rFonts w:hint="eastAsia"/>
                <w:color w:val="auto"/>
                <w:sz w:val="24"/>
                <w:highlight w:val="none"/>
                <w:lang w:val="en-US" w:eastAsia="zh-CN"/>
              </w:rPr>
              <w:t>车间主任</w:t>
            </w:r>
            <w:r>
              <w:rPr>
                <w:rFonts w:hint="default"/>
                <w:color w:val="auto"/>
                <w:sz w:val="24"/>
                <w:highlight w:val="none"/>
              </w:rPr>
              <w:t>不在时，由其</w:t>
            </w:r>
            <w:r>
              <w:rPr>
                <w:rFonts w:hint="eastAsia"/>
                <w:color w:val="auto"/>
                <w:sz w:val="24"/>
                <w:highlight w:val="none"/>
                <w:lang w:val="en-US" w:eastAsia="zh-CN"/>
              </w:rPr>
              <w:t>他</w:t>
            </w:r>
            <w:r>
              <w:rPr>
                <w:rFonts w:hint="default"/>
                <w:color w:val="auto"/>
                <w:sz w:val="24"/>
                <w:highlight w:val="none"/>
              </w:rPr>
              <w:t>部门负责人为临时总指挥，全权负责应急救援工作。</w:t>
            </w:r>
          </w:p>
          <w:p w14:paraId="5CE64879">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④预案分级响应条件</w:t>
            </w:r>
          </w:p>
          <w:p w14:paraId="60262E47">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原则上由</w:t>
            </w:r>
            <w:r>
              <w:rPr>
                <w:rFonts w:hint="eastAsia"/>
                <w:color w:val="auto"/>
                <w:sz w:val="24"/>
                <w:highlight w:val="none"/>
                <w:lang w:eastAsia="zh-CN"/>
              </w:rPr>
              <w:t>江西奋发科技有限公司</w:t>
            </w:r>
            <w:r>
              <w:rPr>
                <w:rFonts w:hint="default"/>
                <w:color w:val="auto"/>
                <w:sz w:val="24"/>
                <w:highlight w:val="none"/>
              </w:rPr>
              <w:t>解决生产过程中出现的风险事故。根据事故具体情况，</w:t>
            </w:r>
            <w:r>
              <w:rPr>
                <w:rFonts w:hint="eastAsia"/>
                <w:color w:val="auto"/>
                <w:sz w:val="24"/>
                <w:highlight w:val="none"/>
                <w:lang w:val="en-US" w:eastAsia="zh-CN"/>
              </w:rPr>
              <w:t>若</w:t>
            </w:r>
            <w:r>
              <w:rPr>
                <w:rFonts w:hint="default"/>
                <w:color w:val="auto"/>
                <w:sz w:val="24"/>
                <w:highlight w:val="none"/>
              </w:rPr>
              <w:t>无能力解决时，应及时向</w:t>
            </w:r>
            <w:r>
              <w:rPr>
                <w:rFonts w:hint="eastAsia"/>
                <w:color w:val="auto"/>
                <w:sz w:val="24"/>
                <w:highlight w:val="none"/>
              </w:rPr>
              <w:t>安义县</w:t>
            </w:r>
            <w:r>
              <w:rPr>
                <w:rFonts w:hint="default"/>
                <w:color w:val="auto"/>
                <w:sz w:val="24"/>
                <w:highlight w:val="none"/>
              </w:rPr>
              <w:t>人民政府、</w:t>
            </w:r>
            <w:r>
              <w:rPr>
                <w:rFonts w:hint="eastAsia"/>
                <w:color w:val="auto"/>
                <w:sz w:val="24"/>
                <w:highlight w:val="none"/>
              </w:rPr>
              <w:t>南昌市安义</w:t>
            </w:r>
            <w:r>
              <w:rPr>
                <w:rFonts w:hint="default"/>
                <w:color w:val="auto"/>
                <w:sz w:val="24"/>
                <w:highlight w:val="none"/>
              </w:rPr>
              <w:t>生态环境部门报告，请求指挥、处理。</w:t>
            </w:r>
          </w:p>
          <w:p w14:paraId="59C32EA5">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公司响应级别分为2级，即现场响应和机构响应。</w:t>
            </w:r>
          </w:p>
          <w:p w14:paraId="7BA8524F">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A、现场应急响应：当突发事件发生后，现场或第一发现人员立即按照现场处置措施进行处置，同时向部门负责人报告，并按照相关法律法规要求拨打报警电话。</w:t>
            </w:r>
          </w:p>
          <w:p w14:paraId="0CB5F9B0">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B、机构应急响应：突发事件发生部门接到报告后，立即进入应急状态。根据情况决定是否</w:t>
            </w:r>
            <w:r>
              <w:rPr>
                <w:rFonts w:hint="eastAsia"/>
                <w:color w:val="auto"/>
                <w:sz w:val="24"/>
                <w:highlight w:val="none"/>
                <w:lang w:val="en-US" w:eastAsia="zh-CN"/>
              </w:rPr>
              <w:t>启动</w:t>
            </w:r>
            <w:r>
              <w:rPr>
                <w:rFonts w:hint="default"/>
                <w:color w:val="auto"/>
                <w:sz w:val="24"/>
                <w:highlight w:val="none"/>
              </w:rPr>
              <w:t>专项应急预案，并立即报告应急指挥部办公室。应急指挥部办公室接到事发部门报告后，尽快核实基本情况，及时</w:t>
            </w:r>
            <w:r>
              <w:rPr>
                <w:rFonts w:hint="eastAsia"/>
                <w:color w:val="auto"/>
                <w:sz w:val="24"/>
                <w:highlight w:val="none"/>
                <w:lang w:val="en-US" w:eastAsia="zh-CN"/>
              </w:rPr>
              <w:t>作</w:t>
            </w:r>
            <w:r>
              <w:rPr>
                <w:rFonts w:hint="default"/>
                <w:color w:val="auto"/>
                <w:sz w:val="24"/>
                <w:highlight w:val="none"/>
              </w:rPr>
              <w:t>出判断，报应急指挥部指挥长。应急指挥办公室在上报的同时组织开展先期应急处置，及时上报处置情况。经应急指挥部授权后，启动相关应急预案。</w:t>
            </w:r>
          </w:p>
          <w:p w14:paraId="52B545CA">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⑤应急救援保障</w:t>
            </w:r>
          </w:p>
          <w:p w14:paraId="35937134">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A、通讯与信息保障</w:t>
            </w:r>
          </w:p>
          <w:p w14:paraId="29A9F782">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应急救援办公室实行24小时值班；有关部门的负责人和关键岗位的管理人员手机保持24小时通讯畅通。</w:t>
            </w:r>
          </w:p>
          <w:p w14:paraId="66939071">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B、物资保障</w:t>
            </w:r>
          </w:p>
          <w:p w14:paraId="1C727A75">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公司应配备压气式呼吸器、全身防护服、灭火器等物资，消防车依托</w:t>
            </w:r>
            <w:r>
              <w:rPr>
                <w:rFonts w:hint="eastAsia"/>
                <w:color w:val="auto"/>
                <w:sz w:val="24"/>
                <w:highlight w:val="none"/>
                <w:lang w:val="en-US" w:eastAsia="zh-CN"/>
              </w:rPr>
              <w:t>安义县</w:t>
            </w:r>
            <w:r>
              <w:rPr>
                <w:rFonts w:hint="default"/>
                <w:color w:val="auto"/>
                <w:sz w:val="24"/>
                <w:highlight w:val="none"/>
              </w:rPr>
              <w:t>消防队，医疗救护车、医务所依托</w:t>
            </w:r>
            <w:r>
              <w:rPr>
                <w:rFonts w:hint="eastAsia"/>
                <w:color w:val="auto"/>
                <w:sz w:val="24"/>
                <w:highlight w:val="none"/>
              </w:rPr>
              <w:t>安义县</w:t>
            </w:r>
            <w:r>
              <w:rPr>
                <w:rFonts w:hint="default"/>
                <w:color w:val="auto"/>
                <w:sz w:val="24"/>
                <w:highlight w:val="none"/>
              </w:rPr>
              <w:t>的医疗机构。</w:t>
            </w:r>
          </w:p>
          <w:p w14:paraId="4D899B3E">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⑥报警、通讯联络方式</w:t>
            </w:r>
          </w:p>
          <w:p w14:paraId="70449153">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一旦发生风险事故，必须及时报警和向有关部门报告。报警内容包括：事故发生时间、地点、化学危险物名称和泄漏量、事故原因、事故性质（外溢、爆炸、燃烧）、危害程度、对救援的要求以及报警人与联系电话等。由</w:t>
            </w:r>
            <w:r>
              <w:rPr>
                <w:rFonts w:hint="eastAsia"/>
                <w:color w:val="auto"/>
                <w:sz w:val="24"/>
                <w:highlight w:val="none"/>
                <w:lang w:eastAsia="zh-CN"/>
              </w:rPr>
              <w:t>江西奋发科技有限公司</w:t>
            </w:r>
            <w:r>
              <w:rPr>
                <w:rFonts w:hint="default"/>
                <w:color w:val="auto"/>
                <w:sz w:val="24"/>
                <w:highlight w:val="none"/>
              </w:rPr>
              <w:t>向上级和友邻单位发布救援请求、通报事故情况。</w:t>
            </w:r>
          </w:p>
          <w:p w14:paraId="286D5A5C">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⑦应急环境监测、抢救、救援及控制措施</w:t>
            </w:r>
          </w:p>
          <w:p w14:paraId="453F5F6F">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配合</w:t>
            </w:r>
            <w:r>
              <w:rPr>
                <w:rFonts w:hint="eastAsia"/>
                <w:color w:val="auto"/>
                <w:sz w:val="24"/>
                <w:highlight w:val="none"/>
              </w:rPr>
              <w:t>南昌</w:t>
            </w:r>
            <w:r>
              <w:rPr>
                <w:rFonts w:hint="default"/>
                <w:color w:val="auto"/>
                <w:sz w:val="24"/>
                <w:highlight w:val="none"/>
              </w:rPr>
              <w:t>市环境监测站负责对事故现场进行侦察监测，对事故性质、参数和后果进行评估，为事故应急救援指挥部提供决策依据。</w:t>
            </w:r>
          </w:p>
          <w:p w14:paraId="54801E8D">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应急监测小组得到信息后，监测人员携带应急监测设备赶赴现场，在尽能快的时间内查清：主要污染源和主要污染物的种类；污染物的浓度分布；污染影响范围及可能的危害。得出结论后及时报告有关部门，为事故应急救援指挥部提供决策依据。</w:t>
            </w:r>
          </w:p>
          <w:p w14:paraId="3A20D024">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⑧应急防护、消除泄漏措施</w:t>
            </w:r>
          </w:p>
          <w:p w14:paraId="7B18D0B7">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A、控制污染源。一旦发生泄漏，应尽快组织抢险队与技术人员一起及时堵漏，控制泄漏量。如泄漏无法堵住时，应将泄漏贮槽中的剩余料液泵至完好贮槽内贮存。</w:t>
            </w:r>
          </w:p>
          <w:p w14:paraId="565A074F">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B、进入泄漏区的工作人员应穿戴压气式呼吸器和全身防护服。</w:t>
            </w:r>
          </w:p>
          <w:p w14:paraId="446B04CC">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C、抢救受害人员。及时、有序、有效地实施现场急救与安全转送伤员，减少伤亡率，减轻事故损失。</w:t>
            </w:r>
          </w:p>
          <w:p w14:paraId="3B821296">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⑨周边区域的单位、社区人员疏散的方式、方法</w:t>
            </w:r>
          </w:p>
          <w:p w14:paraId="048A600E">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当事故危</w:t>
            </w:r>
            <w:r>
              <w:rPr>
                <w:rFonts w:hint="eastAsia"/>
                <w:color w:val="auto"/>
                <w:sz w:val="24"/>
                <w:highlight w:val="none"/>
                <w:lang w:val="en-US" w:eastAsia="zh-CN"/>
              </w:rPr>
              <w:t>及</w:t>
            </w:r>
            <w:r>
              <w:rPr>
                <w:rFonts w:hint="default"/>
                <w:color w:val="auto"/>
                <w:sz w:val="24"/>
                <w:highlight w:val="none"/>
              </w:rPr>
              <w:t>周边单位、小区时，由指挥部人员向政府以及周边单位书面发送警报。事态严重紧急时，通过指挥部直接联系政府以及周边单位负责人，由总指挥部亲自向政府或负责人发布消息，提出要求组织撤离疏散或者请求援助。在发布消息时，必须发布事态的缓急程度，提出撤离的具体方法和方式。撤离方式有步行和车辆运输两种。撤离方法中应明确应采取的预防措施、注意事项、撤离方向和撤离距离。撤离必须是有组织性的。</w:t>
            </w:r>
          </w:p>
          <w:p w14:paraId="04FA4601">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在风险事故可能对厂内外人群安全构成威胁时，必须在指挥部统一指挥下对与事故应急救援无关的人员进行紧急疏散。在最高建筑物上应设立“风向标”。总的原则是疏散安全点处于当时的上风向和侧风向。对可能威胁到周边居民和友邻单位人员安全时，指挥部应立即和</w:t>
            </w:r>
            <w:r>
              <w:rPr>
                <w:rFonts w:hint="eastAsia"/>
                <w:color w:val="auto"/>
                <w:sz w:val="24"/>
                <w:highlight w:val="none"/>
              </w:rPr>
              <w:t>安义县</w:t>
            </w:r>
            <w:r>
              <w:rPr>
                <w:rFonts w:hint="default"/>
                <w:color w:val="auto"/>
                <w:sz w:val="24"/>
                <w:highlight w:val="none"/>
              </w:rPr>
              <w:t>有关部门联系，引导居民迅速撤离到安全地点。</w:t>
            </w:r>
          </w:p>
          <w:p w14:paraId="6130710B">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⑩事故应急救援关闭程序与恢复措施</w:t>
            </w:r>
          </w:p>
          <w:p w14:paraId="60B07E70">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事故处理后，由应急救援指挥部发布应急救援停止命令，负责组织场区和周边受到影响区域的善后处理、恢复工作。</w:t>
            </w:r>
          </w:p>
          <w:p w14:paraId="6C97077B">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ascii="Cambria Math" w:hAnsi="Cambria Math" w:cs="Cambria Math"/>
                <w:color w:val="auto"/>
                <w:sz w:val="24"/>
                <w:highlight w:val="none"/>
              </w:rPr>
              <w:t>⑪</w:t>
            </w:r>
            <w:r>
              <w:rPr>
                <w:rFonts w:hint="default"/>
                <w:color w:val="auto"/>
                <w:sz w:val="24"/>
                <w:highlight w:val="none"/>
              </w:rPr>
              <w:t>应急培训计划</w:t>
            </w:r>
          </w:p>
          <w:p w14:paraId="7A0F30C5">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color w:val="auto"/>
                <w:sz w:val="24"/>
                <w:highlight w:val="none"/>
              </w:rPr>
              <w:t>加强各救援队伍的培训，指挥领导小组要从实际出发，针对危险目标可能发生的事故，每年至少组织一次模拟演习。把指挥机构和各救援队伍训练成一支思想好、技术精、作风硬的指挥班子和抢救队伍。一旦发生事故，指挥机构能正确指挥，各救援队伍能根据各自任务及时有效地排除险情、控制并消除事故、抢救伤员、做好应急救援工作。</w:t>
            </w:r>
          </w:p>
          <w:p w14:paraId="1F35BF62">
            <w:pPr>
              <w:keepNext w:val="0"/>
              <w:keepLines w:val="0"/>
              <w:suppressLineNumbers w:val="0"/>
              <w:adjustRightInd w:val="0"/>
              <w:spacing w:before="0" w:beforeAutospacing="0" w:after="0" w:afterAutospacing="0" w:line="360" w:lineRule="auto"/>
              <w:ind w:left="0" w:right="0" w:firstLine="480" w:firstLineChars="200"/>
              <w:contextualSpacing/>
              <w:rPr>
                <w:rFonts w:hint="default"/>
                <w:color w:val="auto"/>
                <w:sz w:val="24"/>
                <w:highlight w:val="none"/>
              </w:rPr>
            </w:pPr>
            <w:r>
              <w:rPr>
                <w:rFonts w:hint="default" w:ascii="Cambria Math" w:hAnsi="Cambria Math" w:cs="Cambria Math"/>
                <w:color w:val="auto"/>
                <w:sz w:val="24"/>
                <w:highlight w:val="none"/>
              </w:rPr>
              <w:t>⑫</w:t>
            </w:r>
            <w:r>
              <w:rPr>
                <w:rFonts w:hint="default"/>
                <w:color w:val="auto"/>
                <w:sz w:val="24"/>
                <w:highlight w:val="none"/>
              </w:rPr>
              <w:t>公众教育和信息</w:t>
            </w:r>
          </w:p>
          <w:p w14:paraId="5D7B3CB0">
            <w:pPr>
              <w:keepNext w:val="0"/>
              <w:keepLines w:val="0"/>
              <w:suppressLineNumbers w:val="0"/>
              <w:bidi w:val="0"/>
              <w:spacing w:before="0" w:beforeAutospacing="0" w:after="0" w:afterAutospacing="0"/>
              <w:ind w:left="0" w:right="0"/>
              <w:rPr>
                <w:rFonts w:hint="default"/>
                <w:color w:val="auto"/>
                <w:sz w:val="24"/>
                <w:highlight w:val="none"/>
              </w:rPr>
            </w:pPr>
            <w:r>
              <w:rPr>
                <w:rFonts w:hint="default"/>
                <w:color w:val="auto"/>
                <w:sz w:val="24"/>
                <w:highlight w:val="none"/>
              </w:rPr>
              <w:t>对附近的居民开展公众教育、培训和发布有关信息。</w:t>
            </w:r>
          </w:p>
          <w:p w14:paraId="72B9DD26">
            <w:pPr>
              <w:keepNext w:val="0"/>
              <w:keepLines w:val="0"/>
              <w:suppressLineNumbers w:val="0"/>
              <w:bidi w:val="0"/>
              <w:spacing w:before="0" w:beforeAutospacing="0" w:after="0" w:afterAutospacing="0"/>
              <w:ind w:left="0" w:right="0"/>
              <w:rPr>
                <w:rFonts w:hint="default"/>
                <w:b/>
                <w:bCs/>
                <w:color w:val="auto"/>
                <w:highlight w:val="none"/>
              </w:rPr>
            </w:pPr>
            <w:r>
              <w:rPr>
                <w:rFonts w:hint="eastAsia"/>
                <w:b/>
                <w:bCs/>
                <w:color w:val="auto"/>
                <w:highlight w:val="none"/>
                <w:lang w:val="en-US" w:eastAsia="zh-CN"/>
              </w:rPr>
              <w:t>7</w:t>
            </w:r>
            <w:r>
              <w:rPr>
                <w:rFonts w:hint="default"/>
                <w:b/>
                <w:bCs/>
                <w:color w:val="auto"/>
                <w:highlight w:val="none"/>
              </w:rPr>
              <w:t>、环境管理</w:t>
            </w:r>
          </w:p>
          <w:p w14:paraId="7A6D42A1">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建设项目环境保护管理是指工程在</w:t>
            </w:r>
            <w:r>
              <w:rPr>
                <w:rFonts w:hint="eastAsia"/>
                <w:color w:val="auto"/>
                <w:highlight w:val="none"/>
                <w:lang w:eastAsia="zh-CN"/>
              </w:rPr>
              <w:t>运营期</w:t>
            </w:r>
            <w:r>
              <w:rPr>
                <w:rFonts w:hint="default"/>
                <w:color w:val="auto"/>
                <w:highlight w:val="none"/>
              </w:rPr>
              <w:t>执行和遵守国家、省、市有关环境保护法律、法规、政策和标准，接受地方生态环境主管部门的环境监督，调整和制定环境保护规划和目标，把不利影响减免到最低限度，加强项目环境管理，及时调整工程运行方式和环境保护措施，最终达到保护环境的目的，取得更好的综合环境效益。</w:t>
            </w:r>
          </w:p>
          <w:p w14:paraId="365CA944">
            <w:pPr>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（1）</w:t>
            </w:r>
            <w:r>
              <w:rPr>
                <w:rFonts w:hint="default"/>
                <w:color w:val="auto"/>
                <w:highlight w:val="none"/>
              </w:rPr>
              <w:t>环境管理机构与人员</w:t>
            </w:r>
          </w:p>
          <w:p w14:paraId="3FC1F63A">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运营期环境管理</w:t>
            </w:r>
            <w:r>
              <w:rPr>
                <w:rFonts w:hint="eastAsia"/>
                <w:color w:val="auto"/>
                <w:highlight w:val="none"/>
                <w:lang w:val="en-US" w:eastAsia="zh-CN"/>
              </w:rPr>
              <w:t>主体</w:t>
            </w:r>
            <w:r>
              <w:rPr>
                <w:rFonts w:hint="default"/>
                <w:color w:val="auto"/>
                <w:highlight w:val="none"/>
              </w:rPr>
              <w:t>为</w:t>
            </w:r>
            <w:r>
              <w:rPr>
                <w:rFonts w:hint="eastAsia"/>
                <w:color w:val="auto"/>
                <w:highlight w:val="none"/>
                <w:lang w:val="en-US" w:eastAsia="zh-CN"/>
              </w:rPr>
              <w:t>江西奋发科技有限公司</w:t>
            </w:r>
            <w:r>
              <w:rPr>
                <w:rFonts w:hint="default"/>
                <w:color w:val="auto"/>
                <w:highlight w:val="none"/>
              </w:rPr>
              <w:t>，负责具体的环境管理和监测，环境监测可委托有资质的监测单位进行。</w:t>
            </w:r>
          </w:p>
          <w:p w14:paraId="7B3F4143">
            <w:pPr>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（2）</w:t>
            </w:r>
            <w:r>
              <w:rPr>
                <w:rFonts w:hint="default"/>
                <w:color w:val="auto"/>
                <w:highlight w:val="none"/>
              </w:rPr>
              <w:t>环境管理机构职责</w:t>
            </w:r>
          </w:p>
          <w:p w14:paraId="729C0AE1">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环境管理机构负责项目</w:t>
            </w:r>
            <w:r>
              <w:rPr>
                <w:rFonts w:hint="eastAsia"/>
                <w:color w:val="auto"/>
                <w:highlight w:val="none"/>
                <w:lang w:eastAsia="zh-CN"/>
              </w:rPr>
              <w:t>运营期</w:t>
            </w:r>
            <w:r>
              <w:rPr>
                <w:rFonts w:hint="default"/>
                <w:color w:val="auto"/>
                <w:highlight w:val="none"/>
              </w:rPr>
              <w:t>的环境管理与环境监测工作，主要职责：</w:t>
            </w:r>
          </w:p>
          <w:p w14:paraId="5000F7A7">
            <w:pPr>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1）</w:t>
            </w:r>
            <w:r>
              <w:rPr>
                <w:rFonts w:hint="default"/>
                <w:color w:val="auto"/>
                <w:highlight w:val="none"/>
              </w:rPr>
              <w:t>编制、提出该项目</w:t>
            </w:r>
            <w:r>
              <w:rPr>
                <w:rFonts w:hint="eastAsia"/>
                <w:color w:val="auto"/>
                <w:highlight w:val="none"/>
                <w:lang w:eastAsia="zh-CN"/>
              </w:rPr>
              <w:t>运营期</w:t>
            </w:r>
            <w:r>
              <w:rPr>
                <w:rFonts w:hint="default"/>
                <w:color w:val="auto"/>
                <w:highlight w:val="none"/>
              </w:rPr>
              <w:t>的短期环境保护计划及长远环境保护规划。</w:t>
            </w:r>
          </w:p>
          <w:p w14:paraId="0DD9590C">
            <w:pPr>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2）</w:t>
            </w:r>
            <w:r>
              <w:rPr>
                <w:rFonts w:hint="default"/>
                <w:color w:val="auto"/>
                <w:highlight w:val="none"/>
              </w:rPr>
              <w:t>贯彻落实国家和地方的环境保护法律、法规、政策和标准，直接接受生态环境主管部门的监督、领导，配合生态环境主管部门</w:t>
            </w:r>
            <w:r>
              <w:rPr>
                <w:rFonts w:hint="eastAsia"/>
                <w:color w:val="auto"/>
                <w:highlight w:val="none"/>
                <w:lang w:val="en-US" w:eastAsia="zh-CN"/>
              </w:rPr>
              <w:t>做</w:t>
            </w:r>
            <w:r>
              <w:rPr>
                <w:rFonts w:hint="default"/>
                <w:color w:val="auto"/>
                <w:highlight w:val="none"/>
              </w:rPr>
              <w:t>好环保工作。</w:t>
            </w:r>
          </w:p>
          <w:p w14:paraId="55CDBCCB">
            <w:pPr>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3）</w:t>
            </w:r>
            <w:r>
              <w:rPr>
                <w:rFonts w:hint="default"/>
                <w:color w:val="auto"/>
                <w:highlight w:val="none"/>
              </w:rPr>
              <w:t>领导并组织环境监测工作，制定和实施监测方案，定期向主管部门及生态环境主管部门上报。</w:t>
            </w:r>
          </w:p>
          <w:p w14:paraId="1D6FB3C8">
            <w:pPr>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4）</w:t>
            </w:r>
            <w:r>
              <w:rPr>
                <w:rFonts w:hint="default"/>
                <w:color w:val="auto"/>
                <w:highlight w:val="none"/>
              </w:rPr>
              <w:t>监督项目各排污口污染物排放情况，按《环境保护图形标志</w:t>
            </w:r>
            <w:r>
              <w:rPr>
                <w:rFonts w:hint="eastAsia"/>
                <w:color w:val="auto"/>
                <w:highlight w:val="none"/>
                <w:lang w:val="en-US" w:eastAsia="zh-CN"/>
              </w:rPr>
              <w:t>-</w:t>
            </w:r>
            <w:r>
              <w:rPr>
                <w:rFonts w:hint="default"/>
                <w:color w:val="auto"/>
                <w:highlight w:val="none"/>
              </w:rPr>
              <w:t>排放口（源）》（GB15562.1-1995）的图形，在各气、水、声排污口（源）挂牌标识，做到各排污口（源）的环保标志明显，便于企业管理和公众监督，确保污染物达到国家排放标准。</w:t>
            </w:r>
          </w:p>
          <w:p w14:paraId="4AFDB8AA">
            <w:pPr>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（3）</w:t>
            </w:r>
            <w:r>
              <w:rPr>
                <w:rFonts w:hint="default"/>
                <w:color w:val="auto"/>
                <w:highlight w:val="none"/>
              </w:rPr>
              <w:t>项目运营期的环境保护管理</w:t>
            </w:r>
          </w:p>
          <w:p w14:paraId="250F09C5">
            <w:pPr>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1）</w:t>
            </w:r>
            <w:r>
              <w:rPr>
                <w:rFonts w:hint="default"/>
                <w:color w:val="auto"/>
                <w:highlight w:val="none"/>
              </w:rPr>
              <w:t>根据国家环保政策、标准及环境监测要求，制定该项目</w:t>
            </w:r>
            <w:r>
              <w:rPr>
                <w:rFonts w:hint="eastAsia"/>
                <w:color w:val="auto"/>
                <w:highlight w:val="none"/>
                <w:lang w:eastAsia="zh-CN"/>
              </w:rPr>
              <w:t>运营期</w:t>
            </w:r>
            <w:r>
              <w:rPr>
                <w:rFonts w:hint="default"/>
                <w:color w:val="auto"/>
                <w:highlight w:val="none"/>
              </w:rPr>
              <w:t>环保管理规章制度、各种污染物排放控制指标；</w:t>
            </w:r>
          </w:p>
          <w:p w14:paraId="5C167306">
            <w:pPr>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2）</w:t>
            </w:r>
            <w:r>
              <w:rPr>
                <w:rFonts w:hint="default"/>
                <w:color w:val="auto"/>
                <w:highlight w:val="none"/>
              </w:rPr>
              <w:t>负责该项目内所有环保设施的日常运行管理，保障各环保设施的正常运行，并对环保设施的改进提出积极的建议；</w:t>
            </w:r>
          </w:p>
          <w:p w14:paraId="521E21F9">
            <w:pPr>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3）</w:t>
            </w:r>
            <w:r>
              <w:rPr>
                <w:rFonts w:hint="default"/>
                <w:color w:val="auto"/>
                <w:highlight w:val="none"/>
              </w:rPr>
              <w:t>负责该项目</w:t>
            </w:r>
            <w:r>
              <w:rPr>
                <w:rFonts w:hint="eastAsia"/>
                <w:color w:val="auto"/>
                <w:highlight w:val="none"/>
                <w:lang w:eastAsia="zh-CN"/>
              </w:rPr>
              <w:t>运营期</w:t>
            </w:r>
            <w:r>
              <w:rPr>
                <w:rFonts w:hint="default"/>
                <w:color w:val="auto"/>
                <w:highlight w:val="none"/>
              </w:rPr>
              <w:t>环境监测工作，及时掌握该项目污染状况，整理监测数据，建立污染源档案；</w:t>
            </w:r>
          </w:p>
          <w:p w14:paraId="1F5004B0">
            <w:pPr>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4）</w:t>
            </w:r>
            <w:r>
              <w:rPr>
                <w:rFonts w:hint="default"/>
                <w:color w:val="auto"/>
                <w:highlight w:val="none"/>
              </w:rPr>
              <w:t>负责对本单位职工和周边居民进行环保宣传工作。</w:t>
            </w:r>
          </w:p>
          <w:p w14:paraId="7D5D1279">
            <w:pPr>
              <w:keepNext w:val="0"/>
              <w:keepLines w:val="0"/>
              <w:suppressLineNumbers w:val="0"/>
              <w:bidi w:val="0"/>
              <w:spacing w:before="0" w:beforeAutospacing="0" w:after="0" w:afterAutospacing="0"/>
              <w:ind w:left="0" w:right="0"/>
              <w:rPr>
                <w:rFonts w:hint="default"/>
                <w:b/>
                <w:bCs/>
                <w:color w:val="auto"/>
                <w:highlight w:val="none"/>
                <w:lang w:val="en-US" w:eastAsia="zh-CN"/>
              </w:rPr>
            </w:pPr>
            <w:bookmarkStart w:id="21" w:name="_Toc396723244"/>
            <w:bookmarkStart w:id="22" w:name="_Toc22915"/>
            <w:bookmarkStart w:id="23" w:name="_Toc6156"/>
            <w:bookmarkStart w:id="24" w:name="_Toc655"/>
            <w:bookmarkStart w:id="25" w:name="_Toc337733282"/>
            <w:bookmarkStart w:id="26" w:name="_Toc8444"/>
            <w:bookmarkStart w:id="27" w:name="_Toc15128"/>
            <w:bookmarkStart w:id="28" w:name="_Toc17979"/>
            <w:bookmarkStart w:id="29" w:name="_Toc23293"/>
            <w:bookmarkStart w:id="30" w:name="_Toc320797716"/>
            <w:bookmarkStart w:id="31" w:name="_Toc24958"/>
            <w:bookmarkStart w:id="32" w:name="_Toc130"/>
            <w:bookmarkStart w:id="33" w:name="_Toc28728"/>
            <w:r>
              <w:rPr>
                <w:rFonts w:hint="eastAsia"/>
                <w:b/>
                <w:bCs/>
                <w:color w:val="auto"/>
                <w:highlight w:val="none"/>
                <w:lang w:val="en-US" w:eastAsia="zh-CN"/>
              </w:rPr>
              <w:t>8、</w:t>
            </w:r>
            <w:r>
              <w:rPr>
                <w:rFonts w:hint="default"/>
                <w:b/>
                <w:bCs/>
                <w:color w:val="auto"/>
                <w:highlight w:val="none"/>
                <w:lang w:val="en-US" w:eastAsia="zh-CN"/>
              </w:rPr>
              <w:t>排污口规范化要求</w:t>
            </w:r>
            <w:bookmarkEnd w:id="21"/>
            <w:bookmarkEnd w:id="22"/>
            <w:bookmarkEnd w:id="23"/>
            <w:bookmarkEnd w:id="24"/>
            <w:bookmarkEnd w:id="25"/>
            <w:bookmarkEnd w:id="26"/>
            <w:bookmarkEnd w:id="27"/>
            <w:bookmarkEnd w:id="28"/>
            <w:bookmarkEnd w:id="29"/>
            <w:bookmarkEnd w:id="30"/>
            <w:bookmarkEnd w:id="31"/>
            <w:bookmarkEnd w:id="32"/>
            <w:bookmarkEnd w:id="33"/>
          </w:p>
          <w:p w14:paraId="350233BE">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根据国家标准《环境保护图形标志-排放口（源）》和国家环保总局《排污口规范化整治要求（试行）》的技术要求，企业所有排放口，包括水、气、声、固体废物，必须按照</w:t>
            </w:r>
            <w:r>
              <w:rPr>
                <w:rFonts w:hint="eastAsia"/>
                <w:color w:val="auto"/>
                <w:highlight w:val="none"/>
                <w:lang w:eastAsia="zh-CN"/>
              </w:rPr>
              <w:t>“</w:t>
            </w:r>
            <w:r>
              <w:rPr>
                <w:rFonts w:hint="default"/>
                <w:color w:val="auto"/>
                <w:highlight w:val="none"/>
              </w:rPr>
              <w:t>便于计量监测、便于日常现场监督检查</w:t>
            </w:r>
            <w:r>
              <w:rPr>
                <w:rFonts w:hint="eastAsia"/>
                <w:color w:val="auto"/>
                <w:highlight w:val="none"/>
                <w:lang w:eastAsia="zh-CN"/>
              </w:rPr>
              <w:t>”</w:t>
            </w:r>
            <w:r>
              <w:rPr>
                <w:rFonts w:hint="default"/>
                <w:color w:val="auto"/>
                <w:highlight w:val="none"/>
              </w:rPr>
              <w:t>的原则和规范化要求，设置与之相适应的环境保护图形标志牌，绘制企业排污口分布图，同时对污水排放口安装流量计，对治理设施安装运行监控装置。排污口的规范化要符合</w:t>
            </w:r>
            <w:r>
              <w:rPr>
                <w:rFonts w:hint="eastAsia"/>
                <w:color w:val="auto"/>
                <w:highlight w:val="none"/>
                <w:lang w:val="en-US" w:eastAsia="zh-CN"/>
              </w:rPr>
              <w:t>生态环境</w:t>
            </w:r>
            <w:r>
              <w:rPr>
                <w:rFonts w:hint="default"/>
                <w:color w:val="auto"/>
                <w:highlight w:val="none"/>
              </w:rPr>
              <w:t>部门的有关要求。</w:t>
            </w:r>
          </w:p>
          <w:p w14:paraId="1C0F71E2">
            <w:pPr>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default"/>
                <w:color w:val="auto"/>
                <w:highlight w:val="none"/>
              </w:rPr>
              <w:t>排放口整治要求</w:t>
            </w:r>
          </w:p>
          <w:p w14:paraId="210F89D4">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废水排污口、废气排气筒应设置便于采样、监测</w:t>
            </w:r>
            <w:r>
              <w:rPr>
                <w:rFonts w:hint="eastAsia"/>
                <w:color w:val="auto"/>
                <w:highlight w:val="none"/>
                <w:lang w:eastAsia="zh-CN"/>
              </w:rPr>
              <w:t>，</w:t>
            </w:r>
            <w:r>
              <w:rPr>
                <w:rFonts w:hint="default"/>
                <w:color w:val="auto"/>
                <w:highlight w:val="none"/>
              </w:rPr>
              <w:t>并符合《污染源监测技术规范》要求的采样口和采样平台，无法满足《规范》要求的应由环境监测部门确认采样口位置。对无组织排放的有毒有害气体，应加装引风装置，进行收集、处理，并设置采样点。固体废物贮存、堆放场整治要求。一般固体废物应设置专用贮存、堆放场地。有毒有害固体废物等废物应设置有防扬散、防流失、防渗漏等防治措施的专用堆放场所。在厂界噪声敏感处按《污染源监测技术规范》设置该噪声源的监测点。具体要求如下：</w:t>
            </w:r>
          </w:p>
          <w:p w14:paraId="339FB3DE">
            <w:pPr>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1）</w:t>
            </w:r>
            <w:r>
              <w:rPr>
                <w:rFonts w:hint="default"/>
                <w:color w:val="auto"/>
                <w:highlight w:val="none"/>
              </w:rPr>
              <w:t>废水排放口</w:t>
            </w:r>
          </w:p>
          <w:p w14:paraId="5985166B">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项目污水管网必须满足相应规范要求。本项目需在厂内污水排放口处设置总闸，以防止项目事故废水对区域水体造成较大的影响。</w:t>
            </w:r>
          </w:p>
          <w:p w14:paraId="036C8003">
            <w:pPr>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2）</w:t>
            </w:r>
            <w:r>
              <w:rPr>
                <w:rFonts w:hint="default"/>
                <w:color w:val="auto"/>
                <w:highlight w:val="none"/>
              </w:rPr>
              <w:t>废气排放口</w:t>
            </w:r>
          </w:p>
          <w:p w14:paraId="7190975C">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废气排放口必须符合规定的高度和按《污染源监测技术规范》便于采样、监测的要求，设置直径不小于75mm的采样口。如无法满足要求的，其采样口与环境监测部门共同确认。</w:t>
            </w:r>
          </w:p>
          <w:p w14:paraId="45059C23">
            <w:pPr>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3）</w:t>
            </w:r>
            <w:r>
              <w:rPr>
                <w:rFonts w:hint="default"/>
                <w:color w:val="auto"/>
                <w:highlight w:val="none"/>
              </w:rPr>
              <w:t>固定噪声源</w:t>
            </w:r>
          </w:p>
          <w:p w14:paraId="6BC9A553">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按规定对固定噪声源进行治理，并在边界噪声敏感点，且对外界影响最大处设置标志牌。</w:t>
            </w:r>
          </w:p>
          <w:p w14:paraId="03B882FA">
            <w:pPr>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4）</w:t>
            </w:r>
            <w:r>
              <w:rPr>
                <w:rFonts w:hint="default"/>
                <w:color w:val="auto"/>
                <w:highlight w:val="none"/>
              </w:rPr>
              <w:t>固体废物储存场</w:t>
            </w:r>
          </w:p>
          <w:p w14:paraId="4786B251">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固体废物应采取防止二次扬尘措施，废物的堆存场必须设置专用堆放场地，有防扬散、防流失、防渗漏等措施。</w:t>
            </w:r>
          </w:p>
          <w:p w14:paraId="4B645247">
            <w:pPr>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default"/>
                <w:color w:val="auto"/>
                <w:highlight w:val="none"/>
              </w:rPr>
              <w:t>排放口立标、建档要求</w:t>
            </w:r>
          </w:p>
          <w:p w14:paraId="2AB01B8B">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1）排放口立标要求</w:t>
            </w:r>
          </w:p>
          <w:p w14:paraId="4EAFFC95">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污染物排放口（源）及固体废物贮存、堆放场必须按照国家标准《环境保护图形标志》</w:t>
            </w:r>
            <w:r>
              <w:rPr>
                <w:rFonts w:hint="eastAsia"/>
                <w:color w:val="auto"/>
                <w:highlight w:val="none"/>
                <w:lang w:eastAsia="zh-CN"/>
              </w:rPr>
              <w:t>（</w:t>
            </w:r>
            <w:r>
              <w:rPr>
                <w:rFonts w:hint="default"/>
                <w:color w:val="auto"/>
                <w:highlight w:val="none"/>
              </w:rPr>
              <w:t>GB15562.1-1995</w:t>
            </w:r>
            <w:r>
              <w:rPr>
                <w:rFonts w:hint="eastAsia"/>
                <w:color w:val="auto"/>
                <w:highlight w:val="none"/>
                <w:lang w:eastAsia="zh-CN"/>
              </w:rPr>
              <w:t>）</w:t>
            </w:r>
            <w:r>
              <w:rPr>
                <w:rFonts w:hint="default"/>
                <w:color w:val="auto"/>
                <w:highlight w:val="none"/>
              </w:rPr>
              <w:t>的规定设置与之相适应的环境保护图形标志牌。环境保护图形标志牌设置位置应距污染物排放口（源）、固体废物贮存</w:t>
            </w:r>
            <w:r>
              <w:rPr>
                <w:rFonts w:hint="eastAsia"/>
                <w:color w:val="auto"/>
                <w:highlight w:val="none"/>
                <w:lang w:eastAsia="zh-CN"/>
              </w:rPr>
              <w:t>（</w:t>
            </w:r>
            <w:r>
              <w:rPr>
                <w:rFonts w:hint="default"/>
                <w:color w:val="auto"/>
                <w:highlight w:val="none"/>
              </w:rPr>
              <w:t>堆放</w:t>
            </w:r>
            <w:r>
              <w:rPr>
                <w:rFonts w:hint="eastAsia"/>
                <w:color w:val="auto"/>
                <w:highlight w:val="none"/>
                <w:lang w:eastAsia="zh-CN"/>
              </w:rPr>
              <w:t>）</w:t>
            </w:r>
            <w:r>
              <w:rPr>
                <w:rFonts w:hint="default"/>
                <w:color w:val="auto"/>
                <w:highlight w:val="none"/>
              </w:rPr>
              <w:t>场或采样点较近且醒目处，并能长久保留。一般污染物排放口（源）、固体废物贮存（堆放）场设置提示性环境保护图形标志牌；危险废物贮存（堆放）场应设置警告性环境保护图形标志牌。</w:t>
            </w:r>
          </w:p>
          <w:p w14:paraId="0BAB2E3A">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2）排放口建档要求</w:t>
            </w:r>
          </w:p>
          <w:p w14:paraId="18363106">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建设单位应使用环保部门签发的《中华人民共和国规范化排放口登记证》并按要求认真填写。登记证与标志牌配套使用，根据登记证的内容建立排放口管理档案，包括排污单位名称、排污口性质及编号、排污口地理位置、排放主要污染物种类、数量、浓度、排污去向、立标情况、处理设施运行情况及整改意见等。</w:t>
            </w:r>
          </w:p>
          <w:p w14:paraId="23F65285">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水、气、声、固排污口（源）挂牌标识</w:t>
            </w:r>
            <w:r>
              <w:rPr>
                <w:rFonts w:hint="eastAsia"/>
                <w:color w:val="auto"/>
                <w:highlight w:val="none"/>
                <w:lang w:val="en-US" w:eastAsia="zh-CN"/>
              </w:rPr>
              <w:t>见</w:t>
            </w:r>
            <w:r>
              <w:rPr>
                <w:rFonts w:hint="default"/>
                <w:color w:val="auto"/>
                <w:highlight w:val="none"/>
                <w:lang w:val="en-US" w:eastAsia="zh-CN"/>
              </w:rPr>
              <w:t>表</w:t>
            </w:r>
            <w:r>
              <w:rPr>
                <w:rFonts w:hint="eastAsia"/>
                <w:color w:val="auto"/>
                <w:highlight w:val="none"/>
                <w:lang w:val="en-US" w:eastAsia="zh-CN"/>
              </w:rPr>
              <w:t>4-20</w:t>
            </w:r>
            <w:r>
              <w:rPr>
                <w:rFonts w:hint="default"/>
                <w:color w:val="auto"/>
                <w:highlight w:val="none"/>
                <w:lang w:val="en-US" w:eastAsia="zh-CN"/>
              </w:rPr>
              <w:t>。</w:t>
            </w:r>
          </w:p>
          <w:p w14:paraId="798F63E3">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default"/>
                <w:b/>
                <w:bCs/>
                <w:color w:val="auto"/>
                <w:highlight w:val="none"/>
                <w:lang w:val="en-US" w:eastAsia="zh-CN"/>
              </w:rPr>
              <w:t>表</w:t>
            </w:r>
            <w:r>
              <w:rPr>
                <w:rFonts w:hint="eastAsia"/>
                <w:b/>
                <w:bCs/>
                <w:color w:val="auto"/>
                <w:highlight w:val="none"/>
                <w:lang w:val="en-US" w:eastAsia="zh-CN"/>
              </w:rPr>
              <w:t>4-20</w:t>
            </w:r>
            <w:r>
              <w:rPr>
                <w:rFonts w:hint="default"/>
                <w:b/>
                <w:bCs/>
                <w:color w:val="auto"/>
                <w:highlight w:val="none"/>
                <w:lang w:val="en-US" w:eastAsia="zh-CN"/>
              </w:rPr>
              <w:t xml:space="preserve"> </w:t>
            </w:r>
            <w:r>
              <w:rPr>
                <w:rFonts w:hint="eastAsia"/>
                <w:b/>
                <w:bCs/>
                <w:color w:val="auto"/>
                <w:highlight w:val="none"/>
                <w:lang w:val="en-US" w:eastAsia="zh-CN"/>
              </w:rPr>
              <w:t xml:space="preserve">  </w:t>
            </w:r>
            <w:r>
              <w:rPr>
                <w:rFonts w:hint="default"/>
                <w:b/>
                <w:bCs/>
                <w:color w:val="auto"/>
                <w:highlight w:val="none"/>
                <w:lang w:val="en-US" w:eastAsia="zh-CN"/>
              </w:rPr>
              <w:t>环境保护图形符号一览表</w:t>
            </w:r>
          </w:p>
          <w:tbl>
            <w:tblPr>
              <w:tblStyle w:val="32"/>
              <w:tblW w:w="846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0"/>
              <w:gridCol w:w="1881"/>
              <w:gridCol w:w="1702"/>
              <w:gridCol w:w="1605"/>
              <w:gridCol w:w="2608"/>
            </w:tblGrid>
            <w:tr w14:paraId="06A89D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0" w:type="dxa"/>
                  <w:tcBorders>
                    <w:bottom w:val="single" w:color="auto" w:sz="12" w:space="0"/>
                  </w:tcBorders>
                  <w:vAlign w:val="center"/>
                </w:tcPr>
                <w:p w14:paraId="5C6B7DCF">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default"/>
                      <w:b/>
                      <w:bCs/>
                      <w:color w:val="auto"/>
                      <w:highlight w:val="none"/>
                      <w:lang w:val="en-US" w:eastAsia="zh-CN"/>
                    </w:rPr>
                    <w:t>序号</w:t>
                  </w:r>
                </w:p>
              </w:tc>
              <w:tc>
                <w:tcPr>
                  <w:tcW w:w="1881" w:type="dxa"/>
                  <w:tcBorders>
                    <w:bottom w:val="single" w:color="auto" w:sz="12" w:space="0"/>
                  </w:tcBorders>
                  <w:vAlign w:val="center"/>
                </w:tcPr>
                <w:p w14:paraId="507F81DC">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default"/>
                      <w:b/>
                      <w:bCs/>
                      <w:color w:val="auto"/>
                      <w:highlight w:val="none"/>
                      <w:lang w:val="en-US" w:eastAsia="zh-CN"/>
                    </w:rPr>
                    <w:t>提示图形符号</w:t>
                  </w:r>
                </w:p>
              </w:tc>
              <w:tc>
                <w:tcPr>
                  <w:tcW w:w="1702" w:type="dxa"/>
                  <w:tcBorders>
                    <w:bottom w:val="single" w:color="auto" w:sz="12" w:space="0"/>
                  </w:tcBorders>
                  <w:vAlign w:val="center"/>
                </w:tcPr>
                <w:p w14:paraId="097AC50C">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default"/>
                      <w:b/>
                      <w:bCs/>
                      <w:color w:val="auto"/>
                      <w:highlight w:val="none"/>
                      <w:lang w:val="en-US" w:eastAsia="zh-CN"/>
                    </w:rPr>
                    <w:t>警告图形符号</w:t>
                  </w:r>
                </w:p>
              </w:tc>
              <w:tc>
                <w:tcPr>
                  <w:tcW w:w="1605" w:type="dxa"/>
                  <w:tcBorders>
                    <w:bottom w:val="single" w:color="auto" w:sz="12" w:space="0"/>
                  </w:tcBorders>
                  <w:vAlign w:val="center"/>
                </w:tcPr>
                <w:p w14:paraId="1D8F0E54">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default"/>
                      <w:b/>
                      <w:bCs/>
                      <w:color w:val="auto"/>
                      <w:highlight w:val="none"/>
                      <w:lang w:val="en-US" w:eastAsia="zh-CN"/>
                    </w:rPr>
                    <w:t>名称</w:t>
                  </w:r>
                </w:p>
              </w:tc>
              <w:tc>
                <w:tcPr>
                  <w:tcW w:w="2608" w:type="dxa"/>
                  <w:tcBorders>
                    <w:bottom w:val="single" w:color="auto" w:sz="12" w:space="0"/>
                  </w:tcBorders>
                  <w:vAlign w:val="center"/>
                </w:tcPr>
                <w:p w14:paraId="0FFD16F5">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default"/>
                      <w:b/>
                      <w:bCs/>
                      <w:color w:val="auto"/>
                      <w:highlight w:val="none"/>
                      <w:lang w:val="en-US" w:eastAsia="zh-CN"/>
                    </w:rPr>
                    <w:t>功能</w:t>
                  </w:r>
                </w:p>
              </w:tc>
            </w:tr>
            <w:tr w14:paraId="186970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670" w:type="dxa"/>
                  <w:tcBorders>
                    <w:top w:val="single" w:color="auto" w:sz="12" w:space="0"/>
                  </w:tcBorders>
                  <w:vAlign w:val="center"/>
                </w:tcPr>
                <w:p w14:paraId="2269DDB2">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1</w:t>
                  </w:r>
                </w:p>
              </w:tc>
              <w:tc>
                <w:tcPr>
                  <w:tcW w:w="1881" w:type="dxa"/>
                  <w:tcBorders>
                    <w:top w:val="single" w:color="auto" w:sz="12" w:space="0"/>
                  </w:tcBorders>
                  <w:vAlign w:val="center"/>
                </w:tcPr>
                <w:p w14:paraId="743EF2D2">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ascii="Times New Roman" w:hAnsi="Times New Roman" w:cs="Times New Roman"/>
                      <w:color w:val="auto"/>
                      <w:szCs w:val="21"/>
                      <w:highlight w:val="none"/>
                    </w:rPr>
                    <w:drawing>
                      <wp:inline distT="0" distB="0" distL="114300" distR="114300">
                        <wp:extent cx="570230" cy="627380"/>
                        <wp:effectExtent l="0" t="0" r="1270" b="1270"/>
                        <wp:docPr id="59" name="图片 37" descr="废水排放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7" descr="废水排放口"/>
                                <pic:cNvPicPr>
                                  <a:picLocks noChangeAspect="1"/>
                                </pic:cNvPicPr>
                              </pic:nvPicPr>
                              <pic:blipFill>
                                <a:blip r:embed="rId37"/>
                                <a:srcRect l="4222" t="4598" r="3296" b="27591"/>
                                <a:stretch>
                                  <a:fillRect/>
                                </a:stretch>
                              </pic:blipFill>
                              <pic:spPr>
                                <a:xfrm>
                                  <a:off x="0" y="0"/>
                                  <a:ext cx="570230" cy="627380"/>
                                </a:xfrm>
                                <a:prstGeom prst="rect">
                                  <a:avLst/>
                                </a:prstGeom>
                                <a:noFill/>
                                <a:ln>
                                  <a:noFill/>
                                </a:ln>
                              </pic:spPr>
                            </pic:pic>
                          </a:graphicData>
                        </a:graphic>
                      </wp:inline>
                    </w:drawing>
                  </w:r>
                </w:p>
              </w:tc>
              <w:tc>
                <w:tcPr>
                  <w:tcW w:w="1702" w:type="dxa"/>
                  <w:tcBorders>
                    <w:top w:val="single" w:color="auto" w:sz="12" w:space="0"/>
                  </w:tcBorders>
                  <w:vAlign w:val="center"/>
                </w:tcPr>
                <w:p w14:paraId="6B12B222">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drawing>
                      <wp:inline distT="0" distB="0" distL="114300" distR="114300">
                        <wp:extent cx="666750" cy="628650"/>
                        <wp:effectExtent l="0" t="0" r="0" b="0"/>
                        <wp:docPr id="37" name="图片 49"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49" descr="未标题-2"/>
                                <pic:cNvPicPr>
                                  <a:picLocks noChangeAspect="1"/>
                                </pic:cNvPicPr>
                              </pic:nvPicPr>
                              <pic:blipFill>
                                <a:blip r:embed="rId38"/>
                                <a:stretch>
                                  <a:fillRect/>
                                </a:stretch>
                              </pic:blipFill>
                              <pic:spPr>
                                <a:xfrm>
                                  <a:off x="0" y="0"/>
                                  <a:ext cx="666750" cy="628650"/>
                                </a:xfrm>
                                <a:prstGeom prst="rect">
                                  <a:avLst/>
                                </a:prstGeom>
                                <a:noFill/>
                                <a:ln>
                                  <a:noFill/>
                                </a:ln>
                              </pic:spPr>
                            </pic:pic>
                          </a:graphicData>
                        </a:graphic>
                      </wp:inline>
                    </w:drawing>
                  </w:r>
                </w:p>
              </w:tc>
              <w:tc>
                <w:tcPr>
                  <w:tcW w:w="1605" w:type="dxa"/>
                  <w:tcBorders>
                    <w:top w:val="single" w:color="auto" w:sz="12" w:space="0"/>
                  </w:tcBorders>
                  <w:vAlign w:val="center"/>
                </w:tcPr>
                <w:p w14:paraId="300B7C65">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废水排放口</w:t>
                  </w:r>
                </w:p>
              </w:tc>
              <w:tc>
                <w:tcPr>
                  <w:tcW w:w="2608" w:type="dxa"/>
                  <w:tcBorders>
                    <w:top w:val="single" w:color="auto" w:sz="12" w:space="0"/>
                  </w:tcBorders>
                  <w:vAlign w:val="center"/>
                </w:tcPr>
                <w:p w14:paraId="3C9AE545">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表示废水向水体排放</w:t>
                  </w:r>
                </w:p>
              </w:tc>
            </w:tr>
            <w:tr w14:paraId="20928D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0" w:type="dxa"/>
                  <w:vAlign w:val="center"/>
                </w:tcPr>
                <w:p w14:paraId="5F41695A">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2</w:t>
                  </w:r>
                </w:p>
              </w:tc>
              <w:tc>
                <w:tcPr>
                  <w:tcW w:w="1881" w:type="dxa"/>
                  <w:vAlign w:val="center"/>
                </w:tcPr>
                <w:p w14:paraId="55649518">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ascii="Times New Roman" w:hAnsi="Times New Roman" w:cs="Times New Roman"/>
                      <w:color w:val="auto"/>
                      <w:szCs w:val="21"/>
                      <w:highlight w:val="none"/>
                    </w:rPr>
                    <w:drawing>
                      <wp:inline distT="0" distB="0" distL="114300" distR="114300">
                        <wp:extent cx="638175" cy="648335"/>
                        <wp:effectExtent l="0" t="0" r="9525" b="18415"/>
                        <wp:docPr id="64" name="图片 33" descr="13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33" descr="13003"/>
                                <pic:cNvPicPr>
                                  <a:picLocks noChangeAspect="1"/>
                                </pic:cNvPicPr>
                              </pic:nvPicPr>
                              <pic:blipFill>
                                <a:blip r:embed="rId39"/>
                                <a:stretch>
                                  <a:fillRect/>
                                </a:stretch>
                              </pic:blipFill>
                              <pic:spPr>
                                <a:xfrm>
                                  <a:off x="0" y="0"/>
                                  <a:ext cx="638175" cy="648335"/>
                                </a:xfrm>
                                <a:prstGeom prst="rect">
                                  <a:avLst/>
                                </a:prstGeom>
                                <a:noFill/>
                                <a:ln>
                                  <a:noFill/>
                                </a:ln>
                              </pic:spPr>
                            </pic:pic>
                          </a:graphicData>
                        </a:graphic>
                      </wp:inline>
                    </w:drawing>
                  </w:r>
                </w:p>
              </w:tc>
              <w:tc>
                <w:tcPr>
                  <w:tcW w:w="1702" w:type="dxa"/>
                  <w:vAlign w:val="center"/>
                </w:tcPr>
                <w:p w14:paraId="0F4CB26B">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ascii="Times New Roman" w:hAnsi="Times New Roman" w:cs="Times New Roman"/>
                      <w:color w:val="auto"/>
                      <w:szCs w:val="21"/>
                      <w:highlight w:val="none"/>
                    </w:rPr>
                    <w:drawing>
                      <wp:inline distT="0" distB="0" distL="114300" distR="114300">
                        <wp:extent cx="676275" cy="676275"/>
                        <wp:effectExtent l="0" t="0" r="9525" b="9525"/>
                        <wp:docPr id="55" name="图片 3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34" descr="4"/>
                                <pic:cNvPicPr>
                                  <a:picLocks noChangeAspect="1"/>
                                </pic:cNvPicPr>
                              </pic:nvPicPr>
                              <pic:blipFill>
                                <a:blip r:embed="rId40"/>
                                <a:stretch>
                                  <a:fillRect/>
                                </a:stretch>
                              </pic:blipFill>
                              <pic:spPr>
                                <a:xfrm>
                                  <a:off x="0" y="0"/>
                                  <a:ext cx="676275" cy="676275"/>
                                </a:xfrm>
                                <a:prstGeom prst="rect">
                                  <a:avLst/>
                                </a:prstGeom>
                                <a:noFill/>
                                <a:ln>
                                  <a:noFill/>
                                </a:ln>
                              </pic:spPr>
                            </pic:pic>
                          </a:graphicData>
                        </a:graphic>
                      </wp:inline>
                    </w:drawing>
                  </w:r>
                </w:p>
              </w:tc>
              <w:tc>
                <w:tcPr>
                  <w:tcW w:w="1605" w:type="dxa"/>
                  <w:vAlign w:val="center"/>
                </w:tcPr>
                <w:p w14:paraId="5145EDFF">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废气排放口</w:t>
                  </w:r>
                </w:p>
              </w:tc>
              <w:tc>
                <w:tcPr>
                  <w:tcW w:w="2608" w:type="dxa"/>
                  <w:vAlign w:val="center"/>
                </w:tcPr>
                <w:p w14:paraId="1906C387">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表示废气向大气环境排放</w:t>
                  </w:r>
                </w:p>
              </w:tc>
            </w:tr>
            <w:tr w14:paraId="5C7D5C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0" w:type="dxa"/>
                  <w:vAlign w:val="center"/>
                </w:tcPr>
                <w:p w14:paraId="51314639">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3</w:t>
                  </w:r>
                </w:p>
              </w:tc>
              <w:tc>
                <w:tcPr>
                  <w:tcW w:w="1881" w:type="dxa"/>
                  <w:vAlign w:val="center"/>
                </w:tcPr>
                <w:p w14:paraId="26A744B1">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ascii="Times New Roman" w:hAnsi="Times New Roman" w:cs="Times New Roman"/>
                      <w:color w:val="auto"/>
                      <w:szCs w:val="21"/>
                      <w:highlight w:val="none"/>
                    </w:rPr>
                    <w:drawing>
                      <wp:inline distT="0" distB="0" distL="114300" distR="114300">
                        <wp:extent cx="619760" cy="629285"/>
                        <wp:effectExtent l="0" t="0" r="8890" b="18415"/>
                        <wp:docPr id="62" name="图片 35" descr="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5" descr="14001"/>
                                <pic:cNvPicPr>
                                  <a:picLocks noChangeAspect="1"/>
                                </pic:cNvPicPr>
                              </pic:nvPicPr>
                              <pic:blipFill>
                                <a:blip r:embed="rId41"/>
                                <a:stretch>
                                  <a:fillRect/>
                                </a:stretch>
                              </pic:blipFill>
                              <pic:spPr>
                                <a:xfrm>
                                  <a:off x="0" y="0"/>
                                  <a:ext cx="619760" cy="629285"/>
                                </a:xfrm>
                                <a:prstGeom prst="rect">
                                  <a:avLst/>
                                </a:prstGeom>
                                <a:noFill/>
                                <a:ln>
                                  <a:noFill/>
                                </a:ln>
                              </pic:spPr>
                            </pic:pic>
                          </a:graphicData>
                        </a:graphic>
                      </wp:inline>
                    </w:drawing>
                  </w:r>
                </w:p>
              </w:tc>
              <w:tc>
                <w:tcPr>
                  <w:tcW w:w="1702" w:type="dxa"/>
                  <w:vAlign w:val="center"/>
                </w:tcPr>
                <w:p w14:paraId="55C99683">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ascii="Times New Roman" w:hAnsi="Times New Roman" w:cs="Times New Roman"/>
                      <w:color w:val="auto"/>
                      <w:szCs w:val="21"/>
                      <w:highlight w:val="none"/>
                    </w:rPr>
                    <w:drawing>
                      <wp:inline distT="0" distB="0" distL="114300" distR="114300">
                        <wp:extent cx="695325" cy="657225"/>
                        <wp:effectExtent l="0" t="0" r="9525" b="9525"/>
                        <wp:docPr id="57" name="图片 36" descr="14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36" descr="14002"/>
                                <pic:cNvPicPr>
                                  <a:picLocks noChangeAspect="1"/>
                                </pic:cNvPicPr>
                              </pic:nvPicPr>
                              <pic:blipFill>
                                <a:blip r:embed="rId42"/>
                                <a:stretch>
                                  <a:fillRect/>
                                </a:stretch>
                              </pic:blipFill>
                              <pic:spPr>
                                <a:xfrm>
                                  <a:off x="0" y="0"/>
                                  <a:ext cx="695325" cy="657225"/>
                                </a:xfrm>
                                <a:prstGeom prst="rect">
                                  <a:avLst/>
                                </a:prstGeom>
                                <a:noFill/>
                                <a:ln>
                                  <a:noFill/>
                                </a:ln>
                              </pic:spPr>
                            </pic:pic>
                          </a:graphicData>
                        </a:graphic>
                      </wp:inline>
                    </w:drawing>
                  </w:r>
                </w:p>
              </w:tc>
              <w:tc>
                <w:tcPr>
                  <w:tcW w:w="1605" w:type="dxa"/>
                  <w:vAlign w:val="center"/>
                </w:tcPr>
                <w:p w14:paraId="25DAFB48">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一般固体废物</w:t>
                  </w:r>
                </w:p>
              </w:tc>
              <w:tc>
                <w:tcPr>
                  <w:tcW w:w="2608" w:type="dxa"/>
                  <w:vAlign w:val="center"/>
                </w:tcPr>
                <w:p w14:paraId="628DF393">
                  <w:pPr>
                    <w:pStyle w:val="6"/>
                    <w:keepNext w:val="0"/>
                    <w:keepLines w:val="0"/>
                    <w:suppressLineNumbers w:val="0"/>
                    <w:bidi w:val="0"/>
                    <w:spacing w:before="0" w:beforeAutospacing="0" w:after="0" w:afterAutospacing="0"/>
                    <w:ind w:right="0"/>
                    <w:jc w:val="both"/>
                    <w:rPr>
                      <w:rFonts w:hint="default"/>
                      <w:color w:val="auto"/>
                      <w:highlight w:val="none"/>
                      <w:lang w:val="en-US" w:eastAsia="zh-CN"/>
                    </w:rPr>
                  </w:pPr>
                  <w:r>
                    <w:rPr>
                      <w:rFonts w:hint="default"/>
                      <w:color w:val="auto"/>
                      <w:highlight w:val="none"/>
                      <w:lang w:val="en-US" w:eastAsia="zh-CN"/>
                    </w:rPr>
                    <w:t>表示一般固体废物贮存、处置场</w:t>
                  </w:r>
                </w:p>
              </w:tc>
            </w:tr>
            <w:tr w14:paraId="01BA59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0" w:type="dxa"/>
                  <w:vAlign w:val="center"/>
                </w:tcPr>
                <w:p w14:paraId="0B4791EF">
                  <w:pPr>
                    <w:pStyle w:val="6"/>
                    <w:keepNext w:val="0"/>
                    <w:keepLines w:val="0"/>
                    <w:suppressLineNumbers w:val="0"/>
                    <w:bidi w:val="0"/>
                    <w:spacing w:before="0" w:beforeAutospacing="0" w:after="0" w:afterAutospacing="0"/>
                    <w:ind w:right="0"/>
                    <w:rPr>
                      <w:rFonts w:hint="eastAsia"/>
                      <w:color w:val="auto"/>
                      <w:highlight w:val="none"/>
                      <w:lang w:val="en-US" w:eastAsia="zh-CN"/>
                    </w:rPr>
                  </w:pPr>
                  <w:r>
                    <w:rPr>
                      <w:rFonts w:hint="eastAsia"/>
                      <w:color w:val="auto"/>
                      <w:highlight w:val="none"/>
                      <w:lang w:val="en-US" w:eastAsia="zh-CN"/>
                    </w:rPr>
                    <w:t>4</w:t>
                  </w:r>
                </w:p>
              </w:tc>
              <w:tc>
                <w:tcPr>
                  <w:tcW w:w="1881" w:type="dxa"/>
                  <w:vAlign w:val="center"/>
                </w:tcPr>
                <w:p w14:paraId="1BDA69FF">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ascii="Times New Roman" w:hAnsi="Times New Roman" w:cs="Times New Roman"/>
                      <w:color w:val="auto"/>
                      <w:szCs w:val="21"/>
                      <w:highlight w:val="none"/>
                    </w:rPr>
                    <w:drawing>
                      <wp:inline distT="0" distB="0" distL="114300" distR="114300">
                        <wp:extent cx="619760" cy="629285"/>
                        <wp:effectExtent l="0" t="0" r="8890" b="18415"/>
                        <wp:docPr id="63" name="图片 35" descr="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35" descr="14001"/>
                                <pic:cNvPicPr>
                                  <a:picLocks noChangeAspect="1"/>
                                </pic:cNvPicPr>
                              </pic:nvPicPr>
                              <pic:blipFill>
                                <a:blip r:embed="rId41"/>
                                <a:stretch>
                                  <a:fillRect/>
                                </a:stretch>
                              </pic:blipFill>
                              <pic:spPr>
                                <a:xfrm>
                                  <a:off x="0" y="0"/>
                                  <a:ext cx="619760" cy="629285"/>
                                </a:xfrm>
                                <a:prstGeom prst="rect">
                                  <a:avLst/>
                                </a:prstGeom>
                                <a:noFill/>
                                <a:ln>
                                  <a:noFill/>
                                </a:ln>
                              </pic:spPr>
                            </pic:pic>
                          </a:graphicData>
                        </a:graphic>
                      </wp:inline>
                    </w:drawing>
                  </w:r>
                </w:p>
              </w:tc>
              <w:tc>
                <w:tcPr>
                  <w:tcW w:w="1702" w:type="dxa"/>
                  <w:vAlign w:val="center"/>
                </w:tcPr>
                <w:p w14:paraId="27738DB6">
                  <w:pPr>
                    <w:pStyle w:val="6"/>
                    <w:keepNext w:val="0"/>
                    <w:keepLines w:val="0"/>
                    <w:suppressLineNumbers w:val="0"/>
                    <w:bidi w:val="0"/>
                    <w:spacing w:before="0" w:beforeAutospacing="0" w:after="0" w:afterAutospacing="0"/>
                    <w:ind w:right="0"/>
                    <w:rPr>
                      <w:rFonts w:hint="eastAsia"/>
                      <w:color w:val="auto"/>
                      <w:highlight w:val="none"/>
                      <w:lang w:val="en-US" w:eastAsia="zh-CN"/>
                    </w:rPr>
                  </w:pPr>
                  <w:r>
                    <w:rPr>
                      <w:rFonts w:hint="default"/>
                      <w:color w:val="auto"/>
                    </w:rPr>
                    <w:drawing>
                      <wp:inline distT="0" distB="0" distL="114300" distR="114300">
                        <wp:extent cx="726440" cy="648970"/>
                        <wp:effectExtent l="0" t="0" r="5080" b="6350"/>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pic:cNvPicPr>
                                  <a:picLocks noChangeAspect="1"/>
                                </pic:cNvPicPr>
                              </pic:nvPicPr>
                              <pic:blipFill>
                                <a:blip r:embed="rId43"/>
                                <a:srcRect r="2778" b="4626"/>
                                <a:stretch>
                                  <a:fillRect/>
                                </a:stretch>
                              </pic:blipFill>
                              <pic:spPr>
                                <a:xfrm>
                                  <a:off x="0" y="0"/>
                                  <a:ext cx="726440" cy="648970"/>
                                </a:xfrm>
                                <a:prstGeom prst="rect">
                                  <a:avLst/>
                                </a:prstGeom>
                                <a:noFill/>
                                <a:ln>
                                  <a:noFill/>
                                </a:ln>
                              </pic:spPr>
                            </pic:pic>
                          </a:graphicData>
                        </a:graphic>
                      </wp:inline>
                    </w:drawing>
                  </w:r>
                </w:p>
              </w:tc>
              <w:tc>
                <w:tcPr>
                  <w:tcW w:w="1605" w:type="dxa"/>
                  <w:vAlign w:val="center"/>
                </w:tcPr>
                <w:p w14:paraId="73F1F8A2">
                  <w:pPr>
                    <w:pStyle w:val="6"/>
                    <w:keepNext w:val="0"/>
                    <w:keepLines w:val="0"/>
                    <w:suppressLineNumbers w:val="0"/>
                    <w:bidi w:val="0"/>
                    <w:spacing w:before="0" w:beforeAutospacing="0" w:after="0" w:afterAutospacing="0"/>
                    <w:ind w:right="0"/>
                    <w:rPr>
                      <w:rFonts w:hint="eastAsia"/>
                      <w:color w:val="auto"/>
                      <w:highlight w:val="none"/>
                      <w:lang w:val="en-US" w:eastAsia="zh-CN"/>
                    </w:rPr>
                  </w:pPr>
                  <w:r>
                    <w:rPr>
                      <w:rFonts w:hint="eastAsia"/>
                      <w:color w:val="auto"/>
                      <w:highlight w:val="none"/>
                      <w:lang w:val="en-US" w:eastAsia="zh-CN"/>
                    </w:rPr>
                    <w:t>危险废物</w:t>
                  </w:r>
                </w:p>
              </w:tc>
              <w:tc>
                <w:tcPr>
                  <w:tcW w:w="2608" w:type="dxa"/>
                  <w:vAlign w:val="center"/>
                </w:tcPr>
                <w:p w14:paraId="6859E181">
                  <w:pPr>
                    <w:pStyle w:val="6"/>
                    <w:keepNext w:val="0"/>
                    <w:keepLines w:val="0"/>
                    <w:suppressLineNumbers w:val="0"/>
                    <w:bidi w:val="0"/>
                    <w:spacing w:before="0" w:beforeAutospacing="0" w:after="0" w:afterAutospacing="0"/>
                    <w:ind w:right="0"/>
                    <w:jc w:val="both"/>
                    <w:rPr>
                      <w:rFonts w:hint="default"/>
                      <w:color w:val="auto"/>
                      <w:highlight w:val="none"/>
                      <w:lang w:val="en-US" w:eastAsia="zh-CN"/>
                    </w:rPr>
                  </w:pPr>
                  <w:r>
                    <w:rPr>
                      <w:rFonts w:hint="default"/>
                      <w:color w:val="auto"/>
                      <w:highlight w:val="none"/>
                      <w:lang w:val="en-US" w:eastAsia="zh-CN"/>
                    </w:rPr>
                    <w:t>表示</w:t>
                  </w:r>
                  <w:r>
                    <w:rPr>
                      <w:rFonts w:hint="eastAsia"/>
                      <w:color w:val="auto"/>
                      <w:highlight w:val="none"/>
                      <w:lang w:val="en-US" w:eastAsia="zh-CN"/>
                    </w:rPr>
                    <w:t>危险废物</w:t>
                  </w:r>
                  <w:r>
                    <w:rPr>
                      <w:rFonts w:hint="default"/>
                      <w:color w:val="auto"/>
                      <w:highlight w:val="none"/>
                      <w:lang w:val="en-US" w:eastAsia="zh-CN"/>
                    </w:rPr>
                    <w:t>贮存、处置场</w:t>
                  </w:r>
                </w:p>
              </w:tc>
            </w:tr>
            <w:tr w14:paraId="1DB719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0" w:type="dxa"/>
                  <w:vAlign w:val="center"/>
                </w:tcPr>
                <w:p w14:paraId="3CD3A395">
                  <w:pPr>
                    <w:pStyle w:val="6"/>
                    <w:keepNext w:val="0"/>
                    <w:keepLines w:val="0"/>
                    <w:suppressLineNumbers w:val="0"/>
                    <w:bidi w:val="0"/>
                    <w:spacing w:before="0" w:beforeAutospacing="0" w:after="0" w:afterAutospacing="0"/>
                    <w:ind w:right="0"/>
                    <w:rPr>
                      <w:rFonts w:hint="eastAsia"/>
                      <w:color w:val="auto"/>
                      <w:highlight w:val="none"/>
                      <w:lang w:val="en-US" w:eastAsia="zh-CN"/>
                    </w:rPr>
                  </w:pPr>
                  <w:r>
                    <w:rPr>
                      <w:rFonts w:hint="eastAsia"/>
                      <w:color w:val="auto"/>
                      <w:highlight w:val="none"/>
                      <w:lang w:val="en-US" w:eastAsia="zh-CN"/>
                    </w:rPr>
                    <w:t>5</w:t>
                  </w:r>
                </w:p>
              </w:tc>
              <w:tc>
                <w:tcPr>
                  <w:tcW w:w="1881" w:type="dxa"/>
                  <w:vAlign w:val="center"/>
                </w:tcPr>
                <w:p w14:paraId="4C37706A">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drawing>
                      <wp:inline distT="0" distB="0" distL="114300" distR="114300">
                        <wp:extent cx="600075" cy="638175"/>
                        <wp:effectExtent l="0" t="0" r="9525" b="9525"/>
                        <wp:docPr id="56" name="图片 54" descr="未标题-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4" descr="未标题-7"/>
                                <pic:cNvPicPr>
                                  <a:picLocks noChangeAspect="1"/>
                                </pic:cNvPicPr>
                              </pic:nvPicPr>
                              <pic:blipFill>
                                <a:blip r:embed="rId44"/>
                                <a:stretch>
                                  <a:fillRect/>
                                </a:stretch>
                              </pic:blipFill>
                              <pic:spPr>
                                <a:xfrm>
                                  <a:off x="0" y="0"/>
                                  <a:ext cx="600075" cy="638175"/>
                                </a:xfrm>
                                <a:prstGeom prst="rect">
                                  <a:avLst/>
                                </a:prstGeom>
                                <a:noFill/>
                                <a:ln>
                                  <a:noFill/>
                                </a:ln>
                              </pic:spPr>
                            </pic:pic>
                          </a:graphicData>
                        </a:graphic>
                      </wp:inline>
                    </w:drawing>
                  </w:r>
                </w:p>
              </w:tc>
              <w:tc>
                <w:tcPr>
                  <w:tcW w:w="1702" w:type="dxa"/>
                  <w:vAlign w:val="center"/>
                </w:tcPr>
                <w:p w14:paraId="525E43BD">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drawing>
                      <wp:inline distT="0" distB="0" distL="114300" distR="114300">
                        <wp:extent cx="695325" cy="628650"/>
                        <wp:effectExtent l="0" t="0" r="9525" b="0"/>
                        <wp:docPr id="58" name="图片 55" descr="未标题-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5" descr="未标题-8"/>
                                <pic:cNvPicPr>
                                  <a:picLocks noChangeAspect="1"/>
                                </pic:cNvPicPr>
                              </pic:nvPicPr>
                              <pic:blipFill>
                                <a:blip r:embed="rId45"/>
                                <a:stretch>
                                  <a:fillRect/>
                                </a:stretch>
                              </pic:blipFill>
                              <pic:spPr>
                                <a:xfrm>
                                  <a:off x="0" y="0"/>
                                  <a:ext cx="695325" cy="628650"/>
                                </a:xfrm>
                                <a:prstGeom prst="rect">
                                  <a:avLst/>
                                </a:prstGeom>
                                <a:noFill/>
                                <a:ln>
                                  <a:noFill/>
                                </a:ln>
                              </pic:spPr>
                            </pic:pic>
                          </a:graphicData>
                        </a:graphic>
                      </wp:inline>
                    </w:drawing>
                  </w:r>
                </w:p>
              </w:tc>
              <w:tc>
                <w:tcPr>
                  <w:tcW w:w="1605" w:type="dxa"/>
                  <w:vAlign w:val="center"/>
                </w:tcPr>
                <w:p w14:paraId="0093F768">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噪声排放源</w:t>
                  </w:r>
                </w:p>
              </w:tc>
              <w:tc>
                <w:tcPr>
                  <w:tcW w:w="2608" w:type="dxa"/>
                  <w:vAlign w:val="center"/>
                </w:tcPr>
                <w:p w14:paraId="6485677A">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表示噪声向外环境排放</w:t>
                  </w:r>
                </w:p>
              </w:tc>
            </w:tr>
          </w:tbl>
          <w:p w14:paraId="51DE0F90">
            <w:pPr>
              <w:pStyle w:val="6"/>
              <w:keepNext w:val="0"/>
              <w:keepLines w:val="0"/>
              <w:suppressLineNumbers w:val="0"/>
              <w:bidi w:val="0"/>
              <w:spacing w:before="0" w:beforeAutospacing="0" w:after="0" w:afterAutospacing="0"/>
              <w:ind w:right="0"/>
              <w:rPr>
                <w:rFonts w:hint="default"/>
                <w:b/>
                <w:bCs/>
                <w:color w:val="auto"/>
                <w:highlight w:val="none"/>
              </w:rPr>
            </w:pPr>
            <w:bookmarkStart w:id="34" w:name="_Ref515821956"/>
            <w:r>
              <w:rPr>
                <w:rFonts w:hint="default"/>
                <w:b/>
                <w:bCs/>
                <w:color w:val="auto"/>
                <w:highlight w:val="none"/>
              </w:rPr>
              <w:t>表</w:t>
            </w:r>
            <w:bookmarkEnd w:id="34"/>
            <w:r>
              <w:rPr>
                <w:rFonts w:hint="eastAsia"/>
                <w:b/>
                <w:bCs/>
                <w:color w:val="auto"/>
                <w:highlight w:val="none"/>
                <w:lang w:val="en-US" w:eastAsia="zh-CN"/>
              </w:rPr>
              <w:t>4-21</w:t>
            </w:r>
            <w:r>
              <w:rPr>
                <w:rFonts w:hint="default"/>
                <w:b/>
                <w:bCs/>
                <w:color w:val="auto"/>
                <w:highlight w:val="none"/>
              </w:rPr>
              <w:t xml:space="preserve"> </w:t>
            </w:r>
            <w:r>
              <w:rPr>
                <w:rFonts w:hint="eastAsia"/>
                <w:b/>
                <w:bCs/>
                <w:color w:val="auto"/>
                <w:highlight w:val="none"/>
                <w:lang w:val="en-US" w:eastAsia="zh-CN"/>
              </w:rPr>
              <w:t xml:space="preserve">  </w:t>
            </w:r>
            <w:r>
              <w:rPr>
                <w:rFonts w:hint="default"/>
                <w:b/>
                <w:bCs/>
                <w:color w:val="auto"/>
                <w:highlight w:val="none"/>
              </w:rPr>
              <w:t>环境保护图形标志的形状及颜色表</w:t>
            </w:r>
          </w:p>
          <w:tbl>
            <w:tblPr>
              <w:tblStyle w:val="32"/>
              <w:tblW w:w="8466"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162"/>
              <w:gridCol w:w="2162"/>
              <w:gridCol w:w="2163"/>
              <w:gridCol w:w="1979"/>
            </w:tblGrid>
            <w:tr w14:paraId="450D728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0" w:hRule="atLeast"/>
              </w:trPr>
              <w:tc>
                <w:tcPr>
                  <w:tcW w:w="2162" w:type="dxa"/>
                  <w:tcBorders>
                    <w:bottom w:val="single" w:color="auto" w:sz="12" w:space="0"/>
                  </w:tcBorders>
                  <w:vAlign w:val="center"/>
                </w:tcPr>
                <w:p w14:paraId="1E487210">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default"/>
                      <w:b/>
                      <w:bCs/>
                      <w:color w:val="auto"/>
                      <w:highlight w:val="none"/>
                      <w:lang w:val="en-US" w:eastAsia="zh-CN"/>
                    </w:rPr>
                    <w:t>标志名称</w:t>
                  </w:r>
                </w:p>
              </w:tc>
              <w:tc>
                <w:tcPr>
                  <w:tcW w:w="2162" w:type="dxa"/>
                  <w:tcBorders>
                    <w:bottom w:val="single" w:color="auto" w:sz="12" w:space="0"/>
                  </w:tcBorders>
                  <w:vAlign w:val="center"/>
                </w:tcPr>
                <w:p w14:paraId="4652E72D">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default"/>
                      <w:b/>
                      <w:bCs/>
                      <w:color w:val="auto"/>
                      <w:highlight w:val="none"/>
                      <w:lang w:val="en-US" w:eastAsia="zh-CN"/>
                    </w:rPr>
                    <w:t>形状</w:t>
                  </w:r>
                </w:p>
              </w:tc>
              <w:tc>
                <w:tcPr>
                  <w:tcW w:w="2163" w:type="dxa"/>
                  <w:tcBorders>
                    <w:bottom w:val="single" w:color="auto" w:sz="12" w:space="0"/>
                  </w:tcBorders>
                  <w:vAlign w:val="center"/>
                </w:tcPr>
                <w:p w14:paraId="687E7DE4">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default"/>
                      <w:b/>
                      <w:bCs/>
                      <w:color w:val="auto"/>
                      <w:highlight w:val="none"/>
                      <w:lang w:val="en-US" w:eastAsia="zh-CN"/>
                    </w:rPr>
                    <w:t>背景颜色</w:t>
                  </w:r>
                </w:p>
              </w:tc>
              <w:tc>
                <w:tcPr>
                  <w:tcW w:w="1979" w:type="dxa"/>
                  <w:tcBorders>
                    <w:bottom w:val="single" w:color="auto" w:sz="12" w:space="0"/>
                  </w:tcBorders>
                  <w:vAlign w:val="center"/>
                </w:tcPr>
                <w:p w14:paraId="781E850A">
                  <w:pPr>
                    <w:pStyle w:val="6"/>
                    <w:keepNext w:val="0"/>
                    <w:keepLines w:val="0"/>
                    <w:suppressLineNumbers w:val="0"/>
                    <w:bidi w:val="0"/>
                    <w:spacing w:before="0" w:beforeAutospacing="0" w:after="0" w:afterAutospacing="0"/>
                    <w:ind w:right="0"/>
                    <w:rPr>
                      <w:rFonts w:hint="default"/>
                      <w:b/>
                      <w:bCs/>
                      <w:color w:val="auto"/>
                      <w:highlight w:val="none"/>
                      <w:lang w:val="en-US" w:eastAsia="zh-CN"/>
                    </w:rPr>
                  </w:pPr>
                  <w:r>
                    <w:rPr>
                      <w:rFonts w:hint="default"/>
                      <w:b/>
                      <w:bCs/>
                      <w:color w:val="auto"/>
                      <w:highlight w:val="none"/>
                      <w:lang w:val="en-US" w:eastAsia="zh-CN"/>
                    </w:rPr>
                    <w:t>图形颜色</w:t>
                  </w:r>
                </w:p>
              </w:tc>
            </w:tr>
            <w:tr w14:paraId="1C089F0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0" w:hRule="atLeast"/>
              </w:trPr>
              <w:tc>
                <w:tcPr>
                  <w:tcW w:w="2162" w:type="dxa"/>
                  <w:tcBorders>
                    <w:top w:val="single" w:color="auto" w:sz="12" w:space="0"/>
                  </w:tcBorders>
                  <w:vAlign w:val="center"/>
                </w:tcPr>
                <w:p w14:paraId="39FB8FB3">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警告标志</w:t>
                  </w:r>
                </w:p>
              </w:tc>
              <w:tc>
                <w:tcPr>
                  <w:tcW w:w="2162" w:type="dxa"/>
                  <w:tcBorders>
                    <w:top w:val="single" w:color="auto" w:sz="12" w:space="0"/>
                  </w:tcBorders>
                  <w:vAlign w:val="center"/>
                </w:tcPr>
                <w:p w14:paraId="097A98E5">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三角形边框</w:t>
                  </w:r>
                </w:p>
              </w:tc>
              <w:tc>
                <w:tcPr>
                  <w:tcW w:w="2163" w:type="dxa"/>
                  <w:tcBorders>
                    <w:top w:val="single" w:color="auto" w:sz="12" w:space="0"/>
                  </w:tcBorders>
                  <w:vAlign w:val="center"/>
                </w:tcPr>
                <w:p w14:paraId="5A56D948">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黄色</w:t>
                  </w:r>
                </w:p>
              </w:tc>
              <w:tc>
                <w:tcPr>
                  <w:tcW w:w="1979" w:type="dxa"/>
                  <w:tcBorders>
                    <w:top w:val="single" w:color="auto" w:sz="12" w:space="0"/>
                  </w:tcBorders>
                  <w:vAlign w:val="center"/>
                </w:tcPr>
                <w:p w14:paraId="5C9B6E19">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黑色</w:t>
                  </w:r>
                </w:p>
              </w:tc>
            </w:tr>
            <w:tr w14:paraId="3BD5899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0" w:hRule="atLeast"/>
              </w:trPr>
              <w:tc>
                <w:tcPr>
                  <w:tcW w:w="2162" w:type="dxa"/>
                  <w:vAlign w:val="center"/>
                </w:tcPr>
                <w:p w14:paraId="7E33E48A">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提示标志</w:t>
                  </w:r>
                </w:p>
              </w:tc>
              <w:tc>
                <w:tcPr>
                  <w:tcW w:w="2162" w:type="dxa"/>
                  <w:vAlign w:val="center"/>
                </w:tcPr>
                <w:p w14:paraId="5FCD2145">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正方形边框</w:t>
                  </w:r>
                </w:p>
              </w:tc>
              <w:tc>
                <w:tcPr>
                  <w:tcW w:w="2163" w:type="dxa"/>
                  <w:vAlign w:val="center"/>
                </w:tcPr>
                <w:p w14:paraId="032C8D92">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绿色</w:t>
                  </w:r>
                </w:p>
              </w:tc>
              <w:tc>
                <w:tcPr>
                  <w:tcW w:w="1979" w:type="dxa"/>
                  <w:vAlign w:val="center"/>
                </w:tcPr>
                <w:p w14:paraId="3875B022">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lang w:val="en-US" w:eastAsia="zh-CN"/>
                    </w:rPr>
                    <w:t>白色</w:t>
                  </w:r>
                </w:p>
              </w:tc>
            </w:tr>
          </w:tbl>
          <w:p w14:paraId="7407B8B1">
            <w:pPr>
              <w:keepNext w:val="0"/>
              <w:keepLines w:val="0"/>
              <w:suppressLineNumbers w:val="0"/>
              <w:spacing w:before="0" w:beforeAutospacing="0" w:after="0" w:afterAutospacing="0" w:line="360" w:lineRule="auto"/>
              <w:ind w:left="0" w:right="0" w:firstLine="482" w:firstLineChars="200"/>
              <w:rPr>
                <w:rFonts w:hint="default"/>
                <w:b/>
                <w:color w:val="auto"/>
                <w:sz w:val="24"/>
                <w:highlight w:val="none"/>
                <w:lang w:val="en-GB"/>
              </w:rPr>
            </w:pPr>
            <w:r>
              <w:rPr>
                <w:rFonts w:hint="eastAsia"/>
                <w:b/>
                <w:color w:val="auto"/>
                <w:sz w:val="24"/>
                <w:highlight w:val="none"/>
                <w:lang w:val="en-US" w:eastAsia="zh-CN"/>
              </w:rPr>
              <w:t>9</w:t>
            </w:r>
            <w:r>
              <w:rPr>
                <w:rFonts w:hint="eastAsia"/>
                <w:b/>
                <w:color w:val="auto"/>
                <w:sz w:val="24"/>
                <w:highlight w:val="none"/>
              </w:rPr>
              <w:t>、</w:t>
            </w:r>
            <w:r>
              <w:rPr>
                <w:rFonts w:hint="default"/>
                <w:b/>
                <w:color w:val="auto"/>
                <w:sz w:val="24"/>
                <w:highlight w:val="none"/>
                <w:lang w:val="en-GB"/>
              </w:rPr>
              <w:t>环保设备和投资估算</w:t>
            </w:r>
          </w:p>
          <w:p w14:paraId="0F1ABC9D">
            <w:pPr>
              <w:pStyle w:val="136"/>
              <w:keepNext w:val="0"/>
              <w:keepLines w:val="0"/>
              <w:suppressLineNumbers w:val="0"/>
              <w:spacing w:before="0" w:beforeAutospacing="0" w:after="0" w:afterAutospacing="0"/>
              <w:ind w:left="0" w:right="0" w:firstLine="480"/>
              <w:rPr>
                <w:rFonts w:hint="default"/>
                <w:color w:val="auto"/>
                <w:highlight w:val="none"/>
                <w:lang w:val="en-GB"/>
              </w:rPr>
            </w:pPr>
            <w:r>
              <w:rPr>
                <w:rFonts w:hint="eastAsia"/>
                <w:color w:val="auto"/>
                <w:highlight w:val="none"/>
              </w:rPr>
              <w:t>项目环保投资主要用于废气、废水、固体废物及噪声治理。本项目总投资额</w:t>
            </w:r>
            <w:r>
              <w:rPr>
                <w:rFonts w:hint="eastAsia"/>
                <w:color w:val="auto"/>
                <w:highlight w:val="none"/>
                <w:lang w:val="en-US" w:eastAsia="zh-CN"/>
              </w:rPr>
              <w:t>5000</w:t>
            </w:r>
            <w:r>
              <w:rPr>
                <w:rFonts w:hint="eastAsia"/>
                <w:color w:val="auto"/>
                <w:highlight w:val="none"/>
              </w:rPr>
              <w:t>万元，其中环保投资</w:t>
            </w:r>
            <w:r>
              <w:rPr>
                <w:rFonts w:hint="eastAsia"/>
                <w:color w:val="auto"/>
                <w:highlight w:val="none"/>
                <w:lang w:val="en-US" w:eastAsia="zh-CN"/>
              </w:rPr>
              <w:t>19</w:t>
            </w:r>
            <w:r>
              <w:rPr>
                <w:rFonts w:hint="eastAsia"/>
                <w:color w:val="auto"/>
                <w:highlight w:val="none"/>
              </w:rPr>
              <w:t>万元，环保投资率</w:t>
            </w:r>
            <w:r>
              <w:rPr>
                <w:rFonts w:hint="eastAsia"/>
                <w:color w:val="auto"/>
                <w:highlight w:val="none"/>
                <w:lang w:val="en-US" w:eastAsia="zh-CN"/>
              </w:rPr>
              <w:t>0.38</w:t>
            </w:r>
            <w:r>
              <w:rPr>
                <w:rFonts w:hint="eastAsia"/>
                <w:color w:val="auto"/>
                <w:highlight w:val="none"/>
              </w:rPr>
              <w:t>%，投资估算见表4-</w:t>
            </w:r>
            <w:r>
              <w:rPr>
                <w:rFonts w:hint="eastAsia"/>
                <w:color w:val="auto"/>
                <w:highlight w:val="none"/>
                <w:lang w:val="en-US" w:eastAsia="zh-CN"/>
              </w:rPr>
              <w:t>22</w:t>
            </w:r>
            <w:r>
              <w:rPr>
                <w:rFonts w:hint="default"/>
                <w:color w:val="auto"/>
                <w:highlight w:val="none"/>
              </w:rPr>
              <w:t>。</w:t>
            </w:r>
          </w:p>
          <w:p w14:paraId="6AFAE051">
            <w:pPr>
              <w:pStyle w:val="6"/>
              <w:keepNext w:val="0"/>
              <w:keepLines w:val="0"/>
              <w:suppressLineNumbers w:val="0"/>
              <w:bidi w:val="0"/>
              <w:spacing w:before="0" w:beforeAutospacing="0" w:after="0" w:afterAutospacing="0"/>
              <w:ind w:right="0"/>
              <w:rPr>
                <w:rFonts w:hint="default"/>
                <w:b/>
                <w:bCs/>
                <w:color w:val="auto"/>
                <w:highlight w:val="none"/>
                <w:lang w:val="en-GB" w:eastAsia="zh-CN"/>
              </w:rPr>
            </w:pPr>
            <w:r>
              <w:rPr>
                <w:rFonts w:hint="default"/>
                <w:b/>
                <w:bCs/>
                <w:color w:val="auto"/>
                <w:highlight w:val="none"/>
                <w:lang w:val="en-GB" w:eastAsia="zh-CN"/>
              </w:rPr>
              <w:t>表</w:t>
            </w:r>
            <w:r>
              <w:rPr>
                <w:rFonts w:hint="eastAsia"/>
                <w:b/>
                <w:bCs/>
                <w:color w:val="auto"/>
                <w:highlight w:val="none"/>
                <w:lang w:val="en-GB" w:eastAsia="zh-CN"/>
              </w:rPr>
              <w:t>4-</w:t>
            </w:r>
            <w:r>
              <w:rPr>
                <w:rFonts w:hint="eastAsia"/>
                <w:b/>
                <w:bCs/>
                <w:color w:val="auto"/>
                <w:highlight w:val="none"/>
                <w:lang w:val="en-US" w:eastAsia="zh-CN"/>
              </w:rPr>
              <w:t xml:space="preserve">22  </w:t>
            </w:r>
            <w:r>
              <w:rPr>
                <w:rFonts w:hint="eastAsia"/>
                <w:b/>
                <w:bCs/>
                <w:color w:val="auto"/>
                <w:highlight w:val="none"/>
                <w:lang w:val="en-GB" w:eastAsia="zh-CN"/>
              </w:rPr>
              <w:t xml:space="preserve"> </w:t>
            </w:r>
            <w:r>
              <w:rPr>
                <w:rFonts w:hint="default"/>
                <w:b/>
                <w:bCs/>
                <w:color w:val="auto"/>
                <w:highlight w:val="none"/>
                <w:lang w:val="en-GB" w:eastAsia="zh-CN"/>
              </w:rPr>
              <w:t>项目污染治理投资估算表</w:t>
            </w:r>
          </w:p>
          <w:tbl>
            <w:tblPr>
              <w:tblStyle w:val="32"/>
              <w:tblW w:w="846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097"/>
              <w:gridCol w:w="1781"/>
              <w:gridCol w:w="4471"/>
              <w:gridCol w:w="1114"/>
            </w:tblGrid>
            <w:tr w14:paraId="3438DA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0" w:hRule="atLeast"/>
                <w:jc w:val="center"/>
              </w:trPr>
              <w:tc>
                <w:tcPr>
                  <w:tcW w:w="1097" w:type="dxa"/>
                  <w:tcBorders>
                    <w:bottom w:val="single" w:color="auto" w:sz="12" w:space="0"/>
                  </w:tcBorders>
                  <w:vAlign w:val="center"/>
                </w:tcPr>
                <w:p w14:paraId="70BB2E36">
                  <w:pPr>
                    <w:pStyle w:val="6"/>
                    <w:keepNext w:val="0"/>
                    <w:keepLines w:val="0"/>
                    <w:suppressLineNumbers w:val="0"/>
                    <w:bidi w:val="0"/>
                    <w:spacing w:before="0" w:beforeAutospacing="0" w:after="0" w:afterAutospacing="0"/>
                    <w:ind w:right="0"/>
                    <w:rPr>
                      <w:rFonts w:hint="default"/>
                      <w:b/>
                      <w:bCs/>
                      <w:color w:val="auto"/>
                      <w:highlight w:val="none"/>
                    </w:rPr>
                  </w:pPr>
                  <w:r>
                    <w:rPr>
                      <w:rFonts w:hint="default"/>
                      <w:b/>
                      <w:bCs/>
                      <w:color w:val="auto"/>
                      <w:highlight w:val="none"/>
                    </w:rPr>
                    <w:t>项目</w:t>
                  </w:r>
                </w:p>
              </w:tc>
              <w:tc>
                <w:tcPr>
                  <w:tcW w:w="1781" w:type="dxa"/>
                  <w:tcBorders>
                    <w:bottom w:val="single" w:color="auto" w:sz="12" w:space="0"/>
                  </w:tcBorders>
                  <w:vAlign w:val="center"/>
                </w:tcPr>
                <w:p w14:paraId="708E43F3">
                  <w:pPr>
                    <w:pStyle w:val="6"/>
                    <w:keepNext w:val="0"/>
                    <w:keepLines w:val="0"/>
                    <w:suppressLineNumbers w:val="0"/>
                    <w:bidi w:val="0"/>
                    <w:spacing w:before="0" w:beforeAutospacing="0" w:after="0" w:afterAutospacing="0"/>
                    <w:ind w:right="0"/>
                    <w:rPr>
                      <w:rFonts w:hint="default"/>
                      <w:b/>
                      <w:bCs/>
                      <w:color w:val="auto"/>
                      <w:highlight w:val="none"/>
                    </w:rPr>
                  </w:pPr>
                  <w:r>
                    <w:rPr>
                      <w:rFonts w:hint="default"/>
                      <w:b/>
                      <w:bCs/>
                      <w:color w:val="auto"/>
                      <w:highlight w:val="none"/>
                    </w:rPr>
                    <w:t>污染源</w:t>
                  </w:r>
                </w:p>
              </w:tc>
              <w:tc>
                <w:tcPr>
                  <w:tcW w:w="4471" w:type="dxa"/>
                  <w:tcBorders>
                    <w:bottom w:val="single" w:color="auto" w:sz="12" w:space="0"/>
                  </w:tcBorders>
                  <w:vAlign w:val="center"/>
                </w:tcPr>
                <w:p w14:paraId="4E486224">
                  <w:pPr>
                    <w:pStyle w:val="6"/>
                    <w:keepNext w:val="0"/>
                    <w:keepLines w:val="0"/>
                    <w:suppressLineNumbers w:val="0"/>
                    <w:bidi w:val="0"/>
                    <w:spacing w:before="0" w:beforeAutospacing="0" w:after="0" w:afterAutospacing="0"/>
                    <w:ind w:right="0"/>
                    <w:rPr>
                      <w:rFonts w:hint="default"/>
                      <w:b/>
                      <w:bCs/>
                      <w:color w:val="auto"/>
                      <w:highlight w:val="none"/>
                    </w:rPr>
                  </w:pPr>
                  <w:r>
                    <w:rPr>
                      <w:rFonts w:hint="default"/>
                      <w:b/>
                      <w:bCs/>
                      <w:color w:val="auto"/>
                      <w:highlight w:val="none"/>
                    </w:rPr>
                    <w:t>内容</w:t>
                  </w:r>
                </w:p>
              </w:tc>
              <w:tc>
                <w:tcPr>
                  <w:tcW w:w="1114" w:type="dxa"/>
                  <w:tcBorders>
                    <w:bottom w:val="single" w:color="auto" w:sz="12" w:space="0"/>
                  </w:tcBorders>
                  <w:vAlign w:val="center"/>
                </w:tcPr>
                <w:p w14:paraId="20942306">
                  <w:pPr>
                    <w:pStyle w:val="6"/>
                    <w:keepNext w:val="0"/>
                    <w:keepLines w:val="0"/>
                    <w:suppressLineNumbers w:val="0"/>
                    <w:bidi w:val="0"/>
                    <w:spacing w:before="0" w:beforeAutospacing="0" w:after="0" w:afterAutospacing="0"/>
                    <w:ind w:right="0"/>
                    <w:rPr>
                      <w:rFonts w:hint="default"/>
                      <w:b/>
                      <w:bCs/>
                      <w:color w:val="auto"/>
                      <w:highlight w:val="none"/>
                    </w:rPr>
                  </w:pPr>
                  <w:r>
                    <w:rPr>
                      <w:rFonts w:hint="default"/>
                      <w:b/>
                      <w:bCs/>
                      <w:color w:val="auto"/>
                      <w:highlight w:val="none"/>
                    </w:rPr>
                    <w:t>经费</w:t>
                  </w:r>
                  <w:r>
                    <w:rPr>
                      <w:rFonts w:hint="eastAsia"/>
                      <w:b/>
                      <w:bCs/>
                      <w:color w:val="auto"/>
                      <w:highlight w:val="none"/>
                      <w:lang w:eastAsia="zh-CN"/>
                    </w:rPr>
                    <w:t>（</w:t>
                  </w:r>
                  <w:r>
                    <w:rPr>
                      <w:rFonts w:hint="default"/>
                      <w:b/>
                      <w:bCs/>
                      <w:color w:val="auto"/>
                      <w:highlight w:val="none"/>
                    </w:rPr>
                    <w:t>万元</w:t>
                  </w:r>
                  <w:r>
                    <w:rPr>
                      <w:rFonts w:hint="eastAsia"/>
                      <w:b/>
                      <w:bCs/>
                      <w:color w:val="auto"/>
                      <w:highlight w:val="none"/>
                      <w:lang w:eastAsia="zh-CN"/>
                    </w:rPr>
                    <w:t>）</w:t>
                  </w:r>
                </w:p>
              </w:tc>
            </w:tr>
            <w:tr w14:paraId="1D4A80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0" w:hRule="atLeast"/>
                <w:jc w:val="center"/>
              </w:trPr>
              <w:tc>
                <w:tcPr>
                  <w:tcW w:w="1097" w:type="dxa"/>
                  <w:tcBorders>
                    <w:tl2br w:val="nil"/>
                    <w:tr2bl w:val="nil"/>
                  </w:tcBorders>
                  <w:vAlign w:val="center"/>
                </w:tcPr>
                <w:p w14:paraId="64C27FA1">
                  <w:pPr>
                    <w:pStyle w:val="6"/>
                    <w:keepNext w:val="0"/>
                    <w:keepLines w:val="0"/>
                    <w:suppressLineNumbers w:val="0"/>
                    <w:bidi w:val="0"/>
                    <w:spacing w:before="0" w:beforeAutospacing="0" w:after="0" w:afterAutospacing="0"/>
                    <w:ind w:right="0"/>
                    <w:rPr>
                      <w:rFonts w:hint="eastAsia" w:eastAsia="宋体"/>
                      <w:color w:val="auto"/>
                      <w:highlight w:val="none"/>
                      <w:lang w:val="en-US" w:eastAsia="zh-CN"/>
                    </w:rPr>
                  </w:pPr>
                  <w:r>
                    <w:rPr>
                      <w:rFonts w:hint="eastAsia"/>
                      <w:color w:val="auto"/>
                      <w:highlight w:val="none"/>
                      <w:lang w:val="en-US" w:eastAsia="zh-CN"/>
                    </w:rPr>
                    <w:t>废水</w:t>
                  </w:r>
                </w:p>
              </w:tc>
              <w:tc>
                <w:tcPr>
                  <w:tcW w:w="1781" w:type="dxa"/>
                  <w:tcBorders>
                    <w:top w:val="single" w:color="auto" w:sz="4" w:space="0"/>
                    <w:tl2br w:val="nil"/>
                    <w:tr2bl w:val="nil"/>
                  </w:tcBorders>
                  <w:vAlign w:val="center"/>
                </w:tcPr>
                <w:p w14:paraId="6D6FE74C">
                  <w:pPr>
                    <w:pStyle w:val="61"/>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textAlignment w:val="auto"/>
                    <w:rPr>
                      <w:rFonts w:hint="eastAsia"/>
                      <w:color w:val="auto"/>
                      <w:highlight w:val="none"/>
                      <w:lang w:val="en-US" w:eastAsia="zh-CN"/>
                    </w:rPr>
                  </w:pPr>
                  <w:r>
                    <w:rPr>
                      <w:rFonts w:hint="default" w:ascii="Times New Roman" w:hAnsi="Times New Roman" w:eastAsia="宋体" w:cs="Times New Roman"/>
                      <w:b w:val="0"/>
                      <w:bCs/>
                      <w:color w:val="auto"/>
                      <w:sz w:val="21"/>
                      <w:szCs w:val="21"/>
                      <w:highlight w:val="none"/>
                    </w:rPr>
                    <w:t>生活污水</w:t>
                  </w:r>
                </w:p>
              </w:tc>
              <w:tc>
                <w:tcPr>
                  <w:tcW w:w="4471" w:type="dxa"/>
                  <w:tcBorders>
                    <w:top w:val="single" w:color="auto" w:sz="4" w:space="0"/>
                    <w:tl2br w:val="nil"/>
                    <w:tr2bl w:val="nil"/>
                  </w:tcBorders>
                  <w:vAlign w:val="center"/>
                </w:tcPr>
                <w:p w14:paraId="2A6E516F">
                  <w:pPr>
                    <w:pStyle w:val="61"/>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textAlignment w:val="auto"/>
                    <w:rPr>
                      <w:rFonts w:hint="default"/>
                      <w:color w:val="auto"/>
                      <w:highlight w:val="none"/>
                      <w:lang w:val="en-US" w:eastAsia="zh-CN"/>
                    </w:rPr>
                  </w:pPr>
                  <w:r>
                    <w:rPr>
                      <w:rFonts w:hint="eastAsia" w:cs="Times New Roman"/>
                      <w:b w:val="0"/>
                      <w:bCs/>
                      <w:color w:val="auto"/>
                      <w:sz w:val="21"/>
                      <w:szCs w:val="21"/>
                      <w:highlight w:val="none"/>
                      <w:lang w:val="en-US" w:eastAsia="zh-CN"/>
                    </w:rPr>
                    <w:t>隔油池+</w:t>
                  </w:r>
                  <w:r>
                    <w:rPr>
                      <w:rFonts w:hint="eastAsia" w:ascii="Times New Roman" w:hAnsi="Times New Roman" w:eastAsia="宋体" w:cs="Times New Roman"/>
                      <w:b w:val="0"/>
                      <w:bCs/>
                      <w:color w:val="auto"/>
                      <w:sz w:val="21"/>
                      <w:szCs w:val="21"/>
                      <w:highlight w:val="none"/>
                      <w:lang w:val="en-US" w:eastAsia="zh-CN"/>
                    </w:rPr>
                    <w:t>化粪池</w:t>
                  </w:r>
                  <w:r>
                    <w:rPr>
                      <w:rFonts w:hint="eastAsia" w:cs="Times New Roman"/>
                      <w:b w:val="0"/>
                      <w:bCs/>
                      <w:color w:val="auto"/>
                      <w:sz w:val="21"/>
                      <w:szCs w:val="21"/>
                      <w:highlight w:val="none"/>
                      <w:lang w:val="en-US" w:eastAsia="zh-CN"/>
                    </w:rPr>
                    <w:t>（依托）</w:t>
                  </w:r>
                </w:p>
              </w:tc>
              <w:tc>
                <w:tcPr>
                  <w:tcW w:w="1114" w:type="dxa"/>
                  <w:tcBorders>
                    <w:top w:val="single" w:color="auto" w:sz="4" w:space="0"/>
                    <w:tl2br w:val="nil"/>
                    <w:tr2bl w:val="nil"/>
                  </w:tcBorders>
                  <w:vAlign w:val="center"/>
                </w:tcPr>
                <w:p w14:paraId="671B6FA4">
                  <w:pPr>
                    <w:pStyle w:val="61"/>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textAlignment w:val="auto"/>
                    <w:rPr>
                      <w:rFonts w:hint="default"/>
                      <w:color w:val="auto"/>
                      <w:highlight w:val="none"/>
                      <w:lang w:val="en-US" w:eastAsia="zh-CN"/>
                    </w:rPr>
                  </w:pPr>
                  <w:r>
                    <w:rPr>
                      <w:rFonts w:hint="eastAsia" w:cs="Times New Roman"/>
                      <w:b w:val="0"/>
                      <w:bCs/>
                      <w:color w:val="auto"/>
                      <w:sz w:val="21"/>
                      <w:szCs w:val="21"/>
                      <w:highlight w:val="none"/>
                      <w:lang w:val="en-US" w:eastAsia="zh-CN"/>
                    </w:rPr>
                    <w:t>0</w:t>
                  </w:r>
                </w:p>
              </w:tc>
            </w:tr>
            <w:tr w14:paraId="0CB3DE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0" w:hRule="atLeast"/>
                <w:jc w:val="center"/>
              </w:trPr>
              <w:tc>
                <w:tcPr>
                  <w:tcW w:w="1097" w:type="dxa"/>
                  <w:tcBorders>
                    <w:tl2br w:val="nil"/>
                    <w:tr2bl w:val="nil"/>
                  </w:tcBorders>
                  <w:vAlign w:val="center"/>
                </w:tcPr>
                <w:p w14:paraId="66E99187">
                  <w:pPr>
                    <w:pStyle w:val="6"/>
                    <w:keepNext w:val="0"/>
                    <w:keepLines w:val="0"/>
                    <w:suppressLineNumbers w:val="0"/>
                    <w:bidi w:val="0"/>
                    <w:spacing w:before="0" w:beforeAutospacing="0" w:after="0" w:afterAutospacing="0"/>
                    <w:ind w:right="0"/>
                    <w:rPr>
                      <w:rFonts w:hint="default"/>
                      <w:color w:val="auto"/>
                      <w:highlight w:val="none"/>
                    </w:rPr>
                  </w:pPr>
                  <w:r>
                    <w:rPr>
                      <w:rFonts w:hint="default"/>
                      <w:color w:val="auto"/>
                      <w:highlight w:val="none"/>
                    </w:rPr>
                    <w:t>废气</w:t>
                  </w:r>
                </w:p>
              </w:tc>
              <w:tc>
                <w:tcPr>
                  <w:tcW w:w="1781" w:type="dxa"/>
                  <w:tcBorders>
                    <w:tl2br w:val="nil"/>
                    <w:tr2bl w:val="nil"/>
                  </w:tcBorders>
                  <w:shd w:val="clear" w:color="auto" w:fill="auto"/>
                  <w:vAlign w:val="center"/>
                </w:tcPr>
                <w:p w14:paraId="29EE17F0">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烘干、挤出废气</w:t>
                  </w:r>
                </w:p>
              </w:tc>
              <w:tc>
                <w:tcPr>
                  <w:tcW w:w="4471" w:type="dxa"/>
                  <w:tcBorders>
                    <w:tl2br w:val="nil"/>
                    <w:tr2bl w:val="nil"/>
                  </w:tcBorders>
                  <w:shd w:val="clear" w:color="auto" w:fill="auto"/>
                  <w:vAlign w:val="center"/>
                </w:tcPr>
                <w:p w14:paraId="150CE23F">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集气罩+</w:t>
                  </w:r>
                  <w:r>
                    <w:rPr>
                      <w:rFonts w:hint="eastAsia" w:cs="Times New Roman"/>
                      <w:color w:val="auto"/>
                      <w:highlight w:val="none"/>
                      <w:lang w:val="en-US" w:eastAsia="zh-CN"/>
                    </w:rPr>
                    <w:t>活性炭吸附</w:t>
                  </w:r>
                  <w:r>
                    <w:rPr>
                      <w:rFonts w:hint="eastAsia" w:ascii="Times New Roman" w:hAnsi="Times New Roman" w:eastAsia="宋体" w:cs="Times New Roman"/>
                      <w:color w:val="auto"/>
                      <w:highlight w:val="none"/>
                      <w:lang w:val="en-US" w:eastAsia="zh-CN"/>
                    </w:rPr>
                    <w:t>+</w:t>
                  </w:r>
                  <w:r>
                    <w:rPr>
                      <w:rFonts w:hint="eastAsia" w:cs="Times New Roman"/>
                      <w:color w:val="auto"/>
                      <w:highlight w:val="none"/>
                      <w:lang w:val="en-US" w:eastAsia="zh-CN"/>
                    </w:rPr>
                    <w:t>15</w:t>
                  </w:r>
                  <w:r>
                    <w:rPr>
                      <w:rFonts w:hint="eastAsia" w:ascii="Times New Roman" w:hAnsi="Times New Roman" w:eastAsia="宋体" w:cs="Times New Roman"/>
                      <w:color w:val="auto"/>
                      <w:highlight w:val="none"/>
                      <w:lang w:val="en-US" w:eastAsia="zh-CN"/>
                    </w:rPr>
                    <w:t>m</w:t>
                  </w:r>
                  <w:r>
                    <w:rPr>
                      <w:rFonts w:hint="eastAsia" w:cs="Times New Roman"/>
                      <w:color w:val="auto"/>
                      <w:highlight w:val="none"/>
                      <w:lang w:val="en-US" w:eastAsia="zh-CN"/>
                    </w:rPr>
                    <w:t>高</w:t>
                  </w:r>
                  <w:r>
                    <w:rPr>
                      <w:rFonts w:hint="eastAsia" w:ascii="Times New Roman" w:hAnsi="Times New Roman" w:eastAsia="宋体" w:cs="Times New Roman"/>
                      <w:color w:val="auto"/>
                      <w:highlight w:val="none"/>
                      <w:lang w:val="en-US" w:eastAsia="zh-CN"/>
                    </w:rPr>
                    <w:t>排气筒</w:t>
                  </w:r>
                  <w:r>
                    <w:rPr>
                      <w:rFonts w:hint="eastAsia" w:cs="Times New Roman"/>
                      <w:color w:val="auto"/>
                      <w:highlight w:val="none"/>
                      <w:lang w:val="en-US" w:eastAsia="zh-CN"/>
                    </w:rPr>
                    <w:t>（DA005）</w:t>
                  </w:r>
                </w:p>
              </w:tc>
              <w:tc>
                <w:tcPr>
                  <w:tcW w:w="1114" w:type="dxa"/>
                  <w:tcBorders>
                    <w:tl2br w:val="nil"/>
                    <w:tr2bl w:val="nil"/>
                  </w:tcBorders>
                  <w:vAlign w:val="center"/>
                </w:tcPr>
                <w:p w14:paraId="480938B6">
                  <w:pPr>
                    <w:pStyle w:val="61"/>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textAlignment w:val="auto"/>
                    <w:rPr>
                      <w:rFonts w:hint="default"/>
                      <w:color w:val="auto"/>
                      <w:highlight w:val="none"/>
                      <w:lang w:val="en-US" w:eastAsia="zh-CN"/>
                    </w:rPr>
                  </w:pPr>
                  <w:r>
                    <w:rPr>
                      <w:rFonts w:hint="eastAsia" w:cs="Times New Roman"/>
                      <w:b w:val="0"/>
                      <w:bCs/>
                      <w:color w:val="auto"/>
                      <w:sz w:val="21"/>
                      <w:szCs w:val="21"/>
                      <w:highlight w:val="none"/>
                      <w:lang w:val="en-US" w:eastAsia="zh-CN"/>
                    </w:rPr>
                    <w:t>15</w:t>
                  </w:r>
                </w:p>
              </w:tc>
            </w:tr>
            <w:tr w14:paraId="699A0B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0" w:hRule="atLeast"/>
                <w:jc w:val="center"/>
              </w:trPr>
              <w:tc>
                <w:tcPr>
                  <w:tcW w:w="1097" w:type="dxa"/>
                  <w:tcBorders>
                    <w:tl2br w:val="nil"/>
                    <w:tr2bl w:val="nil"/>
                  </w:tcBorders>
                  <w:vAlign w:val="center"/>
                </w:tcPr>
                <w:p w14:paraId="6FEA4956">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default"/>
                      <w:color w:val="auto"/>
                      <w:highlight w:val="none"/>
                    </w:rPr>
                    <w:t>噪声</w:t>
                  </w:r>
                </w:p>
              </w:tc>
              <w:tc>
                <w:tcPr>
                  <w:tcW w:w="1781" w:type="dxa"/>
                  <w:tcBorders>
                    <w:tl2br w:val="nil"/>
                    <w:tr2bl w:val="nil"/>
                  </w:tcBorders>
                  <w:vAlign w:val="center"/>
                </w:tcPr>
                <w:p w14:paraId="5E42A6C3">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机械噪声</w:t>
                  </w:r>
                </w:p>
              </w:tc>
              <w:tc>
                <w:tcPr>
                  <w:tcW w:w="4471" w:type="dxa"/>
                  <w:tcBorders>
                    <w:tl2br w:val="nil"/>
                    <w:tr2bl w:val="nil"/>
                  </w:tcBorders>
                  <w:vAlign w:val="center"/>
                </w:tcPr>
                <w:p w14:paraId="49054FEB">
                  <w:pPr>
                    <w:pStyle w:val="6"/>
                    <w:keepNext w:val="0"/>
                    <w:keepLines w:val="0"/>
                    <w:suppressLineNumbers w:val="0"/>
                    <w:bidi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减振垫、隔音材料等</w:t>
                  </w:r>
                </w:p>
              </w:tc>
              <w:tc>
                <w:tcPr>
                  <w:tcW w:w="1114" w:type="dxa"/>
                  <w:tcBorders>
                    <w:tl2br w:val="nil"/>
                    <w:tr2bl w:val="nil"/>
                  </w:tcBorders>
                  <w:vAlign w:val="center"/>
                </w:tcPr>
                <w:p w14:paraId="3777CD69">
                  <w:pPr>
                    <w:pStyle w:val="61"/>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textAlignment w:val="auto"/>
                    <w:rPr>
                      <w:rFonts w:hint="eastAsia"/>
                      <w:color w:val="auto"/>
                      <w:highlight w:val="none"/>
                      <w:lang w:val="en-US" w:eastAsia="zh-CN"/>
                    </w:rPr>
                  </w:pPr>
                  <w:r>
                    <w:rPr>
                      <w:rFonts w:hint="eastAsia" w:cs="Times New Roman"/>
                      <w:b w:val="0"/>
                      <w:bCs/>
                      <w:color w:val="auto"/>
                      <w:sz w:val="21"/>
                      <w:szCs w:val="21"/>
                      <w:highlight w:val="none"/>
                      <w:lang w:val="en-US" w:eastAsia="zh-CN"/>
                    </w:rPr>
                    <w:t>1</w:t>
                  </w:r>
                </w:p>
              </w:tc>
            </w:tr>
            <w:tr w14:paraId="7EB143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0" w:hRule="atLeast"/>
                <w:jc w:val="center"/>
              </w:trPr>
              <w:tc>
                <w:tcPr>
                  <w:tcW w:w="1097" w:type="dxa"/>
                  <w:vMerge w:val="restart"/>
                  <w:tcBorders>
                    <w:tl2br w:val="nil"/>
                    <w:tr2bl w:val="nil"/>
                  </w:tcBorders>
                  <w:vAlign w:val="center"/>
                </w:tcPr>
                <w:p w14:paraId="0AF0EAE1">
                  <w:pPr>
                    <w:pStyle w:val="6"/>
                    <w:keepNext w:val="0"/>
                    <w:keepLines w:val="0"/>
                    <w:suppressLineNumbers w:val="0"/>
                    <w:bidi w:val="0"/>
                    <w:spacing w:before="0" w:beforeAutospacing="0" w:after="0" w:afterAutospacing="0"/>
                    <w:ind w:right="0"/>
                    <w:rPr>
                      <w:rFonts w:hint="default"/>
                      <w:color w:val="auto"/>
                      <w:highlight w:val="none"/>
                    </w:rPr>
                  </w:pPr>
                  <w:r>
                    <w:rPr>
                      <w:rFonts w:hint="default"/>
                      <w:color w:val="auto"/>
                      <w:highlight w:val="none"/>
                    </w:rPr>
                    <w:t>固体废物</w:t>
                  </w:r>
                </w:p>
              </w:tc>
              <w:tc>
                <w:tcPr>
                  <w:tcW w:w="1781" w:type="dxa"/>
                  <w:tcBorders>
                    <w:tl2br w:val="nil"/>
                    <w:tr2bl w:val="nil"/>
                  </w:tcBorders>
                  <w:vAlign w:val="center"/>
                </w:tcPr>
                <w:p w14:paraId="3E20621F">
                  <w:pPr>
                    <w:pStyle w:val="6"/>
                    <w:keepNext w:val="0"/>
                    <w:keepLines w:val="0"/>
                    <w:suppressLineNumbers w:val="0"/>
                    <w:bidi w:val="0"/>
                    <w:spacing w:before="0" w:beforeAutospacing="0" w:after="0" w:afterAutospacing="0"/>
                    <w:ind w:right="0"/>
                    <w:rPr>
                      <w:rFonts w:hint="default"/>
                      <w:color w:val="auto"/>
                      <w:highlight w:val="none"/>
                    </w:rPr>
                  </w:pPr>
                  <w:r>
                    <w:rPr>
                      <w:rFonts w:hint="eastAsia"/>
                      <w:color w:val="auto"/>
                      <w:highlight w:val="none"/>
                      <w:lang w:val="en-US" w:eastAsia="zh-CN"/>
                    </w:rPr>
                    <w:t>一般</w:t>
                  </w:r>
                  <w:r>
                    <w:rPr>
                      <w:rFonts w:hint="default"/>
                      <w:color w:val="auto"/>
                      <w:highlight w:val="none"/>
                    </w:rPr>
                    <w:t>工业固废</w:t>
                  </w:r>
                </w:p>
              </w:tc>
              <w:tc>
                <w:tcPr>
                  <w:tcW w:w="4471" w:type="dxa"/>
                  <w:tcBorders>
                    <w:tl2br w:val="nil"/>
                    <w:tr2bl w:val="nil"/>
                  </w:tcBorders>
                  <w:vAlign w:val="center"/>
                </w:tcPr>
                <w:p w14:paraId="45EC3446">
                  <w:pPr>
                    <w:pStyle w:val="6"/>
                    <w:keepNext w:val="0"/>
                    <w:keepLines w:val="0"/>
                    <w:suppressLineNumbers w:val="0"/>
                    <w:bidi w:val="0"/>
                    <w:spacing w:before="0" w:beforeAutospacing="0" w:after="0" w:afterAutospacing="0"/>
                    <w:ind w:right="0"/>
                    <w:rPr>
                      <w:rFonts w:hint="eastAsia" w:eastAsia="宋体"/>
                      <w:color w:val="auto"/>
                      <w:highlight w:val="none"/>
                      <w:lang w:eastAsia="zh-CN"/>
                    </w:rPr>
                  </w:pPr>
                  <w:r>
                    <w:rPr>
                      <w:rFonts w:hint="default"/>
                      <w:color w:val="auto"/>
                      <w:highlight w:val="none"/>
                    </w:rPr>
                    <w:t>一般</w:t>
                  </w:r>
                  <w:r>
                    <w:rPr>
                      <w:rFonts w:hint="eastAsia"/>
                      <w:color w:val="auto"/>
                      <w:highlight w:val="none"/>
                      <w:lang w:val="en-US" w:eastAsia="zh-CN"/>
                    </w:rPr>
                    <w:t>工业</w:t>
                  </w:r>
                  <w:r>
                    <w:rPr>
                      <w:rFonts w:hint="default"/>
                      <w:color w:val="auto"/>
                      <w:highlight w:val="none"/>
                    </w:rPr>
                    <w:t>固废暂存</w:t>
                  </w:r>
                  <w:r>
                    <w:rPr>
                      <w:rFonts w:hint="eastAsia"/>
                      <w:color w:val="auto"/>
                      <w:highlight w:val="none"/>
                      <w:lang w:val="en-US" w:eastAsia="zh-CN"/>
                    </w:rPr>
                    <w:t>区</w:t>
                  </w:r>
                </w:p>
              </w:tc>
              <w:tc>
                <w:tcPr>
                  <w:tcW w:w="1114" w:type="dxa"/>
                  <w:tcBorders>
                    <w:tl2br w:val="nil"/>
                    <w:tr2bl w:val="nil"/>
                  </w:tcBorders>
                  <w:vAlign w:val="center"/>
                </w:tcPr>
                <w:p w14:paraId="6B00B236">
                  <w:pPr>
                    <w:pStyle w:val="61"/>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textAlignment w:val="auto"/>
                    <w:rPr>
                      <w:rFonts w:hint="eastAsia" w:eastAsia="宋体"/>
                      <w:color w:val="auto"/>
                      <w:highlight w:val="none"/>
                      <w:lang w:eastAsia="zh-CN"/>
                    </w:rPr>
                  </w:pPr>
                  <w:r>
                    <w:rPr>
                      <w:rFonts w:hint="eastAsia" w:cs="Times New Roman"/>
                      <w:b w:val="0"/>
                      <w:bCs/>
                      <w:color w:val="auto"/>
                      <w:sz w:val="21"/>
                      <w:szCs w:val="21"/>
                      <w:highlight w:val="none"/>
                      <w:lang w:val="en-US" w:eastAsia="zh-CN"/>
                    </w:rPr>
                    <w:t>1</w:t>
                  </w:r>
                </w:p>
              </w:tc>
            </w:tr>
            <w:tr w14:paraId="1BBD09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47" w:hRule="atLeast"/>
                <w:jc w:val="center"/>
              </w:trPr>
              <w:tc>
                <w:tcPr>
                  <w:tcW w:w="1097" w:type="dxa"/>
                  <w:vMerge w:val="continue"/>
                  <w:tcBorders>
                    <w:tl2br w:val="nil"/>
                    <w:tr2bl w:val="nil"/>
                  </w:tcBorders>
                  <w:vAlign w:val="center"/>
                </w:tcPr>
                <w:p w14:paraId="435BC590">
                  <w:pPr>
                    <w:pStyle w:val="6"/>
                    <w:keepNext w:val="0"/>
                    <w:keepLines w:val="0"/>
                    <w:suppressLineNumbers w:val="0"/>
                    <w:bidi w:val="0"/>
                    <w:spacing w:before="0" w:beforeAutospacing="0" w:after="0" w:afterAutospacing="0"/>
                    <w:ind w:right="0"/>
                    <w:rPr>
                      <w:rFonts w:hint="default"/>
                      <w:color w:val="auto"/>
                      <w:highlight w:val="none"/>
                    </w:rPr>
                  </w:pPr>
                </w:p>
              </w:tc>
              <w:tc>
                <w:tcPr>
                  <w:tcW w:w="1781" w:type="dxa"/>
                  <w:tcBorders>
                    <w:tl2br w:val="nil"/>
                    <w:tr2bl w:val="nil"/>
                  </w:tcBorders>
                  <w:vAlign w:val="center"/>
                </w:tcPr>
                <w:p w14:paraId="7FAA056B">
                  <w:pPr>
                    <w:pStyle w:val="6"/>
                    <w:keepNext w:val="0"/>
                    <w:keepLines w:val="0"/>
                    <w:suppressLineNumbers w:val="0"/>
                    <w:bidi w:val="0"/>
                    <w:spacing w:before="0" w:beforeAutospacing="0" w:after="0" w:afterAutospacing="0"/>
                    <w:ind w:right="0"/>
                    <w:rPr>
                      <w:rFonts w:hint="eastAsia"/>
                      <w:color w:val="auto"/>
                      <w:highlight w:val="none"/>
                      <w:lang w:val="en-US" w:eastAsia="zh-CN"/>
                    </w:rPr>
                  </w:pPr>
                  <w:r>
                    <w:rPr>
                      <w:rFonts w:hint="eastAsia"/>
                      <w:color w:val="auto"/>
                      <w:highlight w:val="none"/>
                      <w:lang w:val="en-US" w:eastAsia="zh-CN"/>
                    </w:rPr>
                    <w:t>危险废物</w:t>
                  </w:r>
                </w:p>
              </w:tc>
              <w:tc>
                <w:tcPr>
                  <w:tcW w:w="4471" w:type="dxa"/>
                  <w:tcBorders>
                    <w:tl2br w:val="nil"/>
                    <w:tr2bl w:val="nil"/>
                  </w:tcBorders>
                  <w:vAlign w:val="center"/>
                </w:tcPr>
                <w:p w14:paraId="72E601CD">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危险废物暂存间（依托）</w:t>
                  </w:r>
                </w:p>
              </w:tc>
              <w:tc>
                <w:tcPr>
                  <w:tcW w:w="1114" w:type="dxa"/>
                  <w:tcBorders>
                    <w:tl2br w:val="nil"/>
                    <w:tr2bl w:val="nil"/>
                  </w:tcBorders>
                  <w:vAlign w:val="center"/>
                </w:tcPr>
                <w:p w14:paraId="1E5074BF">
                  <w:pPr>
                    <w:pStyle w:val="61"/>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textAlignment w:val="auto"/>
                    <w:rPr>
                      <w:rFonts w:hint="eastAsia"/>
                      <w:color w:val="auto"/>
                      <w:highlight w:val="none"/>
                      <w:lang w:val="en-US" w:eastAsia="zh-CN"/>
                    </w:rPr>
                  </w:pPr>
                  <w:r>
                    <w:rPr>
                      <w:rFonts w:hint="eastAsia" w:cs="Times New Roman"/>
                      <w:b w:val="0"/>
                      <w:bCs/>
                      <w:color w:val="auto"/>
                      <w:sz w:val="21"/>
                      <w:szCs w:val="21"/>
                      <w:highlight w:val="none"/>
                      <w:lang w:val="en-US" w:eastAsia="zh-CN"/>
                    </w:rPr>
                    <w:t>0</w:t>
                  </w:r>
                </w:p>
              </w:tc>
            </w:tr>
            <w:tr w14:paraId="404FAD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47" w:hRule="atLeast"/>
                <w:jc w:val="center"/>
              </w:trPr>
              <w:tc>
                <w:tcPr>
                  <w:tcW w:w="1097" w:type="dxa"/>
                  <w:tcBorders>
                    <w:tl2br w:val="nil"/>
                    <w:tr2bl w:val="nil"/>
                  </w:tcBorders>
                  <w:vAlign w:val="center"/>
                </w:tcPr>
                <w:p w14:paraId="4F976D3A">
                  <w:pPr>
                    <w:pStyle w:val="6"/>
                    <w:keepNext w:val="0"/>
                    <w:keepLines w:val="0"/>
                    <w:suppressLineNumbers w:val="0"/>
                    <w:bidi w:val="0"/>
                    <w:spacing w:before="0" w:beforeAutospacing="0" w:after="0" w:afterAutospacing="0"/>
                    <w:ind w:right="0"/>
                    <w:rPr>
                      <w:rFonts w:hint="eastAsia" w:eastAsia="宋体"/>
                      <w:color w:val="auto"/>
                      <w:highlight w:val="none"/>
                      <w:lang w:val="en-US" w:eastAsia="zh-CN"/>
                    </w:rPr>
                  </w:pPr>
                  <w:r>
                    <w:rPr>
                      <w:rFonts w:hint="eastAsia"/>
                      <w:color w:val="auto"/>
                      <w:highlight w:val="none"/>
                      <w:lang w:val="en-US" w:eastAsia="zh-CN"/>
                    </w:rPr>
                    <w:t>地下水</w:t>
                  </w:r>
                </w:p>
              </w:tc>
              <w:tc>
                <w:tcPr>
                  <w:tcW w:w="6252" w:type="dxa"/>
                  <w:gridSpan w:val="2"/>
                  <w:tcBorders>
                    <w:tl2br w:val="nil"/>
                    <w:tr2bl w:val="nil"/>
                  </w:tcBorders>
                  <w:vAlign w:val="center"/>
                </w:tcPr>
                <w:p w14:paraId="59914694">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地下水分区防渗</w:t>
                  </w:r>
                </w:p>
              </w:tc>
              <w:tc>
                <w:tcPr>
                  <w:tcW w:w="1114" w:type="dxa"/>
                  <w:tcBorders>
                    <w:tl2br w:val="nil"/>
                    <w:tr2bl w:val="nil"/>
                  </w:tcBorders>
                  <w:vAlign w:val="center"/>
                </w:tcPr>
                <w:p w14:paraId="7A993D3A">
                  <w:pPr>
                    <w:pStyle w:val="61"/>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textAlignment w:val="auto"/>
                    <w:rPr>
                      <w:rFonts w:hint="default"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2</w:t>
                  </w:r>
                </w:p>
              </w:tc>
            </w:tr>
            <w:tr w14:paraId="376899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0" w:hRule="atLeast"/>
                <w:jc w:val="center"/>
              </w:trPr>
              <w:tc>
                <w:tcPr>
                  <w:tcW w:w="7349" w:type="dxa"/>
                  <w:gridSpan w:val="3"/>
                  <w:tcBorders>
                    <w:bottom w:val="single" w:color="auto" w:sz="12" w:space="0"/>
                  </w:tcBorders>
                  <w:vAlign w:val="center"/>
                </w:tcPr>
                <w:p w14:paraId="28D6B62F">
                  <w:pPr>
                    <w:pStyle w:val="6"/>
                    <w:keepNext w:val="0"/>
                    <w:keepLines w:val="0"/>
                    <w:suppressLineNumbers w:val="0"/>
                    <w:bidi w:val="0"/>
                    <w:spacing w:before="0" w:beforeAutospacing="0" w:after="0" w:afterAutospacing="0"/>
                    <w:ind w:right="0"/>
                    <w:rPr>
                      <w:rFonts w:hint="default"/>
                      <w:color w:val="auto"/>
                      <w:highlight w:val="none"/>
                    </w:rPr>
                  </w:pPr>
                  <w:r>
                    <w:rPr>
                      <w:rFonts w:hint="default"/>
                      <w:color w:val="auto"/>
                      <w:highlight w:val="none"/>
                    </w:rPr>
                    <w:t>合计</w:t>
                  </w:r>
                </w:p>
              </w:tc>
              <w:tc>
                <w:tcPr>
                  <w:tcW w:w="1114" w:type="dxa"/>
                  <w:tcBorders>
                    <w:bottom w:val="single" w:color="auto" w:sz="12" w:space="0"/>
                  </w:tcBorders>
                  <w:vAlign w:val="center"/>
                </w:tcPr>
                <w:p w14:paraId="3560FD08">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19</w:t>
                  </w:r>
                </w:p>
              </w:tc>
            </w:tr>
          </w:tbl>
          <w:p w14:paraId="4C73B2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2" w:firstLineChars="200"/>
              <w:textAlignment w:val="auto"/>
              <w:rPr>
                <w:rFonts w:hint="default" w:eastAsia="宋体"/>
                <w:b/>
                <w:bCs/>
                <w:color w:val="auto"/>
                <w:highlight w:val="none"/>
                <w:lang w:val="en-US" w:eastAsia="zh-CN"/>
              </w:rPr>
            </w:pPr>
            <w:r>
              <w:rPr>
                <w:rFonts w:hint="eastAsia"/>
                <w:b/>
                <w:bCs/>
                <w:color w:val="auto"/>
                <w:highlight w:val="none"/>
                <w:lang w:val="en-US" w:eastAsia="zh-CN"/>
              </w:rPr>
              <w:t>10、排污许可类别</w:t>
            </w:r>
          </w:p>
          <w:p w14:paraId="5EB12C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eastAsia="宋体"/>
                <w:color w:val="auto"/>
                <w:highlight w:val="none"/>
                <w:lang w:val="en-US" w:eastAsia="zh-CN"/>
              </w:rPr>
            </w:pPr>
            <w:r>
              <w:rPr>
                <w:rFonts w:hint="eastAsia"/>
                <w:color w:val="auto"/>
                <w:highlight w:val="none"/>
              </w:rPr>
              <w:t>本项目为</w:t>
            </w:r>
            <w:r>
              <w:rPr>
                <w:rFonts w:hint="eastAsia"/>
                <w:color w:val="auto"/>
                <w:highlight w:val="none"/>
                <w:lang w:val="en-US" w:eastAsia="zh-CN"/>
              </w:rPr>
              <w:t>改</w:t>
            </w:r>
            <w:r>
              <w:rPr>
                <w:rFonts w:hint="eastAsia"/>
                <w:color w:val="auto"/>
                <w:highlight w:val="none"/>
              </w:rPr>
              <w:t>扩建项目，企业现有工程已取得排污许可证。</w:t>
            </w:r>
            <w:r>
              <w:rPr>
                <w:rFonts w:hint="eastAsia"/>
                <w:color w:val="auto"/>
                <w:highlight w:val="none"/>
                <w:lang w:val="en-US" w:eastAsia="zh-CN"/>
              </w:rPr>
              <w:t>对比《固定污染源排污许可分类管理名录（2019年版）》，本项目属于登记管理，</w:t>
            </w:r>
            <w:r>
              <w:rPr>
                <w:rFonts w:hint="eastAsia"/>
                <w:color w:val="auto"/>
                <w:highlight w:val="none"/>
              </w:rPr>
              <w:t>项目投产实际排污前，建设单位应依据本环评批复，完成排污许可证变更，将</w:t>
            </w:r>
            <w:r>
              <w:rPr>
                <w:rFonts w:hint="eastAsia"/>
                <w:color w:val="auto"/>
                <w:highlight w:val="none"/>
                <w:lang w:val="en-US" w:eastAsia="zh-CN"/>
              </w:rPr>
              <w:t>改</w:t>
            </w:r>
            <w:r>
              <w:rPr>
                <w:rFonts w:hint="eastAsia"/>
                <w:color w:val="auto"/>
                <w:highlight w:val="none"/>
              </w:rPr>
              <w:t>扩建项目生产设施、产排污信息</w:t>
            </w:r>
            <w:r>
              <w:rPr>
                <w:rFonts w:hint="eastAsia"/>
                <w:color w:val="auto"/>
                <w:highlight w:val="none"/>
                <w:lang w:val="en-US" w:eastAsia="zh-CN"/>
              </w:rPr>
              <w:t>等</w:t>
            </w:r>
            <w:r>
              <w:rPr>
                <w:rFonts w:hint="eastAsia"/>
                <w:color w:val="auto"/>
                <w:highlight w:val="none"/>
              </w:rPr>
              <w:t>纳入排污许可证。运行期严格落实台账记录、自行监测、执行报告上报、信息公开等排污许可管理制度，做到持证按证排污。</w:t>
            </w:r>
          </w:p>
          <w:p w14:paraId="2B1FFA4F">
            <w:pPr>
              <w:keepNext w:val="0"/>
              <w:keepLines w:val="0"/>
              <w:suppressLineNumbers w:val="0"/>
              <w:spacing w:before="0" w:beforeAutospacing="0" w:after="0" w:afterAutospacing="0"/>
              <w:ind w:left="0" w:leftChars="0" w:right="0" w:firstLine="0" w:firstLineChars="0"/>
              <w:rPr>
                <w:rFonts w:hint="default"/>
                <w:color w:val="auto"/>
                <w:highlight w:val="none"/>
                <w:lang w:val="en-US" w:eastAsia="zh-CN"/>
              </w:rPr>
            </w:pPr>
          </w:p>
        </w:tc>
      </w:tr>
    </w:tbl>
    <w:p w14:paraId="5B2A6555">
      <w:pPr>
        <w:pStyle w:val="53"/>
        <w:rPr>
          <w:rFonts w:hint="default"/>
          <w:color w:val="auto"/>
          <w:highlight w:val="none"/>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7A91D2F7">
      <w:pPr>
        <w:pStyle w:val="22"/>
        <w:jc w:val="center"/>
        <w:outlineLvl w:val="0"/>
        <w:rPr>
          <w:rFonts w:hint="default" w:ascii="Times New Roman" w:hAnsi="Times New Roman" w:eastAsia="黑体" w:cs="Times New Roman"/>
          <w:snapToGrid w:val="0"/>
          <w:color w:val="auto"/>
          <w:sz w:val="30"/>
          <w:szCs w:val="30"/>
          <w:highlight w:val="none"/>
        </w:rPr>
      </w:pPr>
      <w:bookmarkStart w:id="35" w:name="_Toc1886"/>
      <w:r>
        <w:rPr>
          <w:rFonts w:hint="default" w:ascii="Times New Roman" w:hAnsi="Times New Roman" w:eastAsia="黑体" w:cs="Times New Roman"/>
          <w:snapToGrid w:val="0"/>
          <w:color w:val="auto"/>
          <w:sz w:val="30"/>
          <w:szCs w:val="30"/>
          <w:highlight w:val="none"/>
        </w:rPr>
        <w:t>五、</w:t>
      </w:r>
      <w:bookmarkStart w:id="36" w:name="_Hlk54167917"/>
      <w:r>
        <w:rPr>
          <w:rFonts w:hint="default" w:ascii="Times New Roman" w:hAnsi="Times New Roman" w:eastAsia="黑体" w:cs="Times New Roman"/>
          <w:snapToGrid w:val="0"/>
          <w:color w:val="auto"/>
          <w:sz w:val="30"/>
          <w:szCs w:val="30"/>
          <w:highlight w:val="none"/>
        </w:rPr>
        <w:t>环境保护措施监督检查清单</w:t>
      </w:r>
      <w:bookmarkEnd w:id="35"/>
      <w:bookmarkEnd w:id="36"/>
    </w:p>
    <w:tbl>
      <w:tblPr>
        <w:tblStyle w:val="32"/>
        <w:tblW w:w="90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35"/>
        <w:gridCol w:w="703"/>
        <w:gridCol w:w="947"/>
        <w:gridCol w:w="1606"/>
        <w:gridCol w:w="1703"/>
        <w:gridCol w:w="2466"/>
      </w:tblGrid>
      <w:tr w14:paraId="52947C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35" w:type="dxa"/>
            <w:tcBorders>
              <w:tl2br w:val="single" w:color="auto" w:sz="4" w:space="0"/>
            </w:tcBorders>
            <w:vAlign w:val="top"/>
          </w:tcPr>
          <w:p w14:paraId="665AAB1F">
            <w:pPr>
              <w:pStyle w:val="22"/>
              <w:keepNext w:val="0"/>
              <w:keepLines w:val="0"/>
              <w:suppressLineNumbers w:val="0"/>
              <w:bidi w:val="0"/>
              <w:spacing w:before="0" w:after="0"/>
              <w:ind w:left="0" w:right="0"/>
              <w:jc w:val="right"/>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内容</w:t>
            </w:r>
          </w:p>
          <w:p w14:paraId="4DFC296E">
            <w:pPr>
              <w:pStyle w:val="22"/>
              <w:keepNext w:val="0"/>
              <w:keepLines w:val="0"/>
              <w:suppressLineNumbers w:val="0"/>
              <w:bidi w:val="0"/>
              <w:spacing w:before="0" w:after="0"/>
              <w:ind w:left="0" w:right="0"/>
              <w:jc w:val="left"/>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要素</w:t>
            </w:r>
          </w:p>
        </w:tc>
        <w:tc>
          <w:tcPr>
            <w:tcW w:w="1650" w:type="dxa"/>
            <w:gridSpan w:val="2"/>
            <w:vAlign w:val="center"/>
          </w:tcPr>
          <w:p w14:paraId="12AE861C">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排放口</w:t>
            </w:r>
            <w:r>
              <w:rPr>
                <w:rFonts w:hint="eastAsia" w:ascii="Times New Roman" w:hAnsi="Times New Roman" w:cs="Times New Roman"/>
                <w:b/>
                <w:bCs/>
                <w:color w:val="auto"/>
                <w:highlight w:val="none"/>
                <w:lang w:eastAsia="zh-CN"/>
              </w:rPr>
              <w:t>（</w:t>
            </w:r>
            <w:r>
              <w:rPr>
                <w:rFonts w:hint="default" w:ascii="Times New Roman" w:hAnsi="Times New Roman" w:cs="Times New Roman"/>
                <w:b/>
                <w:bCs/>
                <w:color w:val="auto"/>
                <w:highlight w:val="none"/>
              </w:rPr>
              <w:t>编号、名称</w:t>
            </w:r>
            <w:r>
              <w:rPr>
                <w:rFonts w:hint="eastAsia" w:ascii="Times New Roman" w:hAnsi="Times New Roman" w:cs="Times New Roman"/>
                <w:b/>
                <w:bCs/>
                <w:color w:val="auto"/>
                <w:highlight w:val="none"/>
                <w:lang w:eastAsia="zh-CN"/>
              </w:rPr>
              <w:t>）</w:t>
            </w:r>
            <w:r>
              <w:rPr>
                <w:rFonts w:hint="default" w:ascii="Times New Roman" w:hAnsi="Times New Roman" w:cs="Times New Roman"/>
                <w:b/>
                <w:bCs/>
                <w:color w:val="auto"/>
                <w:highlight w:val="none"/>
              </w:rPr>
              <w:t>/污染源</w:t>
            </w:r>
          </w:p>
        </w:tc>
        <w:tc>
          <w:tcPr>
            <w:tcW w:w="1606" w:type="dxa"/>
            <w:vAlign w:val="center"/>
          </w:tcPr>
          <w:p w14:paraId="2558A5CD">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污染物项目</w:t>
            </w:r>
          </w:p>
        </w:tc>
        <w:tc>
          <w:tcPr>
            <w:tcW w:w="1703" w:type="dxa"/>
            <w:vAlign w:val="center"/>
          </w:tcPr>
          <w:p w14:paraId="132A1BB8">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环境保护措施</w:t>
            </w:r>
          </w:p>
        </w:tc>
        <w:tc>
          <w:tcPr>
            <w:tcW w:w="2466" w:type="dxa"/>
            <w:vAlign w:val="center"/>
          </w:tcPr>
          <w:p w14:paraId="7378CF10">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执行标准</w:t>
            </w:r>
          </w:p>
        </w:tc>
      </w:tr>
      <w:tr w14:paraId="3B6AC9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35" w:type="dxa"/>
            <w:vMerge w:val="restart"/>
            <w:vAlign w:val="center"/>
          </w:tcPr>
          <w:p w14:paraId="0913F859">
            <w:pPr>
              <w:pStyle w:val="22"/>
              <w:keepNext w:val="0"/>
              <w:keepLines w:val="0"/>
              <w:suppressLineNumbers w:val="0"/>
              <w:bidi w:val="0"/>
              <w:spacing w:before="0" w:after="0"/>
              <w:ind w:left="0" w:right="0"/>
              <w:rPr>
                <w:rFonts w:hint="default"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highlight w:val="none"/>
                <w:lang w:val="en-US" w:eastAsia="zh-CN"/>
              </w:rPr>
              <w:t>大气环境</w:t>
            </w:r>
          </w:p>
        </w:tc>
        <w:tc>
          <w:tcPr>
            <w:tcW w:w="703" w:type="dxa"/>
            <w:shd w:val="clear" w:color="auto" w:fill="auto"/>
            <w:vAlign w:val="center"/>
          </w:tcPr>
          <w:p w14:paraId="7EDE4DAE">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有组织</w:t>
            </w:r>
          </w:p>
        </w:tc>
        <w:tc>
          <w:tcPr>
            <w:tcW w:w="947" w:type="dxa"/>
            <w:shd w:val="clear" w:color="auto" w:fill="auto"/>
            <w:vAlign w:val="center"/>
          </w:tcPr>
          <w:p w14:paraId="3239ED19">
            <w:pPr>
              <w:pStyle w:val="7"/>
              <w:keepNext w:val="0"/>
              <w:keepLines w:val="0"/>
              <w:suppressLineNumbers w:val="0"/>
              <w:bidi w:val="0"/>
              <w:spacing w:before="0" w:beforeAutospacing="0" w:after="0" w:afterAutospacing="0"/>
              <w:ind w:left="0" w:leftChars="0" w:right="0" w:rightChars="0" w:firstLine="0" w:firstLineChars="0"/>
              <w:jc w:val="center"/>
              <w:rPr>
                <w:rFonts w:hint="eastAsia" w:cs="Times New Roman"/>
                <w:color w:val="auto"/>
                <w:highlight w:val="none"/>
                <w:lang w:val="en-US" w:eastAsia="zh-CN"/>
              </w:rPr>
            </w:pPr>
            <w:r>
              <w:rPr>
                <w:rFonts w:hint="eastAsia" w:cs="Times New Roman"/>
                <w:color w:val="auto"/>
                <w:highlight w:val="none"/>
                <w:lang w:val="en-US" w:eastAsia="zh-CN"/>
              </w:rPr>
              <w:t>烘干、挤出废气</w:t>
            </w:r>
          </w:p>
        </w:tc>
        <w:tc>
          <w:tcPr>
            <w:tcW w:w="1606" w:type="dxa"/>
            <w:shd w:val="clear" w:color="auto" w:fill="auto"/>
            <w:vAlign w:val="center"/>
          </w:tcPr>
          <w:p w14:paraId="2A3F7B76">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highlight w:val="none"/>
                <w:lang w:val="en-US" w:eastAsia="zh-CN"/>
              </w:rPr>
              <w:t>非甲烷总烃</w:t>
            </w:r>
            <w:r>
              <w:rPr>
                <w:rFonts w:hint="eastAsia"/>
                <w:color w:val="auto"/>
                <w:lang w:eastAsia="zh-CN"/>
              </w:rPr>
              <w:t>、</w:t>
            </w:r>
            <w:r>
              <w:rPr>
                <w:rFonts w:hint="eastAsia"/>
                <w:color w:val="auto"/>
                <w:lang w:val="en-US" w:eastAsia="zh-CN"/>
              </w:rPr>
              <w:t>氨、臭气浓度</w:t>
            </w:r>
          </w:p>
        </w:tc>
        <w:tc>
          <w:tcPr>
            <w:tcW w:w="1703" w:type="dxa"/>
            <w:shd w:val="clear" w:color="auto" w:fill="auto"/>
            <w:vAlign w:val="center"/>
          </w:tcPr>
          <w:p w14:paraId="05DD6FDF">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highlight w:val="none"/>
                <w:lang w:val="en-US" w:eastAsia="zh-CN"/>
              </w:rPr>
              <w:t>集气罩+活性炭吸附+</w:t>
            </w:r>
            <w:r>
              <w:rPr>
                <w:rFonts w:hint="eastAsia" w:ascii="Times New Roman" w:cs="Times New Roman"/>
                <w:b w:val="0"/>
                <w:color w:val="auto"/>
                <w:sz w:val="21"/>
                <w:szCs w:val="21"/>
                <w:highlight w:val="none"/>
                <w:lang w:val="en-US" w:eastAsia="zh-CN"/>
              </w:rPr>
              <w:t>1根</w:t>
            </w:r>
            <w:r>
              <w:rPr>
                <w:rFonts w:hint="eastAsia" w:cs="Times New Roman"/>
                <w:color w:val="auto"/>
                <w:highlight w:val="none"/>
                <w:lang w:val="en-US" w:eastAsia="zh-CN"/>
              </w:rPr>
              <w:t>15m高排气筒</w:t>
            </w:r>
            <w:r>
              <w:rPr>
                <w:rFonts w:hint="eastAsia"/>
                <w:color w:val="auto"/>
                <w:lang w:eastAsia="zh-CN"/>
              </w:rPr>
              <w:t>（</w:t>
            </w:r>
            <w:r>
              <w:rPr>
                <w:rFonts w:hint="eastAsia"/>
                <w:color w:val="auto"/>
                <w:lang w:val="en-US" w:eastAsia="zh-CN"/>
              </w:rPr>
              <w:t>DA005</w:t>
            </w:r>
            <w:r>
              <w:rPr>
                <w:rFonts w:hint="eastAsia"/>
                <w:color w:val="auto"/>
                <w:lang w:eastAsia="zh-CN"/>
              </w:rPr>
              <w:t>）</w:t>
            </w:r>
          </w:p>
        </w:tc>
        <w:tc>
          <w:tcPr>
            <w:tcW w:w="2466" w:type="dxa"/>
            <w:tcBorders>
              <w:top w:val="single" w:color="000000" w:sz="6" w:space="0"/>
            </w:tcBorders>
            <w:vAlign w:val="center"/>
          </w:tcPr>
          <w:p w14:paraId="348E472F">
            <w:pPr>
              <w:pStyle w:val="7"/>
              <w:keepNext w:val="0"/>
              <w:keepLines w:val="0"/>
              <w:suppressLineNumbers w:val="0"/>
              <w:bidi w:val="0"/>
              <w:spacing w:before="0" w:beforeAutospacing="0" w:after="0" w:afterAutospacing="0"/>
              <w:ind w:left="0" w:right="0"/>
              <w:jc w:val="both"/>
              <w:rPr>
                <w:rFonts w:hint="default" w:eastAsia="宋体"/>
                <w:color w:val="auto"/>
                <w:highlight w:val="none"/>
                <w:lang w:val="en-US" w:eastAsia="zh-CN"/>
              </w:rPr>
            </w:pPr>
            <w:r>
              <w:rPr>
                <w:rFonts w:hint="eastAsia" w:cs="Times New Roman"/>
                <w:color w:val="auto"/>
                <w:highlight w:val="none"/>
                <w:lang w:val="en-US" w:eastAsia="zh-CN"/>
              </w:rPr>
              <w:t>《挥发性有机物排放标准第4部分：塑料制品业》（DB36/1101.4-2019）、《恶臭污染物排放标准》（GB14554-93）、《合成树脂工业污染物排放标准》（GB 3157-2015，含2024年修改单）标准</w:t>
            </w:r>
          </w:p>
        </w:tc>
      </w:tr>
      <w:tr w14:paraId="25937F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35" w:type="dxa"/>
            <w:vMerge w:val="continue"/>
            <w:vAlign w:val="center"/>
          </w:tcPr>
          <w:p w14:paraId="23C1C6DD">
            <w:pPr>
              <w:pStyle w:val="7"/>
              <w:keepNext w:val="0"/>
              <w:keepLines w:val="0"/>
              <w:suppressLineNumbers w:val="0"/>
              <w:bidi w:val="0"/>
              <w:spacing w:before="0" w:beforeAutospacing="0" w:after="0" w:afterAutospacing="0"/>
              <w:ind w:left="0" w:leftChars="0" w:right="0" w:rightChars="0" w:firstLine="0" w:firstLineChars="0"/>
              <w:jc w:val="center"/>
              <w:rPr>
                <w:rFonts w:hint="default"/>
                <w:color w:val="auto"/>
              </w:rPr>
            </w:pPr>
          </w:p>
        </w:tc>
        <w:tc>
          <w:tcPr>
            <w:tcW w:w="703" w:type="dxa"/>
            <w:vMerge w:val="restart"/>
            <w:shd w:val="clear" w:color="auto" w:fill="auto"/>
            <w:vAlign w:val="center"/>
          </w:tcPr>
          <w:p w14:paraId="50387735">
            <w:pPr>
              <w:pStyle w:val="7"/>
              <w:keepNext w:val="0"/>
              <w:keepLines w:val="0"/>
              <w:suppressLineNumbers w:val="0"/>
              <w:bidi w:val="0"/>
              <w:spacing w:before="0" w:beforeAutospacing="0" w:after="0" w:afterAutospacing="0"/>
              <w:ind w:left="0" w:leftChars="0" w:right="0" w:rightChars="0" w:firstLine="0" w:firstLineChars="0"/>
              <w:jc w:val="center"/>
              <w:rPr>
                <w:rFonts w:hint="eastAsia" w:eastAsia="宋体"/>
                <w:color w:val="auto"/>
                <w:lang w:val="en-US" w:eastAsia="zh-CN"/>
              </w:rPr>
            </w:pPr>
            <w:r>
              <w:rPr>
                <w:rFonts w:hint="eastAsia"/>
                <w:color w:val="auto"/>
                <w:lang w:val="en-US" w:eastAsia="zh-CN"/>
              </w:rPr>
              <w:t>无组织</w:t>
            </w:r>
          </w:p>
        </w:tc>
        <w:tc>
          <w:tcPr>
            <w:tcW w:w="947" w:type="dxa"/>
            <w:shd w:val="clear" w:color="auto" w:fill="auto"/>
            <w:vAlign w:val="center"/>
          </w:tcPr>
          <w:p w14:paraId="6CBCD8C4">
            <w:pPr>
              <w:pStyle w:val="7"/>
              <w:keepNext w:val="0"/>
              <w:keepLines w:val="0"/>
              <w:suppressLineNumbers w:val="0"/>
              <w:bidi w:val="0"/>
              <w:spacing w:before="0" w:beforeAutospacing="0" w:after="0" w:afterAutospacing="0"/>
              <w:ind w:left="0" w:leftChars="0" w:right="0" w:rightChars="0" w:firstLine="0" w:firstLineChars="0"/>
              <w:jc w:val="center"/>
              <w:rPr>
                <w:rFonts w:hint="default" w:cs="Times New Roman"/>
                <w:color w:val="auto"/>
                <w:highlight w:val="none"/>
                <w:lang w:val="en-US" w:eastAsia="zh-CN"/>
              </w:rPr>
            </w:pPr>
            <w:r>
              <w:rPr>
                <w:rFonts w:hint="eastAsia" w:cs="Times New Roman"/>
                <w:color w:val="auto"/>
                <w:highlight w:val="none"/>
                <w:lang w:val="en-US" w:eastAsia="zh-CN"/>
              </w:rPr>
              <w:t>烘干、挤出废气</w:t>
            </w:r>
          </w:p>
        </w:tc>
        <w:tc>
          <w:tcPr>
            <w:tcW w:w="1606" w:type="dxa"/>
            <w:shd w:val="clear" w:color="auto" w:fill="auto"/>
            <w:vAlign w:val="center"/>
          </w:tcPr>
          <w:p w14:paraId="59863421">
            <w:pPr>
              <w:pStyle w:val="7"/>
              <w:keepNext w:val="0"/>
              <w:keepLines w:val="0"/>
              <w:suppressLineNumbers w:val="0"/>
              <w:bidi w:val="0"/>
              <w:spacing w:before="0" w:beforeAutospacing="0" w:after="0" w:afterAutospacing="0"/>
              <w:ind w:left="0" w:leftChars="0" w:right="0" w:rightChars="0" w:firstLine="0" w:firstLineChars="0"/>
              <w:jc w:val="center"/>
              <w:rPr>
                <w:rFonts w:hint="default" w:cs="Times New Roman"/>
                <w:color w:val="auto"/>
                <w:highlight w:val="none"/>
                <w:lang w:val="en-US" w:eastAsia="zh-CN"/>
              </w:rPr>
            </w:pPr>
            <w:r>
              <w:rPr>
                <w:rFonts w:hint="eastAsia" w:cs="Times New Roman"/>
                <w:color w:val="auto"/>
                <w:highlight w:val="none"/>
                <w:lang w:val="en-US" w:eastAsia="zh-CN"/>
              </w:rPr>
              <w:t>非甲烷总烃</w:t>
            </w:r>
            <w:r>
              <w:rPr>
                <w:rFonts w:hint="eastAsia"/>
                <w:color w:val="auto"/>
                <w:lang w:eastAsia="zh-CN"/>
              </w:rPr>
              <w:t>、</w:t>
            </w:r>
            <w:r>
              <w:rPr>
                <w:rFonts w:hint="eastAsia"/>
                <w:color w:val="auto"/>
                <w:lang w:val="en-US" w:eastAsia="zh-CN"/>
              </w:rPr>
              <w:t>氨、臭气浓度</w:t>
            </w:r>
          </w:p>
        </w:tc>
        <w:tc>
          <w:tcPr>
            <w:tcW w:w="1703" w:type="dxa"/>
            <w:shd w:val="clear" w:color="auto" w:fill="auto"/>
            <w:vAlign w:val="center"/>
          </w:tcPr>
          <w:p w14:paraId="29A56D68">
            <w:pPr>
              <w:pStyle w:val="7"/>
              <w:keepNext w:val="0"/>
              <w:keepLines w:val="0"/>
              <w:suppressLineNumbers w:val="0"/>
              <w:bidi w:val="0"/>
              <w:spacing w:before="0" w:beforeAutospacing="0" w:after="0" w:afterAutospacing="0"/>
              <w:ind w:left="0" w:leftChars="0" w:right="0" w:rightChars="0" w:firstLine="0" w:firstLineChars="0"/>
              <w:jc w:val="center"/>
              <w:rPr>
                <w:rFonts w:hint="default" w:cs="Times New Roman"/>
                <w:color w:val="auto"/>
                <w:highlight w:val="none"/>
                <w:lang w:val="en-US" w:eastAsia="zh-CN"/>
              </w:rPr>
            </w:pPr>
            <w:r>
              <w:rPr>
                <w:rFonts w:hint="eastAsia" w:cs="Times New Roman"/>
                <w:color w:val="auto"/>
                <w:highlight w:val="none"/>
                <w:lang w:val="en-US" w:eastAsia="zh-CN"/>
              </w:rPr>
              <w:t>/</w:t>
            </w:r>
          </w:p>
        </w:tc>
        <w:tc>
          <w:tcPr>
            <w:tcW w:w="2466" w:type="dxa"/>
            <w:vAlign w:val="center"/>
          </w:tcPr>
          <w:p w14:paraId="088B8AB2">
            <w:pPr>
              <w:pStyle w:val="7"/>
              <w:keepNext w:val="0"/>
              <w:keepLines w:val="0"/>
              <w:suppressLineNumbers w:val="0"/>
              <w:bidi w:val="0"/>
              <w:spacing w:before="0" w:beforeAutospacing="0" w:after="0" w:afterAutospacing="0"/>
              <w:ind w:left="0" w:leftChars="0" w:right="0" w:rightChars="0" w:firstLine="0" w:firstLineChars="0"/>
              <w:jc w:val="center"/>
              <w:rPr>
                <w:rFonts w:hint="default" w:cs="Times New Roman"/>
                <w:color w:val="auto"/>
                <w:highlight w:val="none"/>
                <w:lang w:val="en-US" w:eastAsia="zh-CN"/>
              </w:rPr>
            </w:pPr>
            <w:r>
              <w:rPr>
                <w:rFonts w:hint="eastAsia" w:cs="Times New Roman"/>
                <w:color w:val="auto"/>
                <w:highlight w:val="none"/>
                <w:lang w:val="en-US" w:eastAsia="zh-CN"/>
              </w:rPr>
              <w:t>《挥发性有机物排放标准第4部分：塑料制品业》（DB36/1101.4-2019）、《恶臭污染物排放标准》（GB14554-93）</w:t>
            </w:r>
          </w:p>
        </w:tc>
      </w:tr>
      <w:tr w14:paraId="1ABAAF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35" w:type="dxa"/>
            <w:vMerge w:val="continue"/>
            <w:vAlign w:val="center"/>
          </w:tcPr>
          <w:p w14:paraId="4038F691">
            <w:pPr>
              <w:pStyle w:val="7"/>
              <w:keepNext w:val="0"/>
              <w:keepLines w:val="0"/>
              <w:suppressLineNumbers w:val="0"/>
              <w:bidi w:val="0"/>
              <w:spacing w:before="0" w:beforeAutospacing="0" w:after="0" w:afterAutospacing="0"/>
              <w:ind w:left="0" w:leftChars="0" w:right="0" w:rightChars="0" w:firstLine="0" w:firstLineChars="0"/>
              <w:jc w:val="center"/>
              <w:rPr>
                <w:rFonts w:hint="default"/>
                <w:color w:val="auto"/>
              </w:rPr>
            </w:pPr>
          </w:p>
        </w:tc>
        <w:tc>
          <w:tcPr>
            <w:tcW w:w="703" w:type="dxa"/>
            <w:vMerge w:val="continue"/>
            <w:shd w:val="clear" w:color="auto" w:fill="auto"/>
            <w:vAlign w:val="center"/>
          </w:tcPr>
          <w:p w14:paraId="1406BE4B">
            <w:pPr>
              <w:pStyle w:val="7"/>
              <w:keepNext w:val="0"/>
              <w:keepLines w:val="0"/>
              <w:suppressLineNumbers w:val="0"/>
              <w:bidi w:val="0"/>
              <w:spacing w:before="0" w:beforeAutospacing="0" w:after="0" w:afterAutospacing="0"/>
              <w:ind w:left="0" w:leftChars="0" w:right="0" w:rightChars="0" w:firstLine="0" w:firstLineChars="0"/>
              <w:jc w:val="center"/>
              <w:rPr>
                <w:rFonts w:hint="eastAsia"/>
                <w:color w:val="auto"/>
                <w:lang w:val="en-US" w:eastAsia="zh-CN"/>
              </w:rPr>
            </w:pPr>
          </w:p>
        </w:tc>
        <w:tc>
          <w:tcPr>
            <w:tcW w:w="947" w:type="dxa"/>
            <w:shd w:val="clear" w:color="auto" w:fill="auto"/>
            <w:vAlign w:val="center"/>
          </w:tcPr>
          <w:p w14:paraId="789B640B">
            <w:pPr>
              <w:pStyle w:val="7"/>
              <w:keepNext w:val="0"/>
              <w:keepLines w:val="0"/>
              <w:suppressLineNumbers w:val="0"/>
              <w:bidi w:val="0"/>
              <w:spacing w:before="0" w:beforeAutospacing="0" w:after="0" w:afterAutospacing="0"/>
              <w:ind w:left="0" w:leftChars="0" w:right="0" w:rightChars="0" w:firstLine="0" w:firstLineChars="0"/>
              <w:jc w:val="center"/>
              <w:rPr>
                <w:rFonts w:hint="default" w:cs="Times New Roman"/>
                <w:color w:val="auto"/>
                <w:highlight w:val="none"/>
                <w:lang w:val="en-US" w:eastAsia="zh-CN"/>
              </w:rPr>
            </w:pPr>
            <w:r>
              <w:rPr>
                <w:rFonts w:hint="eastAsia" w:cs="Times New Roman"/>
                <w:color w:val="auto"/>
                <w:highlight w:val="none"/>
                <w:lang w:val="en-US" w:eastAsia="zh-CN"/>
              </w:rPr>
              <w:t>危废暂存间废气</w:t>
            </w:r>
          </w:p>
        </w:tc>
        <w:tc>
          <w:tcPr>
            <w:tcW w:w="1606" w:type="dxa"/>
            <w:shd w:val="clear" w:color="auto" w:fill="auto"/>
            <w:vAlign w:val="center"/>
          </w:tcPr>
          <w:p w14:paraId="4CB44BC2">
            <w:pPr>
              <w:pStyle w:val="7"/>
              <w:keepNext w:val="0"/>
              <w:keepLines w:val="0"/>
              <w:suppressLineNumbers w:val="0"/>
              <w:bidi w:val="0"/>
              <w:spacing w:before="0" w:beforeAutospacing="0" w:after="0" w:afterAutospacing="0"/>
              <w:ind w:left="0" w:leftChars="0" w:right="0" w:rightChars="0" w:firstLine="0" w:firstLineChars="0"/>
              <w:jc w:val="center"/>
              <w:rPr>
                <w:rFonts w:hint="eastAsia" w:cs="Times New Roman"/>
                <w:color w:val="auto"/>
                <w:highlight w:val="none"/>
                <w:lang w:val="en-US" w:eastAsia="zh-CN"/>
              </w:rPr>
            </w:pPr>
            <w:r>
              <w:rPr>
                <w:rFonts w:hint="eastAsia" w:cs="Times New Roman"/>
                <w:color w:val="auto"/>
                <w:highlight w:val="none"/>
                <w:lang w:val="en-US" w:eastAsia="zh-CN"/>
              </w:rPr>
              <w:t>/</w:t>
            </w:r>
          </w:p>
        </w:tc>
        <w:tc>
          <w:tcPr>
            <w:tcW w:w="1703" w:type="dxa"/>
            <w:shd w:val="clear" w:color="auto" w:fill="auto"/>
            <w:vAlign w:val="center"/>
          </w:tcPr>
          <w:p w14:paraId="7574D6DE">
            <w:pPr>
              <w:pStyle w:val="7"/>
              <w:keepNext w:val="0"/>
              <w:keepLines w:val="0"/>
              <w:suppressLineNumbers w:val="0"/>
              <w:bidi w:val="0"/>
              <w:spacing w:before="0" w:beforeAutospacing="0" w:after="0" w:afterAutospacing="0"/>
              <w:ind w:left="0" w:leftChars="0" w:right="0" w:rightChars="0" w:firstLine="0" w:firstLineChars="0"/>
              <w:jc w:val="center"/>
              <w:rPr>
                <w:rFonts w:hint="default" w:cs="Times New Roman"/>
                <w:color w:val="auto"/>
                <w:highlight w:val="none"/>
                <w:lang w:val="en-US" w:eastAsia="zh-CN"/>
              </w:rPr>
            </w:pPr>
            <w:r>
              <w:rPr>
                <w:rFonts w:hint="eastAsia" w:cs="Times New Roman"/>
                <w:color w:val="auto"/>
                <w:highlight w:val="none"/>
                <w:lang w:val="en-US" w:eastAsia="zh-CN"/>
              </w:rPr>
              <w:t>废活性炭袋装密封</w:t>
            </w:r>
          </w:p>
        </w:tc>
        <w:tc>
          <w:tcPr>
            <w:tcW w:w="2466" w:type="dxa"/>
            <w:vAlign w:val="center"/>
          </w:tcPr>
          <w:p w14:paraId="1579A877">
            <w:pPr>
              <w:pStyle w:val="7"/>
              <w:keepNext w:val="0"/>
              <w:keepLines w:val="0"/>
              <w:suppressLineNumbers w:val="0"/>
              <w:bidi w:val="0"/>
              <w:spacing w:before="0" w:beforeAutospacing="0" w:after="0" w:afterAutospacing="0"/>
              <w:ind w:left="0" w:leftChars="0" w:right="0" w:rightChars="0" w:firstLine="0" w:firstLineChars="0"/>
              <w:jc w:val="center"/>
              <w:rPr>
                <w:rFonts w:hint="default" w:cs="Times New Roman"/>
                <w:color w:val="auto"/>
                <w:highlight w:val="none"/>
                <w:lang w:val="en-US" w:eastAsia="zh-CN"/>
              </w:rPr>
            </w:pPr>
            <w:r>
              <w:rPr>
                <w:rFonts w:hint="eastAsia" w:cs="Times New Roman"/>
                <w:color w:val="auto"/>
                <w:highlight w:val="none"/>
                <w:lang w:val="en-US" w:eastAsia="zh-CN"/>
              </w:rPr>
              <w:t>/</w:t>
            </w:r>
          </w:p>
        </w:tc>
      </w:tr>
      <w:tr w14:paraId="62DE3E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635" w:type="dxa"/>
            <w:vMerge w:val="restart"/>
            <w:vAlign w:val="center"/>
          </w:tcPr>
          <w:p w14:paraId="3B78BC92">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地表水环境</w:t>
            </w:r>
          </w:p>
        </w:tc>
        <w:tc>
          <w:tcPr>
            <w:tcW w:w="1650" w:type="dxa"/>
            <w:gridSpan w:val="2"/>
            <w:vAlign w:val="center"/>
          </w:tcPr>
          <w:p w14:paraId="6F71D406">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color w:val="auto"/>
                <w:sz w:val="21"/>
                <w:szCs w:val="21"/>
                <w:highlight w:val="none"/>
                <w:lang w:val="en-US" w:eastAsia="zh-CN"/>
              </w:rPr>
            </w:pPr>
            <w:r>
              <w:rPr>
                <w:rFonts w:hint="default" w:ascii="Times New Roman" w:hAnsi="Times New Roman" w:eastAsia="宋体" w:cs="Times New Roman"/>
                <w:color w:val="auto"/>
                <w:sz w:val="21"/>
                <w:szCs w:val="21"/>
                <w:highlight w:val="none"/>
              </w:rPr>
              <w:t>生活污水</w:t>
            </w:r>
          </w:p>
        </w:tc>
        <w:tc>
          <w:tcPr>
            <w:tcW w:w="1606" w:type="dxa"/>
            <w:vAlign w:val="center"/>
          </w:tcPr>
          <w:p w14:paraId="3412734E">
            <w:pPr>
              <w:pStyle w:val="7"/>
              <w:keepNext w:val="0"/>
              <w:keepLines w:val="0"/>
              <w:suppressLineNumbers w:val="0"/>
              <w:bidi w:val="0"/>
              <w:spacing w:before="0" w:beforeAutospacing="0" w:after="0" w:afterAutospacing="0"/>
              <w:ind w:left="0" w:leftChars="0" w:right="0" w:rightChars="0" w:firstLine="0" w:firstLineChars="0"/>
              <w:jc w:val="center"/>
              <w:rPr>
                <w:rFonts w:hint="default" w:eastAsia="宋体"/>
                <w:color w:val="auto"/>
                <w:sz w:val="21"/>
                <w:szCs w:val="21"/>
                <w:highlight w:val="none"/>
                <w:lang w:val="en-US" w:eastAsia="zh-CN"/>
              </w:rPr>
            </w:pPr>
            <w:r>
              <w:rPr>
                <w:rFonts w:hint="default" w:ascii="Times New Roman" w:hAnsi="Times New Roman" w:cs="Times New Roman"/>
                <w:color w:val="auto"/>
                <w:highlight w:val="none"/>
                <w:lang w:val="en-US" w:eastAsia="zh-CN"/>
              </w:rPr>
              <w:t>pH、</w:t>
            </w:r>
            <w:r>
              <w:rPr>
                <w:rFonts w:hint="default" w:ascii="Times New Roman" w:hAnsi="Times New Roman" w:cs="Times New Roman"/>
                <w:color w:val="auto"/>
                <w:highlight w:val="none"/>
              </w:rPr>
              <w:t>COD</w:t>
            </w:r>
            <w:r>
              <w:rPr>
                <w:rFonts w:hint="eastAsia" w:cs="Times New Roman"/>
                <w:color w:val="auto"/>
                <w:highlight w:val="none"/>
                <w:vertAlign w:val="subscript"/>
                <w:lang w:val="en-US" w:eastAsia="zh-CN"/>
              </w:rPr>
              <w:t>Cr</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BOD</w:t>
            </w:r>
            <w:r>
              <w:rPr>
                <w:rFonts w:hint="default" w:ascii="Times New Roman" w:hAnsi="Times New Roman" w:cs="Times New Roman"/>
                <w:color w:val="auto"/>
                <w:highlight w:val="none"/>
                <w:vertAlign w:val="subscript"/>
              </w:rPr>
              <w:t>5</w:t>
            </w:r>
            <w:r>
              <w:rPr>
                <w:rFonts w:hint="eastAsia" w:cs="Times New Roman"/>
                <w:color w:val="auto"/>
                <w:highlight w:val="none"/>
                <w:vertAlign w:val="baseline"/>
                <w:lang w:eastAsia="zh-CN"/>
              </w:rPr>
              <w:t>、</w:t>
            </w:r>
            <w:r>
              <w:rPr>
                <w:rFonts w:hint="default" w:ascii="Times New Roman" w:hAnsi="Times New Roman" w:cs="Times New Roman"/>
                <w:color w:val="auto"/>
                <w:highlight w:val="none"/>
              </w:rPr>
              <w:t>NH</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-N、SS</w:t>
            </w:r>
            <w:r>
              <w:rPr>
                <w:rFonts w:hint="eastAsia" w:cs="Times New Roman"/>
                <w:color w:val="auto"/>
                <w:highlight w:val="none"/>
                <w:lang w:eastAsia="zh-CN"/>
              </w:rPr>
              <w:t>、</w:t>
            </w:r>
            <w:r>
              <w:rPr>
                <w:rFonts w:hint="eastAsia"/>
                <w:color w:val="auto"/>
                <w:sz w:val="21"/>
                <w:szCs w:val="21"/>
                <w:highlight w:val="none"/>
                <w:lang w:val="en-US" w:eastAsia="zh-CN"/>
              </w:rPr>
              <w:t>TP、总氮、动植物油、石油类</w:t>
            </w:r>
          </w:p>
        </w:tc>
        <w:tc>
          <w:tcPr>
            <w:tcW w:w="1703" w:type="dxa"/>
            <w:vAlign w:val="center"/>
          </w:tcPr>
          <w:p w14:paraId="258B3E0D">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eastAsia="宋体"/>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隔油池+</w:t>
            </w:r>
            <w:r>
              <w:rPr>
                <w:rFonts w:hint="default" w:ascii="Times New Roman" w:hAnsi="Times New Roman" w:eastAsia="宋体" w:cs="Times New Roman"/>
                <w:color w:val="000000" w:themeColor="text1"/>
                <w:sz w:val="21"/>
                <w:szCs w:val="21"/>
                <w:highlight w:val="none"/>
                <w14:textFill>
                  <w14:solidFill>
                    <w14:schemeClr w14:val="tx1"/>
                  </w14:solidFill>
                </w14:textFill>
              </w:rPr>
              <w:t>化粪池</w:t>
            </w:r>
            <w:r>
              <w:rPr>
                <w:rFonts w:hint="eastAsia" w:cs="Times New Roman"/>
                <w:color w:val="000000" w:themeColor="text1"/>
                <w:sz w:val="21"/>
                <w:szCs w:val="21"/>
                <w:highlight w:val="none"/>
                <w:lang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依托</w:t>
            </w:r>
            <w:r>
              <w:rPr>
                <w:rFonts w:hint="eastAsia" w:cs="Times New Roman"/>
                <w:color w:val="000000" w:themeColor="text1"/>
                <w:sz w:val="21"/>
                <w:szCs w:val="21"/>
                <w:highlight w:val="none"/>
                <w:lang w:eastAsia="zh-CN"/>
                <w14:textFill>
                  <w14:solidFill>
                    <w14:schemeClr w14:val="tx1"/>
                  </w14:solidFill>
                </w14:textFill>
              </w:rPr>
              <w:t>）</w:t>
            </w:r>
          </w:p>
        </w:tc>
        <w:tc>
          <w:tcPr>
            <w:tcW w:w="2466" w:type="dxa"/>
            <w:vMerge w:val="restart"/>
            <w:vAlign w:val="center"/>
          </w:tcPr>
          <w:p w14:paraId="108B704D">
            <w:pPr>
              <w:pStyle w:val="7"/>
              <w:keepNext w:val="0"/>
              <w:keepLines w:val="0"/>
              <w:suppressLineNumbers w:val="0"/>
              <w:bidi w:val="0"/>
              <w:spacing w:before="0" w:beforeAutospacing="0" w:after="0" w:afterAutospacing="0"/>
              <w:ind w:left="0" w:right="0"/>
              <w:jc w:val="both"/>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《污水综合排放标准》(GB8978-1996)表4中三级标准及江西安义高新技术产业园区污水处理厂</w:t>
            </w:r>
            <w:r>
              <w:rPr>
                <w:rFonts w:hint="default" w:ascii="Times New Roman" w:hAnsi="Times New Roman" w:eastAsia="宋体" w:cs="Times New Roman"/>
                <w:color w:val="000000" w:themeColor="text1"/>
                <w:sz w:val="21"/>
                <w:szCs w:val="21"/>
                <w:highlight w:val="none"/>
                <w14:textFill>
                  <w14:solidFill>
                    <w14:schemeClr w14:val="tx1"/>
                  </w14:solidFill>
                </w14:textFill>
              </w:rPr>
              <w:t>接管标准</w:t>
            </w:r>
          </w:p>
        </w:tc>
      </w:tr>
      <w:tr w14:paraId="58A93D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635" w:type="dxa"/>
            <w:vMerge w:val="continue"/>
            <w:vAlign w:val="center"/>
          </w:tcPr>
          <w:p w14:paraId="54A7A37D">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p>
        </w:tc>
        <w:tc>
          <w:tcPr>
            <w:tcW w:w="1650" w:type="dxa"/>
            <w:gridSpan w:val="2"/>
            <w:vAlign w:val="center"/>
          </w:tcPr>
          <w:p w14:paraId="5FA3936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冷却水定排水</w:t>
            </w:r>
          </w:p>
        </w:tc>
        <w:tc>
          <w:tcPr>
            <w:tcW w:w="1606" w:type="dxa"/>
            <w:vAlign w:val="center"/>
          </w:tcPr>
          <w:p w14:paraId="0DB88E1A">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COD</w:t>
            </w:r>
            <w:r>
              <w:rPr>
                <w:rFonts w:hint="eastAsia" w:cs="Times New Roman"/>
                <w:color w:val="auto"/>
                <w:highlight w:val="none"/>
                <w:vertAlign w:val="subscript"/>
                <w:lang w:val="en-US" w:eastAsia="zh-CN"/>
              </w:rPr>
              <w:t>Cr</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SS</w:t>
            </w:r>
          </w:p>
        </w:tc>
        <w:tc>
          <w:tcPr>
            <w:tcW w:w="1703" w:type="dxa"/>
            <w:vAlign w:val="center"/>
          </w:tcPr>
          <w:p w14:paraId="513649DB">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466" w:type="dxa"/>
            <w:vMerge w:val="continue"/>
            <w:vAlign w:val="center"/>
          </w:tcPr>
          <w:p w14:paraId="36D346BD">
            <w:pPr>
              <w:pStyle w:val="7"/>
              <w:keepNext w:val="0"/>
              <w:keepLines w:val="0"/>
              <w:suppressLineNumbers w:val="0"/>
              <w:bidi w:val="0"/>
              <w:spacing w:before="0" w:beforeAutospacing="0" w:after="0" w:afterAutospacing="0"/>
              <w:ind w:left="0" w:right="0"/>
              <w:jc w:val="both"/>
              <w:rPr>
                <w:rFonts w:hint="eastAsia"/>
                <w:color w:val="auto"/>
                <w:highlight w:val="none"/>
                <w:lang w:val="en-US" w:eastAsia="zh-CN"/>
              </w:rPr>
            </w:pPr>
          </w:p>
        </w:tc>
      </w:tr>
      <w:tr w14:paraId="4DE4E5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35" w:type="dxa"/>
            <w:vAlign w:val="center"/>
          </w:tcPr>
          <w:p w14:paraId="0FE307E4">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声环境</w:t>
            </w:r>
          </w:p>
        </w:tc>
        <w:tc>
          <w:tcPr>
            <w:tcW w:w="1650" w:type="dxa"/>
            <w:gridSpan w:val="2"/>
            <w:vAlign w:val="center"/>
          </w:tcPr>
          <w:p w14:paraId="6A04343A">
            <w:pPr>
              <w:pStyle w:val="7"/>
              <w:keepNext w:val="0"/>
              <w:keepLines w:val="0"/>
              <w:suppressLineNumbers w:val="0"/>
              <w:bidi w:val="0"/>
              <w:spacing w:before="0" w:beforeAutospacing="0" w:after="0" w:afterAutospacing="0"/>
              <w:ind w:left="0" w:right="0"/>
              <w:jc w:val="center"/>
              <w:rPr>
                <w:rFonts w:hint="default"/>
                <w:color w:val="auto"/>
                <w:sz w:val="21"/>
                <w:szCs w:val="21"/>
                <w:highlight w:val="none"/>
                <w:lang w:val="en-US" w:eastAsia="zh-CN"/>
              </w:rPr>
            </w:pPr>
            <w:r>
              <w:rPr>
                <w:rFonts w:hint="default"/>
                <w:color w:val="auto"/>
                <w:sz w:val="21"/>
                <w:szCs w:val="21"/>
                <w:highlight w:val="none"/>
                <w:lang w:val="en-US" w:eastAsia="zh-CN"/>
              </w:rPr>
              <w:t>生产噪声</w:t>
            </w:r>
          </w:p>
        </w:tc>
        <w:tc>
          <w:tcPr>
            <w:tcW w:w="1606" w:type="dxa"/>
            <w:vAlign w:val="center"/>
          </w:tcPr>
          <w:p w14:paraId="73303781">
            <w:pPr>
              <w:pStyle w:val="7"/>
              <w:keepNext w:val="0"/>
              <w:keepLines w:val="0"/>
              <w:suppressLineNumbers w:val="0"/>
              <w:bidi w:val="0"/>
              <w:spacing w:before="0" w:beforeAutospacing="0" w:after="0" w:afterAutospacing="0"/>
              <w:ind w:left="0" w:right="0"/>
              <w:jc w:val="center"/>
              <w:rPr>
                <w:rFonts w:hint="default"/>
                <w:color w:val="auto"/>
                <w:sz w:val="21"/>
                <w:szCs w:val="21"/>
                <w:highlight w:val="none"/>
                <w:lang w:val="en-US" w:eastAsia="zh-CN"/>
              </w:rPr>
            </w:pPr>
            <w:r>
              <w:rPr>
                <w:rFonts w:hint="default"/>
                <w:color w:val="auto"/>
                <w:sz w:val="21"/>
                <w:szCs w:val="21"/>
                <w:highlight w:val="none"/>
                <w:lang w:val="en-US" w:eastAsia="zh-CN"/>
              </w:rPr>
              <w:t>噪声</w:t>
            </w:r>
          </w:p>
        </w:tc>
        <w:tc>
          <w:tcPr>
            <w:tcW w:w="1703" w:type="dxa"/>
            <w:vAlign w:val="center"/>
          </w:tcPr>
          <w:p w14:paraId="4FF0EA57">
            <w:pPr>
              <w:pStyle w:val="7"/>
              <w:keepNext w:val="0"/>
              <w:keepLines w:val="0"/>
              <w:suppressLineNumbers w:val="0"/>
              <w:bidi w:val="0"/>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减振、隔声、距离衰减</w:t>
            </w:r>
          </w:p>
        </w:tc>
        <w:tc>
          <w:tcPr>
            <w:tcW w:w="2466" w:type="dxa"/>
            <w:vAlign w:val="center"/>
          </w:tcPr>
          <w:p w14:paraId="287C3E1C">
            <w:pPr>
              <w:pStyle w:val="7"/>
              <w:keepNext w:val="0"/>
              <w:keepLines w:val="0"/>
              <w:suppressLineNumbers w:val="0"/>
              <w:bidi w:val="0"/>
              <w:spacing w:before="0" w:beforeAutospacing="0" w:after="0" w:afterAutospacing="0"/>
              <w:ind w:left="0" w:right="0"/>
              <w:jc w:val="left"/>
              <w:rPr>
                <w:rFonts w:hint="default"/>
                <w:color w:val="auto"/>
                <w:highlight w:val="none"/>
                <w:lang w:val="en-US"/>
              </w:rPr>
            </w:pPr>
            <w:r>
              <w:rPr>
                <w:rFonts w:hint="default"/>
                <w:color w:val="auto"/>
                <w:highlight w:val="none"/>
              </w:rPr>
              <w:t>《工业企业厂界环境噪声排放标准》（GB12348-2008）</w:t>
            </w:r>
            <w:r>
              <w:rPr>
                <w:rFonts w:hint="eastAsia"/>
                <w:color w:val="auto"/>
                <w:highlight w:val="none"/>
                <w:lang w:val="en-US" w:eastAsia="zh-CN"/>
              </w:rPr>
              <w:t>3类标准</w:t>
            </w:r>
          </w:p>
        </w:tc>
      </w:tr>
      <w:tr w14:paraId="11CF29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35" w:type="dxa"/>
            <w:vAlign w:val="center"/>
          </w:tcPr>
          <w:p w14:paraId="2EE0864F">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电磁辐射</w:t>
            </w:r>
          </w:p>
        </w:tc>
        <w:tc>
          <w:tcPr>
            <w:tcW w:w="7425" w:type="dxa"/>
            <w:gridSpan w:val="5"/>
            <w:vAlign w:val="center"/>
          </w:tcPr>
          <w:p w14:paraId="3B0010B1">
            <w:pPr>
              <w:pStyle w:val="61"/>
              <w:keepNext w:val="0"/>
              <w:keepLines w:val="0"/>
              <w:suppressLineNumbers w:val="0"/>
              <w:bidi w:val="0"/>
              <w:spacing w:before="0" w:beforeAutospacing="0" w:after="0" w:afterAutospacing="0"/>
              <w:ind w:left="0" w:right="0"/>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无</w:t>
            </w:r>
          </w:p>
        </w:tc>
      </w:tr>
      <w:tr w14:paraId="1768F4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635" w:type="dxa"/>
            <w:vMerge w:val="restart"/>
            <w:vAlign w:val="center"/>
          </w:tcPr>
          <w:p w14:paraId="6AC3744C">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固体废物</w:t>
            </w:r>
          </w:p>
        </w:tc>
        <w:tc>
          <w:tcPr>
            <w:tcW w:w="1650" w:type="dxa"/>
            <w:gridSpan w:val="2"/>
            <w:tcBorders>
              <w:bottom w:val="single" w:color="auto" w:sz="4" w:space="0"/>
            </w:tcBorders>
            <w:vAlign w:val="center"/>
          </w:tcPr>
          <w:p w14:paraId="41ADBB42">
            <w:pPr>
              <w:pStyle w:val="7"/>
              <w:keepNext w:val="0"/>
              <w:keepLines w:val="0"/>
              <w:suppressLineNumbers w:val="0"/>
              <w:bidi w:val="0"/>
              <w:spacing w:before="0" w:beforeAutospacing="0" w:after="0" w:afterAutospacing="0"/>
              <w:ind w:left="0" w:right="0"/>
              <w:jc w:val="center"/>
              <w:rPr>
                <w:rFonts w:hint="default"/>
                <w:color w:val="auto"/>
                <w:sz w:val="21"/>
                <w:szCs w:val="21"/>
                <w:highlight w:val="none"/>
                <w:lang w:val="en-US" w:eastAsia="zh-CN"/>
              </w:rPr>
            </w:pPr>
            <w:r>
              <w:rPr>
                <w:rFonts w:hint="eastAsia"/>
                <w:color w:val="auto"/>
                <w:sz w:val="21"/>
                <w:szCs w:val="21"/>
                <w:highlight w:val="none"/>
                <w:lang w:val="en-US" w:eastAsia="zh-CN"/>
              </w:rPr>
              <w:t>员工生活</w:t>
            </w:r>
          </w:p>
        </w:tc>
        <w:tc>
          <w:tcPr>
            <w:tcW w:w="1606" w:type="dxa"/>
            <w:tcBorders>
              <w:bottom w:val="single" w:color="auto" w:sz="4" w:space="0"/>
            </w:tcBorders>
            <w:vAlign w:val="center"/>
          </w:tcPr>
          <w:p w14:paraId="1B9F2F28">
            <w:pPr>
              <w:keepNext w:val="0"/>
              <w:keepLines w:val="0"/>
              <w:pageBreakBefore w:val="0"/>
              <w:widowControl/>
              <w:suppressLineNumbers w:val="0"/>
              <w:kinsoku/>
              <w:wordWrap/>
              <w:overflowPunct/>
              <w:topLinePunct w:val="0"/>
              <w:bidi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生活垃圾</w:t>
            </w:r>
          </w:p>
        </w:tc>
        <w:tc>
          <w:tcPr>
            <w:tcW w:w="1703" w:type="dxa"/>
            <w:vAlign w:val="center"/>
          </w:tcPr>
          <w:p w14:paraId="380EBC7B">
            <w:pPr>
              <w:keepNext w:val="0"/>
              <w:keepLines w:val="0"/>
              <w:pageBreakBefore w:val="0"/>
              <w:widowControl/>
              <w:suppressLineNumbers w:val="0"/>
              <w:kinsoku/>
              <w:wordWrap/>
              <w:overflowPunct/>
              <w:topLinePunct w:val="0"/>
              <w:bidi w:val="0"/>
              <w:spacing w:before="0" w:beforeAutospacing="0" w:after="0" w:afterAutospacing="0" w:line="240" w:lineRule="auto"/>
              <w:ind w:left="0" w:leftChars="0" w:right="0"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环卫部门统一</w:t>
            </w:r>
            <w:r>
              <w:rPr>
                <w:rFonts w:hint="eastAsia" w:cs="Times New Roman"/>
                <w:color w:val="auto"/>
                <w:sz w:val="21"/>
                <w:szCs w:val="21"/>
                <w:highlight w:val="none"/>
                <w:lang w:val="en-US" w:eastAsia="zh-CN"/>
              </w:rPr>
              <w:t>清运</w:t>
            </w:r>
            <w:r>
              <w:rPr>
                <w:rFonts w:hint="default" w:ascii="Times New Roman" w:hAnsi="Times New Roman" w:eastAsia="宋体" w:cs="Times New Roman"/>
                <w:color w:val="auto"/>
                <w:sz w:val="21"/>
                <w:szCs w:val="21"/>
                <w:highlight w:val="none"/>
              </w:rPr>
              <w:t>处理</w:t>
            </w:r>
          </w:p>
        </w:tc>
        <w:tc>
          <w:tcPr>
            <w:tcW w:w="2466" w:type="dxa"/>
            <w:vAlign w:val="center"/>
          </w:tcPr>
          <w:p w14:paraId="50303A4D">
            <w:pPr>
              <w:pStyle w:val="7"/>
              <w:keepNext w:val="0"/>
              <w:keepLines w:val="0"/>
              <w:suppressLineNumbers w:val="0"/>
              <w:bidi w:val="0"/>
              <w:spacing w:before="0" w:beforeAutospacing="0" w:after="0" w:afterAutospacing="0"/>
              <w:ind w:left="0" w:right="0"/>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r>
      <w:tr w14:paraId="08EEFD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635" w:type="dxa"/>
            <w:vMerge w:val="continue"/>
            <w:vAlign w:val="center"/>
          </w:tcPr>
          <w:p w14:paraId="180D5C2D">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p>
        </w:tc>
        <w:tc>
          <w:tcPr>
            <w:tcW w:w="1650" w:type="dxa"/>
            <w:gridSpan w:val="2"/>
            <w:vMerge w:val="restart"/>
            <w:tcBorders>
              <w:top w:val="single" w:color="auto" w:sz="4" w:space="0"/>
            </w:tcBorders>
            <w:vAlign w:val="center"/>
          </w:tcPr>
          <w:p w14:paraId="70FC36C0">
            <w:pPr>
              <w:pStyle w:val="7"/>
              <w:keepNext w:val="0"/>
              <w:keepLines w:val="0"/>
              <w:suppressLineNumbers w:val="0"/>
              <w:bidi w:val="0"/>
              <w:spacing w:before="0" w:beforeAutospacing="0" w:after="0" w:afterAutospacing="0"/>
              <w:ind w:left="0" w:right="0"/>
              <w:jc w:val="center"/>
              <w:rPr>
                <w:rFonts w:hint="eastAsia" w:eastAsia="宋体"/>
                <w:color w:val="auto"/>
                <w:sz w:val="21"/>
                <w:szCs w:val="21"/>
                <w:highlight w:val="none"/>
                <w:vertAlign w:val="baseline"/>
                <w:lang w:val="en-US" w:eastAsia="zh-CN"/>
              </w:rPr>
            </w:pPr>
            <w:r>
              <w:rPr>
                <w:rFonts w:hint="eastAsia"/>
                <w:color w:val="auto"/>
                <w:sz w:val="21"/>
                <w:szCs w:val="21"/>
                <w:highlight w:val="none"/>
                <w:lang w:val="en-US" w:eastAsia="zh-CN"/>
              </w:rPr>
              <w:t>一般工业固体废物（</w:t>
            </w:r>
            <w:r>
              <w:rPr>
                <w:rFonts w:hint="eastAsia"/>
                <w:color w:val="auto"/>
                <w:highlight w:val="none"/>
                <w:lang w:val="en-US" w:eastAsia="zh-CN"/>
              </w:rPr>
              <w:t>面积50</w:t>
            </w:r>
            <w:r>
              <w:rPr>
                <w:rFonts w:hint="default"/>
                <w:color w:val="auto"/>
                <w:highlight w:val="none"/>
              </w:rPr>
              <w:t>m</w:t>
            </w:r>
            <w:r>
              <w:rPr>
                <w:rFonts w:hint="default"/>
                <w:color w:val="auto"/>
                <w:highlight w:val="none"/>
                <w:vertAlign w:val="superscript"/>
              </w:rPr>
              <w:t>2</w:t>
            </w:r>
            <w:r>
              <w:rPr>
                <w:rFonts w:hint="eastAsia"/>
                <w:color w:val="auto"/>
                <w:highlight w:val="none"/>
                <w:vertAlign w:val="baseline"/>
                <w:lang w:eastAsia="zh-CN"/>
              </w:rPr>
              <w:t>）</w:t>
            </w:r>
          </w:p>
        </w:tc>
        <w:tc>
          <w:tcPr>
            <w:tcW w:w="1606" w:type="dxa"/>
            <w:tcBorders>
              <w:top w:val="single" w:color="auto" w:sz="4" w:space="0"/>
            </w:tcBorders>
            <w:vAlign w:val="center"/>
          </w:tcPr>
          <w:p w14:paraId="045FE1D9">
            <w:pPr>
              <w:keepNext w:val="0"/>
              <w:keepLines w:val="0"/>
              <w:pageBreakBefore w:val="0"/>
              <w:widowControl/>
              <w:suppressLineNumbers w:val="0"/>
              <w:kinsoku/>
              <w:wordWrap/>
              <w:overflowPunct/>
              <w:topLinePunct w:val="0"/>
              <w:bidi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废包装材料</w:t>
            </w:r>
          </w:p>
        </w:tc>
        <w:tc>
          <w:tcPr>
            <w:tcW w:w="1703" w:type="dxa"/>
            <w:vAlign w:val="center"/>
          </w:tcPr>
          <w:p w14:paraId="2EA845CF">
            <w:pPr>
              <w:pStyle w:val="61"/>
              <w:keepNext w:val="0"/>
              <w:keepLines w:val="0"/>
              <w:pageBreakBefore w:val="0"/>
              <w:suppressLineNumbers w:val="0"/>
              <w:tabs>
                <w:tab w:val="right" w:pos="0"/>
                <w:tab w:val="clear" w:pos="860"/>
                <w:tab w:val="clear" w:pos="1075"/>
              </w:tabs>
              <w:kinsoku/>
              <w:wordWrap/>
              <w:overflowPunct/>
              <w:topLinePunct w:val="0"/>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外售综合利用</w:t>
            </w:r>
          </w:p>
        </w:tc>
        <w:tc>
          <w:tcPr>
            <w:tcW w:w="2466" w:type="dxa"/>
            <w:vMerge w:val="restart"/>
            <w:vAlign w:val="center"/>
          </w:tcPr>
          <w:p w14:paraId="17BA3B06">
            <w:pPr>
              <w:pStyle w:val="7"/>
              <w:keepNext w:val="0"/>
              <w:keepLines w:val="0"/>
              <w:suppressLineNumbers w:val="0"/>
              <w:bidi w:val="0"/>
              <w:spacing w:before="0" w:beforeAutospacing="0" w:after="0" w:afterAutospacing="0"/>
              <w:ind w:left="0" w:right="0"/>
              <w:jc w:val="both"/>
              <w:rPr>
                <w:rFonts w:hint="eastAsia"/>
                <w:color w:val="auto"/>
                <w:sz w:val="21"/>
                <w:szCs w:val="21"/>
                <w:highlight w:val="none"/>
                <w:lang w:val="en-US" w:eastAsia="zh-CN"/>
              </w:rPr>
            </w:pPr>
            <w:r>
              <w:rPr>
                <w:rFonts w:hint="eastAsia"/>
                <w:color w:val="auto"/>
                <w:sz w:val="21"/>
                <w:szCs w:val="21"/>
                <w:highlight w:val="none"/>
                <w:lang w:val="en-US" w:eastAsia="zh-CN"/>
              </w:rPr>
              <w:t>应满足相应防渗漏、防雨淋、防扬尘等环境保护要求</w:t>
            </w:r>
          </w:p>
        </w:tc>
      </w:tr>
      <w:tr w14:paraId="1A2050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635" w:type="dxa"/>
            <w:vMerge w:val="continue"/>
            <w:vAlign w:val="center"/>
          </w:tcPr>
          <w:p w14:paraId="4F33A419">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p>
        </w:tc>
        <w:tc>
          <w:tcPr>
            <w:tcW w:w="1650" w:type="dxa"/>
            <w:gridSpan w:val="2"/>
            <w:vMerge w:val="continue"/>
            <w:vAlign w:val="center"/>
          </w:tcPr>
          <w:p w14:paraId="2EB98488">
            <w:pPr>
              <w:pStyle w:val="7"/>
              <w:keepNext w:val="0"/>
              <w:keepLines w:val="0"/>
              <w:suppressLineNumbers w:val="0"/>
              <w:bidi w:val="0"/>
              <w:spacing w:before="0" w:beforeAutospacing="0" w:after="0" w:afterAutospacing="0"/>
              <w:ind w:left="0" w:right="0"/>
              <w:jc w:val="center"/>
              <w:rPr>
                <w:rFonts w:hint="eastAsia"/>
                <w:color w:val="auto"/>
                <w:sz w:val="21"/>
                <w:szCs w:val="21"/>
                <w:highlight w:val="none"/>
                <w:lang w:val="en-US" w:eastAsia="zh-CN"/>
              </w:rPr>
            </w:pPr>
          </w:p>
        </w:tc>
        <w:tc>
          <w:tcPr>
            <w:tcW w:w="1606" w:type="dxa"/>
            <w:vAlign w:val="center"/>
          </w:tcPr>
          <w:p w14:paraId="1A3D0C8F">
            <w:pPr>
              <w:keepNext w:val="0"/>
              <w:keepLines w:val="0"/>
              <w:pageBreakBefore w:val="0"/>
              <w:widowControl/>
              <w:suppressLineNumbers w:val="0"/>
              <w:kinsoku/>
              <w:wordWrap/>
              <w:overflowPunct/>
              <w:topLinePunct w:val="0"/>
              <w:bidi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边角料及不合格品</w:t>
            </w:r>
          </w:p>
        </w:tc>
        <w:tc>
          <w:tcPr>
            <w:tcW w:w="1703" w:type="dxa"/>
            <w:vAlign w:val="center"/>
          </w:tcPr>
          <w:p w14:paraId="0C03A69A">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厂家回收处理</w:t>
            </w:r>
          </w:p>
        </w:tc>
        <w:tc>
          <w:tcPr>
            <w:tcW w:w="2466" w:type="dxa"/>
            <w:vMerge w:val="continue"/>
            <w:vAlign w:val="center"/>
          </w:tcPr>
          <w:p w14:paraId="23983345">
            <w:pPr>
              <w:pStyle w:val="7"/>
              <w:keepNext w:val="0"/>
              <w:keepLines w:val="0"/>
              <w:suppressLineNumbers w:val="0"/>
              <w:bidi w:val="0"/>
              <w:spacing w:before="0" w:beforeAutospacing="0" w:after="0" w:afterAutospacing="0"/>
              <w:ind w:left="0" w:right="0"/>
              <w:jc w:val="both"/>
              <w:rPr>
                <w:rFonts w:hint="eastAsia"/>
                <w:color w:val="auto"/>
                <w:sz w:val="21"/>
                <w:szCs w:val="21"/>
                <w:highlight w:val="none"/>
                <w:lang w:val="en-US" w:eastAsia="zh-CN"/>
              </w:rPr>
            </w:pPr>
          </w:p>
        </w:tc>
      </w:tr>
      <w:tr w14:paraId="516185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635" w:type="dxa"/>
            <w:vMerge w:val="continue"/>
            <w:vAlign w:val="center"/>
          </w:tcPr>
          <w:p w14:paraId="3C92F95F">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p>
        </w:tc>
        <w:tc>
          <w:tcPr>
            <w:tcW w:w="1650" w:type="dxa"/>
            <w:gridSpan w:val="2"/>
            <w:vMerge w:val="restart"/>
            <w:vAlign w:val="center"/>
          </w:tcPr>
          <w:p w14:paraId="5BF83906">
            <w:pPr>
              <w:pStyle w:val="7"/>
              <w:keepNext w:val="0"/>
              <w:keepLines w:val="0"/>
              <w:suppressLineNumbers w:val="0"/>
              <w:bidi w:val="0"/>
              <w:spacing w:before="0" w:beforeAutospacing="0" w:after="0" w:afterAutospacing="0"/>
              <w:ind w:left="0" w:right="0"/>
              <w:jc w:val="center"/>
              <w:rPr>
                <w:rFonts w:hint="eastAsia"/>
                <w:color w:val="auto"/>
                <w:sz w:val="21"/>
                <w:szCs w:val="21"/>
                <w:highlight w:val="none"/>
                <w:lang w:val="en-US" w:eastAsia="zh-CN"/>
              </w:rPr>
            </w:pPr>
            <w:r>
              <w:rPr>
                <w:rFonts w:hint="eastAsia"/>
                <w:color w:val="auto"/>
                <w:sz w:val="21"/>
                <w:szCs w:val="21"/>
                <w:highlight w:val="none"/>
                <w:lang w:val="en-US" w:eastAsia="zh-CN"/>
              </w:rPr>
              <w:t>危险废物（</w:t>
            </w:r>
            <w:r>
              <w:rPr>
                <w:rFonts w:hint="eastAsia"/>
                <w:color w:val="auto"/>
                <w:highlight w:val="none"/>
                <w:lang w:val="en-US" w:eastAsia="zh-CN"/>
              </w:rPr>
              <w:t>面积50</w:t>
            </w:r>
            <w:r>
              <w:rPr>
                <w:rFonts w:hint="default"/>
                <w:color w:val="auto"/>
                <w:highlight w:val="none"/>
              </w:rPr>
              <w:t>m</w:t>
            </w:r>
            <w:r>
              <w:rPr>
                <w:rFonts w:hint="default"/>
                <w:color w:val="auto"/>
                <w:highlight w:val="none"/>
                <w:vertAlign w:val="superscript"/>
              </w:rPr>
              <w:t>2</w:t>
            </w:r>
            <w:r>
              <w:rPr>
                <w:rFonts w:hint="eastAsia"/>
                <w:color w:val="auto"/>
                <w:highlight w:val="none"/>
                <w:vertAlign w:val="baseline"/>
                <w:lang w:eastAsia="zh-CN"/>
              </w:rPr>
              <w:t>）</w:t>
            </w:r>
          </w:p>
        </w:tc>
        <w:tc>
          <w:tcPr>
            <w:tcW w:w="1606" w:type="dxa"/>
            <w:shd w:val="clear" w:color="auto" w:fill="auto"/>
            <w:vAlign w:val="center"/>
          </w:tcPr>
          <w:p w14:paraId="3AB2EF4E">
            <w:pPr>
              <w:keepNext w:val="0"/>
              <w:keepLines w:val="0"/>
              <w:pageBreakBefore w:val="0"/>
              <w:widowControl/>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废含油抹布</w:t>
            </w:r>
          </w:p>
        </w:tc>
        <w:tc>
          <w:tcPr>
            <w:tcW w:w="1703" w:type="dxa"/>
            <w:vMerge w:val="restart"/>
            <w:vAlign w:val="center"/>
          </w:tcPr>
          <w:p w14:paraId="64F10408">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cs="Times New Roman"/>
                <w:b w:val="0"/>
                <w:bCs/>
                <w:color w:val="000000" w:themeColor="text1"/>
                <w:sz w:val="21"/>
                <w:szCs w:val="21"/>
                <w:highlight w:val="none"/>
                <w:lang w:val="en-US" w:eastAsia="zh-CN"/>
                <w14:textFill>
                  <w14:solidFill>
                    <w14:schemeClr w14:val="tx1"/>
                  </w14:solidFill>
                </w14:textFill>
              </w:rPr>
              <w:t>委托有资质的单位处理</w:t>
            </w:r>
          </w:p>
        </w:tc>
        <w:tc>
          <w:tcPr>
            <w:tcW w:w="2466" w:type="dxa"/>
            <w:vMerge w:val="restart"/>
            <w:vAlign w:val="center"/>
          </w:tcPr>
          <w:p w14:paraId="178638F6">
            <w:pPr>
              <w:pStyle w:val="7"/>
              <w:keepNext w:val="0"/>
              <w:keepLines w:val="0"/>
              <w:suppressLineNumbers w:val="0"/>
              <w:bidi w:val="0"/>
              <w:spacing w:before="0" w:beforeAutospacing="0" w:after="0" w:afterAutospacing="0"/>
              <w:ind w:left="0" w:right="0"/>
              <w:jc w:val="both"/>
              <w:rPr>
                <w:rFonts w:hint="eastAsia"/>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zh-CN" w:eastAsia="zh-CN"/>
              </w:rPr>
              <w:t>《危险废物贮存污染控制标准》（GB18597-20</w:t>
            </w:r>
            <w:r>
              <w:rPr>
                <w:rFonts w:hint="eastAsia" w:cs="Times New Roman"/>
                <w:b w:val="0"/>
                <w:bCs/>
                <w:color w:val="auto"/>
                <w:sz w:val="21"/>
                <w:szCs w:val="21"/>
                <w:highlight w:val="none"/>
                <w:lang w:val="en-US" w:eastAsia="zh-CN"/>
              </w:rPr>
              <w:t>23</w:t>
            </w:r>
            <w:r>
              <w:rPr>
                <w:rFonts w:hint="default" w:ascii="Times New Roman" w:hAnsi="Times New Roman" w:eastAsia="宋体" w:cs="Times New Roman"/>
                <w:b w:val="0"/>
                <w:bCs/>
                <w:color w:val="auto"/>
                <w:sz w:val="21"/>
                <w:szCs w:val="21"/>
                <w:highlight w:val="none"/>
                <w:lang w:val="zh-CN" w:eastAsia="zh-CN"/>
              </w:rPr>
              <w:t>）</w:t>
            </w:r>
          </w:p>
        </w:tc>
      </w:tr>
      <w:tr w14:paraId="677C65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635" w:type="dxa"/>
            <w:vMerge w:val="continue"/>
            <w:vAlign w:val="center"/>
          </w:tcPr>
          <w:p w14:paraId="0BA0A8E3">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p>
        </w:tc>
        <w:tc>
          <w:tcPr>
            <w:tcW w:w="1650" w:type="dxa"/>
            <w:gridSpan w:val="2"/>
            <w:vMerge w:val="continue"/>
            <w:vAlign w:val="center"/>
          </w:tcPr>
          <w:p w14:paraId="046FEBAB">
            <w:pPr>
              <w:pStyle w:val="7"/>
              <w:keepNext w:val="0"/>
              <w:keepLines w:val="0"/>
              <w:suppressLineNumbers w:val="0"/>
              <w:bidi w:val="0"/>
              <w:spacing w:before="0" w:beforeAutospacing="0" w:after="0" w:afterAutospacing="0"/>
              <w:ind w:left="0" w:right="0"/>
              <w:jc w:val="center"/>
              <w:rPr>
                <w:rFonts w:hint="eastAsia"/>
                <w:color w:val="auto"/>
                <w:sz w:val="21"/>
                <w:szCs w:val="21"/>
                <w:highlight w:val="none"/>
                <w:lang w:val="en-US" w:eastAsia="zh-CN"/>
              </w:rPr>
            </w:pPr>
          </w:p>
        </w:tc>
        <w:tc>
          <w:tcPr>
            <w:tcW w:w="1606" w:type="dxa"/>
            <w:shd w:val="clear" w:color="auto" w:fill="auto"/>
            <w:vAlign w:val="center"/>
          </w:tcPr>
          <w:p w14:paraId="48A66938">
            <w:pPr>
              <w:keepNext w:val="0"/>
              <w:keepLines w:val="0"/>
              <w:pageBreakBefore w:val="0"/>
              <w:widowControl/>
              <w:suppressLineNumbers w:val="0"/>
              <w:kinsoku/>
              <w:wordWrap/>
              <w:overflowPunct/>
              <w:topLinePunct w:val="0"/>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废机油</w:t>
            </w:r>
          </w:p>
        </w:tc>
        <w:tc>
          <w:tcPr>
            <w:tcW w:w="1703" w:type="dxa"/>
            <w:vMerge w:val="continue"/>
            <w:vAlign w:val="center"/>
          </w:tcPr>
          <w:p w14:paraId="4D222BAD">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2466" w:type="dxa"/>
            <w:vMerge w:val="continue"/>
            <w:vAlign w:val="center"/>
          </w:tcPr>
          <w:p w14:paraId="3F400A08">
            <w:pPr>
              <w:pStyle w:val="7"/>
              <w:keepNext w:val="0"/>
              <w:keepLines w:val="0"/>
              <w:suppressLineNumbers w:val="0"/>
              <w:bidi w:val="0"/>
              <w:spacing w:before="0" w:beforeAutospacing="0" w:after="0" w:afterAutospacing="0"/>
              <w:ind w:left="0" w:right="0"/>
              <w:jc w:val="both"/>
              <w:rPr>
                <w:rFonts w:hint="eastAsia"/>
                <w:color w:val="auto"/>
                <w:sz w:val="21"/>
                <w:szCs w:val="21"/>
                <w:highlight w:val="none"/>
                <w:lang w:val="en-US" w:eastAsia="zh-CN"/>
              </w:rPr>
            </w:pPr>
          </w:p>
        </w:tc>
      </w:tr>
      <w:tr w14:paraId="44AA3D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635" w:type="dxa"/>
            <w:vMerge w:val="continue"/>
            <w:vAlign w:val="center"/>
          </w:tcPr>
          <w:p w14:paraId="6F47AF18">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p>
        </w:tc>
        <w:tc>
          <w:tcPr>
            <w:tcW w:w="1650" w:type="dxa"/>
            <w:gridSpan w:val="2"/>
            <w:vMerge w:val="continue"/>
            <w:vAlign w:val="center"/>
          </w:tcPr>
          <w:p w14:paraId="418EDEAF">
            <w:pPr>
              <w:pStyle w:val="7"/>
              <w:keepNext w:val="0"/>
              <w:keepLines w:val="0"/>
              <w:suppressLineNumbers w:val="0"/>
              <w:bidi w:val="0"/>
              <w:spacing w:before="0" w:beforeAutospacing="0" w:after="0" w:afterAutospacing="0"/>
              <w:ind w:left="0" w:right="0"/>
              <w:jc w:val="center"/>
              <w:rPr>
                <w:rFonts w:hint="eastAsia"/>
                <w:color w:val="auto"/>
                <w:sz w:val="21"/>
                <w:szCs w:val="21"/>
                <w:highlight w:val="none"/>
                <w:lang w:val="en-US" w:eastAsia="zh-CN"/>
              </w:rPr>
            </w:pPr>
          </w:p>
        </w:tc>
        <w:tc>
          <w:tcPr>
            <w:tcW w:w="1606" w:type="dxa"/>
            <w:vAlign w:val="center"/>
          </w:tcPr>
          <w:p w14:paraId="1E8514D5">
            <w:pPr>
              <w:keepNext w:val="0"/>
              <w:keepLines w:val="0"/>
              <w:pageBreakBefore w:val="0"/>
              <w:widowControl/>
              <w:suppressLineNumbers w:val="0"/>
              <w:kinsoku/>
              <w:wordWrap/>
              <w:overflowPunct/>
              <w:topLinePunct w:val="0"/>
              <w:bidi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废</w:t>
            </w:r>
            <w:r>
              <w:rPr>
                <w:rFonts w:hint="eastAsia" w:ascii="Times New Roman" w:hAnsi="Times New Roman" w:cs="Times New Roman"/>
                <w:color w:val="auto"/>
                <w:sz w:val="21"/>
                <w:szCs w:val="21"/>
                <w:highlight w:val="none"/>
                <w:lang w:val="en-US" w:eastAsia="zh-CN"/>
              </w:rPr>
              <w:t>机</w:t>
            </w:r>
            <w:r>
              <w:rPr>
                <w:rFonts w:hint="eastAsia" w:cs="Times New Roman"/>
                <w:color w:val="auto"/>
                <w:sz w:val="21"/>
                <w:szCs w:val="21"/>
                <w:highlight w:val="none"/>
                <w:lang w:val="en-US" w:eastAsia="zh-CN"/>
              </w:rPr>
              <w:t>油桶</w:t>
            </w:r>
          </w:p>
        </w:tc>
        <w:tc>
          <w:tcPr>
            <w:tcW w:w="1703" w:type="dxa"/>
            <w:vMerge w:val="continue"/>
            <w:vAlign w:val="center"/>
          </w:tcPr>
          <w:p w14:paraId="77BD18F1">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2466" w:type="dxa"/>
            <w:vMerge w:val="continue"/>
            <w:vAlign w:val="center"/>
          </w:tcPr>
          <w:p w14:paraId="7C11CD9E">
            <w:pPr>
              <w:pStyle w:val="7"/>
              <w:keepNext w:val="0"/>
              <w:keepLines w:val="0"/>
              <w:suppressLineNumbers w:val="0"/>
              <w:bidi w:val="0"/>
              <w:spacing w:before="0" w:beforeAutospacing="0" w:after="0" w:afterAutospacing="0"/>
              <w:ind w:left="0" w:right="0"/>
              <w:jc w:val="both"/>
              <w:rPr>
                <w:rFonts w:hint="eastAsia"/>
                <w:color w:val="auto"/>
                <w:sz w:val="21"/>
                <w:szCs w:val="21"/>
                <w:highlight w:val="none"/>
                <w:lang w:val="en-US" w:eastAsia="zh-CN"/>
              </w:rPr>
            </w:pPr>
          </w:p>
        </w:tc>
      </w:tr>
      <w:tr w14:paraId="3B0C73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635" w:type="dxa"/>
            <w:vMerge w:val="continue"/>
            <w:vAlign w:val="center"/>
          </w:tcPr>
          <w:p w14:paraId="042C03F4">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p>
        </w:tc>
        <w:tc>
          <w:tcPr>
            <w:tcW w:w="1650" w:type="dxa"/>
            <w:gridSpan w:val="2"/>
            <w:vMerge w:val="continue"/>
            <w:vAlign w:val="center"/>
          </w:tcPr>
          <w:p w14:paraId="622E54AD">
            <w:pPr>
              <w:pStyle w:val="7"/>
              <w:keepNext w:val="0"/>
              <w:keepLines w:val="0"/>
              <w:suppressLineNumbers w:val="0"/>
              <w:bidi w:val="0"/>
              <w:spacing w:before="0" w:beforeAutospacing="0" w:after="0" w:afterAutospacing="0"/>
              <w:ind w:left="0" w:right="0"/>
              <w:jc w:val="center"/>
              <w:rPr>
                <w:rFonts w:hint="eastAsia"/>
                <w:color w:val="auto"/>
                <w:sz w:val="21"/>
                <w:szCs w:val="21"/>
                <w:highlight w:val="none"/>
                <w:lang w:val="en-US" w:eastAsia="zh-CN"/>
              </w:rPr>
            </w:pPr>
          </w:p>
        </w:tc>
        <w:tc>
          <w:tcPr>
            <w:tcW w:w="1606" w:type="dxa"/>
            <w:vAlign w:val="center"/>
          </w:tcPr>
          <w:p w14:paraId="3C5B18AB">
            <w:pPr>
              <w:keepNext w:val="0"/>
              <w:keepLines w:val="0"/>
              <w:pageBreakBefore w:val="0"/>
              <w:widowControl/>
              <w:suppressLineNumbers w:val="0"/>
              <w:kinsoku/>
              <w:wordWrap/>
              <w:overflowPunct/>
              <w:topLinePunct w:val="0"/>
              <w:bidi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废</w:t>
            </w:r>
            <w:r>
              <w:rPr>
                <w:rFonts w:hint="eastAsia" w:cs="Times New Roman"/>
                <w:color w:val="auto"/>
                <w:sz w:val="21"/>
                <w:szCs w:val="21"/>
                <w:highlight w:val="none"/>
                <w:lang w:val="en-US" w:eastAsia="zh-CN"/>
              </w:rPr>
              <w:t>活性炭</w:t>
            </w:r>
          </w:p>
        </w:tc>
        <w:tc>
          <w:tcPr>
            <w:tcW w:w="1703" w:type="dxa"/>
            <w:vMerge w:val="continue"/>
            <w:vAlign w:val="center"/>
          </w:tcPr>
          <w:p w14:paraId="4A24E21A">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2466" w:type="dxa"/>
            <w:vMerge w:val="continue"/>
            <w:vAlign w:val="center"/>
          </w:tcPr>
          <w:p w14:paraId="60868660">
            <w:pPr>
              <w:pStyle w:val="7"/>
              <w:keepNext w:val="0"/>
              <w:keepLines w:val="0"/>
              <w:suppressLineNumbers w:val="0"/>
              <w:bidi w:val="0"/>
              <w:spacing w:before="0" w:beforeAutospacing="0" w:after="0" w:afterAutospacing="0"/>
              <w:ind w:left="0" w:right="0"/>
              <w:jc w:val="both"/>
              <w:rPr>
                <w:rFonts w:hint="eastAsia"/>
                <w:color w:val="auto"/>
                <w:sz w:val="21"/>
                <w:szCs w:val="21"/>
                <w:highlight w:val="none"/>
                <w:lang w:val="en-US" w:eastAsia="zh-CN"/>
              </w:rPr>
            </w:pPr>
          </w:p>
        </w:tc>
      </w:tr>
      <w:tr w14:paraId="5BA2A3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635" w:type="dxa"/>
            <w:vAlign w:val="center"/>
          </w:tcPr>
          <w:p w14:paraId="7485AB5C">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土壤及地下水污染防治措施</w:t>
            </w:r>
          </w:p>
        </w:tc>
        <w:tc>
          <w:tcPr>
            <w:tcW w:w="7425" w:type="dxa"/>
            <w:gridSpan w:val="5"/>
            <w:vAlign w:val="center"/>
          </w:tcPr>
          <w:p w14:paraId="02D11766">
            <w:pPr>
              <w:pStyle w:val="6"/>
              <w:keepNext w:val="0"/>
              <w:keepLines w:val="0"/>
              <w:suppressLineNumbers w:val="0"/>
              <w:bidi w:val="0"/>
              <w:spacing w:before="0" w:beforeAutospacing="0" w:after="0" w:afterAutospacing="0" w:line="360" w:lineRule="auto"/>
              <w:ind w:right="0" w:firstLine="480" w:firstLineChars="200"/>
              <w:jc w:val="both"/>
              <w:rPr>
                <w:rFonts w:hint="eastAsia"/>
                <w:color w:val="auto"/>
                <w:sz w:val="24"/>
                <w:szCs w:val="24"/>
                <w:highlight w:val="none"/>
                <w:lang w:val="en-US" w:eastAsia="zh-CN"/>
              </w:rPr>
            </w:pPr>
            <w:r>
              <w:rPr>
                <w:rFonts w:hint="default"/>
                <w:color w:val="auto"/>
                <w:sz w:val="24"/>
                <w:szCs w:val="24"/>
                <w:highlight w:val="none"/>
              </w:rPr>
              <w:t>项目原料、一般</w:t>
            </w:r>
            <w:r>
              <w:rPr>
                <w:rFonts w:hint="eastAsia"/>
                <w:color w:val="auto"/>
                <w:sz w:val="24"/>
                <w:szCs w:val="24"/>
                <w:highlight w:val="none"/>
                <w:lang w:val="en-US" w:eastAsia="zh-CN"/>
              </w:rPr>
              <w:t>工业</w:t>
            </w:r>
            <w:r>
              <w:rPr>
                <w:rFonts w:hint="default"/>
                <w:color w:val="auto"/>
                <w:sz w:val="24"/>
                <w:szCs w:val="24"/>
                <w:highlight w:val="none"/>
              </w:rPr>
              <w:t>固废和危险废物分类存放于相应的暂存库内，不设置露天堆场。根据本项目厂区可能泄漏至地面区域污染物的性质和生产单元的构筑方式，将厂区划分为重点防渗区</w:t>
            </w:r>
            <w:r>
              <w:rPr>
                <w:rFonts w:hint="default"/>
                <w:color w:val="auto"/>
                <w:sz w:val="24"/>
                <w:szCs w:val="24"/>
                <w:highlight w:val="none"/>
                <w:lang w:eastAsia="zh-CN"/>
              </w:rPr>
              <w:t>、</w:t>
            </w:r>
            <w:r>
              <w:rPr>
                <w:rFonts w:hint="default"/>
                <w:color w:val="auto"/>
                <w:sz w:val="24"/>
                <w:szCs w:val="24"/>
                <w:highlight w:val="none"/>
              </w:rPr>
              <w:t>一般防渗区</w:t>
            </w:r>
            <w:r>
              <w:rPr>
                <w:rFonts w:hint="default"/>
                <w:color w:val="auto"/>
                <w:sz w:val="24"/>
                <w:szCs w:val="24"/>
                <w:highlight w:val="none"/>
                <w:lang w:val="en-US" w:eastAsia="zh-CN"/>
              </w:rPr>
              <w:t>和</w:t>
            </w:r>
            <w:r>
              <w:rPr>
                <w:rFonts w:hint="default"/>
                <w:color w:val="auto"/>
                <w:sz w:val="24"/>
                <w:szCs w:val="24"/>
                <w:highlight w:val="none"/>
              </w:rPr>
              <w:t>简单防渗区，针对不同的区域提出相应的防渗措施</w:t>
            </w:r>
            <w:r>
              <w:rPr>
                <w:rFonts w:hint="eastAsia"/>
                <w:color w:val="auto"/>
                <w:sz w:val="24"/>
                <w:szCs w:val="24"/>
                <w:highlight w:val="none"/>
                <w:lang w:eastAsia="zh-CN"/>
              </w:rPr>
              <w:t>。</w:t>
            </w:r>
          </w:p>
        </w:tc>
      </w:tr>
      <w:tr w14:paraId="2F7678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635" w:type="dxa"/>
            <w:vAlign w:val="center"/>
          </w:tcPr>
          <w:p w14:paraId="09E5A0AB">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生态保护措施</w:t>
            </w:r>
          </w:p>
        </w:tc>
        <w:tc>
          <w:tcPr>
            <w:tcW w:w="7425" w:type="dxa"/>
            <w:gridSpan w:val="5"/>
            <w:vAlign w:val="center"/>
          </w:tcPr>
          <w:p w14:paraId="6F6EA2CA">
            <w:pPr>
              <w:pStyle w:val="6"/>
              <w:keepNext w:val="0"/>
              <w:keepLines w:val="0"/>
              <w:suppressLineNumbers w:val="0"/>
              <w:bidi w:val="0"/>
              <w:spacing w:before="0" w:beforeAutospacing="0" w:after="0" w:afterAutospacing="0" w:line="360" w:lineRule="auto"/>
              <w:ind w:right="0"/>
              <w:jc w:val="center"/>
              <w:rPr>
                <w:rFonts w:hint="default"/>
                <w:color w:val="auto"/>
                <w:sz w:val="24"/>
                <w:szCs w:val="24"/>
                <w:highlight w:val="none"/>
                <w:lang w:val="en-US" w:eastAsia="zh-CN"/>
              </w:rPr>
            </w:pPr>
            <w:r>
              <w:rPr>
                <w:rFonts w:hint="default"/>
                <w:color w:val="auto"/>
                <w:sz w:val="24"/>
                <w:szCs w:val="24"/>
                <w:highlight w:val="none"/>
              </w:rPr>
              <w:t>无</w:t>
            </w:r>
          </w:p>
        </w:tc>
      </w:tr>
      <w:tr w14:paraId="5FA4D9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635" w:type="dxa"/>
            <w:vAlign w:val="center"/>
          </w:tcPr>
          <w:p w14:paraId="5D93FFF7">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环境风险</w:t>
            </w:r>
          </w:p>
          <w:p w14:paraId="40A48ADD">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防范措施</w:t>
            </w:r>
          </w:p>
        </w:tc>
        <w:tc>
          <w:tcPr>
            <w:tcW w:w="7425" w:type="dxa"/>
            <w:gridSpan w:val="5"/>
            <w:vAlign w:val="center"/>
          </w:tcPr>
          <w:p w14:paraId="0A6083DE">
            <w:pPr>
              <w:pStyle w:val="6"/>
              <w:keepNext w:val="0"/>
              <w:keepLines w:val="0"/>
              <w:suppressLineNumbers w:val="0"/>
              <w:bidi w:val="0"/>
              <w:spacing w:before="0" w:beforeAutospacing="0" w:after="0" w:afterAutospacing="0" w:line="360" w:lineRule="auto"/>
              <w:ind w:right="0" w:firstLine="480" w:firstLineChars="200"/>
              <w:jc w:val="both"/>
              <w:rPr>
                <w:rFonts w:hint="default"/>
                <w:color w:val="auto"/>
                <w:sz w:val="24"/>
                <w:szCs w:val="24"/>
                <w:highlight w:val="none"/>
              </w:rPr>
            </w:pPr>
            <w:r>
              <w:rPr>
                <w:rFonts w:hint="eastAsia"/>
                <w:color w:val="auto"/>
                <w:sz w:val="24"/>
                <w:szCs w:val="24"/>
                <w:highlight w:val="none"/>
                <w:lang w:val="en-US" w:eastAsia="zh-CN"/>
              </w:rPr>
              <w:t>1、</w:t>
            </w:r>
            <w:r>
              <w:rPr>
                <w:rFonts w:hint="default"/>
                <w:color w:val="auto"/>
                <w:sz w:val="24"/>
                <w:szCs w:val="24"/>
                <w:highlight w:val="none"/>
              </w:rPr>
              <w:t>泄漏事故防范措施</w:t>
            </w:r>
          </w:p>
          <w:p w14:paraId="52B2556F">
            <w:pPr>
              <w:pStyle w:val="6"/>
              <w:keepNext w:val="0"/>
              <w:keepLines w:val="0"/>
              <w:suppressLineNumbers w:val="0"/>
              <w:bidi w:val="0"/>
              <w:spacing w:before="0" w:beforeAutospacing="0" w:after="0" w:afterAutospacing="0" w:line="360" w:lineRule="auto"/>
              <w:ind w:right="0" w:firstLine="480" w:firstLineChars="200"/>
              <w:jc w:val="both"/>
              <w:rPr>
                <w:rFonts w:hint="eastAsia" w:eastAsia="宋体"/>
                <w:color w:val="auto"/>
                <w:sz w:val="24"/>
                <w:szCs w:val="24"/>
                <w:highlight w:val="none"/>
                <w:lang w:eastAsia="zh-CN"/>
              </w:rPr>
            </w:pPr>
            <w:r>
              <w:rPr>
                <w:rFonts w:hint="default"/>
                <w:color w:val="auto"/>
                <w:sz w:val="24"/>
                <w:szCs w:val="24"/>
                <w:highlight w:val="none"/>
              </w:rPr>
              <w:t>规范管理，</w:t>
            </w:r>
            <w:r>
              <w:rPr>
                <w:rFonts w:hint="eastAsia"/>
                <w:color w:val="auto"/>
                <w:sz w:val="24"/>
                <w:szCs w:val="24"/>
                <w:highlight w:val="none"/>
                <w:lang w:val="en-US" w:eastAsia="zh-CN"/>
              </w:rPr>
              <w:t>竖</w:t>
            </w:r>
            <w:r>
              <w:rPr>
                <w:rFonts w:hint="default"/>
                <w:color w:val="auto"/>
                <w:sz w:val="24"/>
                <w:szCs w:val="24"/>
                <w:highlight w:val="none"/>
              </w:rPr>
              <w:t>立安全警示标志，管线远离火种，热源，工作场所严禁吸烟，使用防爆型的通风系统和设备，安装相应的气体传感报警系统，避免与氧化剂接触，配备相应品种和数量的消防器材及泄漏应急处理设备，杜绝事故发生</w:t>
            </w:r>
            <w:r>
              <w:rPr>
                <w:rFonts w:hint="eastAsia"/>
                <w:color w:val="auto"/>
                <w:sz w:val="24"/>
                <w:szCs w:val="24"/>
                <w:highlight w:val="none"/>
                <w:lang w:eastAsia="zh-CN"/>
              </w:rPr>
              <w:t>。</w:t>
            </w:r>
          </w:p>
          <w:p w14:paraId="152806DB">
            <w:pPr>
              <w:pStyle w:val="6"/>
              <w:keepNext w:val="0"/>
              <w:keepLines w:val="0"/>
              <w:suppressLineNumbers w:val="0"/>
              <w:bidi w:val="0"/>
              <w:spacing w:before="0" w:beforeAutospacing="0" w:after="0" w:afterAutospacing="0" w:line="360" w:lineRule="auto"/>
              <w:ind w:right="0" w:firstLine="480" w:firstLineChars="200"/>
              <w:jc w:val="both"/>
              <w:rPr>
                <w:rFonts w:hint="default"/>
                <w:color w:val="auto"/>
                <w:sz w:val="24"/>
                <w:szCs w:val="24"/>
                <w:highlight w:val="none"/>
              </w:rPr>
            </w:pPr>
            <w:r>
              <w:rPr>
                <w:rFonts w:hint="eastAsia"/>
                <w:color w:val="auto"/>
                <w:sz w:val="24"/>
                <w:szCs w:val="24"/>
                <w:highlight w:val="none"/>
                <w:lang w:val="en-US" w:eastAsia="zh-CN"/>
              </w:rPr>
              <w:t>2、</w:t>
            </w:r>
            <w:r>
              <w:rPr>
                <w:rFonts w:hint="default"/>
                <w:color w:val="auto"/>
                <w:sz w:val="24"/>
                <w:szCs w:val="24"/>
                <w:highlight w:val="none"/>
              </w:rPr>
              <w:t>火灾、燃爆事故的防范措施</w:t>
            </w:r>
          </w:p>
          <w:p w14:paraId="64CE1C91">
            <w:pPr>
              <w:pStyle w:val="6"/>
              <w:keepNext w:val="0"/>
              <w:keepLines w:val="0"/>
              <w:suppressLineNumbers w:val="0"/>
              <w:bidi w:val="0"/>
              <w:spacing w:before="0" w:beforeAutospacing="0" w:after="0" w:afterAutospacing="0" w:line="360" w:lineRule="auto"/>
              <w:ind w:right="0" w:firstLine="480" w:firstLineChars="200"/>
              <w:jc w:val="both"/>
              <w:rPr>
                <w:rFonts w:hint="eastAsia"/>
                <w:color w:val="auto"/>
                <w:sz w:val="24"/>
                <w:szCs w:val="24"/>
                <w:highlight w:val="none"/>
                <w:lang w:val="en-US" w:eastAsia="zh-CN"/>
              </w:rPr>
            </w:pPr>
            <w:r>
              <w:rPr>
                <w:rFonts w:hint="default"/>
                <w:color w:val="auto"/>
                <w:sz w:val="24"/>
                <w:szCs w:val="24"/>
                <w:highlight w:val="none"/>
              </w:rPr>
              <w:t>火灾和爆炸事故主要是由明火引起的，因此，应该加强火源管理和其他方面的管理，严禁烟火，应该防止机械（撞击、摩擦）着火源，加强通风。</w:t>
            </w:r>
          </w:p>
        </w:tc>
      </w:tr>
      <w:tr w14:paraId="51BDDB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635" w:type="dxa"/>
            <w:vAlign w:val="center"/>
          </w:tcPr>
          <w:p w14:paraId="0DD68916">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其他环境</w:t>
            </w:r>
          </w:p>
          <w:p w14:paraId="1BD7622D">
            <w:pPr>
              <w:pStyle w:val="22"/>
              <w:keepNext w:val="0"/>
              <w:keepLines w:val="0"/>
              <w:suppressLineNumbers w:val="0"/>
              <w:bidi w:val="0"/>
              <w:spacing w:before="0" w:after="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管理要求</w:t>
            </w:r>
          </w:p>
        </w:tc>
        <w:tc>
          <w:tcPr>
            <w:tcW w:w="7425" w:type="dxa"/>
            <w:gridSpan w:val="5"/>
            <w:vAlign w:val="center"/>
          </w:tcPr>
          <w:p w14:paraId="0EF195E7">
            <w:pPr>
              <w:pStyle w:val="6"/>
              <w:keepNext w:val="0"/>
              <w:keepLines w:val="0"/>
              <w:suppressLineNumbers w:val="0"/>
              <w:bidi w:val="0"/>
              <w:spacing w:before="0" w:beforeAutospacing="0" w:after="0" w:afterAutospacing="0" w:line="360" w:lineRule="auto"/>
              <w:ind w:right="0"/>
              <w:jc w:val="both"/>
              <w:rPr>
                <w:rFonts w:hint="default"/>
                <w:color w:val="auto"/>
                <w:sz w:val="24"/>
                <w:szCs w:val="24"/>
                <w:highlight w:val="none"/>
                <w:lang w:val="en-US" w:eastAsia="zh-CN"/>
              </w:rPr>
            </w:pPr>
            <w:r>
              <w:rPr>
                <w:rFonts w:hint="eastAsia"/>
                <w:color w:val="auto"/>
                <w:sz w:val="24"/>
                <w:szCs w:val="24"/>
                <w:highlight w:val="none"/>
                <w:lang w:val="en-US" w:eastAsia="zh-CN"/>
              </w:rPr>
              <w:t>1、</w:t>
            </w:r>
            <w:r>
              <w:rPr>
                <w:rFonts w:hint="default"/>
                <w:color w:val="auto"/>
                <w:sz w:val="24"/>
                <w:szCs w:val="24"/>
                <w:highlight w:val="none"/>
                <w:lang w:val="en-US" w:eastAsia="zh-CN"/>
              </w:rPr>
              <w:t>加强环保设施的维护和管理，保证设备正常运行，落实环保资金，以实施治污措施，实现污染物达标排放。</w:t>
            </w:r>
          </w:p>
          <w:p w14:paraId="69326DFB">
            <w:pPr>
              <w:pStyle w:val="6"/>
              <w:keepNext w:val="0"/>
              <w:keepLines w:val="0"/>
              <w:suppressLineNumbers w:val="0"/>
              <w:bidi w:val="0"/>
              <w:spacing w:before="0" w:beforeAutospacing="0" w:after="0" w:afterAutospacing="0" w:line="360" w:lineRule="auto"/>
              <w:ind w:right="0"/>
              <w:jc w:val="both"/>
              <w:rPr>
                <w:rFonts w:hint="default"/>
                <w:color w:val="auto"/>
                <w:sz w:val="24"/>
                <w:szCs w:val="24"/>
                <w:highlight w:val="none"/>
                <w:lang w:val="en-US" w:eastAsia="zh-CN"/>
              </w:rPr>
            </w:pPr>
            <w:r>
              <w:rPr>
                <w:rFonts w:hint="eastAsia"/>
                <w:color w:val="auto"/>
                <w:sz w:val="24"/>
                <w:szCs w:val="24"/>
                <w:highlight w:val="none"/>
                <w:lang w:val="en-US" w:eastAsia="zh-CN"/>
              </w:rPr>
              <w:t>2、</w:t>
            </w:r>
            <w:r>
              <w:rPr>
                <w:rFonts w:hint="default"/>
                <w:color w:val="auto"/>
                <w:sz w:val="24"/>
                <w:szCs w:val="24"/>
                <w:highlight w:val="none"/>
                <w:lang w:val="en-US" w:eastAsia="zh-CN"/>
              </w:rPr>
              <w:t>建设单位应严格按环境影响报告表的要求认真落实</w:t>
            </w:r>
            <w:r>
              <w:rPr>
                <w:rFonts w:hint="eastAsia" w:ascii="宋体" w:hAnsi="宋体" w:eastAsia="宋体" w:cs="宋体"/>
                <w:color w:val="auto"/>
                <w:sz w:val="24"/>
                <w:szCs w:val="24"/>
                <w:highlight w:val="none"/>
                <w:lang w:val="en-US" w:eastAsia="zh-CN"/>
              </w:rPr>
              <w:t>“三同时”，</w:t>
            </w:r>
            <w:r>
              <w:rPr>
                <w:rFonts w:hint="default"/>
                <w:color w:val="auto"/>
                <w:sz w:val="24"/>
                <w:szCs w:val="24"/>
                <w:highlight w:val="none"/>
                <w:lang w:val="en-US" w:eastAsia="zh-CN"/>
              </w:rPr>
              <w:t>明确职责，专人管理，切实做好环境管理工作，保证环保设施的正常运行。</w:t>
            </w:r>
          </w:p>
          <w:p w14:paraId="4482526D">
            <w:pPr>
              <w:pStyle w:val="6"/>
              <w:keepNext w:val="0"/>
              <w:keepLines w:val="0"/>
              <w:suppressLineNumbers w:val="0"/>
              <w:bidi w:val="0"/>
              <w:spacing w:before="0" w:beforeAutospacing="0" w:after="0" w:afterAutospacing="0" w:line="360" w:lineRule="auto"/>
              <w:ind w:right="0"/>
              <w:jc w:val="both"/>
              <w:rPr>
                <w:rFonts w:hint="eastAsia"/>
                <w:color w:val="auto"/>
                <w:sz w:val="24"/>
                <w:szCs w:val="24"/>
                <w:highlight w:val="none"/>
                <w:lang w:val="en-US" w:eastAsia="zh-CN"/>
              </w:rPr>
            </w:pPr>
            <w:r>
              <w:rPr>
                <w:rFonts w:hint="eastAsia"/>
                <w:color w:val="auto"/>
                <w:sz w:val="24"/>
                <w:szCs w:val="24"/>
                <w:highlight w:val="none"/>
                <w:lang w:val="en-US" w:eastAsia="zh-CN"/>
              </w:rPr>
              <w:t>3、建设单位应当按照排污许可证规定和有关标准规范，依法开展自行监测，并保存原始监测记录。</w:t>
            </w:r>
          </w:p>
          <w:p w14:paraId="6413B927">
            <w:pPr>
              <w:pStyle w:val="6"/>
              <w:keepNext w:val="0"/>
              <w:keepLines w:val="0"/>
              <w:suppressLineNumbers w:val="0"/>
              <w:bidi w:val="0"/>
              <w:spacing w:before="0" w:beforeAutospacing="0" w:after="0" w:afterAutospacing="0" w:line="360" w:lineRule="auto"/>
              <w:ind w:right="0"/>
              <w:jc w:val="both"/>
              <w:rPr>
                <w:rFonts w:hint="default"/>
                <w:color w:val="auto"/>
                <w:sz w:val="24"/>
                <w:szCs w:val="24"/>
                <w:highlight w:val="none"/>
                <w:lang w:val="en-US" w:eastAsia="zh-CN"/>
              </w:rPr>
            </w:pPr>
            <w:r>
              <w:rPr>
                <w:rFonts w:hint="eastAsia"/>
                <w:color w:val="auto"/>
                <w:sz w:val="24"/>
                <w:szCs w:val="24"/>
                <w:highlight w:val="none"/>
                <w:lang w:val="en-US" w:eastAsia="zh-CN"/>
              </w:rPr>
              <w:t>4、建设单位应根据《固定污染源排污许可分类管理名录（2019年版）》等相关法律法规办理排污许可。</w:t>
            </w:r>
          </w:p>
        </w:tc>
      </w:tr>
    </w:tbl>
    <w:p w14:paraId="2EB02AFA">
      <w:pPr>
        <w:pStyle w:val="22"/>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cs="Times New Roman"/>
          <w:snapToGrid w:val="0"/>
          <w:color w:val="auto"/>
          <w:highlight w:val="none"/>
        </w:rPr>
        <w:br w:type="page"/>
      </w:r>
      <w:bookmarkStart w:id="37" w:name="_Toc23279"/>
      <w:r>
        <w:rPr>
          <w:rFonts w:hint="default" w:ascii="Times New Roman" w:hAnsi="Times New Roman" w:eastAsia="黑体" w:cs="Times New Roman"/>
          <w:snapToGrid w:val="0"/>
          <w:color w:val="auto"/>
          <w:sz w:val="30"/>
          <w:szCs w:val="30"/>
          <w:highlight w:val="none"/>
        </w:rPr>
        <w:t>六、结论</w:t>
      </w:r>
      <w:bookmarkEnd w:id="37"/>
    </w:p>
    <w:tbl>
      <w:tblPr>
        <w:tblStyle w:val="32"/>
        <w:tblW w:w="886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730121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vAlign w:val="top"/>
          </w:tcPr>
          <w:p w14:paraId="3F78610F">
            <w:pPr>
              <w:keepNext w:val="0"/>
              <w:keepLines w:val="0"/>
              <w:suppressLineNumbers w:val="0"/>
              <w:autoSpaceDE w:val="0"/>
              <w:autoSpaceDN w:val="0"/>
              <w:spacing w:before="0" w:beforeAutospacing="0" w:after="0" w:afterAutospacing="0"/>
              <w:ind w:left="0" w:right="0" w:firstLine="480"/>
              <w:jc w:val="both"/>
              <w:rPr>
                <w:rFonts w:hint="default" w:ascii="Times New Roman" w:hAnsi="Times New Roman" w:cs="Times New Roman"/>
                <w:color w:val="auto"/>
                <w:sz w:val="24"/>
                <w:highlight w:val="none"/>
              </w:rPr>
            </w:pPr>
            <w:r>
              <w:rPr>
                <w:rFonts w:hint="eastAsia"/>
                <w:color w:val="auto"/>
                <w:kern w:val="0"/>
                <w:sz w:val="24"/>
                <w:highlight w:val="none"/>
                <w:lang w:val="en-US" w:eastAsia="zh-CN"/>
              </w:rPr>
              <w:t>本</w:t>
            </w:r>
            <w:r>
              <w:rPr>
                <w:rFonts w:hint="eastAsia"/>
                <w:color w:val="auto"/>
                <w:kern w:val="0"/>
                <w:sz w:val="24"/>
                <w:highlight w:val="none"/>
              </w:rPr>
              <w:t>项目所在区域环境质量良好，在落实本环评的环境污染防治措施的基础上，本项目建设对环境影响较小</w:t>
            </w:r>
            <w:r>
              <w:rPr>
                <w:rFonts w:hint="default"/>
                <w:color w:val="auto"/>
                <w:kern w:val="0"/>
                <w:sz w:val="24"/>
                <w:highlight w:val="none"/>
              </w:rPr>
              <w:t>。从环境保</w:t>
            </w:r>
            <w:r>
              <w:rPr>
                <w:rFonts w:hint="default"/>
                <w:color w:val="auto"/>
                <w:sz w:val="24"/>
                <w:highlight w:val="none"/>
              </w:rPr>
              <w:t>护</w:t>
            </w:r>
            <w:r>
              <w:rPr>
                <w:rFonts w:hint="default"/>
                <w:color w:val="auto"/>
                <w:kern w:val="0"/>
                <w:sz w:val="24"/>
                <w:highlight w:val="none"/>
              </w:rPr>
              <w:t>的角度来看，本</w:t>
            </w:r>
            <w:r>
              <w:rPr>
                <w:rFonts w:hint="default"/>
                <w:color w:val="auto"/>
                <w:sz w:val="24"/>
                <w:highlight w:val="none"/>
              </w:rPr>
              <w:t>项目</w:t>
            </w:r>
            <w:r>
              <w:rPr>
                <w:rFonts w:hint="default"/>
                <w:color w:val="auto"/>
                <w:kern w:val="0"/>
                <w:sz w:val="24"/>
                <w:highlight w:val="none"/>
              </w:rPr>
              <w:t>建设是可行的。</w:t>
            </w:r>
          </w:p>
        </w:tc>
      </w:tr>
    </w:tbl>
    <w:p w14:paraId="4A60E457">
      <w:pPr>
        <w:rPr>
          <w:rFonts w:hint="default" w:ascii="Times New Roman" w:hAnsi="Times New Roman" w:cs="Times New Roman"/>
          <w:color w:val="auto"/>
          <w:highlight w:val="none"/>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3B49FEDA">
      <w:pPr>
        <w:keepNext w:val="0"/>
        <w:keepLines w:val="0"/>
        <w:pageBreakBefore w:val="0"/>
        <w:widowControl/>
        <w:kinsoku/>
        <w:wordWrap/>
        <w:overflowPunct/>
        <w:topLinePunct w:val="0"/>
        <w:autoSpaceDE/>
        <w:autoSpaceDN/>
        <w:bidi w:val="0"/>
        <w:adjustRightInd w:val="0"/>
        <w:snapToGrid w:val="0"/>
        <w:spacing w:before="0" w:beforeAutospacing="0" w:after="0" w:afterAutospacing="0" w:line="300" w:lineRule="auto"/>
        <w:jc w:val="left"/>
        <w:textAlignment w:val="auto"/>
        <w:outlineLvl w:val="0"/>
        <w:rPr>
          <w:rFonts w:ascii="Times New Roman" w:hAnsi="Times New Roman" w:eastAsia="宋体" w:cs="Times New Roman"/>
          <w:b/>
          <w:bCs/>
          <w:snapToGrid w:val="0"/>
          <w:color w:val="auto"/>
          <w:kern w:val="0"/>
          <w:sz w:val="32"/>
          <w:szCs w:val="32"/>
          <w:highlight w:val="none"/>
          <w:lang w:val="en-US" w:eastAsia="zh-CN" w:bidi="ar-SA"/>
        </w:rPr>
      </w:pPr>
      <w:bookmarkStart w:id="38" w:name="_Toc1170"/>
      <w:r>
        <w:rPr>
          <w:rFonts w:ascii="Times New Roman" w:hAnsi="Times New Roman" w:eastAsia="宋体" w:cs="Times New Roman"/>
          <w:b/>
          <w:bCs/>
          <w:snapToGrid w:val="0"/>
          <w:color w:val="auto"/>
          <w:kern w:val="0"/>
          <w:sz w:val="32"/>
          <w:szCs w:val="32"/>
          <w:highlight w:val="none"/>
          <w:lang w:val="en-US" w:eastAsia="zh-CN" w:bidi="ar-SA"/>
        </w:rPr>
        <w:t>附表</w:t>
      </w:r>
      <w:bookmarkEnd w:id="38"/>
    </w:p>
    <w:p w14:paraId="5278F1FE">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right"/>
        <w:textAlignment w:val="auto"/>
        <w:outlineLvl w:val="9"/>
        <w:rPr>
          <w:rFonts w:hint="default" w:ascii="Times New Roman" w:hAnsi="Times New Roman" w:eastAsia="宋体" w:cs="Times New Roman"/>
          <w:b/>
          <w:bCs/>
          <w:snapToGrid w:val="0"/>
          <w:color w:val="auto"/>
          <w:kern w:val="0"/>
          <w:sz w:val="21"/>
          <w:szCs w:val="21"/>
          <w:highlight w:val="none"/>
          <w:lang w:val="en-US" w:eastAsia="zh-CN" w:bidi="ar-SA"/>
        </w:rPr>
      </w:pPr>
      <w:r>
        <w:rPr>
          <w:rFonts w:ascii="Times New Roman" w:hAnsi="Times New Roman" w:eastAsia="宋体" w:cs="Times New Roman"/>
          <w:b/>
          <w:bCs/>
          <w:snapToGrid w:val="0"/>
          <w:color w:val="auto"/>
          <w:kern w:val="0"/>
          <w:sz w:val="38"/>
          <w:szCs w:val="38"/>
          <w:highlight w:val="none"/>
          <w:lang w:val="en-US" w:eastAsia="zh-CN" w:bidi="ar-SA"/>
        </w:rPr>
        <w:t>建设项目污染物排放量汇总表</w:t>
      </w:r>
      <w:r>
        <w:rPr>
          <w:rFonts w:hint="eastAsia" w:ascii="Times New Roman" w:hAnsi="Times New Roman" w:eastAsia="宋体" w:cs="Times New Roman"/>
          <w:b/>
          <w:bCs/>
          <w:snapToGrid w:val="0"/>
          <w:color w:val="auto"/>
          <w:kern w:val="0"/>
          <w:sz w:val="38"/>
          <w:szCs w:val="38"/>
          <w:highlight w:val="none"/>
          <w:lang w:val="en-US" w:eastAsia="zh-CN" w:bidi="ar-SA"/>
        </w:rPr>
        <w:t xml:space="preserve">                 </w:t>
      </w:r>
      <w:r>
        <w:rPr>
          <w:rFonts w:hint="eastAsia" w:ascii="Times New Roman" w:hAnsi="Times New Roman" w:eastAsia="宋体" w:cs="Times New Roman"/>
          <w:b/>
          <w:bCs/>
          <w:snapToGrid w:val="0"/>
          <w:color w:val="auto"/>
          <w:kern w:val="0"/>
          <w:sz w:val="21"/>
          <w:szCs w:val="21"/>
          <w:highlight w:val="none"/>
          <w:lang w:val="en-US" w:eastAsia="zh-CN" w:bidi="ar-SA"/>
        </w:rPr>
        <w:t>单位：t/a</w:t>
      </w:r>
    </w:p>
    <w:tbl>
      <w:tblPr>
        <w:tblStyle w:val="32"/>
        <w:tblW w:w="1403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86"/>
        <w:gridCol w:w="1950"/>
        <w:gridCol w:w="1575"/>
        <w:gridCol w:w="1260"/>
        <w:gridCol w:w="1612"/>
        <w:gridCol w:w="1559"/>
        <w:gridCol w:w="1761"/>
        <w:gridCol w:w="1742"/>
        <w:gridCol w:w="1293"/>
      </w:tblGrid>
      <w:tr w14:paraId="53CF31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86" w:type="dxa"/>
            <w:tcBorders>
              <w:tl2br w:val="single" w:color="auto" w:sz="4" w:space="0"/>
            </w:tcBorders>
            <w:tcMar>
              <w:left w:w="28" w:type="dxa"/>
              <w:right w:w="28" w:type="dxa"/>
            </w:tcMar>
            <w:vAlign w:val="center"/>
          </w:tcPr>
          <w:p w14:paraId="4DA4DAED">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right"/>
              <w:textAlignment w:val="auto"/>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项目</w:t>
            </w:r>
          </w:p>
          <w:p w14:paraId="00A06959">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left"/>
              <w:textAlignment w:val="auto"/>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分类</w:t>
            </w:r>
          </w:p>
        </w:tc>
        <w:tc>
          <w:tcPr>
            <w:tcW w:w="1950" w:type="dxa"/>
            <w:tcMar>
              <w:left w:w="28" w:type="dxa"/>
              <w:right w:w="28" w:type="dxa"/>
            </w:tcMar>
            <w:vAlign w:val="center"/>
          </w:tcPr>
          <w:p w14:paraId="4163B148">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污染物名称</w:t>
            </w:r>
          </w:p>
        </w:tc>
        <w:tc>
          <w:tcPr>
            <w:tcW w:w="1575" w:type="dxa"/>
            <w:tcMar>
              <w:left w:w="28" w:type="dxa"/>
              <w:right w:w="28" w:type="dxa"/>
            </w:tcMar>
            <w:vAlign w:val="center"/>
          </w:tcPr>
          <w:p w14:paraId="343FC33F">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现有工程</w:t>
            </w:r>
          </w:p>
          <w:p w14:paraId="3704AE4A">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排放量（固体废物产生量）</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begin"/>
            </w:r>
            <w:r>
              <w:rPr>
                <w:rFonts w:hint="default" w:ascii="Times New Roman" w:hAnsi="Times New Roman" w:eastAsia="宋体" w:cs="Times New Roman"/>
                <w:b/>
                <w:bCs/>
                <w:snapToGrid w:val="0"/>
                <w:color w:val="auto"/>
                <w:spacing w:val="-6"/>
                <w:kern w:val="21"/>
                <w:sz w:val="21"/>
                <w:szCs w:val="21"/>
                <w:highlight w:val="none"/>
                <w:lang w:val="en-US" w:eastAsia="zh-CN" w:bidi="ar-SA"/>
              </w:rPr>
              <w:instrText xml:space="preserve"> = 1 \* GB3 \* MERGEFORMAT </w:instrTex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①</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end"/>
            </w:r>
          </w:p>
        </w:tc>
        <w:tc>
          <w:tcPr>
            <w:tcW w:w="1260" w:type="dxa"/>
            <w:tcMar>
              <w:left w:w="28" w:type="dxa"/>
              <w:right w:w="28" w:type="dxa"/>
            </w:tcMar>
            <w:vAlign w:val="center"/>
          </w:tcPr>
          <w:p w14:paraId="6195C9EF">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现有工程</w:t>
            </w:r>
          </w:p>
          <w:p w14:paraId="3CCE51B5">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许可排放量</w:t>
            </w:r>
          </w:p>
          <w:p w14:paraId="69CC3B57">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begin"/>
            </w:r>
            <w:r>
              <w:rPr>
                <w:rFonts w:hint="default" w:ascii="Times New Roman" w:hAnsi="Times New Roman" w:eastAsia="宋体" w:cs="Times New Roman"/>
                <w:b/>
                <w:bCs/>
                <w:snapToGrid w:val="0"/>
                <w:color w:val="auto"/>
                <w:spacing w:val="-6"/>
                <w:kern w:val="21"/>
                <w:sz w:val="21"/>
                <w:szCs w:val="21"/>
                <w:highlight w:val="none"/>
                <w:lang w:val="en-US" w:eastAsia="zh-CN" w:bidi="ar-SA"/>
              </w:rPr>
              <w:instrText xml:space="preserve"> = 2 \* GB3 \* MERGEFORMAT </w:instrTex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separate"/>
            </w:r>
            <w:r>
              <w:rPr>
                <w:rFonts w:hint="default" w:ascii="Times New Roman" w:hAnsi="Times New Roman" w:eastAsia="宋体" w:cs="Times New Roman"/>
                <w:b/>
                <w:bCs/>
                <w:snapToGrid w:val="0"/>
                <w:color w:val="auto"/>
                <w:spacing w:val="-6"/>
                <w:kern w:val="21"/>
                <w:sz w:val="21"/>
                <w:szCs w:val="21"/>
                <w:highlight w:val="none"/>
                <w:lang w:val="en-US" w:eastAsia="zh-CN" w:bidi="ar-SA"/>
              </w:rPr>
              <w:t>②</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end"/>
            </w:r>
          </w:p>
        </w:tc>
        <w:tc>
          <w:tcPr>
            <w:tcW w:w="1612" w:type="dxa"/>
            <w:tcMar>
              <w:left w:w="28" w:type="dxa"/>
              <w:right w:w="28" w:type="dxa"/>
            </w:tcMar>
            <w:vAlign w:val="center"/>
          </w:tcPr>
          <w:p w14:paraId="783A0918">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在建工程</w:t>
            </w:r>
          </w:p>
          <w:p w14:paraId="68D4FBE1">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排放量（固体废物产生量）</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begin"/>
            </w:r>
            <w:r>
              <w:rPr>
                <w:rFonts w:hint="default" w:ascii="Times New Roman" w:hAnsi="Times New Roman" w:eastAsia="宋体" w:cs="Times New Roman"/>
                <w:b/>
                <w:bCs/>
                <w:snapToGrid w:val="0"/>
                <w:color w:val="auto"/>
                <w:spacing w:val="-6"/>
                <w:kern w:val="21"/>
                <w:sz w:val="21"/>
                <w:szCs w:val="21"/>
                <w:highlight w:val="none"/>
                <w:lang w:val="en-US" w:eastAsia="zh-CN" w:bidi="ar-SA"/>
              </w:rPr>
              <w:instrText xml:space="preserve"> = 3 \* GB3 \* MERGEFORMAT </w:instrTex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③</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end"/>
            </w:r>
          </w:p>
        </w:tc>
        <w:tc>
          <w:tcPr>
            <w:tcW w:w="1559" w:type="dxa"/>
            <w:tcMar>
              <w:left w:w="28" w:type="dxa"/>
              <w:right w:w="28" w:type="dxa"/>
            </w:tcMar>
            <w:vAlign w:val="center"/>
          </w:tcPr>
          <w:p w14:paraId="2228E3BE">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本项目</w:t>
            </w:r>
          </w:p>
          <w:p w14:paraId="6611D6D4">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排放量（固体废物产生量）</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begin"/>
            </w:r>
            <w:r>
              <w:rPr>
                <w:rFonts w:hint="default" w:ascii="Times New Roman" w:hAnsi="Times New Roman" w:eastAsia="宋体" w:cs="Times New Roman"/>
                <w:b/>
                <w:bCs/>
                <w:snapToGrid w:val="0"/>
                <w:color w:val="auto"/>
                <w:spacing w:val="-6"/>
                <w:kern w:val="21"/>
                <w:sz w:val="21"/>
                <w:szCs w:val="21"/>
                <w:highlight w:val="none"/>
                <w:lang w:val="en-US" w:eastAsia="zh-CN" w:bidi="ar-SA"/>
              </w:rPr>
              <w:instrText xml:space="preserve"> = 4 \* GB3 \* MERGEFORMAT </w:instrTex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④</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end"/>
            </w:r>
          </w:p>
        </w:tc>
        <w:tc>
          <w:tcPr>
            <w:tcW w:w="1761" w:type="dxa"/>
            <w:tcMar>
              <w:left w:w="28" w:type="dxa"/>
              <w:right w:w="28" w:type="dxa"/>
            </w:tcMar>
            <w:vAlign w:val="center"/>
          </w:tcPr>
          <w:p w14:paraId="053325E2">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spacing w:val="-16"/>
                <w:kern w:val="21"/>
                <w:sz w:val="21"/>
                <w:szCs w:val="21"/>
                <w:highlight w:val="none"/>
                <w:lang w:val="en-US" w:eastAsia="zh-CN" w:bidi="ar-SA"/>
              </w:rPr>
            </w:pPr>
            <w:r>
              <w:rPr>
                <w:rFonts w:hint="default" w:ascii="Times New Roman" w:hAnsi="Times New Roman" w:eastAsia="宋体" w:cs="Times New Roman"/>
                <w:b/>
                <w:bCs/>
                <w:snapToGrid w:val="0"/>
                <w:color w:val="auto"/>
                <w:spacing w:val="-16"/>
                <w:kern w:val="21"/>
                <w:sz w:val="21"/>
                <w:szCs w:val="21"/>
                <w:highlight w:val="none"/>
                <w:lang w:val="en-US" w:eastAsia="zh-CN" w:bidi="ar-SA"/>
              </w:rPr>
              <w:t>以新带老削减量</w:t>
            </w:r>
          </w:p>
          <w:p w14:paraId="61B7AE3F">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spacing w:val="-16"/>
                <w:kern w:val="21"/>
                <w:sz w:val="21"/>
                <w:szCs w:val="21"/>
                <w:highlight w:val="none"/>
                <w:lang w:val="en-US" w:eastAsia="zh-CN" w:bidi="ar-SA"/>
              </w:rPr>
            </w:pPr>
            <w:r>
              <w:rPr>
                <w:rFonts w:hint="default" w:ascii="Times New Roman" w:hAnsi="Times New Roman" w:eastAsia="宋体" w:cs="Times New Roman"/>
                <w:b/>
                <w:bCs/>
                <w:snapToGrid w:val="0"/>
                <w:color w:val="auto"/>
                <w:spacing w:val="-16"/>
                <w:kern w:val="21"/>
                <w:sz w:val="21"/>
                <w:szCs w:val="21"/>
                <w:highlight w:val="none"/>
                <w:lang w:val="en-US" w:eastAsia="zh-CN" w:bidi="ar-SA"/>
              </w:rPr>
              <w:t>（新建项目不填）</w:t>
            </w:r>
            <w:r>
              <w:rPr>
                <w:rFonts w:hint="default" w:ascii="Times New Roman" w:hAnsi="Times New Roman" w:eastAsia="宋体" w:cs="Times New Roman"/>
                <w:b/>
                <w:bCs/>
                <w:snapToGrid w:val="0"/>
                <w:color w:val="auto"/>
                <w:spacing w:val="-16"/>
                <w:kern w:val="21"/>
                <w:sz w:val="21"/>
                <w:szCs w:val="21"/>
                <w:highlight w:val="none"/>
                <w:lang w:val="en-US" w:eastAsia="zh-CN" w:bidi="ar-SA"/>
              </w:rPr>
              <w:fldChar w:fldCharType="begin"/>
            </w:r>
            <w:r>
              <w:rPr>
                <w:rFonts w:hint="default" w:ascii="Times New Roman" w:hAnsi="Times New Roman" w:eastAsia="宋体" w:cs="Times New Roman"/>
                <w:b/>
                <w:bCs/>
                <w:snapToGrid w:val="0"/>
                <w:color w:val="auto"/>
                <w:spacing w:val="-16"/>
                <w:kern w:val="21"/>
                <w:sz w:val="21"/>
                <w:szCs w:val="21"/>
                <w:highlight w:val="none"/>
                <w:lang w:val="en-US" w:eastAsia="zh-CN" w:bidi="ar-SA"/>
              </w:rPr>
              <w:instrText xml:space="preserve"> = 5 \* GB3 \* MERGEFORMAT </w:instrText>
            </w:r>
            <w:r>
              <w:rPr>
                <w:rFonts w:hint="default" w:ascii="Times New Roman" w:hAnsi="Times New Roman" w:eastAsia="宋体" w:cs="Times New Roman"/>
                <w:b/>
                <w:bCs/>
                <w:snapToGrid w:val="0"/>
                <w:color w:val="auto"/>
                <w:spacing w:val="-16"/>
                <w:kern w:val="21"/>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⑤</w:t>
            </w:r>
            <w:r>
              <w:rPr>
                <w:rFonts w:hint="default" w:ascii="Times New Roman" w:hAnsi="Times New Roman" w:eastAsia="宋体" w:cs="Times New Roman"/>
                <w:b/>
                <w:bCs/>
                <w:snapToGrid w:val="0"/>
                <w:color w:val="auto"/>
                <w:spacing w:val="-16"/>
                <w:kern w:val="21"/>
                <w:sz w:val="21"/>
                <w:szCs w:val="21"/>
                <w:highlight w:val="none"/>
                <w:lang w:val="en-US" w:eastAsia="zh-CN" w:bidi="ar-SA"/>
              </w:rPr>
              <w:fldChar w:fldCharType="end"/>
            </w:r>
          </w:p>
        </w:tc>
        <w:tc>
          <w:tcPr>
            <w:tcW w:w="1742" w:type="dxa"/>
            <w:tcMar>
              <w:left w:w="28" w:type="dxa"/>
              <w:right w:w="28" w:type="dxa"/>
            </w:tcMar>
            <w:vAlign w:val="center"/>
          </w:tcPr>
          <w:p w14:paraId="5DFF2EC5">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spacing w:val="-16"/>
                <w:kern w:val="21"/>
                <w:sz w:val="21"/>
                <w:szCs w:val="21"/>
                <w:highlight w:val="none"/>
                <w:lang w:val="en-US" w:eastAsia="zh-CN" w:bidi="ar-SA"/>
              </w:rPr>
            </w:pPr>
            <w:r>
              <w:rPr>
                <w:rFonts w:hint="default" w:ascii="Times New Roman" w:hAnsi="Times New Roman" w:eastAsia="宋体" w:cs="Times New Roman"/>
                <w:b/>
                <w:bCs/>
                <w:snapToGrid w:val="0"/>
                <w:color w:val="auto"/>
                <w:spacing w:val="-16"/>
                <w:kern w:val="21"/>
                <w:sz w:val="21"/>
                <w:szCs w:val="21"/>
                <w:highlight w:val="none"/>
                <w:lang w:val="en-US" w:eastAsia="zh-CN" w:bidi="ar-SA"/>
              </w:rPr>
              <w:t>本项目建成后</w:t>
            </w:r>
          </w:p>
          <w:p w14:paraId="10E60256">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spacing w:val="-16"/>
                <w:kern w:val="21"/>
                <w:sz w:val="21"/>
                <w:szCs w:val="21"/>
                <w:highlight w:val="none"/>
                <w:lang w:val="en-US" w:eastAsia="zh-CN" w:bidi="ar-SA"/>
              </w:rPr>
            </w:pPr>
            <w:r>
              <w:rPr>
                <w:rFonts w:hint="default" w:ascii="Times New Roman" w:hAnsi="Times New Roman" w:eastAsia="宋体" w:cs="Times New Roman"/>
                <w:b/>
                <w:bCs/>
                <w:snapToGrid w:val="0"/>
                <w:color w:val="auto"/>
                <w:spacing w:val="-16"/>
                <w:kern w:val="21"/>
                <w:sz w:val="21"/>
                <w:szCs w:val="21"/>
                <w:highlight w:val="none"/>
                <w:lang w:val="en-US" w:eastAsia="zh-CN" w:bidi="ar-SA"/>
              </w:rPr>
              <w:t>全厂排放量（固体废物产生量）</w:t>
            </w:r>
            <w:r>
              <w:rPr>
                <w:rFonts w:hint="default" w:ascii="Times New Roman" w:hAnsi="Times New Roman" w:eastAsia="宋体" w:cs="Times New Roman"/>
                <w:b/>
                <w:bCs/>
                <w:snapToGrid w:val="0"/>
                <w:color w:val="auto"/>
                <w:spacing w:val="-16"/>
                <w:kern w:val="21"/>
                <w:sz w:val="21"/>
                <w:szCs w:val="21"/>
                <w:highlight w:val="none"/>
                <w:lang w:val="en-US" w:eastAsia="zh-CN" w:bidi="ar-SA"/>
              </w:rPr>
              <w:fldChar w:fldCharType="begin"/>
            </w:r>
            <w:r>
              <w:rPr>
                <w:rFonts w:hint="default" w:ascii="Times New Roman" w:hAnsi="Times New Roman" w:eastAsia="宋体" w:cs="Times New Roman"/>
                <w:b/>
                <w:bCs/>
                <w:snapToGrid w:val="0"/>
                <w:color w:val="auto"/>
                <w:spacing w:val="-16"/>
                <w:kern w:val="21"/>
                <w:sz w:val="21"/>
                <w:szCs w:val="21"/>
                <w:highlight w:val="none"/>
                <w:lang w:val="en-US" w:eastAsia="zh-CN" w:bidi="ar-SA"/>
              </w:rPr>
              <w:instrText xml:space="preserve"> = 6 \* GB3 \* MERGEFORMAT </w:instrText>
            </w:r>
            <w:r>
              <w:rPr>
                <w:rFonts w:hint="default" w:ascii="Times New Roman" w:hAnsi="Times New Roman" w:eastAsia="宋体" w:cs="Times New Roman"/>
                <w:b/>
                <w:bCs/>
                <w:snapToGrid w:val="0"/>
                <w:color w:val="auto"/>
                <w:spacing w:val="-16"/>
                <w:kern w:val="21"/>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⑥</w:t>
            </w:r>
            <w:r>
              <w:rPr>
                <w:rFonts w:hint="default" w:ascii="Times New Roman" w:hAnsi="Times New Roman" w:eastAsia="宋体" w:cs="Times New Roman"/>
                <w:b/>
                <w:bCs/>
                <w:snapToGrid w:val="0"/>
                <w:color w:val="auto"/>
                <w:spacing w:val="-16"/>
                <w:kern w:val="21"/>
                <w:sz w:val="21"/>
                <w:szCs w:val="21"/>
                <w:highlight w:val="none"/>
                <w:lang w:val="en-US" w:eastAsia="zh-CN" w:bidi="ar-SA"/>
              </w:rPr>
              <w:fldChar w:fldCharType="end"/>
            </w:r>
          </w:p>
        </w:tc>
        <w:tc>
          <w:tcPr>
            <w:tcW w:w="1293" w:type="dxa"/>
            <w:tcMar>
              <w:left w:w="28" w:type="dxa"/>
              <w:right w:w="28" w:type="dxa"/>
            </w:tcMar>
            <w:vAlign w:val="center"/>
          </w:tcPr>
          <w:p w14:paraId="75DE492A">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变化量</w:t>
            </w:r>
          </w:p>
          <w:p w14:paraId="15E78582">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begin"/>
            </w:r>
            <w:r>
              <w:rPr>
                <w:rFonts w:hint="default" w:ascii="Times New Roman" w:hAnsi="Times New Roman" w:eastAsia="宋体" w:cs="Times New Roman"/>
                <w:b/>
                <w:bCs/>
                <w:snapToGrid w:val="0"/>
                <w:color w:val="auto"/>
                <w:spacing w:val="-6"/>
                <w:kern w:val="21"/>
                <w:sz w:val="21"/>
                <w:szCs w:val="21"/>
                <w:highlight w:val="none"/>
                <w:lang w:val="en-US" w:eastAsia="zh-CN" w:bidi="ar-SA"/>
              </w:rPr>
              <w:instrText xml:space="preserve"> = 7 \* GB3 \* MERGEFORMAT </w:instrTex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⑦</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end"/>
            </w:r>
          </w:p>
        </w:tc>
      </w:tr>
      <w:tr w14:paraId="325427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1286" w:type="dxa"/>
            <w:vMerge w:val="restart"/>
            <w:vAlign w:val="center"/>
          </w:tcPr>
          <w:p w14:paraId="5CAD8ABE">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r>
              <w:rPr>
                <w:rFonts w:hint="default" w:ascii="Times New Roman" w:hAnsi="Times New Roman" w:eastAsia="宋体" w:cs="Times New Roman"/>
                <w:b/>
                <w:bCs/>
                <w:snapToGrid w:val="0"/>
                <w:color w:val="auto"/>
                <w:kern w:val="21"/>
                <w:sz w:val="21"/>
                <w:szCs w:val="21"/>
                <w:highlight w:val="none"/>
                <w:lang w:val="en-US" w:eastAsia="zh-CN" w:bidi="ar-SA"/>
              </w:rPr>
              <w:t>废气</w:t>
            </w:r>
          </w:p>
        </w:tc>
        <w:tc>
          <w:tcPr>
            <w:tcW w:w="1950" w:type="dxa"/>
            <w:shd w:val="clear" w:color="auto" w:fill="auto"/>
            <w:vAlign w:val="center"/>
          </w:tcPr>
          <w:p w14:paraId="5AAB01B5">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bidi="ar-SA"/>
              </w:rPr>
            </w:pPr>
            <w:r>
              <w:rPr>
                <w:rFonts w:hint="eastAsia" w:cs="Times New Roman"/>
                <w:b w:val="0"/>
                <w:bCs/>
                <w:color w:val="auto"/>
                <w:kern w:val="0"/>
                <w:sz w:val="21"/>
                <w:szCs w:val="21"/>
                <w:highlight w:val="none"/>
                <w:lang w:val="en-US" w:eastAsia="zh-CN" w:bidi="ar-SA"/>
              </w:rPr>
              <w:t>颗粒物</w:t>
            </w:r>
          </w:p>
        </w:tc>
        <w:tc>
          <w:tcPr>
            <w:tcW w:w="1575" w:type="dxa"/>
            <w:shd w:val="clear" w:color="auto" w:fill="auto"/>
            <w:vAlign w:val="center"/>
          </w:tcPr>
          <w:p w14:paraId="170F7CA4">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0.122</w:t>
            </w:r>
          </w:p>
        </w:tc>
        <w:tc>
          <w:tcPr>
            <w:tcW w:w="1260" w:type="dxa"/>
            <w:shd w:val="clear" w:color="auto" w:fill="auto"/>
            <w:vAlign w:val="center"/>
          </w:tcPr>
          <w:p w14:paraId="6A3DBF11">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cs="Times New Roman"/>
                <w:snapToGrid w:val="0"/>
                <w:color w:val="auto"/>
                <w:kern w:val="21"/>
                <w:sz w:val="21"/>
                <w:szCs w:val="21"/>
                <w:highlight w:val="none"/>
                <w:lang w:val="en-US" w:eastAsia="zh-CN" w:bidi="ar-SA"/>
              </w:rPr>
              <w:t>/</w:t>
            </w:r>
          </w:p>
        </w:tc>
        <w:tc>
          <w:tcPr>
            <w:tcW w:w="1612" w:type="dxa"/>
            <w:shd w:val="clear" w:color="auto" w:fill="auto"/>
            <w:vAlign w:val="center"/>
          </w:tcPr>
          <w:p w14:paraId="617662C6">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cs="Times New Roman"/>
                <w:snapToGrid w:val="0"/>
                <w:color w:val="auto"/>
                <w:kern w:val="21"/>
                <w:sz w:val="21"/>
                <w:szCs w:val="21"/>
                <w:highlight w:val="none"/>
                <w:lang w:val="en-US" w:eastAsia="zh-CN" w:bidi="ar-SA"/>
              </w:rPr>
              <w:t>/</w:t>
            </w:r>
          </w:p>
        </w:tc>
        <w:tc>
          <w:tcPr>
            <w:tcW w:w="1559" w:type="dxa"/>
            <w:shd w:val="clear" w:color="auto" w:fill="auto"/>
            <w:vAlign w:val="center"/>
          </w:tcPr>
          <w:p w14:paraId="76A1FA9D">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w:t>
            </w:r>
          </w:p>
        </w:tc>
        <w:tc>
          <w:tcPr>
            <w:tcW w:w="1761" w:type="dxa"/>
            <w:shd w:val="clear" w:color="auto" w:fill="auto"/>
            <w:vAlign w:val="center"/>
          </w:tcPr>
          <w:p w14:paraId="7994B7AF">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cs="Times New Roman"/>
                <w:snapToGrid w:val="0"/>
                <w:color w:val="auto"/>
                <w:kern w:val="21"/>
                <w:sz w:val="21"/>
                <w:szCs w:val="21"/>
                <w:highlight w:val="none"/>
                <w:lang w:val="en-US" w:eastAsia="zh-CN" w:bidi="ar-SA"/>
              </w:rPr>
              <w:t>/</w:t>
            </w:r>
          </w:p>
        </w:tc>
        <w:tc>
          <w:tcPr>
            <w:tcW w:w="1742" w:type="dxa"/>
            <w:shd w:val="clear" w:color="auto" w:fill="auto"/>
            <w:vAlign w:val="center"/>
          </w:tcPr>
          <w:p w14:paraId="5B0A7E04">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0.122</w:t>
            </w:r>
          </w:p>
        </w:tc>
        <w:tc>
          <w:tcPr>
            <w:tcW w:w="1293" w:type="dxa"/>
            <w:shd w:val="clear" w:color="auto" w:fill="auto"/>
            <w:vAlign w:val="center"/>
          </w:tcPr>
          <w:p w14:paraId="3B3EAB8E">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w:t>
            </w:r>
          </w:p>
        </w:tc>
      </w:tr>
      <w:tr w14:paraId="2DE812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1286" w:type="dxa"/>
            <w:vMerge w:val="continue"/>
            <w:vAlign w:val="center"/>
          </w:tcPr>
          <w:p w14:paraId="5C9BF39B">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p>
        </w:tc>
        <w:tc>
          <w:tcPr>
            <w:tcW w:w="1950" w:type="dxa"/>
            <w:shd w:val="clear" w:color="auto" w:fill="auto"/>
            <w:vAlign w:val="center"/>
          </w:tcPr>
          <w:p w14:paraId="5964708B">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b w:val="0"/>
                <w:bCs/>
                <w:color w:val="auto"/>
                <w:kern w:val="0"/>
                <w:sz w:val="21"/>
                <w:szCs w:val="21"/>
                <w:highlight w:val="none"/>
                <w:lang w:val="en-US" w:eastAsia="zh-CN" w:bidi="ar-SA"/>
              </w:rPr>
            </w:pPr>
            <w:r>
              <w:rPr>
                <w:rFonts w:hint="eastAsia" w:cs="Times New Roman"/>
                <w:b w:val="0"/>
                <w:bCs/>
                <w:color w:val="auto"/>
                <w:kern w:val="0"/>
                <w:sz w:val="21"/>
                <w:szCs w:val="21"/>
                <w:highlight w:val="none"/>
                <w:lang w:val="en-US" w:eastAsia="zh-CN" w:bidi="ar-SA"/>
              </w:rPr>
              <w:t>非甲烷总烃</w:t>
            </w:r>
          </w:p>
        </w:tc>
        <w:tc>
          <w:tcPr>
            <w:tcW w:w="1575" w:type="dxa"/>
            <w:shd w:val="clear" w:color="auto" w:fill="auto"/>
            <w:vAlign w:val="center"/>
          </w:tcPr>
          <w:p w14:paraId="4960EBEA">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ascii="Times New Roman" w:hAnsi="Times New Roman" w:eastAsia="宋体" w:cs="Times New Roman"/>
                <w:b w:val="0"/>
                <w:bCs/>
                <w:snapToGrid w:val="0"/>
                <w:color w:val="auto"/>
                <w:kern w:val="21"/>
                <w:sz w:val="21"/>
                <w:szCs w:val="21"/>
                <w:highlight w:val="none"/>
                <w:lang w:val="en-US" w:eastAsia="zh-CN"/>
              </w:rPr>
              <w:t>2.009</w:t>
            </w:r>
          </w:p>
        </w:tc>
        <w:tc>
          <w:tcPr>
            <w:tcW w:w="1260" w:type="dxa"/>
            <w:shd w:val="clear" w:color="auto" w:fill="auto"/>
            <w:vAlign w:val="center"/>
          </w:tcPr>
          <w:p w14:paraId="20D2FAD1">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612" w:type="dxa"/>
            <w:shd w:val="clear" w:color="auto" w:fill="auto"/>
            <w:vAlign w:val="center"/>
          </w:tcPr>
          <w:p w14:paraId="2F82BE67">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559" w:type="dxa"/>
            <w:shd w:val="clear" w:color="auto" w:fill="auto"/>
            <w:vAlign w:val="center"/>
          </w:tcPr>
          <w:p w14:paraId="0FFFD4FE">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1.227</w:t>
            </w:r>
          </w:p>
        </w:tc>
        <w:tc>
          <w:tcPr>
            <w:tcW w:w="1761" w:type="dxa"/>
            <w:shd w:val="clear" w:color="auto" w:fill="auto"/>
            <w:vAlign w:val="center"/>
          </w:tcPr>
          <w:p w14:paraId="271C3183">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rPr>
              <w:t>/</w:t>
            </w:r>
          </w:p>
        </w:tc>
        <w:tc>
          <w:tcPr>
            <w:tcW w:w="1742" w:type="dxa"/>
            <w:shd w:val="clear" w:color="auto" w:fill="auto"/>
            <w:vAlign w:val="center"/>
          </w:tcPr>
          <w:p w14:paraId="4CA6FCB5">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3.236</w:t>
            </w:r>
          </w:p>
        </w:tc>
        <w:tc>
          <w:tcPr>
            <w:tcW w:w="1293" w:type="dxa"/>
            <w:shd w:val="clear" w:color="auto" w:fill="auto"/>
            <w:vAlign w:val="center"/>
          </w:tcPr>
          <w:p w14:paraId="7F669440">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+1.227</w:t>
            </w:r>
          </w:p>
        </w:tc>
      </w:tr>
      <w:tr w14:paraId="5DB90D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1286" w:type="dxa"/>
            <w:vMerge w:val="continue"/>
            <w:vAlign w:val="center"/>
          </w:tcPr>
          <w:p w14:paraId="441449D3">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p>
        </w:tc>
        <w:tc>
          <w:tcPr>
            <w:tcW w:w="1950" w:type="dxa"/>
            <w:shd w:val="clear" w:color="auto" w:fill="auto"/>
            <w:vAlign w:val="center"/>
          </w:tcPr>
          <w:p w14:paraId="447180F7">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cs="Times New Roman"/>
                <w:b w:val="0"/>
                <w:bCs/>
                <w:color w:val="auto"/>
                <w:kern w:val="0"/>
                <w:sz w:val="21"/>
                <w:szCs w:val="21"/>
                <w:highlight w:val="none"/>
                <w:lang w:val="en-US" w:eastAsia="zh-CN" w:bidi="ar-SA"/>
              </w:rPr>
            </w:pPr>
            <w:r>
              <w:rPr>
                <w:rFonts w:hint="eastAsia" w:cs="Times New Roman"/>
                <w:b w:val="0"/>
                <w:bCs/>
                <w:color w:val="auto"/>
                <w:kern w:val="0"/>
                <w:sz w:val="21"/>
                <w:szCs w:val="21"/>
                <w:highlight w:val="none"/>
                <w:lang w:val="en-US" w:eastAsia="zh-CN" w:bidi="ar-SA"/>
              </w:rPr>
              <w:t>氨</w:t>
            </w:r>
          </w:p>
        </w:tc>
        <w:tc>
          <w:tcPr>
            <w:tcW w:w="1575" w:type="dxa"/>
            <w:shd w:val="clear" w:color="auto" w:fill="auto"/>
            <w:vAlign w:val="center"/>
          </w:tcPr>
          <w:p w14:paraId="560339E9">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w:t>
            </w:r>
          </w:p>
        </w:tc>
        <w:tc>
          <w:tcPr>
            <w:tcW w:w="1260" w:type="dxa"/>
            <w:shd w:val="clear" w:color="auto" w:fill="auto"/>
            <w:vAlign w:val="center"/>
          </w:tcPr>
          <w:p w14:paraId="431510F9">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w:t>
            </w:r>
          </w:p>
        </w:tc>
        <w:tc>
          <w:tcPr>
            <w:tcW w:w="1612" w:type="dxa"/>
            <w:shd w:val="clear" w:color="auto" w:fill="auto"/>
            <w:vAlign w:val="center"/>
          </w:tcPr>
          <w:p w14:paraId="3D674B70">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w:t>
            </w:r>
          </w:p>
        </w:tc>
        <w:tc>
          <w:tcPr>
            <w:tcW w:w="1559" w:type="dxa"/>
            <w:shd w:val="clear" w:color="auto" w:fill="auto"/>
            <w:vAlign w:val="center"/>
          </w:tcPr>
          <w:p w14:paraId="7C9292A5">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0.256</w:t>
            </w:r>
          </w:p>
        </w:tc>
        <w:tc>
          <w:tcPr>
            <w:tcW w:w="1761" w:type="dxa"/>
            <w:shd w:val="clear" w:color="auto" w:fill="auto"/>
            <w:vAlign w:val="center"/>
          </w:tcPr>
          <w:p w14:paraId="64EE7A01">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eastAsia" w:cs="Times New Roman"/>
                <w:b w:val="0"/>
                <w:bCs/>
                <w:snapToGrid w:val="0"/>
                <w:color w:val="auto"/>
                <w:kern w:val="21"/>
                <w:sz w:val="21"/>
                <w:szCs w:val="21"/>
                <w:highlight w:val="none"/>
                <w:lang w:val="en-US" w:eastAsia="zh-CN"/>
              </w:rPr>
            </w:pPr>
          </w:p>
        </w:tc>
        <w:tc>
          <w:tcPr>
            <w:tcW w:w="1742" w:type="dxa"/>
            <w:shd w:val="clear" w:color="auto" w:fill="auto"/>
            <w:vAlign w:val="center"/>
          </w:tcPr>
          <w:p w14:paraId="47937AA7">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0.256</w:t>
            </w:r>
          </w:p>
        </w:tc>
        <w:tc>
          <w:tcPr>
            <w:tcW w:w="1293" w:type="dxa"/>
            <w:shd w:val="clear" w:color="auto" w:fill="auto"/>
            <w:vAlign w:val="center"/>
          </w:tcPr>
          <w:p w14:paraId="2452ABFB">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+0.256</w:t>
            </w:r>
          </w:p>
        </w:tc>
      </w:tr>
      <w:tr w14:paraId="7C27D6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86" w:type="dxa"/>
            <w:vMerge w:val="continue"/>
            <w:vAlign w:val="center"/>
          </w:tcPr>
          <w:p w14:paraId="0C769B3B">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p>
        </w:tc>
        <w:tc>
          <w:tcPr>
            <w:tcW w:w="1950" w:type="dxa"/>
            <w:vAlign w:val="center"/>
          </w:tcPr>
          <w:p w14:paraId="6DA41997">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bidi="ar-SA"/>
              </w:rPr>
            </w:pPr>
            <w:r>
              <w:rPr>
                <w:rFonts w:hint="eastAsia" w:cs="Times New Roman"/>
                <w:b w:val="0"/>
                <w:bCs/>
                <w:color w:val="auto"/>
                <w:kern w:val="0"/>
                <w:sz w:val="21"/>
                <w:szCs w:val="21"/>
                <w:highlight w:val="none"/>
                <w:lang w:val="en-US" w:eastAsia="zh-CN" w:bidi="ar-SA"/>
              </w:rPr>
              <w:t>臭气浓度</w:t>
            </w:r>
          </w:p>
        </w:tc>
        <w:tc>
          <w:tcPr>
            <w:tcW w:w="1575" w:type="dxa"/>
            <w:vAlign w:val="center"/>
          </w:tcPr>
          <w:p w14:paraId="65FBF032">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260" w:type="dxa"/>
            <w:vAlign w:val="center"/>
          </w:tcPr>
          <w:p w14:paraId="2C14BB50">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21"/>
                <w:sz w:val="21"/>
                <w:szCs w:val="21"/>
                <w:highlight w:val="none"/>
                <w:lang w:val="en-US"/>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612" w:type="dxa"/>
            <w:vAlign w:val="center"/>
          </w:tcPr>
          <w:p w14:paraId="607AC17F">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21"/>
                <w:sz w:val="21"/>
                <w:szCs w:val="21"/>
                <w:highlight w:val="none"/>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559" w:type="dxa"/>
            <w:vAlign w:val="center"/>
          </w:tcPr>
          <w:p w14:paraId="7A0E8148">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761" w:type="dxa"/>
            <w:vAlign w:val="center"/>
          </w:tcPr>
          <w:p w14:paraId="456E38BC">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21"/>
                <w:sz w:val="21"/>
                <w:szCs w:val="21"/>
                <w:highlight w:val="none"/>
                <w:lang w:val="en-US"/>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742" w:type="dxa"/>
            <w:vAlign w:val="center"/>
          </w:tcPr>
          <w:p w14:paraId="5BBB728A">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293" w:type="dxa"/>
            <w:vAlign w:val="center"/>
          </w:tcPr>
          <w:p w14:paraId="3D3BA307">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ascii="Times New Roman" w:hAnsi="Times New Roman" w:eastAsia="宋体" w:cs="Times New Roman"/>
                <w:b w:val="0"/>
                <w:bCs/>
                <w:snapToGrid w:val="0"/>
                <w:color w:val="auto"/>
                <w:kern w:val="21"/>
                <w:sz w:val="21"/>
                <w:szCs w:val="21"/>
                <w:highlight w:val="none"/>
                <w:lang w:val="en-US" w:eastAsia="zh-CN"/>
              </w:rPr>
              <w:t>/</w:t>
            </w:r>
          </w:p>
        </w:tc>
      </w:tr>
      <w:tr w14:paraId="021F9D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86" w:type="dxa"/>
            <w:vMerge w:val="restart"/>
            <w:vAlign w:val="center"/>
          </w:tcPr>
          <w:p w14:paraId="0A5A2365">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r>
              <w:rPr>
                <w:rFonts w:hint="default" w:ascii="Times New Roman" w:hAnsi="Times New Roman" w:eastAsia="宋体" w:cs="Times New Roman"/>
                <w:b/>
                <w:bCs/>
                <w:snapToGrid w:val="0"/>
                <w:color w:val="auto"/>
                <w:kern w:val="21"/>
                <w:sz w:val="21"/>
                <w:szCs w:val="21"/>
                <w:highlight w:val="none"/>
                <w:lang w:val="en-US" w:eastAsia="zh-CN" w:bidi="ar-SA"/>
              </w:rPr>
              <w:t>废水</w:t>
            </w:r>
          </w:p>
        </w:tc>
        <w:tc>
          <w:tcPr>
            <w:tcW w:w="1950" w:type="dxa"/>
            <w:vAlign w:val="center"/>
          </w:tcPr>
          <w:p w14:paraId="6AB8C518">
            <w:pPr>
              <w:pStyle w:val="61"/>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ascii="Times New Roman" w:cs="Times New Roman"/>
                <w:b w:val="0"/>
                <w:bCs/>
                <w:snapToGrid w:val="0"/>
                <w:color w:val="auto"/>
                <w:kern w:val="21"/>
                <w:sz w:val="21"/>
                <w:szCs w:val="21"/>
                <w:highlight w:val="none"/>
                <w:lang w:val="en-US" w:eastAsia="zh-CN" w:bidi="ar-SA"/>
              </w:rPr>
              <w:t>pH</w:t>
            </w:r>
          </w:p>
        </w:tc>
        <w:tc>
          <w:tcPr>
            <w:tcW w:w="1575" w:type="dxa"/>
            <w:vAlign w:val="center"/>
          </w:tcPr>
          <w:p w14:paraId="6CAA0217">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ascii="Times New Roman" w:hAnsi="Times New Roman" w:eastAsia="宋体" w:cs="Times New Roman"/>
                <w:snapToGrid w:val="0"/>
                <w:color w:val="auto"/>
                <w:kern w:val="21"/>
                <w:sz w:val="21"/>
                <w:szCs w:val="21"/>
                <w:highlight w:val="none"/>
                <w:lang w:val="en-US" w:eastAsia="zh-CN"/>
              </w:rPr>
              <w:t>/</w:t>
            </w:r>
          </w:p>
        </w:tc>
        <w:tc>
          <w:tcPr>
            <w:tcW w:w="1260" w:type="dxa"/>
            <w:vAlign w:val="center"/>
          </w:tcPr>
          <w:p w14:paraId="2EA61D73">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snapToGrid w:val="0"/>
                <w:color w:val="auto"/>
                <w:kern w:val="21"/>
                <w:sz w:val="21"/>
                <w:szCs w:val="21"/>
                <w:highlight w:val="none"/>
                <w:lang w:val="en-US" w:eastAsia="zh-CN"/>
              </w:rPr>
            </w:pPr>
            <w:r>
              <w:rPr>
                <w:rFonts w:hint="eastAsia" w:ascii="Times New Roman" w:hAnsi="Times New Roman" w:eastAsia="宋体" w:cs="Times New Roman"/>
                <w:snapToGrid w:val="0"/>
                <w:color w:val="auto"/>
                <w:kern w:val="21"/>
                <w:sz w:val="21"/>
                <w:szCs w:val="21"/>
                <w:highlight w:val="none"/>
                <w:lang w:val="en-US" w:eastAsia="zh-CN"/>
              </w:rPr>
              <w:t>/</w:t>
            </w:r>
          </w:p>
        </w:tc>
        <w:tc>
          <w:tcPr>
            <w:tcW w:w="1612" w:type="dxa"/>
            <w:vAlign w:val="center"/>
          </w:tcPr>
          <w:p w14:paraId="406044A4">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firstLine="0" w:firstLineChars="0"/>
              <w:jc w:val="center"/>
              <w:textAlignment w:val="auto"/>
              <w:rPr>
                <w:rFonts w:hint="eastAsia" w:ascii="Times New Roman" w:hAnsi="Times New Roman" w:eastAsia="宋体" w:cs="Times New Roman"/>
                <w:snapToGrid w:val="0"/>
                <w:color w:val="auto"/>
                <w:kern w:val="21"/>
                <w:sz w:val="21"/>
                <w:szCs w:val="21"/>
                <w:highlight w:val="none"/>
                <w:lang w:val="en-US" w:eastAsia="zh-CN"/>
              </w:rPr>
            </w:pPr>
            <w:r>
              <w:rPr>
                <w:rFonts w:hint="eastAsia" w:ascii="Times New Roman" w:hAnsi="Times New Roman" w:eastAsia="宋体" w:cs="Times New Roman"/>
                <w:snapToGrid w:val="0"/>
                <w:color w:val="auto"/>
                <w:kern w:val="21"/>
                <w:sz w:val="21"/>
                <w:szCs w:val="21"/>
                <w:highlight w:val="none"/>
                <w:lang w:val="en-US" w:eastAsia="zh-CN"/>
              </w:rPr>
              <w:t>/</w:t>
            </w:r>
          </w:p>
        </w:tc>
        <w:tc>
          <w:tcPr>
            <w:tcW w:w="1559" w:type="dxa"/>
            <w:vAlign w:val="center"/>
          </w:tcPr>
          <w:p w14:paraId="10D61E76">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w:t>
            </w:r>
          </w:p>
        </w:tc>
        <w:tc>
          <w:tcPr>
            <w:tcW w:w="1761" w:type="dxa"/>
            <w:vAlign w:val="center"/>
          </w:tcPr>
          <w:p w14:paraId="23D6BD55">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firstLine="0" w:firstLineChars="0"/>
              <w:jc w:val="center"/>
              <w:textAlignment w:val="auto"/>
              <w:rPr>
                <w:rFonts w:hint="eastAsia" w:ascii="Times New Roman" w:hAnsi="Times New Roman" w:eastAsia="宋体" w:cs="Times New Roman"/>
                <w:snapToGrid w:val="0"/>
                <w:color w:val="auto"/>
                <w:kern w:val="21"/>
                <w:sz w:val="21"/>
                <w:szCs w:val="21"/>
                <w:highlight w:val="none"/>
                <w:lang w:val="en-US" w:eastAsia="zh-CN"/>
              </w:rPr>
            </w:pPr>
            <w:r>
              <w:rPr>
                <w:rFonts w:hint="eastAsia" w:ascii="Times New Roman" w:hAnsi="Times New Roman" w:eastAsia="宋体" w:cs="Times New Roman"/>
                <w:snapToGrid w:val="0"/>
                <w:color w:val="auto"/>
                <w:kern w:val="21"/>
                <w:sz w:val="21"/>
                <w:szCs w:val="21"/>
                <w:highlight w:val="none"/>
                <w:lang w:val="en-US" w:eastAsia="zh-CN"/>
              </w:rPr>
              <w:t>/</w:t>
            </w:r>
          </w:p>
        </w:tc>
        <w:tc>
          <w:tcPr>
            <w:tcW w:w="1742" w:type="dxa"/>
            <w:vAlign w:val="center"/>
          </w:tcPr>
          <w:p w14:paraId="1B4C52D7">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w:t>
            </w:r>
          </w:p>
        </w:tc>
        <w:tc>
          <w:tcPr>
            <w:tcW w:w="1293" w:type="dxa"/>
            <w:vAlign w:val="center"/>
          </w:tcPr>
          <w:p w14:paraId="64D9A7A6">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w:t>
            </w:r>
          </w:p>
        </w:tc>
      </w:tr>
      <w:tr w14:paraId="75C0C0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86" w:type="dxa"/>
            <w:vMerge w:val="continue"/>
            <w:vAlign w:val="center"/>
          </w:tcPr>
          <w:p w14:paraId="350ECF13">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p>
        </w:tc>
        <w:tc>
          <w:tcPr>
            <w:tcW w:w="1950" w:type="dxa"/>
            <w:vAlign w:val="center"/>
          </w:tcPr>
          <w:p w14:paraId="1331668F">
            <w:pPr>
              <w:pStyle w:val="61"/>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default" w:ascii="Times New Roman" w:hAnsi="Times New Roman" w:eastAsia="宋体" w:cs="Times New Roman"/>
                <w:b w:val="0"/>
                <w:bCs/>
                <w:snapToGrid w:val="0"/>
                <w:color w:val="auto"/>
                <w:kern w:val="21"/>
                <w:sz w:val="21"/>
                <w:szCs w:val="21"/>
                <w:highlight w:val="none"/>
              </w:rPr>
              <w:t>COD</w:t>
            </w:r>
            <w:r>
              <w:rPr>
                <w:rFonts w:hint="eastAsia" w:ascii="Times New Roman" w:cs="Times New Roman"/>
                <w:b w:val="0"/>
                <w:bCs/>
                <w:snapToGrid w:val="0"/>
                <w:color w:val="auto"/>
                <w:kern w:val="21"/>
                <w:sz w:val="21"/>
                <w:szCs w:val="21"/>
                <w:highlight w:val="none"/>
                <w:vertAlign w:val="subscript"/>
                <w:lang w:val="en-US" w:eastAsia="zh-CN"/>
              </w:rPr>
              <w:t>Cr</w:t>
            </w:r>
          </w:p>
        </w:tc>
        <w:tc>
          <w:tcPr>
            <w:tcW w:w="1575" w:type="dxa"/>
            <w:vAlign w:val="center"/>
          </w:tcPr>
          <w:p w14:paraId="154DBBD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0.756</w:t>
            </w:r>
          </w:p>
        </w:tc>
        <w:tc>
          <w:tcPr>
            <w:tcW w:w="1260" w:type="dxa"/>
            <w:vAlign w:val="center"/>
          </w:tcPr>
          <w:p w14:paraId="4E3232F0">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612" w:type="dxa"/>
            <w:vAlign w:val="center"/>
          </w:tcPr>
          <w:p w14:paraId="681AD81A">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firstLine="0" w:firstLineChars="0"/>
              <w:jc w:val="center"/>
              <w:textAlignment w:val="auto"/>
              <w:rPr>
                <w:rFonts w:hint="eastAsia"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559" w:type="dxa"/>
            <w:vAlign w:val="center"/>
          </w:tcPr>
          <w:p w14:paraId="2601B71A">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0.117</w:t>
            </w:r>
          </w:p>
        </w:tc>
        <w:tc>
          <w:tcPr>
            <w:tcW w:w="1761" w:type="dxa"/>
            <w:vAlign w:val="center"/>
          </w:tcPr>
          <w:p w14:paraId="21E999CF">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firstLine="0" w:firstLineChars="0"/>
              <w:jc w:val="center"/>
              <w:textAlignment w:val="auto"/>
              <w:rPr>
                <w:rFonts w:hint="eastAsia"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742" w:type="dxa"/>
            <w:vAlign w:val="center"/>
          </w:tcPr>
          <w:p w14:paraId="51C6E28E">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0.873</w:t>
            </w:r>
          </w:p>
        </w:tc>
        <w:tc>
          <w:tcPr>
            <w:tcW w:w="1293" w:type="dxa"/>
            <w:vAlign w:val="center"/>
          </w:tcPr>
          <w:p w14:paraId="7DEAE7CE">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+0.117</w:t>
            </w:r>
          </w:p>
        </w:tc>
      </w:tr>
      <w:tr w14:paraId="5DF1B6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86" w:type="dxa"/>
            <w:vMerge w:val="continue"/>
            <w:vAlign w:val="center"/>
          </w:tcPr>
          <w:p w14:paraId="42A1DDDE">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p>
        </w:tc>
        <w:tc>
          <w:tcPr>
            <w:tcW w:w="1950" w:type="dxa"/>
            <w:vAlign w:val="center"/>
          </w:tcPr>
          <w:p w14:paraId="1CB185A7">
            <w:pPr>
              <w:pStyle w:val="61"/>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default" w:ascii="Times New Roman" w:hAnsi="Times New Roman" w:eastAsia="宋体" w:cs="Times New Roman"/>
                <w:b w:val="0"/>
                <w:bCs/>
                <w:snapToGrid w:val="0"/>
                <w:color w:val="auto"/>
                <w:kern w:val="21"/>
                <w:sz w:val="21"/>
                <w:szCs w:val="21"/>
                <w:highlight w:val="none"/>
              </w:rPr>
              <w:t>BOD</w:t>
            </w:r>
            <w:r>
              <w:rPr>
                <w:rFonts w:hint="default" w:ascii="Times New Roman" w:hAnsi="Times New Roman" w:eastAsia="宋体" w:cs="Times New Roman"/>
                <w:b w:val="0"/>
                <w:bCs/>
                <w:snapToGrid w:val="0"/>
                <w:color w:val="auto"/>
                <w:kern w:val="21"/>
                <w:sz w:val="21"/>
                <w:szCs w:val="21"/>
                <w:highlight w:val="none"/>
                <w:vertAlign w:val="subscript"/>
              </w:rPr>
              <w:t>5</w:t>
            </w:r>
          </w:p>
        </w:tc>
        <w:tc>
          <w:tcPr>
            <w:tcW w:w="1575" w:type="dxa"/>
            <w:vAlign w:val="center"/>
          </w:tcPr>
          <w:p w14:paraId="7ECAF08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i w:val="0"/>
                <w:iCs w:val="0"/>
                <w:color w:val="auto"/>
                <w:kern w:val="0"/>
                <w:sz w:val="21"/>
                <w:szCs w:val="21"/>
                <w:highlight w:val="none"/>
                <w:u w:val="none"/>
                <w:lang w:val="en-US" w:eastAsia="zh-CN" w:bidi="ar"/>
              </w:rPr>
              <w:t>0.331</w:t>
            </w:r>
          </w:p>
        </w:tc>
        <w:tc>
          <w:tcPr>
            <w:tcW w:w="1260" w:type="dxa"/>
            <w:vAlign w:val="center"/>
          </w:tcPr>
          <w:p w14:paraId="5F34C32B">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21"/>
                <w:sz w:val="21"/>
                <w:szCs w:val="21"/>
                <w:highlight w:val="none"/>
                <w:lang w:val="en-US"/>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612" w:type="dxa"/>
            <w:vAlign w:val="center"/>
          </w:tcPr>
          <w:p w14:paraId="7A327CD4">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snapToGrid w:val="0"/>
                <w:color w:val="auto"/>
                <w:kern w:val="21"/>
                <w:sz w:val="21"/>
                <w:szCs w:val="21"/>
                <w:highlight w:val="none"/>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559" w:type="dxa"/>
            <w:vAlign w:val="center"/>
          </w:tcPr>
          <w:p w14:paraId="367180B4">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0.046</w:t>
            </w:r>
          </w:p>
        </w:tc>
        <w:tc>
          <w:tcPr>
            <w:tcW w:w="1761" w:type="dxa"/>
            <w:vAlign w:val="center"/>
          </w:tcPr>
          <w:p w14:paraId="4A4BCC70">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snapToGrid w:val="0"/>
                <w:color w:val="auto"/>
                <w:kern w:val="21"/>
                <w:sz w:val="21"/>
                <w:szCs w:val="21"/>
                <w:highlight w:val="none"/>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742" w:type="dxa"/>
            <w:vAlign w:val="center"/>
          </w:tcPr>
          <w:p w14:paraId="0C57310C">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0.377</w:t>
            </w:r>
          </w:p>
        </w:tc>
        <w:tc>
          <w:tcPr>
            <w:tcW w:w="1293" w:type="dxa"/>
            <w:vAlign w:val="center"/>
          </w:tcPr>
          <w:p w14:paraId="5495C86A">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snapToGrid w:val="0"/>
                <w:color w:val="auto"/>
                <w:kern w:val="21"/>
                <w:sz w:val="24"/>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+0.046</w:t>
            </w:r>
          </w:p>
        </w:tc>
      </w:tr>
      <w:tr w14:paraId="5E6099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86" w:type="dxa"/>
            <w:vMerge w:val="continue"/>
            <w:vAlign w:val="center"/>
          </w:tcPr>
          <w:p w14:paraId="25A3579F">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p>
        </w:tc>
        <w:tc>
          <w:tcPr>
            <w:tcW w:w="1950" w:type="dxa"/>
            <w:vAlign w:val="center"/>
          </w:tcPr>
          <w:p w14:paraId="1DAAB3FE">
            <w:pPr>
              <w:pStyle w:val="61"/>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default" w:ascii="Times New Roman" w:hAnsi="Times New Roman" w:eastAsia="宋体" w:cs="Times New Roman"/>
                <w:b w:val="0"/>
                <w:bCs/>
                <w:snapToGrid w:val="0"/>
                <w:color w:val="auto"/>
                <w:kern w:val="21"/>
                <w:sz w:val="21"/>
                <w:szCs w:val="21"/>
                <w:highlight w:val="none"/>
              </w:rPr>
              <w:t>SS</w:t>
            </w:r>
          </w:p>
        </w:tc>
        <w:tc>
          <w:tcPr>
            <w:tcW w:w="1575" w:type="dxa"/>
            <w:vAlign w:val="center"/>
          </w:tcPr>
          <w:p w14:paraId="5AC3CE2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color w:val="auto"/>
                <w:sz w:val="21"/>
                <w:szCs w:val="21"/>
                <w:highlight w:val="none"/>
                <w:lang w:val="en-US" w:eastAsia="zh-CN"/>
              </w:rPr>
            </w:pPr>
            <w:r>
              <w:rPr>
                <w:rFonts w:hint="eastAsia" w:cs="Times New Roman"/>
                <w:i w:val="0"/>
                <w:iCs w:val="0"/>
                <w:color w:val="auto"/>
                <w:kern w:val="0"/>
                <w:sz w:val="21"/>
                <w:szCs w:val="21"/>
                <w:highlight w:val="none"/>
                <w:u w:val="none"/>
                <w:lang w:val="en-US" w:eastAsia="zh-CN" w:bidi="ar"/>
              </w:rPr>
              <w:t>0.218</w:t>
            </w:r>
          </w:p>
        </w:tc>
        <w:tc>
          <w:tcPr>
            <w:tcW w:w="1260" w:type="dxa"/>
            <w:vAlign w:val="center"/>
          </w:tcPr>
          <w:p w14:paraId="7E8C4A8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612" w:type="dxa"/>
            <w:vAlign w:val="center"/>
          </w:tcPr>
          <w:p w14:paraId="5A8FC97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559" w:type="dxa"/>
            <w:vAlign w:val="center"/>
          </w:tcPr>
          <w:p w14:paraId="04A45F4F">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0.062</w:t>
            </w:r>
          </w:p>
        </w:tc>
        <w:tc>
          <w:tcPr>
            <w:tcW w:w="1761" w:type="dxa"/>
            <w:vAlign w:val="center"/>
          </w:tcPr>
          <w:p w14:paraId="4581119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742" w:type="dxa"/>
            <w:vAlign w:val="center"/>
          </w:tcPr>
          <w:p w14:paraId="272F92D6">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0.28</w:t>
            </w:r>
          </w:p>
        </w:tc>
        <w:tc>
          <w:tcPr>
            <w:tcW w:w="1293" w:type="dxa"/>
            <w:vAlign w:val="center"/>
          </w:tcPr>
          <w:p w14:paraId="5D4F628F">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4"/>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+0.062</w:t>
            </w:r>
          </w:p>
        </w:tc>
      </w:tr>
      <w:tr w14:paraId="138EBD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86" w:type="dxa"/>
            <w:vMerge w:val="continue"/>
            <w:vAlign w:val="center"/>
          </w:tcPr>
          <w:p w14:paraId="0E2497A7">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p>
        </w:tc>
        <w:tc>
          <w:tcPr>
            <w:tcW w:w="1950" w:type="dxa"/>
            <w:vAlign w:val="center"/>
          </w:tcPr>
          <w:p w14:paraId="6EA9D3B8">
            <w:pPr>
              <w:pStyle w:val="61"/>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default" w:ascii="Times New Roman" w:hAnsi="Times New Roman" w:eastAsia="宋体" w:cs="Times New Roman"/>
                <w:b w:val="0"/>
                <w:bCs/>
                <w:snapToGrid w:val="0"/>
                <w:color w:val="auto"/>
                <w:kern w:val="21"/>
                <w:sz w:val="21"/>
                <w:szCs w:val="21"/>
                <w:highlight w:val="none"/>
              </w:rPr>
              <w:t>NH</w:t>
            </w:r>
            <w:r>
              <w:rPr>
                <w:rFonts w:hint="default" w:ascii="Times New Roman" w:hAnsi="Times New Roman" w:eastAsia="宋体" w:cs="Times New Roman"/>
                <w:b w:val="0"/>
                <w:bCs/>
                <w:snapToGrid w:val="0"/>
                <w:color w:val="auto"/>
                <w:kern w:val="21"/>
                <w:sz w:val="21"/>
                <w:szCs w:val="21"/>
                <w:highlight w:val="none"/>
                <w:vertAlign w:val="subscript"/>
              </w:rPr>
              <w:t>3</w:t>
            </w:r>
            <w:r>
              <w:rPr>
                <w:rFonts w:hint="default" w:ascii="Times New Roman" w:hAnsi="Times New Roman" w:eastAsia="宋体" w:cs="Times New Roman"/>
                <w:b w:val="0"/>
                <w:bCs/>
                <w:snapToGrid w:val="0"/>
                <w:color w:val="auto"/>
                <w:kern w:val="21"/>
                <w:sz w:val="21"/>
                <w:szCs w:val="21"/>
                <w:highlight w:val="none"/>
              </w:rPr>
              <w:t>-N</w:t>
            </w:r>
          </w:p>
        </w:tc>
        <w:tc>
          <w:tcPr>
            <w:tcW w:w="1575" w:type="dxa"/>
            <w:vAlign w:val="center"/>
          </w:tcPr>
          <w:p w14:paraId="0F5FB4B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i w:val="0"/>
                <w:iCs w:val="0"/>
                <w:color w:val="auto"/>
                <w:kern w:val="0"/>
                <w:sz w:val="21"/>
                <w:szCs w:val="21"/>
                <w:highlight w:val="none"/>
                <w:u w:val="none"/>
                <w:lang w:val="en-US" w:eastAsia="zh-CN" w:bidi="ar"/>
              </w:rPr>
              <w:t>0.101</w:t>
            </w:r>
          </w:p>
        </w:tc>
        <w:tc>
          <w:tcPr>
            <w:tcW w:w="1260" w:type="dxa"/>
            <w:vAlign w:val="center"/>
          </w:tcPr>
          <w:p w14:paraId="531EAC40">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21"/>
                <w:sz w:val="21"/>
                <w:szCs w:val="21"/>
                <w:highlight w:val="none"/>
                <w:lang w:val="en-US"/>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612" w:type="dxa"/>
            <w:vAlign w:val="center"/>
          </w:tcPr>
          <w:p w14:paraId="629A02E3">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snapToGrid w:val="0"/>
                <w:color w:val="auto"/>
                <w:kern w:val="21"/>
                <w:sz w:val="21"/>
                <w:szCs w:val="21"/>
                <w:highlight w:val="none"/>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559" w:type="dxa"/>
            <w:vAlign w:val="center"/>
          </w:tcPr>
          <w:p w14:paraId="05B860FE">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0.014</w:t>
            </w:r>
          </w:p>
        </w:tc>
        <w:tc>
          <w:tcPr>
            <w:tcW w:w="1761" w:type="dxa"/>
            <w:vAlign w:val="center"/>
          </w:tcPr>
          <w:p w14:paraId="178D1000">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snapToGrid w:val="0"/>
                <w:color w:val="auto"/>
                <w:kern w:val="21"/>
                <w:sz w:val="21"/>
                <w:szCs w:val="21"/>
                <w:highlight w:val="none"/>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742" w:type="dxa"/>
            <w:vAlign w:val="center"/>
          </w:tcPr>
          <w:p w14:paraId="7A17ED8C">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0.115</w:t>
            </w:r>
          </w:p>
        </w:tc>
        <w:tc>
          <w:tcPr>
            <w:tcW w:w="1293" w:type="dxa"/>
            <w:vAlign w:val="center"/>
          </w:tcPr>
          <w:p w14:paraId="2D2443E4">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+0.014</w:t>
            </w:r>
          </w:p>
        </w:tc>
      </w:tr>
      <w:tr w14:paraId="2BE59A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86" w:type="dxa"/>
            <w:vMerge w:val="continue"/>
            <w:vAlign w:val="center"/>
          </w:tcPr>
          <w:p w14:paraId="75DC8D4C">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p>
        </w:tc>
        <w:tc>
          <w:tcPr>
            <w:tcW w:w="1950" w:type="dxa"/>
            <w:vAlign w:val="center"/>
          </w:tcPr>
          <w:p w14:paraId="7D2E64AA">
            <w:pPr>
              <w:pStyle w:val="61"/>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TP</w:t>
            </w:r>
          </w:p>
        </w:tc>
        <w:tc>
          <w:tcPr>
            <w:tcW w:w="1575" w:type="dxa"/>
            <w:vAlign w:val="center"/>
          </w:tcPr>
          <w:p w14:paraId="4395FBD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color w:val="auto"/>
                <w:kern w:val="2"/>
                <w:sz w:val="21"/>
                <w:szCs w:val="21"/>
                <w:highlight w:val="none"/>
                <w:lang w:val="en-US" w:eastAsia="zh-CN" w:bidi="ar-SA"/>
              </w:rPr>
              <w:t>0.011</w:t>
            </w:r>
          </w:p>
        </w:tc>
        <w:tc>
          <w:tcPr>
            <w:tcW w:w="1260" w:type="dxa"/>
            <w:vAlign w:val="center"/>
          </w:tcPr>
          <w:p w14:paraId="7E66D92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val="0"/>
                <w:bCs/>
                <w:snapToGrid w:val="0"/>
                <w:color w:val="auto"/>
                <w:kern w:val="21"/>
                <w:sz w:val="21"/>
                <w:szCs w:val="21"/>
                <w:highlight w:val="none"/>
                <w:lang w:val="en-US" w:eastAsia="zh-CN"/>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612" w:type="dxa"/>
            <w:vAlign w:val="center"/>
          </w:tcPr>
          <w:p w14:paraId="7B2EFA2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val="0"/>
                <w:bCs/>
                <w:snapToGrid w:val="0"/>
                <w:color w:val="auto"/>
                <w:kern w:val="21"/>
                <w:sz w:val="21"/>
                <w:szCs w:val="21"/>
                <w:highlight w:val="none"/>
                <w:lang w:val="en-US" w:eastAsia="zh-CN"/>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559" w:type="dxa"/>
            <w:vAlign w:val="center"/>
          </w:tcPr>
          <w:p w14:paraId="44E86AC3">
            <w:pPr>
              <w:pStyle w:val="6"/>
              <w:keepNext w:val="0"/>
              <w:keepLines w:val="0"/>
              <w:suppressLineNumbers w:val="0"/>
              <w:bidi w:val="0"/>
              <w:spacing w:before="0" w:beforeAutospacing="0" w:after="0" w:afterAutospacing="0"/>
              <w:ind w:left="0" w:leftChars="0" w:right="0" w:rightChars="0" w:firstLine="0" w:firstLineChars="0"/>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0.003</w:t>
            </w:r>
          </w:p>
        </w:tc>
        <w:tc>
          <w:tcPr>
            <w:tcW w:w="1761" w:type="dxa"/>
            <w:vAlign w:val="center"/>
          </w:tcPr>
          <w:p w14:paraId="06E07BF3">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b w:val="0"/>
                <w:bCs/>
                <w:snapToGrid w:val="0"/>
                <w:color w:val="auto"/>
                <w:kern w:val="21"/>
                <w:sz w:val="21"/>
                <w:szCs w:val="21"/>
                <w:highlight w:val="none"/>
                <w:lang w:val="en-US" w:eastAsia="zh-CN"/>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742" w:type="dxa"/>
            <w:vAlign w:val="center"/>
          </w:tcPr>
          <w:p w14:paraId="1D8930EA">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0.014</w:t>
            </w:r>
          </w:p>
        </w:tc>
        <w:tc>
          <w:tcPr>
            <w:tcW w:w="1293" w:type="dxa"/>
            <w:vAlign w:val="center"/>
          </w:tcPr>
          <w:p w14:paraId="750C52AC">
            <w:pPr>
              <w:pStyle w:val="6"/>
              <w:keepNext w:val="0"/>
              <w:keepLines w:val="0"/>
              <w:suppressLineNumbers w:val="0"/>
              <w:bidi w:val="0"/>
              <w:spacing w:before="0" w:beforeAutospacing="0" w:after="0" w:afterAutospacing="0"/>
              <w:ind w:left="0" w:leftChars="0" w:right="0" w:rightChars="0" w:firstLine="0" w:firstLineChars="0"/>
              <w:rPr>
                <w:rFonts w:hint="eastAsia"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+0.003</w:t>
            </w:r>
          </w:p>
        </w:tc>
      </w:tr>
      <w:tr w14:paraId="2CF839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86" w:type="dxa"/>
            <w:vMerge w:val="continue"/>
            <w:vAlign w:val="center"/>
          </w:tcPr>
          <w:p w14:paraId="2404520D">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p>
        </w:tc>
        <w:tc>
          <w:tcPr>
            <w:tcW w:w="1950" w:type="dxa"/>
            <w:vAlign w:val="center"/>
          </w:tcPr>
          <w:p w14:paraId="667EEBCA">
            <w:pPr>
              <w:pStyle w:val="61"/>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textAlignment w:val="auto"/>
              <w:rPr>
                <w:rFonts w:hint="default"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总氮</w:t>
            </w:r>
          </w:p>
        </w:tc>
        <w:tc>
          <w:tcPr>
            <w:tcW w:w="1575" w:type="dxa"/>
            <w:vAlign w:val="center"/>
          </w:tcPr>
          <w:p w14:paraId="3729262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0.216</w:t>
            </w:r>
          </w:p>
        </w:tc>
        <w:tc>
          <w:tcPr>
            <w:tcW w:w="1260" w:type="dxa"/>
            <w:vAlign w:val="center"/>
          </w:tcPr>
          <w:p w14:paraId="1169CB9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w:t>
            </w:r>
          </w:p>
        </w:tc>
        <w:tc>
          <w:tcPr>
            <w:tcW w:w="1612" w:type="dxa"/>
            <w:vAlign w:val="center"/>
          </w:tcPr>
          <w:p w14:paraId="61F86C8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w:t>
            </w:r>
          </w:p>
        </w:tc>
        <w:tc>
          <w:tcPr>
            <w:tcW w:w="1559" w:type="dxa"/>
            <w:vAlign w:val="center"/>
          </w:tcPr>
          <w:p w14:paraId="29CACEF2">
            <w:pPr>
              <w:pStyle w:val="6"/>
              <w:keepNext w:val="0"/>
              <w:keepLines w:val="0"/>
              <w:suppressLineNumbers w:val="0"/>
              <w:bidi w:val="0"/>
              <w:spacing w:before="0" w:beforeAutospacing="0" w:after="0" w:afterAutospacing="0"/>
              <w:ind w:left="0" w:leftChars="0" w:right="0" w:rightChars="0" w:firstLine="0" w:firstLineChars="0"/>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0.017</w:t>
            </w:r>
          </w:p>
        </w:tc>
        <w:tc>
          <w:tcPr>
            <w:tcW w:w="1761" w:type="dxa"/>
            <w:vAlign w:val="center"/>
          </w:tcPr>
          <w:p w14:paraId="44432306">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w:t>
            </w:r>
          </w:p>
        </w:tc>
        <w:tc>
          <w:tcPr>
            <w:tcW w:w="1742" w:type="dxa"/>
            <w:vAlign w:val="center"/>
          </w:tcPr>
          <w:p w14:paraId="62660027">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0.233</w:t>
            </w:r>
          </w:p>
        </w:tc>
        <w:tc>
          <w:tcPr>
            <w:tcW w:w="1293" w:type="dxa"/>
            <w:vAlign w:val="center"/>
          </w:tcPr>
          <w:p w14:paraId="1365F194">
            <w:pPr>
              <w:pStyle w:val="6"/>
              <w:keepNext w:val="0"/>
              <w:keepLines w:val="0"/>
              <w:suppressLineNumbers w:val="0"/>
              <w:bidi w:val="0"/>
              <w:spacing w:before="0" w:beforeAutospacing="0" w:after="0" w:afterAutospacing="0"/>
              <w:ind w:left="0" w:leftChars="0" w:right="0" w:rightChars="0" w:firstLine="0" w:firstLineChars="0"/>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+0.017</w:t>
            </w:r>
          </w:p>
        </w:tc>
      </w:tr>
      <w:tr w14:paraId="342C53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86" w:type="dxa"/>
            <w:vMerge w:val="continue"/>
            <w:vAlign w:val="center"/>
          </w:tcPr>
          <w:p w14:paraId="559D00B0">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p>
        </w:tc>
        <w:tc>
          <w:tcPr>
            <w:tcW w:w="1950" w:type="dxa"/>
            <w:shd w:val="clear" w:color="auto" w:fill="auto"/>
            <w:vAlign w:val="center"/>
          </w:tcPr>
          <w:p w14:paraId="50BB7FE3">
            <w:pPr>
              <w:pStyle w:val="61"/>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textAlignment w:val="auto"/>
              <w:rPr>
                <w:rFonts w:hint="eastAsia"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rPr>
              <w:t>动植物油</w:t>
            </w:r>
          </w:p>
        </w:tc>
        <w:tc>
          <w:tcPr>
            <w:tcW w:w="1575" w:type="dxa"/>
            <w:shd w:val="clear" w:color="auto" w:fill="auto"/>
            <w:vAlign w:val="center"/>
          </w:tcPr>
          <w:p w14:paraId="677E33F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0.012</w:t>
            </w:r>
          </w:p>
        </w:tc>
        <w:tc>
          <w:tcPr>
            <w:tcW w:w="1260" w:type="dxa"/>
            <w:shd w:val="clear" w:color="auto" w:fill="auto"/>
            <w:vAlign w:val="center"/>
          </w:tcPr>
          <w:p w14:paraId="7DB7240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rPr>
              <w:t>/</w:t>
            </w:r>
          </w:p>
        </w:tc>
        <w:tc>
          <w:tcPr>
            <w:tcW w:w="1612" w:type="dxa"/>
            <w:shd w:val="clear" w:color="auto" w:fill="auto"/>
            <w:vAlign w:val="center"/>
          </w:tcPr>
          <w:p w14:paraId="1F28CA0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val="0"/>
                <w:bCs/>
                <w:snapToGrid w:val="0"/>
                <w:color w:val="auto"/>
                <w:kern w:val="21"/>
                <w:sz w:val="21"/>
                <w:szCs w:val="21"/>
                <w:highlight w:val="none"/>
                <w:lang w:val="en-US" w:eastAsia="zh-CN" w:bidi="ar-SA"/>
              </w:rPr>
            </w:pPr>
          </w:p>
        </w:tc>
        <w:tc>
          <w:tcPr>
            <w:tcW w:w="1559" w:type="dxa"/>
            <w:shd w:val="clear" w:color="auto" w:fill="auto"/>
            <w:vAlign w:val="center"/>
          </w:tcPr>
          <w:p w14:paraId="719638E1">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0.002</w:t>
            </w:r>
          </w:p>
        </w:tc>
        <w:tc>
          <w:tcPr>
            <w:tcW w:w="1761" w:type="dxa"/>
            <w:shd w:val="clear" w:color="auto" w:fill="auto"/>
            <w:vAlign w:val="center"/>
          </w:tcPr>
          <w:p w14:paraId="1F914710">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rPr>
              <w:t>/</w:t>
            </w:r>
          </w:p>
        </w:tc>
        <w:tc>
          <w:tcPr>
            <w:tcW w:w="1742" w:type="dxa"/>
            <w:shd w:val="clear" w:color="auto" w:fill="auto"/>
            <w:vAlign w:val="center"/>
          </w:tcPr>
          <w:p w14:paraId="3F15568F">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0.014</w:t>
            </w:r>
          </w:p>
        </w:tc>
        <w:tc>
          <w:tcPr>
            <w:tcW w:w="1293" w:type="dxa"/>
            <w:shd w:val="clear" w:color="auto" w:fill="auto"/>
            <w:vAlign w:val="center"/>
          </w:tcPr>
          <w:p w14:paraId="43D1EEBC">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+0.002</w:t>
            </w:r>
          </w:p>
        </w:tc>
      </w:tr>
      <w:tr w14:paraId="1DEF6F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86" w:type="dxa"/>
            <w:vMerge w:val="continue"/>
            <w:vAlign w:val="center"/>
          </w:tcPr>
          <w:p w14:paraId="32B0BE0F">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p>
        </w:tc>
        <w:tc>
          <w:tcPr>
            <w:tcW w:w="1950" w:type="dxa"/>
            <w:vAlign w:val="center"/>
          </w:tcPr>
          <w:p w14:paraId="1AE7FBED">
            <w:pPr>
              <w:pStyle w:val="61"/>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textAlignment w:val="auto"/>
              <w:rPr>
                <w:rFonts w:hint="default"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石油类</w:t>
            </w:r>
          </w:p>
        </w:tc>
        <w:tc>
          <w:tcPr>
            <w:tcW w:w="1575" w:type="dxa"/>
            <w:vAlign w:val="center"/>
          </w:tcPr>
          <w:p w14:paraId="6E7AB2E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0</w:t>
            </w:r>
          </w:p>
        </w:tc>
        <w:tc>
          <w:tcPr>
            <w:tcW w:w="1260" w:type="dxa"/>
            <w:vAlign w:val="center"/>
          </w:tcPr>
          <w:p w14:paraId="6AC4924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w:t>
            </w:r>
          </w:p>
        </w:tc>
        <w:tc>
          <w:tcPr>
            <w:tcW w:w="1612" w:type="dxa"/>
            <w:vAlign w:val="center"/>
          </w:tcPr>
          <w:p w14:paraId="5C51AAA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w:t>
            </w:r>
          </w:p>
        </w:tc>
        <w:tc>
          <w:tcPr>
            <w:tcW w:w="1559" w:type="dxa"/>
            <w:vAlign w:val="center"/>
          </w:tcPr>
          <w:p w14:paraId="55E1476C">
            <w:pPr>
              <w:pStyle w:val="6"/>
              <w:keepNext w:val="0"/>
              <w:keepLines w:val="0"/>
              <w:suppressLineNumbers w:val="0"/>
              <w:bidi w:val="0"/>
              <w:spacing w:before="0" w:beforeAutospacing="0" w:after="0" w:afterAutospacing="0"/>
              <w:ind w:left="0" w:leftChars="0" w:right="0" w:rightChars="0" w:firstLine="0" w:firstLineChars="0"/>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0.001</w:t>
            </w:r>
          </w:p>
        </w:tc>
        <w:tc>
          <w:tcPr>
            <w:tcW w:w="1761" w:type="dxa"/>
            <w:vAlign w:val="center"/>
          </w:tcPr>
          <w:p w14:paraId="5C78B3D3">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w:t>
            </w:r>
          </w:p>
        </w:tc>
        <w:tc>
          <w:tcPr>
            <w:tcW w:w="1742" w:type="dxa"/>
            <w:vAlign w:val="center"/>
          </w:tcPr>
          <w:p w14:paraId="1D7AE41B">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0.001</w:t>
            </w:r>
          </w:p>
        </w:tc>
        <w:tc>
          <w:tcPr>
            <w:tcW w:w="1293" w:type="dxa"/>
            <w:vAlign w:val="center"/>
          </w:tcPr>
          <w:p w14:paraId="2F77EFFF">
            <w:pPr>
              <w:pStyle w:val="6"/>
              <w:keepNext w:val="0"/>
              <w:keepLines w:val="0"/>
              <w:suppressLineNumbers w:val="0"/>
              <w:bidi w:val="0"/>
              <w:spacing w:before="0" w:beforeAutospacing="0" w:after="0" w:afterAutospacing="0"/>
              <w:ind w:left="0" w:leftChars="0" w:right="0" w:rightChars="0" w:firstLine="0" w:firstLineChars="0"/>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+0.001</w:t>
            </w:r>
          </w:p>
        </w:tc>
      </w:tr>
      <w:tr w14:paraId="6A748A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86" w:type="dxa"/>
            <w:vMerge w:val="restart"/>
            <w:vAlign w:val="center"/>
          </w:tcPr>
          <w:p w14:paraId="78C63B25">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r>
              <w:rPr>
                <w:rFonts w:hint="default" w:ascii="Times New Roman" w:hAnsi="Times New Roman" w:eastAsia="宋体" w:cs="Times New Roman"/>
                <w:b/>
                <w:bCs/>
                <w:snapToGrid w:val="0"/>
                <w:color w:val="auto"/>
                <w:kern w:val="21"/>
                <w:sz w:val="21"/>
                <w:szCs w:val="21"/>
                <w:highlight w:val="none"/>
                <w:lang w:val="en-US" w:eastAsia="zh-CN" w:bidi="ar-SA"/>
              </w:rPr>
              <w:t>一般工业</w:t>
            </w:r>
          </w:p>
          <w:p w14:paraId="5FB8F9C5">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r>
              <w:rPr>
                <w:rFonts w:hint="default" w:ascii="Times New Roman" w:hAnsi="Times New Roman" w:eastAsia="宋体" w:cs="Times New Roman"/>
                <w:b/>
                <w:bCs/>
                <w:snapToGrid w:val="0"/>
                <w:color w:val="auto"/>
                <w:kern w:val="21"/>
                <w:sz w:val="21"/>
                <w:szCs w:val="21"/>
                <w:highlight w:val="none"/>
                <w:lang w:val="en-US" w:eastAsia="zh-CN" w:bidi="ar-SA"/>
              </w:rPr>
              <w:t>固体废物</w:t>
            </w:r>
          </w:p>
        </w:tc>
        <w:tc>
          <w:tcPr>
            <w:tcW w:w="1950" w:type="dxa"/>
            <w:vAlign w:val="center"/>
          </w:tcPr>
          <w:p w14:paraId="13420B15">
            <w:pPr>
              <w:pStyle w:val="61"/>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废包装材料</w:t>
            </w:r>
          </w:p>
        </w:tc>
        <w:tc>
          <w:tcPr>
            <w:tcW w:w="1575" w:type="dxa"/>
            <w:vAlign w:val="center"/>
          </w:tcPr>
          <w:p w14:paraId="140F9E0B">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olor w:val="auto"/>
                <w:highlight w:val="none"/>
                <w:lang w:val="en-US" w:eastAsia="zh-CN"/>
              </w:rPr>
              <w:t>2</w:t>
            </w:r>
          </w:p>
        </w:tc>
        <w:tc>
          <w:tcPr>
            <w:tcW w:w="1260" w:type="dxa"/>
            <w:vAlign w:val="center"/>
          </w:tcPr>
          <w:p w14:paraId="7B3CFD2C">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b w:val="0"/>
                <w:bCs/>
                <w:snapToGrid w:val="0"/>
                <w:color w:val="auto"/>
                <w:kern w:val="21"/>
                <w:sz w:val="21"/>
                <w:szCs w:val="21"/>
                <w:highlight w:val="none"/>
                <w:lang w:val="en-US" w:eastAsia="zh-CN"/>
              </w:rPr>
            </w:pPr>
            <w:r>
              <w:rPr>
                <w:rFonts w:hint="eastAsia"/>
                <w:color w:val="auto"/>
                <w:highlight w:val="none"/>
                <w:lang w:val="en-US" w:eastAsia="zh-CN"/>
              </w:rPr>
              <w:t>/</w:t>
            </w:r>
          </w:p>
        </w:tc>
        <w:tc>
          <w:tcPr>
            <w:tcW w:w="1612" w:type="dxa"/>
            <w:vAlign w:val="center"/>
          </w:tcPr>
          <w:p w14:paraId="337A0716">
            <w:pPr>
              <w:pStyle w:val="6"/>
              <w:keepNext w:val="0"/>
              <w:keepLines w:val="0"/>
              <w:suppressLineNumbers w:val="0"/>
              <w:bidi w:val="0"/>
              <w:spacing w:before="0" w:beforeAutospacing="0" w:after="0" w:afterAutospacing="0"/>
              <w:ind w:right="0"/>
              <w:rPr>
                <w:rFonts w:hint="eastAsia"/>
                <w:color w:val="auto"/>
                <w:highlight w:val="none"/>
                <w:lang w:val="en-US" w:eastAsia="zh-CN"/>
              </w:rPr>
            </w:pPr>
            <w:r>
              <w:rPr>
                <w:rFonts w:hint="eastAsia"/>
                <w:color w:val="auto"/>
                <w:highlight w:val="none"/>
                <w:lang w:val="en-US" w:eastAsia="zh-CN"/>
              </w:rPr>
              <w:t>/</w:t>
            </w:r>
          </w:p>
        </w:tc>
        <w:tc>
          <w:tcPr>
            <w:tcW w:w="1559" w:type="dxa"/>
            <w:vAlign w:val="center"/>
          </w:tcPr>
          <w:p w14:paraId="019C8990">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10.24</w:t>
            </w:r>
          </w:p>
        </w:tc>
        <w:tc>
          <w:tcPr>
            <w:tcW w:w="1761" w:type="dxa"/>
            <w:vAlign w:val="center"/>
          </w:tcPr>
          <w:p w14:paraId="3EA51435">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w:t>
            </w:r>
          </w:p>
        </w:tc>
        <w:tc>
          <w:tcPr>
            <w:tcW w:w="1742" w:type="dxa"/>
            <w:vAlign w:val="center"/>
          </w:tcPr>
          <w:p w14:paraId="4B1B08FD">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12.24</w:t>
            </w:r>
          </w:p>
        </w:tc>
        <w:tc>
          <w:tcPr>
            <w:tcW w:w="1293" w:type="dxa"/>
            <w:vAlign w:val="center"/>
          </w:tcPr>
          <w:p w14:paraId="220FC235">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+10.24</w:t>
            </w:r>
          </w:p>
        </w:tc>
      </w:tr>
      <w:tr w14:paraId="213BD2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86" w:type="dxa"/>
            <w:vMerge w:val="continue"/>
            <w:vAlign w:val="center"/>
          </w:tcPr>
          <w:p w14:paraId="7E4C5771">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p>
        </w:tc>
        <w:tc>
          <w:tcPr>
            <w:tcW w:w="1950" w:type="dxa"/>
            <w:vAlign w:val="center"/>
          </w:tcPr>
          <w:p w14:paraId="36B0E928">
            <w:pPr>
              <w:pStyle w:val="61"/>
              <w:keepNext w:val="0"/>
              <w:keepLines w:val="0"/>
              <w:pageBreakBefore w:val="0"/>
              <w:widowControl w:val="0"/>
              <w:suppressLineNumbers w:val="0"/>
              <w:tabs>
                <w:tab w:val="left" w:pos="8020"/>
              </w:tabs>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边角料及不合格品</w:t>
            </w:r>
          </w:p>
        </w:tc>
        <w:tc>
          <w:tcPr>
            <w:tcW w:w="1575" w:type="dxa"/>
            <w:vAlign w:val="center"/>
          </w:tcPr>
          <w:p w14:paraId="2BE04882">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b w:val="0"/>
                <w:bCs/>
                <w:snapToGrid w:val="0"/>
                <w:color w:val="auto"/>
                <w:kern w:val="21"/>
                <w:sz w:val="21"/>
                <w:szCs w:val="21"/>
                <w:highlight w:val="none"/>
                <w:lang w:val="en-US" w:eastAsia="zh-CN" w:bidi="ar-SA"/>
              </w:rPr>
            </w:pPr>
            <w:r>
              <w:rPr>
                <w:rFonts w:hint="eastAsia"/>
                <w:color w:val="auto"/>
                <w:highlight w:val="none"/>
                <w:lang w:val="en-US" w:eastAsia="zh-CN"/>
              </w:rPr>
              <w:t>0</w:t>
            </w:r>
          </w:p>
        </w:tc>
        <w:tc>
          <w:tcPr>
            <w:tcW w:w="1260" w:type="dxa"/>
            <w:vAlign w:val="center"/>
          </w:tcPr>
          <w:p w14:paraId="4CB30C92">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b w:val="0"/>
                <w:bCs/>
                <w:snapToGrid w:val="0"/>
                <w:color w:val="auto"/>
                <w:kern w:val="21"/>
                <w:sz w:val="21"/>
                <w:szCs w:val="21"/>
                <w:highlight w:val="none"/>
                <w:lang w:val="en-US" w:eastAsia="zh-CN" w:bidi="ar-SA"/>
              </w:rPr>
            </w:pPr>
            <w:r>
              <w:rPr>
                <w:rFonts w:hint="eastAsia"/>
                <w:color w:val="auto"/>
                <w:highlight w:val="none"/>
                <w:lang w:val="en-US" w:eastAsia="zh-CN"/>
              </w:rPr>
              <w:t>/</w:t>
            </w:r>
          </w:p>
        </w:tc>
        <w:tc>
          <w:tcPr>
            <w:tcW w:w="1612" w:type="dxa"/>
            <w:vAlign w:val="center"/>
          </w:tcPr>
          <w:p w14:paraId="4CDA58CB">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w:t>
            </w:r>
          </w:p>
        </w:tc>
        <w:tc>
          <w:tcPr>
            <w:tcW w:w="1559" w:type="dxa"/>
            <w:vAlign w:val="center"/>
          </w:tcPr>
          <w:p w14:paraId="498853EA">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57.5</w:t>
            </w:r>
          </w:p>
        </w:tc>
        <w:tc>
          <w:tcPr>
            <w:tcW w:w="1761" w:type="dxa"/>
            <w:vAlign w:val="center"/>
          </w:tcPr>
          <w:p w14:paraId="2333E15D">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rPr>
              <w:t>/</w:t>
            </w:r>
          </w:p>
        </w:tc>
        <w:tc>
          <w:tcPr>
            <w:tcW w:w="1742" w:type="dxa"/>
            <w:vAlign w:val="center"/>
          </w:tcPr>
          <w:p w14:paraId="4AAD569F">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57.5</w:t>
            </w:r>
          </w:p>
        </w:tc>
        <w:tc>
          <w:tcPr>
            <w:tcW w:w="1293" w:type="dxa"/>
            <w:vAlign w:val="center"/>
          </w:tcPr>
          <w:p w14:paraId="310974BD">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+57.5</w:t>
            </w:r>
          </w:p>
        </w:tc>
      </w:tr>
      <w:tr w14:paraId="49E687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86" w:type="dxa"/>
            <w:vMerge w:val="continue"/>
            <w:vAlign w:val="center"/>
          </w:tcPr>
          <w:p w14:paraId="7CED4FBE">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p>
        </w:tc>
        <w:tc>
          <w:tcPr>
            <w:tcW w:w="1950" w:type="dxa"/>
            <w:vAlign w:val="center"/>
          </w:tcPr>
          <w:p w14:paraId="1EB1AA9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b w:val="0"/>
                <w:bCs/>
                <w:snapToGrid w:val="0"/>
                <w:color w:val="auto"/>
                <w:kern w:val="21"/>
                <w:sz w:val="21"/>
                <w:szCs w:val="21"/>
                <w:highlight w:val="none"/>
                <w:lang w:val="en-US" w:eastAsia="zh-CN"/>
              </w:rPr>
            </w:pPr>
            <w:r>
              <w:rPr>
                <w:rFonts w:hint="eastAsia" w:cs="Times New Roman"/>
                <w:color w:val="auto"/>
                <w:sz w:val="21"/>
                <w:szCs w:val="21"/>
                <w:highlight w:val="none"/>
                <w:lang w:val="en-US" w:eastAsia="zh-CN"/>
              </w:rPr>
              <w:t>一般液体化学品废物料桶</w:t>
            </w:r>
          </w:p>
        </w:tc>
        <w:tc>
          <w:tcPr>
            <w:tcW w:w="1575" w:type="dxa"/>
            <w:vAlign w:val="center"/>
          </w:tcPr>
          <w:p w14:paraId="5A99A614">
            <w:pPr>
              <w:pStyle w:val="6"/>
              <w:keepNext w:val="0"/>
              <w:keepLines w:val="0"/>
              <w:suppressLineNumbers w:val="0"/>
              <w:bidi w:val="0"/>
              <w:spacing w:before="0" w:beforeAutospacing="0" w:after="0" w:afterAutospacing="0"/>
              <w:ind w:left="0" w:leftChars="0" w:right="0" w:rightChars="0" w:firstLine="0" w:firstLineChars="0"/>
              <w:rPr>
                <w:rFonts w:hint="default"/>
                <w:color w:val="auto"/>
                <w:highlight w:val="none"/>
                <w:lang w:val="en-US" w:eastAsia="zh-CN"/>
              </w:rPr>
            </w:pPr>
            <w:r>
              <w:rPr>
                <w:rFonts w:hint="eastAsia"/>
                <w:color w:val="auto"/>
                <w:highlight w:val="none"/>
                <w:lang w:val="en-US" w:eastAsia="zh-CN"/>
              </w:rPr>
              <w:t>0.5</w:t>
            </w:r>
          </w:p>
        </w:tc>
        <w:tc>
          <w:tcPr>
            <w:tcW w:w="1260" w:type="dxa"/>
            <w:vAlign w:val="center"/>
          </w:tcPr>
          <w:p w14:paraId="5687C911">
            <w:pPr>
              <w:pStyle w:val="6"/>
              <w:keepNext w:val="0"/>
              <w:keepLines w:val="0"/>
              <w:suppressLineNumbers w:val="0"/>
              <w:bidi w:val="0"/>
              <w:spacing w:before="0" w:beforeAutospacing="0" w:after="0" w:afterAutospacing="0"/>
              <w:ind w:left="0" w:leftChars="0" w:right="0" w:rightChars="0" w:firstLine="0" w:firstLineChars="0"/>
              <w:rPr>
                <w:rFonts w:hint="default"/>
                <w:color w:val="auto"/>
                <w:highlight w:val="none"/>
                <w:lang w:val="en-US" w:eastAsia="zh-CN"/>
              </w:rPr>
            </w:pPr>
            <w:r>
              <w:rPr>
                <w:rFonts w:hint="eastAsia"/>
                <w:color w:val="auto"/>
                <w:highlight w:val="none"/>
                <w:lang w:val="en-US" w:eastAsia="zh-CN"/>
              </w:rPr>
              <w:t>/</w:t>
            </w:r>
          </w:p>
        </w:tc>
        <w:tc>
          <w:tcPr>
            <w:tcW w:w="1612" w:type="dxa"/>
            <w:vAlign w:val="center"/>
          </w:tcPr>
          <w:p w14:paraId="673FFB65">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w:t>
            </w:r>
          </w:p>
        </w:tc>
        <w:tc>
          <w:tcPr>
            <w:tcW w:w="1559" w:type="dxa"/>
            <w:vAlign w:val="center"/>
          </w:tcPr>
          <w:p w14:paraId="5527A83E">
            <w:pPr>
              <w:pStyle w:val="6"/>
              <w:keepNext w:val="0"/>
              <w:keepLines w:val="0"/>
              <w:suppressLineNumbers w:val="0"/>
              <w:bidi w:val="0"/>
              <w:spacing w:before="0" w:beforeAutospacing="0" w:after="0" w:afterAutospacing="0"/>
              <w:ind w:left="0" w:leftChars="0" w:right="0" w:rightChars="0" w:firstLine="0" w:firstLineChars="0"/>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w:t>
            </w:r>
          </w:p>
        </w:tc>
        <w:tc>
          <w:tcPr>
            <w:tcW w:w="1761" w:type="dxa"/>
            <w:vAlign w:val="center"/>
          </w:tcPr>
          <w:p w14:paraId="2F3048CE">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firstLine="0" w:firstLineChars="0"/>
              <w:jc w:val="center"/>
              <w:textAlignment w:val="auto"/>
              <w:rPr>
                <w:rFonts w:hint="default"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w:t>
            </w:r>
          </w:p>
        </w:tc>
        <w:tc>
          <w:tcPr>
            <w:tcW w:w="1742" w:type="dxa"/>
            <w:vAlign w:val="center"/>
          </w:tcPr>
          <w:p w14:paraId="626EA102">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0.5</w:t>
            </w:r>
          </w:p>
        </w:tc>
        <w:tc>
          <w:tcPr>
            <w:tcW w:w="1293" w:type="dxa"/>
            <w:vAlign w:val="center"/>
          </w:tcPr>
          <w:p w14:paraId="010C3531">
            <w:pPr>
              <w:pStyle w:val="6"/>
              <w:keepNext w:val="0"/>
              <w:keepLines w:val="0"/>
              <w:suppressLineNumbers w:val="0"/>
              <w:bidi w:val="0"/>
              <w:spacing w:before="0" w:beforeAutospacing="0" w:after="0" w:afterAutospacing="0"/>
              <w:ind w:left="0" w:leftChars="0" w:right="0" w:rightChars="0" w:firstLine="0" w:firstLineChars="0"/>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w:t>
            </w:r>
          </w:p>
        </w:tc>
      </w:tr>
      <w:tr w14:paraId="50B365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86" w:type="dxa"/>
            <w:vMerge w:val="continue"/>
            <w:vAlign w:val="center"/>
          </w:tcPr>
          <w:p w14:paraId="2EE11D55">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p>
        </w:tc>
        <w:tc>
          <w:tcPr>
            <w:tcW w:w="1950" w:type="dxa"/>
            <w:vAlign w:val="center"/>
          </w:tcPr>
          <w:p w14:paraId="2B13D39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b w:val="0"/>
                <w:bCs/>
                <w:snapToGrid w:val="0"/>
                <w:color w:val="auto"/>
                <w:kern w:val="21"/>
                <w:sz w:val="21"/>
                <w:szCs w:val="21"/>
                <w:highlight w:val="none"/>
                <w:lang w:val="en-US" w:eastAsia="zh-CN"/>
              </w:rPr>
            </w:pPr>
            <w:r>
              <w:rPr>
                <w:rFonts w:hint="eastAsia" w:cs="Times New Roman"/>
                <w:color w:val="auto"/>
                <w:sz w:val="21"/>
                <w:szCs w:val="21"/>
                <w:highlight w:val="none"/>
                <w:lang w:val="en-US" w:eastAsia="zh-CN"/>
              </w:rPr>
              <w:t>五金件不合格产品</w:t>
            </w:r>
          </w:p>
        </w:tc>
        <w:tc>
          <w:tcPr>
            <w:tcW w:w="1575" w:type="dxa"/>
            <w:vAlign w:val="center"/>
          </w:tcPr>
          <w:p w14:paraId="1CFFE12D">
            <w:pPr>
              <w:pStyle w:val="6"/>
              <w:keepNext w:val="0"/>
              <w:keepLines w:val="0"/>
              <w:suppressLineNumbers w:val="0"/>
              <w:bidi w:val="0"/>
              <w:spacing w:before="0" w:beforeAutospacing="0" w:after="0" w:afterAutospacing="0"/>
              <w:ind w:left="0" w:leftChars="0" w:right="0" w:rightChars="0" w:firstLine="0" w:firstLineChars="0"/>
              <w:rPr>
                <w:rFonts w:hint="default"/>
                <w:color w:val="auto"/>
                <w:highlight w:val="none"/>
                <w:lang w:val="en-US" w:eastAsia="zh-CN"/>
              </w:rPr>
            </w:pPr>
            <w:r>
              <w:rPr>
                <w:rFonts w:hint="eastAsia"/>
                <w:color w:val="auto"/>
                <w:highlight w:val="none"/>
                <w:lang w:val="en-US" w:eastAsia="zh-CN"/>
              </w:rPr>
              <w:t>10</w:t>
            </w:r>
          </w:p>
        </w:tc>
        <w:tc>
          <w:tcPr>
            <w:tcW w:w="1260" w:type="dxa"/>
            <w:vAlign w:val="center"/>
          </w:tcPr>
          <w:p w14:paraId="6A0D1CDF">
            <w:pPr>
              <w:pStyle w:val="6"/>
              <w:keepNext w:val="0"/>
              <w:keepLines w:val="0"/>
              <w:suppressLineNumbers w:val="0"/>
              <w:bidi w:val="0"/>
              <w:spacing w:before="0" w:beforeAutospacing="0" w:after="0" w:afterAutospacing="0"/>
              <w:ind w:left="0" w:leftChars="0" w:right="0" w:rightChars="0" w:firstLine="0" w:firstLineChars="0"/>
              <w:rPr>
                <w:rFonts w:hint="default"/>
                <w:color w:val="auto"/>
                <w:highlight w:val="none"/>
                <w:lang w:val="en-US" w:eastAsia="zh-CN"/>
              </w:rPr>
            </w:pPr>
            <w:r>
              <w:rPr>
                <w:rFonts w:hint="eastAsia"/>
                <w:color w:val="auto"/>
                <w:highlight w:val="none"/>
                <w:lang w:val="en-US" w:eastAsia="zh-CN"/>
              </w:rPr>
              <w:t>/</w:t>
            </w:r>
          </w:p>
        </w:tc>
        <w:tc>
          <w:tcPr>
            <w:tcW w:w="1612" w:type="dxa"/>
            <w:vAlign w:val="center"/>
          </w:tcPr>
          <w:p w14:paraId="6BB33416">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w:t>
            </w:r>
          </w:p>
        </w:tc>
        <w:tc>
          <w:tcPr>
            <w:tcW w:w="1559" w:type="dxa"/>
            <w:vAlign w:val="center"/>
          </w:tcPr>
          <w:p w14:paraId="163E176B">
            <w:pPr>
              <w:pStyle w:val="6"/>
              <w:keepNext w:val="0"/>
              <w:keepLines w:val="0"/>
              <w:suppressLineNumbers w:val="0"/>
              <w:bidi w:val="0"/>
              <w:spacing w:before="0" w:beforeAutospacing="0" w:after="0" w:afterAutospacing="0"/>
              <w:ind w:left="0" w:leftChars="0" w:right="0" w:rightChars="0" w:firstLine="0" w:firstLineChars="0"/>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w:t>
            </w:r>
          </w:p>
        </w:tc>
        <w:tc>
          <w:tcPr>
            <w:tcW w:w="1761" w:type="dxa"/>
            <w:vAlign w:val="center"/>
          </w:tcPr>
          <w:p w14:paraId="0C7C5BA3">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firstLine="0" w:firstLineChars="0"/>
              <w:jc w:val="center"/>
              <w:textAlignment w:val="auto"/>
              <w:rPr>
                <w:rFonts w:hint="default"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w:t>
            </w:r>
          </w:p>
        </w:tc>
        <w:tc>
          <w:tcPr>
            <w:tcW w:w="1742" w:type="dxa"/>
            <w:vAlign w:val="center"/>
          </w:tcPr>
          <w:p w14:paraId="53D72255">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10</w:t>
            </w:r>
          </w:p>
        </w:tc>
        <w:tc>
          <w:tcPr>
            <w:tcW w:w="1293" w:type="dxa"/>
            <w:vAlign w:val="center"/>
          </w:tcPr>
          <w:p w14:paraId="3B21118A">
            <w:pPr>
              <w:pStyle w:val="6"/>
              <w:keepNext w:val="0"/>
              <w:keepLines w:val="0"/>
              <w:suppressLineNumbers w:val="0"/>
              <w:bidi w:val="0"/>
              <w:spacing w:before="0" w:beforeAutospacing="0" w:after="0" w:afterAutospacing="0"/>
              <w:ind w:left="0" w:leftChars="0" w:right="0" w:rightChars="0" w:firstLine="0" w:firstLineChars="0"/>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w:t>
            </w:r>
          </w:p>
        </w:tc>
      </w:tr>
      <w:tr w14:paraId="295F54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86" w:type="dxa"/>
            <w:vMerge w:val="continue"/>
            <w:vAlign w:val="center"/>
          </w:tcPr>
          <w:p w14:paraId="5D63271E">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p>
        </w:tc>
        <w:tc>
          <w:tcPr>
            <w:tcW w:w="1950" w:type="dxa"/>
            <w:vAlign w:val="center"/>
          </w:tcPr>
          <w:p w14:paraId="636CA9D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color w:val="auto"/>
                <w:sz w:val="21"/>
                <w:szCs w:val="21"/>
                <w:highlight w:val="none"/>
                <w:lang w:val="en-US" w:eastAsia="zh-CN"/>
              </w:rPr>
              <w:t>布袋除尘器收集尘</w:t>
            </w:r>
          </w:p>
        </w:tc>
        <w:tc>
          <w:tcPr>
            <w:tcW w:w="1575" w:type="dxa"/>
            <w:vAlign w:val="center"/>
          </w:tcPr>
          <w:p w14:paraId="06AB3228">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0.1</w:t>
            </w:r>
          </w:p>
        </w:tc>
        <w:tc>
          <w:tcPr>
            <w:tcW w:w="1260" w:type="dxa"/>
            <w:vAlign w:val="center"/>
          </w:tcPr>
          <w:p w14:paraId="5C3459A2">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b w:val="0"/>
                <w:bCs/>
                <w:snapToGrid w:val="0"/>
                <w:color w:val="auto"/>
                <w:kern w:val="21"/>
                <w:sz w:val="21"/>
                <w:szCs w:val="21"/>
                <w:highlight w:val="none"/>
                <w:lang w:val="en-US" w:eastAsia="zh-CN"/>
              </w:rPr>
            </w:pPr>
            <w:r>
              <w:rPr>
                <w:rFonts w:hint="eastAsia"/>
                <w:color w:val="auto"/>
                <w:highlight w:val="none"/>
                <w:lang w:val="en-US" w:eastAsia="zh-CN"/>
              </w:rPr>
              <w:t>/</w:t>
            </w:r>
          </w:p>
        </w:tc>
        <w:tc>
          <w:tcPr>
            <w:tcW w:w="1612" w:type="dxa"/>
            <w:vAlign w:val="center"/>
          </w:tcPr>
          <w:p w14:paraId="4D188C73">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w:t>
            </w:r>
          </w:p>
        </w:tc>
        <w:tc>
          <w:tcPr>
            <w:tcW w:w="1559" w:type="dxa"/>
            <w:vAlign w:val="center"/>
          </w:tcPr>
          <w:p w14:paraId="11BC0B4F">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w:t>
            </w:r>
          </w:p>
        </w:tc>
        <w:tc>
          <w:tcPr>
            <w:tcW w:w="1761" w:type="dxa"/>
            <w:vAlign w:val="center"/>
          </w:tcPr>
          <w:p w14:paraId="273A8CD9">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firstLine="0" w:firstLineChars="0"/>
              <w:jc w:val="center"/>
              <w:textAlignment w:val="auto"/>
              <w:rPr>
                <w:rFonts w:hint="default"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w:t>
            </w:r>
          </w:p>
        </w:tc>
        <w:tc>
          <w:tcPr>
            <w:tcW w:w="1742" w:type="dxa"/>
            <w:vAlign w:val="center"/>
          </w:tcPr>
          <w:p w14:paraId="40FB7C80">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0.1</w:t>
            </w:r>
          </w:p>
        </w:tc>
        <w:tc>
          <w:tcPr>
            <w:tcW w:w="1293" w:type="dxa"/>
            <w:vAlign w:val="center"/>
          </w:tcPr>
          <w:p w14:paraId="2BF03364">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w:t>
            </w:r>
          </w:p>
        </w:tc>
      </w:tr>
      <w:tr w14:paraId="1792BD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86" w:type="dxa"/>
            <w:vMerge w:val="restart"/>
            <w:vAlign w:val="center"/>
          </w:tcPr>
          <w:p w14:paraId="108ADC77">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r>
              <w:rPr>
                <w:rFonts w:hint="default" w:ascii="Times New Roman" w:hAnsi="Times New Roman" w:eastAsia="宋体" w:cs="Times New Roman"/>
                <w:b/>
                <w:bCs/>
                <w:snapToGrid w:val="0"/>
                <w:color w:val="auto"/>
                <w:kern w:val="21"/>
                <w:sz w:val="21"/>
                <w:szCs w:val="21"/>
                <w:highlight w:val="none"/>
                <w:lang w:val="en-US" w:eastAsia="zh-CN" w:bidi="ar-SA"/>
              </w:rPr>
              <w:t>危险废物</w:t>
            </w:r>
          </w:p>
        </w:tc>
        <w:tc>
          <w:tcPr>
            <w:tcW w:w="1950" w:type="dxa"/>
            <w:shd w:val="clear" w:color="auto" w:fill="auto"/>
            <w:vAlign w:val="center"/>
          </w:tcPr>
          <w:p w14:paraId="5F2F26B5">
            <w:pPr>
              <w:pStyle w:val="61"/>
              <w:keepNext w:val="0"/>
              <w:keepLines w:val="0"/>
              <w:pageBreakBefore w:val="0"/>
              <w:widowControl w:val="0"/>
              <w:suppressLineNumbers w:val="0"/>
              <w:tabs>
                <w:tab w:val="left" w:pos="8020"/>
              </w:tabs>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rPr>
              <w:t>废机油</w:t>
            </w:r>
          </w:p>
        </w:tc>
        <w:tc>
          <w:tcPr>
            <w:tcW w:w="1575" w:type="dxa"/>
            <w:shd w:val="clear" w:color="auto" w:fill="auto"/>
            <w:vAlign w:val="center"/>
          </w:tcPr>
          <w:p w14:paraId="07D94E33">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0.2</w:t>
            </w:r>
          </w:p>
        </w:tc>
        <w:tc>
          <w:tcPr>
            <w:tcW w:w="1260" w:type="dxa"/>
            <w:shd w:val="clear" w:color="auto" w:fill="auto"/>
            <w:vAlign w:val="center"/>
          </w:tcPr>
          <w:p w14:paraId="556A705F">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b w:val="0"/>
                <w:bCs/>
                <w:snapToGrid w:val="0"/>
                <w:color w:val="auto"/>
                <w:kern w:val="21"/>
                <w:sz w:val="21"/>
                <w:szCs w:val="21"/>
                <w:highlight w:val="none"/>
                <w:lang w:val="en-US" w:eastAsia="zh-CN" w:bidi="ar-SA"/>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612" w:type="dxa"/>
            <w:shd w:val="clear" w:color="auto" w:fill="auto"/>
            <w:vAlign w:val="center"/>
          </w:tcPr>
          <w:p w14:paraId="5B4F2F8A">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559" w:type="dxa"/>
            <w:shd w:val="clear" w:color="auto" w:fill="auto"/>
            <w:vAlign w:val="center"/>
          </w:tcPr>
          <w:p w14:paraId="5C73C211">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0.05</w:t>
            </w:r>
          </w:p>
        </w:tc>
        <w:tc>
          <w:tcPr>
            <w:tcW w:w="1761" w:type="dxa"/>
            <w:shd w:val="clear" w:color="auto" w:fill="auto"/>
            <w:vAlign w:val="center"/>
          </w:tcPr>
          <w:p w14:paraId="48CAE108">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742" w:type="dxa"/>
            <w:shd w:val="clear" w:color="auto" w:fill="auto"/>
            <w:vAlign w:val="center"/>
          </w:tcPr>
          <w:p w14:paraId="2B9D6F2D">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0.25</w:t>
            </w:r>
          </w:p>
        </w:tc>
        <w:tc>
          <w:tcPr>
            <w:tcW w:w="1293" w:type="dxa"/>
            <w:shd w:val="clear" w:color="auto" w:fill="auto"/>
            <w:vAlign w:val="center"/>
          </w:tcPr>
          <w:p w14:paraId="73AB04A9">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+0.05</w:t>
            </w:r>
          </w:p>
        </w:tc>
      </w:tr>
      <w:tr w14:paraId="388F1D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86" w:type="dxa"/>
            <w:vMerge w:val="continue"/>
            <w:vAlign w:val="center"/>
          </w:tcPr>
          <w:p w14:paraId="47A24A7E">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p>
        </w:tc>
        <w:tc>
          <w:tcPr>
            <w:tcW w:w="1950" w:type="dxa"/>
            <w:vAlign w:val="center"/>
          </w:tcPr>
          <w:p w14:paraId="1C0BDB65">
            <w:pPr>
              <w:pStyle w:val="61"/>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废机油桶</w:t>
            </w:r>
          </w:p>
        </w:tc>
        <w:tc>
          <w:tcPr>
            <w:tcW w:w="1575" w:type="dxa"/>
            <w:vAlign w:val="center"/>
          </w:tcPr>
          <w:p w14:paraId="6D0C9ACD">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0</w:t>
            </w:r>
          </w:p>
        </w:tc>
        <w:tc>
          <w:tcPr>
            <w:tcW w:w="1260" w:type="dxa"/>
            <w:vAlign w:val="center"/>
          </w:tcPr>
          <w:p w14:paraId="60CF8B1A">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b w:val="0"/>
                <w:bCs/>
                <w:snapToGrid w:val="0"/>
                <w:color w:val="auto"/>
                <w:kern w:val="21"/>
                <w:sz w:val="21"/>
                <w:szCs w:val="21"/>
                <w:highlight w:val="none"/>
                <w:lang w:val="en-US" w:eastAsia="zh-CN"/>
              </w:rPr>
            </w:pPr>
            <w:r>
              <w:rPr>
                <w:rFonts w:hint="eastAsia"/>
                <w:color w:val="auto"/>
                <w:highlight w:val="none"/>
                <w:lang w:val="en-US" w:eastAsia="zh-CN"/>
              </w:rPr>
              <w:t>/</w:t>
            </w:r>
          </w:p>
        </w:tc>
        <w:tc>
          <w:tcPr>
            <w:tcW w:w="1612" w:type="dxa"/>
            <w:vAlign w:val="center"/>
          </w:tcPr>
          <w:p w14:paraId="47FBE6BB">
            <w:pPr>
              <w:pStyle w:val="6"/>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w:t>
            </w:r>
          </w:p>
        </w:tc>
        <w:tc>
          <w:tcPr>
            <w:tcW w:w="1559" w:type="dxa"/>
            <w:vAlign w:val="center"/>
          </w:tcPr>
          <w:p w14:paraId="7449844B">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0.01</w:t>
            </w:r>
          </w:p>
        </w:tc>
        <w:tc>
          <w:tcPr>
            <w:tcW w:w="1761" w:type="dxa"/>
            <w:vAlign w:val="center"/>
          </w:tcPr>
          <w:p w14:paraId="6C0DEA01">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firstLine="0" w:firstLineChars="0"/>
              <w:jc w:val="center"/>
              <w:textAlignment w:val="auto"/>
              <w:rPr>
                <w:rFonts w:hint="default"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w:t>
            </w:r>
          </w:p>
        </w:tc>
        <w:tc>
          <w:tcPr>
            <w:tcW w:w="1742" w:type="dxa"/>
            <w:vAlign w:val="center"/>
          </w:tcPr>
          <w:p w14:paraId="0C8C5B01">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0.01</w:t>
            </w:r>
          </w:p>
        </w:tc>
        <w:tc>
          <w:tcPr>
            <w:tcW w:w="1293" w:type="dxa"/>
            <w:vAlign w:val="center"/>
          </w:tcPr>
          <w:p w14:paraId="66FD1411">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+0.01</w:t>
            </w:r>
          </w:p>
        </w:tc>
      </w:tr>
      <w:tr w14:paraId="76B5EC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86" w:type="dxa"/>
            <w:vMerge w:val="continue"/>
            <w:vAlign w:val="center"/>
          </w:tcPr>
          <w:p w14:paraId="021BE4B5">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p>
        </w:tc>
        <w:tc>
          <w:tcPr>
            <w:tcW w:w="1950" w:type="dxa"/>
            <w:vAlign w:val="center"/>
          </w:tcPr>
          <w:p w14:paraId="5F8E6225">
            <w:pPr>
              <w:pStyle w:val="61"/>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ascii="Times New Roman" w:hAnsi="Times New Roman" w:eastAsia="宋体" w:cs="Times New Roman"/>
                <w:b w:val="0"/>
                <w:bCs/>
                <w:snapToGrid w:val="0"/>
                <w:color w:val="auto"/>
                <w:kern w:val="21"/>
                <w:sz w:val="21"/>
                <w:szCs w:val="21"/>
                <w:highlight w:val="none"/>
                <w:lang w:val="en-US" w:eastAsia="zh-CN"/>
              </w:rPr>
              <w:t>废含油抹布</w:t>
            </w:r>
          </w:p>
        </w:tc>
        <w:tc>
          <w:tcPr>
            <w:tcW w:w="1575" w:type="dxa"/>
            <w:vAlign w:val="center"/>
          </w:tcPr>
          <w:p w14:paraId="03B02586">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0.01</w:t>
            </w:r>
          </w:p>
        </w:tc>
        <w:tc>
          <w:tcPr>
            <w:tcW w:w="1260" w:type="dxa"/>
            <w:vAlign w:val="center"/>
          </w:tcPr>
          <w:p w14:paraId="4A76FB28">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b w:val="0"/>
                <w:bCs/>
                <w:snapToGrid w:val="0"/>
                <w:color w:val="auto"/>
                <w:kern w:val="21"/>
                <w:sz w:val="21"/>
                <w:szCs w:val="21"/>
                <w:highlight w:val="none"/>
                <w:lang w:val="en-US" w:eastAsia="zh-CN"/>
              </w:rPr>
            </w:pPr>
            <w:r>
              <w:rPr>
                <w:rFonts w:hint="eastAsia"/>
                <w:color w:val="auto"/>
                <w:highlight w:val="none"/>
                <w:lang w:val="en-US" w:eastAsia="zh-CN"/>
              </w:rPr>
              <w:t>/</w:t>
            </w:r>
          </w:p>
        </w:tc>
        <w:tc>
          <w:tcPr>
            <w:tcW w:w="1612" w:type="dxa"/>
            <w:vAlign w:val="center"/>
          </w:tcPr>
          <w:p w14:paraId="4E545A46">
            <w:pPr>
              <w:pStyle w:val="6"/>
              <w:keepNext w:val="0"/>
              <w:keepLines w:val="0"/>
              <w:suppressLineNumbers w:val="0"/>
              <w:bidi w:val="0"/>
              <w:spacing w:before="0" w:beforeAutospacing="0" w:after="0" w:afterAutospacing="0"/>
              <w:ind w:left="0" w:leftChars="0" w:right="0" w:firstLine="0" w:firstLineChars="0"/>
              <w:rPr>
                <w:rFonts w:hint="eastAsia"/>
                <w:color w:val="auto"/>
                <w:highlight w:val="none"/>
                <w:lang w:val="en-US" w:eastAsia="zh-CN"/>
              </w:rPr>
            </w:pPr>
            <w:r>
              <w:rPr>
                <w:rFonts w:hint="eastAsia"/>
                <w:color w:val="auto"/>
                <w:highlight w:val="none"/>
                <w:lang w:val="en-US" w:eastAsia="zh-CN"/>
              </w:rPr>
              <w:t>/</w:t>
            </w:r>
          </w:p>
        </w:tc>
        <w:tc>
          <w:tcPr>
            <w:tcW w:w="1559" w:type="dxa"/>
            <w:vAlign w:val="center"/>
          </w:tcPr>
          <w:p w14:paraId="63A4890F">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0.01</w:t>
            </w:r>
          </w:p>
        </w:tc>
        <w:tc>
          <w:tcPr>
            <w:tcW w:w="1761" w:type="dxa"/>
            <w:vAlign w:val="center"/>
          </w:tcPr>
          <w:p w14:paraId="2139FE99">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w:t>
            </w:r>
          </w:p>
        </w:tc>
        <w:tc>
          <w:tcPr>
            <w:tcW w:w="1742" w:type="dxa"/>
            <w:vAlign w:val="center"/>
          </w:tcPr>
          <w:p w14:paraId="6653E6D2">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0.02</w:t>
            </w:r>
          </w:p>
        </w:tc>
        <w:tc>
          <w:tcPr>
            <w:tcW w:w="1293" w:type="dxa"/>
            <w:vAlign w:val="center"/>
          </w:tcPr>
          <w:p w14:paraId="4356BDFB">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+0.01</w:t>
            </w:r>
          </w:p>
        </w:tc>
      </w:tr>
      <w:tr w14:paraId="1B4122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86" w:type="dxa"/>
            <w:vMerge w:val="continue"/>
            <w:vAlign w:val="center"/>
          </w:tcPr>
          <w:p w14:paraId="16F9AD74">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p>
        </w:tc>
        <w:tc>
          <w:tcPr>
            <w:tcW w:w="1950" w:type="dxa"/>
            <w:vAlign w:val="center"/>
          </w:tcPr>
          <w:p w14:paraId="38E315A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val="0"/>
                <w:bCs/>
                <w:snapToGrid w:val="0"/>
                <w:color w:val="auto"/>
                <w:kern w:val="21"/>
                <w:sz w:val="21"/>
                <w:szCs w:val="21"/>
                <w:highlight w:val="none"/>
                <w:lang w:val="en-US" w:eastAsia="zh-CN"/>
              </w:rPr>
            </w:pPr>
            <w:r>
              <w:rPr>
                <w:rFonts w:hint="eastAsia" w:cs="Times New Roman"/>
                <w:color w:val="auto"/>
                <w:sz w:val="21"/>
                <w:szCs w:val="21"/>
                <w:highlight w:val="none"/>
                <w:lang w:val="en-US" w:eastAsia="zh-CN"/>
              </w:rPr>
              <w:t>设备清洗渣</w:t>
            </w:r>
          </w:p>
        </w:tc>
        <w:tc>
          <w:tcPr>
            <w:tcW w:w="1575" w:type="dxa"/>
            <w:vAlign w:val="center"/>
          </w:tcPr>
          <w:p w14:paraId="6ED54BC8">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1.95</w:t>
            </w:r>
          </w:p>
        </w:tc>
        <w:tc>
          <w:tcPr>
            <w:tcW w:w="1260" w:type="dxa"/>
            <w:vAlign w:val="center"/>
          </w:tcPr>
          <w:p w14:paraId="791EAFAC">
            <w:pPr>
              <w:pStyle w:val="6"/>
              <w:keepNext w:val="0"/>
              <w:keepLines w:val="0"/>
              <w:suppressLineNumbers w:val="0"/>
              <w:bidi w:val="0"/>
              <w:spacing w:before="0" w:beforeAutospacing="0" w:after="0" w:afterAutospacing="0"/>
              <w:ind w:left="0" w:leftChars="0" w:right="0" w:rightChars="0" w:firstLine="0" w:firstLineChars="0"/>
              <w:rPr>
                <w:rFonts w:hint="default"/>
                <w:color w:val="auto"/>
                <w:highlight w:val="none"/>
                <w:lang w:val="en-US" w:eastAsia="zh-CN"/>
              </w:rPr>
            </w:pPr>
            <w:r>
              <w:rPr>
                <w:rFonts w:hint="eastAsia"/>
                <w:color w:val="auto"/>
                <w:highlight w:val="none"/>
                <w:lang w:val="en-US" w:eastAsia="zh-CN"/>
              </w:rPr>
              <w:t>/</w:t>
            </w:r>
          </w:p>
        </w:tc>
        <w:tc>
          <w:tcPr>
            <w:tcW w:w="1612" w:type="dxa"/>
            <w:vAlign w:val="center"/>
          </w:tcPr>
          <w:p w14:paraId="3CE4B587">
            <w:pPr>
              <w:pStyle w:val="6"/>
              <w:keepNext w:val="0"/>
              <w:keepLines w:val="0"/>
              <w:suppressLineNumbers w:val="0"/>
              <w:bidi w:val="0"/>
              <w:spacing w:before="0" w:beforeAutospacing="0" w:after="0" w:afterAutospacing="0"/>
              <w:ind w:left="0" w:leftChars="0" w:right="0" w:firstLine="0" w:firstLineChars="0"/>
              <w:rPr>
                <w:rFonts w:hint="default"/>
                <w:color w:val="auto"/>
                <w:highlight w:val="none"/>
                <w:lang w:val="en-US" w:eastAsia="zh-CN"/>
              </w:rPr>
            </w:pPr>
            <w:r>
              <w:rPr>
                <w:rFonts w:hint="eastAsia"/>
                <w:color w:val="auto"/>
                <w:highlight w:val="none"/>
                <w:lang w:val="en-US" w:eastAsia="zh-CN"/>
              </w:rPr>
              <w:t>/</w:t>
            </w:r>
          </w:p>
        </w:tc>
        <w:tc>
          <w:tcPr>
            <w:tcW w:w="1559" w:type="dxa"/>
            <w:vAlign w:val="center"/>
          </w:tcPr>
          <w:p w14:paraId="3D132B74">
            <w:pPr>
              <w:pStyle w:val="6"/>
              <w:keepNext w:val="0"/>
              <w:keepLines w:val="0"/>
              <w:suppressLineNumbers w:val="0"/>
              <w:bidi w:val="0"/>
              <w:spacing w:before="0" w:beforeAutospacing="0" w:after="0" w:afterAutospacing="0"/>
              <w:ind w:left="0" w:leftChars="0" w:right="0" w:rightChars="0" w:firstLine="0" w:firstLineChars="0"/>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w:t>
            </w:r>
          </w:p>
        </w:tc>
        <w:tc>
          <w:tcPr>
            <w:tcW w:w="1761" w:type="dxa"/>
            <w:vAlign w:val="center"/>
          </w:tcPr>
          <w:p w14:paraId="6DDB78A8">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w:t>
            </w:r>
          </w:p>
        </w:tc>
        <w:tc>
          <w:tcPr>
            <w:tcW w:w="1742" w:type="dxa"/>
            <w:vAlign w:val="center"/>
          </w:tcPr>
          <w:p w14:paraId="6AD2DADE">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1.95</w:t>
            </w:r>
          </w:p>
        </w:tc>
        <w:tc>
          <w:tcPr>
            <w:tcW w:w="1293" w:type="dxa"/>
            <w:vAlign w:val="center"/>
          </w:tcPr>
          <w:p w14:paraId="76D26559">
            <w:pPr>
              <w:pStyle w:val="6"/>
              <w:keepNext w:val="0"/>
              <w:keepLines w:val="0"/>
              <w:suppressLineNumbers w:val="0"/>
              <w:bidi w:val="0"/>
              <w:spacing w:before="0" w:beforeAutospacing="0" w:after="0" w:afterAutospacing="0"/>
              <w:ind w:left="0" w:leftChars="0" w:right="0" w:rightChars="0" w:firstLine="0" w:firstLineChars="0"/>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w:t>
            </w:r>
          </w:p>
        </w:tc>
      </w:tr>
      <w:tr w14:paraId="745D7D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86" w:type="dxa"/>
            <w:vMerge w:val="continue"/>
            <w:vAlign w:val="center"/>
          </w:tcPr>
          <w:p w14:paraId="460CE0AB">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p>
        </w:tc>
        <w:tc>
          <w:tcPr>
            <w:tcW w:w="1950" w:type="dxa"/>
            <w:vAlign w:val="center"/>
          </w:tcPr>
          <w:p w14:paraId="503C8C1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val="0"/>
                <w:bCs/>
                <w:snapToGrid w:val="0"/>
                <w:color w:val="auto"/>
                <w:kern w:val="21"/>
                <w:sz w:val="21"/>
                <w:szCs w:val="21"/>
                <w:highlight w:val="none"/>
                <w:lang w:val="en-US" w:eastAsia="zh-CN"/>
              </w:rPr>
            </w:pPr>
            <w:r>
              <w:rPr>
                <w:rFonts w:hint="eastAsia" w:cs="Times New Roman"/>
                <w:color w:val="auto"/>
                <w:sz w:val="21"/>
                <w:szCs w:val="21"/>
                <w:highlight w:val="none"/>
                <w:lang w:val="en-US" w:eastAsia="zh-CN"/>
              </w:rPr>
              <w:t>循环池油渣</w:t>
            </w:r>
          </w:p>
        </w:tc>
        <w:tc>
          <w:tcPr>
            <w:tcW w:w="1575" w:type="dxa"/>
            <w:vAlign w:val="center"/>
          </w:tcPr>
          <w:p w14:paraId="787BCB86">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0.02</w:t>
            </w:r>
          </w:p>
        </w:tc>
        <w:tc>
          <w:tcPr>
            <w:tcW w:w="1260" w:type="dxa"/>
            <w:vAlign w:val="center"/>
          </w:tcPr>
          <w:p w14:paraId="3AB278F6">
            <w:pPr>
              <w:pStyle w:val="6"/>
              <w:keepNext w:val="0"/>
              <w:keepLines w:val="0"/>
              <w:suppressLineNumbers w:val="0"/>
              <w:bidi w:val="0"/>
              <w:spacing w:before="0" w:beforeAutospacing="0" w:after="0" w:afterAutospacing="0"/>
              <w:ind w:left="0" w:leftChars="0" w:right="0" w:rightChars="0" w:firstLine="0" w:firstLineChars="0"/>
              <w:rPr>
                <w:rFonts w:hint="default"/>
                <w:color w:val="auto"/>
                <w:highlight w:val="none"/>
                <w:lang w:val="en-US" w:eastAsia="zh-CN"/>
              </w:rPr>
            </w:pPr>
            <w:r>
              <w:rPr>
                <w:rFonts w:hint="eastAsia"/>
                <w:color w:val="auto"/>
                <w:highlight w:val="none"/>
                <w:lang w:val="en-US" w:eastAsia="zh-CN"/>
              </w:rPr>
              <w:t>/</w:t>
            </w:r>
          </w:p>
        </w:tc>
        <w:tc>
          <w:tcPr>
            <w:tcW w:w="1612" w:type="dxa"/>
            <w:vAlign w:val="center"/>
          </w:tcPr>
          <w:p w14:paraId="2883A0C3">
            <w:pPr>
              <w:pStyle w:val="6"/>
              <w:keepNext w:val="0"/>
              <w:keepLines w:val="0"/>
              <w:suppressLineNumbers w:val="0"/>
              <w:bidi w:val="0"/>
              <w:spacing w:before="0" w:beforeAutospacing="0" w:after="0" w:afterAutospacing="0"/>
              <w:ind w:left="0" w:leftChars="0" w:right="0" w:firstLine="0" w:firstLineChars="0"/>
              <w:rPr>
                <w:rFonts w:hint="default"/>
                <w:color w:val="auto"/>
                <w:highlight w:val="none"/>
                <w:lang w:val="en-US" w:eastAsia="zh-CN"/>
              </w:rPr>
            </w:pPr>
            <w:r>
              <w:rPr>
                <w:rFonts w:hint="eastAsia"/>
                <w:color w:val="auto"/>
                <w:highlight w:val="none"/>
                <w:lang w:val="en-US" w:eastAsia="zh-CN"/>
              </w:rPr>
              <w:t>/</w:t>
            </w:r>
          </w:p>
        </w:tc>
        <w:tc>
          <w:tcPr>
            <w:tcW w:w="1559" w:type="dxa"/>
            <w:vAlign w:val="center"/>
          </w:tcPr>
          <w:p w14:paraId="520CF05C">
            <w:pPr>
              <w:pStyle w:val="6"/>
              <w:keepNext w:val="0"/>
              <w:keepLines w:val="0"/>
              <w:suppressLineNumbers w:val="0"/>
              <w:bidi w:val="0"/>
              <w:spacing w:before="0" w:beforeAutospacing="0" w:after="0" w:afterAutospacing="0"/>
              <w:ind w:left="0" w:leftChars="0" w:right="0" w:rightChars="0" w:firstLine="0" w:firstLineChars="0"/>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w:t>
            </w:r>
          </w:p>
        </w:tc>
        <w:tc>
          <w:tcPr>
            <w:tcW w:w="1761" w:type="dxa"/>
            <w:vAlign w:val="center"/>
          </w:tcPr>
          <w:p w14:paraId="05EAC410">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w:t>
            </w:r>
          </w:p>
        </w:tc>
        <w:tc>
          <w:tcPr>
            <w:tcW w:w="1742" w:type="dxa"/>
            <w:vAlign w:val="center"/>
          </w:tcPr>
          <w:p w14:paraId="5C16540A">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0.02</w:t>
            </w:r>
          </w:p>
        </w:tc>
        <w:tc>
          <w:tcPr>
            <w:tcW w:w="1293" w:type="dxa"/>
            <w:vAlign w:val="center"/>
          </w:tcPr>
          <w:p w14:paraId="45BAB38B">
            <w:pPr>
              <w:pStyle w:val="6"/>
              <w:keepNext w:val="0"/>
              <w:keepLines w:val="0"/>
              <w:suppressLineNumbers w:val="0"/>
              <w:bidi w:val="0"/>
              <w:spacing w:before="0" w:beforeAutospacing="0" w:after="0" w:afterAutospacing="0"/>
              <w:ind w:left="0" w:leftChars="0" w:right="0" w:rightChars="0" w:firstLine="0" w:firstLineChars="0"/>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w:t>
            </w:r>
          </w:p>
        </w:tc>
      </w:tr>
      <w:tr w14:paraId="774364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86" w:type="dxa"/>
            <w:vMerge w:val="continue"/>
            <w:vAlign w:val="center"/>
          </w:tcPr>
          <w:p w14:paraId="7826662D">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p>
        </w:tc>
        <w:tc>
          <w:tcPr>
            <w:tcW w:w="1950" w:type="dxa"/>
            <w:vAlign w:val="center"/>
          </w:tcPr>
          <w:p w14:paraId="7969925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val="0"/>
                <w:bCs/>
                <w:snapToGrid w:val="0"/>
                <w:color w:val="auto"/>
                <w:kern w:val="21"/>
                <w:sz w:val="21"/>
                <w:szCs w:val="21"/>
                <w:highlight w:val="none"/>
                <w:lang w:val="en-US" w:eastAsia="zh-CN"/>
              </w:rPr>
            </w:pPr>
            <w:r>
              <w:rPr>
                <w:rFonts w:hint="eastAsia" w:cs="Times New Roman"/>
                <w:color w:val="auto"/>
                <w:sz w:val="21"/>
                <w:szCs w:val="21"/>
                <w:highlight w:val="none"/>
                <w:lang w:val="en-US" w:eastAsia="zh-CN"/>
              </w:rPr>
              <w:t>液体危险化学品废物料桶</w:t>
            </w:r>
          </w:p>
        </w:tc>
        <w:tc>
          <w:tcPr>
            <w:tcW w:w="1575" w:type="dxa"/>
            <w:vAlign w:val="center"/>
          </w:tcPr>
          <w:p w14:paraId="4938113F">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0.5</w:t>
            </w:r>
          </w:p>
        </w:tc>
        <w:tc>
          <w:tcPr>
            <w:tcW w:w="1260" w:type="dxa"/>
            <w:vAlign w:val="center"/>
          </w:tcPr>
          <w:p w14:paraId="1764618F">
            <w:pPr>
              <w:pStyle w:val="6"/>
              <w:keepNext w:val="0"/>
              <w:keepLines w:val="0"/>
              <w:suppressLineNumbers w:val="0"/>
              <w:bidi w:val="0"/>
              <w:spacing w:before="0" w:beforeAutospacing="0" w:after="0" w:afterAutospacing="0"/>
              <w:ind w:left="0" w:leftChars="0" w:right="0" w:rightChars="0" w:firstLine="0" w:firstLineChars="0"/>
              <w:rPr>
                <w:rFonts w:hint="default"/>
                <w:color w:val="auto"/>
                <w:highlight w:val="none"/>
                <w:lang w:val="en-US" w:eastAsia="zh-CN"/>
              </w:rPr>
            </w:pPr>
            <w:r>
              <w:rPr>
                <w:rFonts w:hint="eastAsia"/>
                <w:color w:val="auto"/>
                <w:highlight w:val="none"/>
                <w:lang w:val="en-US" w:eastAsia="zh-CN"/>
              </w:rPr>
              <w:t>/</w:t>
            </w:r>
          </w:p>
        </w:tc>
        <w:tc>
          <w:tcPr>
            <w:tcW w:w="1612" w:type="dxa"/>
            <w:vAlign w:val="center"/>
          </w:tcPr>
          <w:p w14:paraId="709B0B89">
            <w:pPr>
              <w:pStyle w:val="6"/>
              <w:keepNext w:val="0"/>
              <w:keepLines w:val="0"/>
              <w:suppressLineNumbers w:val="0"/>
              <w:bidi w:val="0"/>
              <w:spacing w:before="0" w:beforeAutospacing="0" w:after="0" w:afterAutospacing="0"/>
              <w:ind w:left="0" w:leftChars="0" w:right="0" w:firstLine="0" w:firstLineChars="0"/>
              <w:rPr>
                <w:rFonts w:hint="default"/>
                <w:color w:val="auto"/>
                <w:highlight w:val="none"/>
                <w:lang w:val="en-US" w:eastAsia="zh-CN"/>
              </w:rPr>
            </w:pPr>
            <w:r>
              <w:rPr>
                <w:rFonts w:hint="eastAsia"/>
                <w:color w:val="auto"/>
                <w:highlight w:val="none"/>
                <w:lang w:val="en-US" w:eastAsia="zh-CN"/>
              </w:rPr>
              <w:t>/</w:t>
            </w:r>
          </w:p>
        </w:tc>
        <w:tc>
          <w:tcPr>
            <w:tcW w:w="1559" w:type="dxa"/>
            <w:vAlign w:val="center"/>
          </w:tcPr>
          <w:p w14:paraId="32C75414">
            <w:pPr>
              <w:pStyle w:val="6"/>
              <w:keepNext w:val="0"/>
              <w:keepLines w:val="0"/>
              <w:suppressLineNumbers w:val="0"/>
              <w:bidi w:val="0"/>
              <w:spacing w:before="0" w:beforeAutospacing="0" w:after="0" w:afterAutospacing="0"/>
              <w:ind w:left="0" w:leftChars="0" w:right="0" w:rightChars="0" w:firstLine="0" w:firstLineChars="0"/>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w:t>
            </w:r>
          </w:p>
        </w:tc>
        <w:tc>
          <w:tcPr>
            <w:tcW w:w="1761" w:type="dxa"/>
            <w:vAlign w:val="center"/>
          </w:tcPr>
          <w:p w14:paraId="074E9251">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w:t>
            </w:r>
          </w:p>
        </w:tc>
        <w:tc>
          <w:tcPr>
            <w:tcW w:w="1742" w:type="dxa"/>
            <w:vAlign w:val="center"/>
          </w:tcPr>
          <w:p w14:paraId="6C2EFBFC">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0.5</w:t>
            </w:r>
          </w:p>
        </w:tc>
        <w:tc>
          <w:tcPr>
            <w:tcW w:w="1293" w:type="dxa"/>
            <w:vAlign w:val="center"/>
          </w:tcPr>
          <w:p w14:paraId="4785226F">
            <w:pPr>
              <w:pStyle w:val="6"/>
              <w:keepNext w:val="0"/>
              <w:keepLines w:val="0"/>
              <w:suppressLineNumbers w:val="0"/>
              <w:bidi w:val="0"/>
              <w:spacing w:before="0" w:beforeAutospacing="0" w:after="0" w:afterAutospacing="0"/>
              <w:ind w:left="0" w:leftChars="0" w:right="0" w:rightChars="0" w:firstLine="0" w:firstLineChars="0"/>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w:t>
            </w:r>
          </w:p>
        </w:tc>
      </w:tr>
      <w:tr w14:paraId="3A9AFF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86" w:type="dxa"/>
            <w:vMerge w:val="continue"/>
            <w:vAlign w:val="center"/>
          </w:tcPr>
          <w:p w14:paraId="08B54762">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p>
        </w:tc>
        <w:tc>
          <w:tcPr>
            <w:tcW w:w="1950" w:type="dxa"/>
            <w:shd w:val="clear" w:color="auto" w:fill="auto"/>
            <w:vAlign w:val="center"/>
          </w:tcPr>
          <w:p w14:paraId="2B25A242">
            <w:pPr>
              <w:pStyle w:val="61"/>
              <w:keepNext w:val="0"/>
              <w:keepLines w:val="0"/>
              <w:pageBreakBefore w:val="0"/>
              <w:widowControl w:val="0"/>
              <w:suppressLineNumbers w:val="0"/>
              <w:tabs>
                <w:tab w:val="left" w:pos="8020"/>
              </w:tabs>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textAlignment w:val="auto"/>
              <w:rPr>
                <w:rFonts w:hint="eastAsia" w:ascii="Times New Roman" w:hAnsi="Times New Roman" w:eastAsia="宋体" w:cs="Times New Roman"/>
                <w:b w:val="0"/>
                <w:bCs/>
                <w:snapToGrid w:val="0"/>
                <w:color w:val="auto"/>
                <w:kern w:val="21"/>
                <w:sz w:val="21"/>
                <w:szCs w:val="21"/>
                <w:highlight w:val="none"/>
                <w:lang w:val="en-US" w:eastAsia="zh-CN" w:bidi="ar-SA"/>
              </w:rPr>
            </w:pPr>
            <w:r>
              <w:rPr>
                <w:rFonts w:hint="eastAsia" w:ascii="Times New Roman" w:hAnsi="Times New Roman" w:eastAsia="宋体" w:cs="Times New Roman"/>
                <w:b w:val="0"/>
                <w:bCs/>
                <w:snapToGrid w:val="0"/>
                <w:color w:val="auto"/>
                <w:kern w:val="21"/>
                <w:sz w:val="21"/>
                <w:szCs w:val="21"/>
                <w:highlight w:val="none"/>
                <w:lang w:val="en-US" w:eastAsia="zh-CN"/>
              </w:rPr>
              <w:t>废活性炭</w:t>
            </w:r>
          </w:p>
        </w:tc>
        <w:tc>
          <w:tcPr>
            <w:tcW w:w="1575" w:type="dxa"/>
            <w:shd w:val="clear" w:color="auto" w:fill="auto"/>
            <w:vAlign w:val="center"/>
          </w:tcPr>
          <w:p w14:paraId="675886E3">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ascii="Times New Roman" w:hAnsi="Times New Roman" w:eastAsia="宋体" w:cs="Times New Roman"/>
                <w:b w:val="0"/>
                <w:bCs/>
                <w:snapToGrid w:val="0"/>
                <w:color w:val="auto"/>
                <w:kern w:val="21"/>
                <w:sz w:val="21"/>
                <w:szCs w:val="21"/>
                <w:highlight w:val="none"/>
                <w:lang w:val="en-US" w:eastAsia="zh-CN" w:bidi="ar-SA"/>
              </w:rPr>
              <w:t>0.03</w:t>
            </w:r>
          </w:p>
        </w:tc>
        <w:tc>
          <w:tcPr>
            <w:tcW w:w="1260" w:type="dxa"/>
            <w:shd w:val="clear" w:color="auto" w:fill="auto"/>
            <w:vAlign w:val="center"/>
          </w:tcPr>
          <w:p w14:paraId="05D9FD1D">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b w:val="0"/>
                <w:bCs/>
                <w:snapToGrid w:val="0"/>
                <w:color w:val="auto"/>
                <w:kern w:val="21"/>
                <w:sz w:val="21"/>
                <w:szCs w:val="21"/>
                <w:highlight w:val="none"/>
                <w:lang w:val="en-US" w:eastAsia="zh-CN" w:bidi="ar-SA"/>
              </w:rPr>
            </w:pPr>
            <w:r>
              <w:rPr>
                <w:rFonts w:hint="eastAsia"/>
                <w:color w:val="auto"/>
                <w:highlight w:val="none"/>
                <w:lang w:val="en-US" w:eastAsia="zh-CN"/>
              </w:rPr>
              <w:t>/</w:t>
            </w:r>
          </w:p>
        </w:tc>
        <w:tc>
          <w:tcPr>
            <w:tcW w:w="1612" w:type="dxa"/>
            <w:shd w:val="clear" w:color="auto" w:fill="auto"/>
            <w:vAlign w:val="center"/>
          </w:tcPr>
          <w:p w14:paraId="38A29D7D">
            <w:pPr>
              <w:pStyle w:val="6"/>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w:t>
            </w:r>
          </w:p>
        </w:tc>
        <w:tc>
          <w:tcPr>
            <w:tcW w:w="1559" w:type="dxa"/>
            <w:shd w:val="clear" w:color="auto" w:fill="auto"/>
            <w:vAlign w:val="center"/>
          </w:tcPr>
          <w:p w14:paraId="44646626">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0.961</w:t>
            </w:r>
          </w:p>
        </w:tc>
        <w:tc>
          <w:tcPr>
            <w:tcW w:w="1761" w:type="dxa"/>
            <w:shd w:val="clear" w:color="auto" w:fill="auto"/>
            <w:vAlign w:val="center"/>
          </w:tcPr>
          <w:p w14:paraId="2BE21BEF">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rPr>
              <w:t>/</w:t>
            </w:r>
          </w:p>
        </w:tc>
        <w:tc>
          <w:tcPr>
            <w:tcW w:w="1742" w:type="dxa"/>
            <w:shd w:val="clear" w:color="auto" w:fill="auto"/>
            <w:vAlign w:val="center"/>
          </w:tcPr>
          <w:p w14:paraId="0B3EB80C">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0.991</w:t>
            </w:r>
          </w:p>
        </w:tc>
        <w:tc>
          <w:tcPr>
            <w:tcW w:w="1293" w:type="dxa"/>
            <w:shd w:val="clear" w:color="auto" w:fill="auto"/>
            <w:vAlign w:val="center"/>
          </w:tcPr>
          <w:p w14:paraId="2CA6FD9E">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+0.961</w:t>
            </w:r>
          </w:p>
        </w:tc>
      </w:tr>
      <w:tr w14:paraId="29211C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86" w:type="dxa"/>
            <w:vMerge w:val="continue"/>
            <w:vAlign w:val="center"/>
          </w:tcPr>
          <w:p w14:paraId="760240EA">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p>
        </w:tc>
        <w:tc>
          <w:tcPr>
            <w:tcW w:w="1950" w:type="dxa"/>
            <w:vAlign w:val="center"/>
          </w:tcPr>
          <w:p w14:paraId="61935BA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val="0"/>
                <w:bCs/>
                <w:snapToGrid w:val="0"/>
                <w:color w:val="auto"/>
                <w:kern w:val="21"/>
                <w:sz w:val="21"/>
                <w:szCs w:val="21"/>
                <w:highlight w:val="none"/>
                <w:lang w:val="en-US" w:eastAsia="zh-CN"/>
              </w:rPr>
            </w:pPr>
            <w:r>
              <w:rPr>
                <w:rFonts w:hint="eastAsia" w:cs="Times New Roman"/>
                <w:color w:val="auto"/>
                <w:sz w:val="21"/>
                <w:szCs w:val="21"/>
                <w:highlight w:val="none"/>
                <w:lang w:val="en-US" w:eastAsia="zh-CN"/>
              </w:rPr>
              <w:t>水幕水废液</w:t>
            </w:r>
          </w:p>
        </w:tc>
        <w:tc>
          <w:tcPr>
            <w:tcW w:w="1575" w:type="dxa"/>
            <w:vAlign w:val="center"/>
          </w:tcPr>
          <w:p w14:paraId="6A0CE6F8">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0.1</w:t>
            </w:r>
          </w:p>
        </w:tc>
        <w:tc>
          <w:tcPr>
            <w:tcW w:w="1260" w:type="dxa"/>
            <w:vAlign w:val="center"/>
          </w:tcPr>
          <w:p w14:paraId="468BA956">
            <w:pPr>
              <w:pStyle w:val="6"/>
              <w:keepNext w:val="0"/>
              <w:keepLines w:val="0"/>
              <w:suppressLineNumbers w:val="0"/>
              <w:bidi w:val="0"/>
              <w:spacing w:before="0" w:beforeAutospacing="0" w:after="0" w:afterAutospacing="0"/>
              <w:ind w:left="0" w:leftChars="0" w:right="0" w:rightChars="0" w:firstLine="0" w:firstLineChars="0"/>
              <w:rPr>
                <w:rFonts w:hint="default"/>
                <w:color w:val="auto"/>
                <w:highlight w:val="none"/>
                <w:lang w:val="en-US" w:eastAsia="zh-CN"/>
              </w:rPr>
            </w:pPr>
            <w:r>
              <w:rPr>
                <w:rFonts w:hint="eastAsia"/>
                <w:color w:val="auto"/>
                <w:highlight w:val="none"/>
                <w:lang w:val="en-US" w:eastAsia="zh-CN"/>
              </w:rPr>
              <w:t>/</w:t>
            </w:r>
          </w:p>
        </w:tc>
        <w:tc>
          <w:tcPr>
            <w:tcW w:w="1612" w:type="dxa"/>
            <w:vAlign w:val="center"/>
          </w:tcPr>
          <w:p w14:paraId="6D33FD0C">
            <w:pPr>
              <w:pStyle w:val="6"/>
              <w:keepNext w:val="0"/>
              <w:keepLines w:val="0"/>
              <w:suppressLineNumbers w:val="0"/>
              <w:bidi w:val="0"/>
              <w:spacing w:before="0" w:beforeAutospacing="0" w:after="0" w:afterAutospacing="0"/>
              <w:ind w:left="0" w:leftChars="0" w:right="0" w:firstLine="0" w:firstLineChars="0"/>
              <w:rPr>
                <w:rFonts w:hint="default"/>
                <w:color w:val="auto"/>
                <w:highlight w:val="none"/>
                <w:lang w:val="en-US" w:eastAsia="zh-CN"/>
              </w:rPr>
            </w:pPr>
            <w:r>
              <w:rPr>
                <w:rFonts w:hint="eastAsia"/>
                <w:color w:val="auto"/>
                <w:highlight w:val="none"/>
                <w:lang w:val="en-US" w:eastAsia="zh-CN"/>
              </w:rPr>
              <w:t>/</w:t>
            </w:r>
          </w:p>
        </w:tc>
        <w:tc>
          <w:tcPr>
            <w:tcW w:w="1559" w:type="dxa"/>
            <w:vAlign w:val="center"/>
          </w:tcPr>
          <w:p w14:paraId="038D1423">
            <w:pPr>
              <w:pStyle w:val="6"/>
              <w:keepNext w:val="0"/>
              <w:keepLines w:val="0"/>
              <w:suppressLineNumbers w:val="0"/>
              <w:bidi w:val="0"/>
              <w:spacing w:before="0" w:beforeAutospacing="0" w:after="0" w:afterAutospacing="0"/>
              <w:ind w:left="0" w:leftChars="0" w:right="0" w:rightChars="0" w:firstLine="0" w:firstLineChars="0"/>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w:t>
            </w:r>
          </w:p>
        </w:tc>
        <w:tc>
          <w:tcPr>
            <w:tcW w:w="1761" w:type="dxa"/>
            <w:vAlign w:val="center"/>
          </w:tcPr>
          <w:p w14:paraId="76D9952C">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w:t>
            </w:r>
          </w:p>
        </w:tc>
        <w:tc>
          <w:tcPr>
            <w:tcW w:w="1742" w:type="dxa"/>
            <w:vAlign w:val="center"/>
          </w:tcPr>
          <w:p w14:paraId="52D11C70">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0.1</w:t>
            </w:r>
          </w:p>
        </w:tc>
        <w:tc>
          <w:tcPr>
            <w:tcW w:w="1293" w:type="dxa"/>
            <w:vAlign w:val="center"/>
          </w:tcPr>
          <w:p w14:paraId="1FA91507">
            <w:pPr>
              <w:pStyle w:val="6"/>
              <w:keepNext w:val="0"/>
              <w:keepLines w:val="0"/>
              <w:suppressLineNumbers w:val="0"/>
              <w:bidi w:val="0"/>
              <w:spacing w:before="0" w:beforeAutospacing="0" w:after="0" w:afterAutospacing="0"/>
              <w:ind w:left="0" w:leftChars="0" w:right="0" w:rightChars="0" w:firstLine="0" w:firstLineChars="0"/>
              <w:rPr>
                <w:rFonts w:hint="default"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w:t>
            </w:r>
          </w:p>
        </w:tc>
      </w:tr>
      <w:tr w14:paraId="018723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86" w:type="dxa"/>
            <w:vMerge w:val="continue"/>
            <w:vAlign w:val="center"/>
          </w:tcPr>
          <w:p w14:paraId="3BAFC372">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p>
        </w:tc>
        <w:tc>
          <w:tcPr>
            <w:tcW w:w="1950" w:type="dxa"/>
            <w:vAlign w:val="center"/>
          </w:tcPr>
          <w:p w14:paraId="1A2B279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color w:val="auto"/>
                <w:sz w:val="21"/>
                <w:szCs w:val="21"/>
                <w:highlight w:val="none"/>
                <w:lang w:val="en-US" w:eastAsia="zh-CN"/>
              </w:rPr>
              <w:t>密封胶、密封条不合格半成品</w:t>
            </w:r>
          </w:p>
        </w:tc>
        <w:tc>
          <w:tcPr>
            <w:tcW w:w="1575" w:type="dxa"/>
            <w:vAlign w:val="center"/>
          </w:tcPr>
          <w:p w14:paraId="197FFA12">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13</w:t>
            </w:r>
          </w:p>
        </w:tc>
        <w:tc>
          <w:tcPr>
            <w:tcW w:w="1260" w:type="dxa"/>
            <w:vAlign w:val="center"/>
          </w:tcPr>
          <w:p w14:paraId="3440ECCE">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w:t>
            </w:r>
          </w:p>
        </w:tc>
        <w:tc>
          <w:tcPr>
            <w:tcW w:w="1612" w:type="dxa"/>
            <w:vAlign w:val="center"/>
          </w:tcPr>
          <w:p w14:paraId="51CD6430">
            <w:pPr>
              <w:pStyle w:val="6"/>
              <w:keepNext w:val="0"/>
              <w:keepLines w:val="0"/>
              <w:suppressLineNumbers w:val="0"/>
              <w:bidi w:val="0"/>
              <w:spacing w:before="0" w:beforeAutospacing="0" w:after="0" w:afterAutospacing="0"/>
              <w:ind w:left="0" w:leftChars="0" w:right="0" w:firstLine="0" w:firstLineChars="0"/>
              <w:rPr>
                <w:rFonts w:hint="default"/>
                <w:color w:val="auto"/>
                <w:highlight w:val="none"/>
                <w:lang w:val="en-US" w:eastAsia="zh-CN"/>
              </w:rPr>
            </w:pPr>
            <w:r>
              <w:rPr>
                <w:rFonts w:hint="eastAsia"/>
                <w:color w:val="auto"/>
                <w:highlight w:val="none"/>
                <w:lang w:val="en-US" w:eastAsia="zh-CN"/>
              </w:rPr>
              <w:t>/</w:t>
            </w:r>
          </w:p>
        </w:tc>
        <w:tc>
          <w:tcPr>
            <w:tcW w:w="1559" w:type="dxa"/>
            <w:vAlign w:val="center"/>
          </w:tcPr>
          <w:p w14:paraId="7281A37B">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w:t>
            </w:r>
          </w:p>
        </w:tc>
        <w:tc>
          <w:tcPr>
            <w:tcW w:w="1761" w:type="dxa"/>
            <w:vAlign w:val="center"/>
          </w:tcPr>
          <w:p w14:paraId="4CAAB397">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w:t>
            </w:r>
          </w:p>
        </w:tc>
        <w:tc>
          <w:tcPr>
            <w:tcW w:w="1742" w:type="dxa"/>
            <w:vAlign w:val="center"/>
          </w:tcPr>
          <w:p w14:paraId="61BA5D6C">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13</w:t>
            </w:r>
          </w:p>
        </w:tc>
        <w:tc>
          <w:tcPr>
            <w:tcW w:w="1293" w:type="dxa"/>
            <w:vAlign w:val="center"/>
          </w:tcPr>
          <w:p w14:paraId="6D5DA6D8">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0</w:t>
            </w:r>
          </w:p>
        </w:tc>
      </w:tr>
      <w:tr w14:paraId="529608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86" w:type="dxa"/>
            <w:vAlign w:val="center"/>
          </w:tcPr>
          <w:p w14:paraId="40744263">
            <w:pPr>
              <w:keepNext w:val="0"/>
              <w:keepLines w:val="0"/>
              <w:pageBreakBefore w:val="0"/>
              <w:widowControl w:val="0"/>
              <w:suppressLineNumbers w:val="0"/>
              <w:kinsoku/>
              <w:wordWrap/>
              <w:overflowPunct/>
              <w:topLinePunct w:val="0"/>
              <w:autoSpaceDE/>
              <w:autoSpaceDN/>
              <w:bidi w:val="0"/>
              <w:adjustRightInd w:val="0"/>
              <w:snapToGrid w:val="0"/>
              <w:spacing w:before="29" w:beforeLines="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snapToGrid w:val="0"/>
                <w:color w:val="auto"/>
                <w:kern w:val="21"/>
                <w:sz w:val="21"/>
                <w:szCs w:val="21"/>
                <w:highlight w:val="none"/>
                <w:lang w:val="en-US" w:eastAsia="zh-CN" w:bidi="ar-SA"/>
              </w:rPr>
            </w:pPr>
            <w:r>
              <w:rPr>
                <w:rFonts w:hint="eastAsia" w:ascii="Times New Roman" w:hAnsi="Times New Roman" w:eastAsia="宋体" w:cs="Times New Roman"/>
                <w:b/>
                <w:bCs/>
                <w:snapToGrid w:val="0"/>
                <w:color w:val="auto"/>
                <w:kern w:val="21"/>
                <w:sz w:val="21"/>
                <w:szCs w:val="21"/>
                <w:highlight w:val="none"/>
                <w:lang w:val="en-US" w:eastAsia="zh-CN" w:bidi="ar-SA"/>
              </w:rPr>
              <w:t>生活垃圾</w:t>
            </w:r>
          </w:p>
        </w:tc>
        <w:tc>
          <w:tcPr>
            <w:tcW w:w="1950" w:type="dxa"/>
            <w:vAlign w:val="center"/>
          </w:tcPr>
          <w:p w14:paraId="50A7C508">
            <w:pPr>
              <w:keepNext w:val="0"/>
              <w:keepLines w:val="0"/>
              <w:suppressLineNumbers w:val="0"/>
              <w:spacing w:before="0" w:beforeAutospacing="0" w:after="0" w:afterAutospacing="0" w:line="240" w:lineRule="auto"/>
              <w:ind w:left="0" w:right="0" w:firstLine="0" w:firstLineChars="0"/>
              <w:jc w:val="center"/>
              <w:rPr>
                <w:rFonts w:hint="eastAsia" w:ascii="Times New Roman" w:hAnsi="宋体" w:eastAsia="宋体" w:cs="Times New Roman"/>
                <w:color w:val="auto"/>
                <w:sz w:val="21"/>
                <w:szCs w:val="21"/>
                <w:highlight w:val="none"/>
              </w:rPr>
            </w:pPr>
            <w:r>
              <w:rPr>
                <w:rFonts w:hint="eastAsia" w:ascii="Times New Roman" w:hAnsi="Times New Roman" w:eastAsia="宋体" w:cs="Times New Roman"/>
                <w:bCs/>
                <w:snapToGrid w:val="0"/>
                <w:color w:val="auto"/>
                <w:kern w:val="21"/>
                <w:sz w:val="21"/>
                <w:szCs w:val="21"/>
                <w:highlight w:val="none"/>
                <w:lang w:val="en-US" w:eastAsia="zh-CN"/>
              </w:rPr>
              <w:t>生活垃圾</w:t>
            </w:r>
          </w:p>
        </w:tc>
        <w:tc>
          <w:tcPr>
            <w:tcW w:w="1575" w:type="dxa"/>
            <w:vAlign w:val="center"/>
          </w:tcPr>
          <w:p w14:paraId="49EB4DC1">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cs="Times New Roman"/>
                <w:b w:val="0"/>
                <w:bCs/>
                <w:snapToGrid w:val="0"/>
                <w:color w:val="auto"/>
                <w:kern w:val="21"/>
                <w:sz w:val="21"/>
                <w:szCs w:val="21"/>
                <w:highlight w:val="none"/>
                <w:lang w:val="en-US" w:eastAsia="zh-CN"/>
              </w:rPr>
              <w:t>45</w:t>
            </w:r>
          </w:p>
        </w:tc>
        <w:tc>
          <w:tcPr>
            <w:tcW w:w="1260" w:type="dxa"/>
            <w:vAlign w:val="center"/>
          </w:tcPr>
          <w:p w14:paraId="1B74BB42">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auto"/>
                <w:kern w:val="21"/>
                <w:sz w:val="21"/>
                <w:szCs w:val="21"/>
                <w:highlight w:val="none"/>
                <w:lang w:val="en-US" w:eastAsia="zh-CN"/>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612" w:type="dxa"/>
            <w:vAlign w:val="center"/>
          </w:tcPr>
          <w:p w14:paraId="00408815">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firstLine="0" w:firstLineChars="0"/>
              <w:jc w:val="center"/>
              <w:textAlignment w:val="auto"/>
              <w:rPr>
                <w:rFonts w:hint="eastAsia" w:ascii="Times New Roman" w:hAnsi="Times New Roman" w:eastAsia="宋体" w:cs="Times New Roman"/>
                <w:b w:val="0"/>
                <w:bCs/>
                <w:snapToGrid w:val="0"/>
                <w:color w:val="auto"/>
                <w:kern w:val="21"/>
                <w:sz w:val="21"/>
                <w:szCs w:val="21"/>
                <w:highlight w:val="none"/>
                <w:lang w:val="en-US" w:eastAsia="zh-CN"/>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559" w:type="dxa"/>
            <w:vAlign w:val="center"/>
          </w:tcPr>
          <w:p w14:paraId="6F9D8C16">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4.5</w:t>
            </w:r>
          </w:p>
        </w:tc>
        <w:tc>
          <w:tcPr>
            <w:tcW w:w="1761" w:type="dxa"/>
            <w:vAlign w:val="center"/>
          </w:tcPr>
          <w:p w14:paraId="3C48F883">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firstLine="0" w:firstLineChars="0"/>
              <w:jc w:val="center"/>
              <w:textAlignment w:val="auto"/>
              <w:rPr>
                <w:rFonts w:hint="eastAsia" w:ascii="Times New Roman" w:hAnsi="Times New Roman" w:eastAsia="宋体" w:cs="Times New Roman"/>
                <w:b w:val="0"/>
                <w:bCs/>
                <w:snapToGrid w:val="0"/>
                <w:color w:val="auto"/>
                <w:kern w:val="21"/>
                <w:sz w:val="21"/>
                <w:szCs w:val="21"/>
                <w:highlight w:val="none"/>
                <w:lang w:val="en-US" w:eastAsia="zh-CN"/>
              </w:rPr>
            </w:pPr>
            <w:r>
              <w:rPr>
                <w:rFonts w:hint="eastAsia" w:ascii="Times New Roman" w:hAnsi="Times New Roman" w:eastAsia="宋体" w:cs="Times New Roman"/>
                <w:b w:val="0"/>
                <w:bCs/>
                <w:snapToGrid w:val="0"/>
                <w:color w:val="auto"/>
                <w:kern w:val="21"/>
                <w:sz w:val="21"/>
                <w:szCs w:val="21"/>
                <w:highlight w:val="none"/>
                <w:lang w:val="en-US" w:eastAsia="zh-CN"/>
              </w:rPr>
              <w:t>/</w:t>
            </w:r>
          </w:p>
        </w:tc>
        <w:tc>
          <w:tcPr>
            <w:tcW w:w="1742" w:type="dxa"/>
            <w:vAlign w:val="center"/>
          </w:tcPr>
          <w:p w14:paraId="4C24877F">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49.5</w:t>
            </w:r>
          </w:p>
        </w:tc>
        <w:tc>
          <w:tcPr>
            <w:tcW w:w="1293" w:type="dxa"/>
            <w:vAlign w:val="center"/>
          </w:tcPr>
          <w:p w14:paraId="170281BB">
            <w:pPr>
              <w:pStyle w:val="6"/>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snapToGrid w:val="0"/>
                <w:color w:val="auto"/>
                <w:kern w:val="21"/>
                <w:sz w:val="21"/>
                <w:szCs w:val="21"/>
                <w:highlight w:val="none"/>
                <w:lang w:val="en-US" w:eastAsia="zh-CN" w:bidi="ar-SA"/>
              </w:rPr>
            </w:pPr>
            <w:r>
              <w:rPr>
                <w:rFonts w:hint="eastAsia" w:cs="Times New Roman"/>
                <w:b w:val="0"/>
                <w:bCs/>
                <w:snapToGrid w:val="0"/>
                <w:color w:val="auto"/>
                <w:kern w:val="21"/>
                <w:sz w:val="21"/>
                <w:szCs w:val="21"/>
                <w:highlight w:val="none"/>
                <w:lang w:val="en-US" w:eastAsia="zh-CN" w:bidi="ar-SA"/>
              </w:rPr>
              <w:t>+4.5</w:t>
            </w:r>
          </w:p>
        </w:tc>
      </w:tr>
    </w:tbl>
    <w:p w14:paraId="0CC8EFFB">
      <w:pPr>
        <w:widowControl w:val="0"/>
        <w:adjustRightInd w:val="0"/>
        <w:snapToGrid w:val="0"/>
        <w:spacing w:before="29" w:beforeLines="0" w:afterLines="0" w:line="260" w:lineRule="auto"/>
        <w:ind w:left="43" w:leftChars="18"/>
        <w:jc w:val="left"/>
        <w:rPr>
          <w:color w:val="auto"/>
          <w:highlight w:val="none"/>
        </w:rPr>
      </w:pPr>
      <w:r>
        <w:rPr>
          <w:rFonts w:hint="eastAsia" w:ascii="宋体" w:hAnsi="宋体" w:eastAsia="宋体" w:cs="宋体"/>
          <w:b/>
          <w:bCs/>
          <w:snapToGrid w:val="0"/>
          <w:color w:val="auto"/>
          <w:kern w:val="21"/>
          <w:sz w:val="24"/>
          <w:szCs w:val="21"/>
          <w:highlight w:val="none"/>
          <w:lang w:val="en-US" w:eastAsia="zh-CN" w:bidi="ar-SA"/>
        </w:rPr>
        <w:t>注：</w:t>
      </w:r>
      <w:r>
        <w:rPr>
          <w:rFonts w:hint="eastAsia" w:ascii="宋体" w:hAnsi="宋体" w:eastAsia="宋体" w:cs="宋体"/>
          <w:b/>
          <w:bCs/>
          <w:snapToGrid w:val="0"/>
          <w:color w:val="auto"/>
          <w:kern w:val="21"/>
          <w:sz w:val="24"/>
          <w:szCs w:val="21"/>
          <w:highlight w:val="none"/>
          <w:lang w:val="en-US" w:eastAsia="zh-CN" w:bidi="ar-SA"/>
        </w:rPr>
        <w:fldChar w:fldCharType="begin"/>
      </w:r>
      <w:r>
        <w:rPr>
          <w:rFonts w:hint="eastAsia" w:ascii="宋体" w:hAnsi="宋体" w:eastAsia="宋体" w:cs="宋体"/>
          <w:b/>
          <w:bCs/>
          <w:snapToGrid w:val="0"/>
          <w:color w:val="auto"/>
          <w:kern w:val="21"/>
          <w:sz w:val="24"/>
          <w:szCs w:val="21"/>
          <w:highlight w:val="none"/>
          <w:lang w:val="en-US" w:eastAsia="zh-CN" w:bidi="ar-SA"/>
        </w:rPr>
        <w:instrText xml:space="preserve"> = 6 \* GB3 \* MERGEFORMAT </w:instrText>
      </w:r>
      <w:r>
        <w:rPr>
          <w:rFonts w:hint="eastAsia" w:ascii="宋体" w:hAnsi="宋体" w:eastAsia="宋体" w:cs="宋体"/>
          <w:b/>
          <w:bCs/>
          <w:snapToGrid w:val="0"/>
          <w:color w:val="auto"/>
          <w:kern w:val="21"/>
          <w:sz w:val="24"/>
          <w:szCs w:val="21"/>
          <w:highlight w:val="none"/>
          <w:lang w:val="en-US" w:eastAsia="zh-CN" w:bidi="ar-SA"/>
        </w:rPr>
        <w:fldChar w:fldCharType="separate"/>
      </w:r>
      <w:r>
        <w:rPr>
          <w:rFonts w:hint="eastAsia" w:ascii="宋体" w:hAnsi="宋体" w:eastAsia="宋体" w:cs="宋体"/>
          <w:b/>
          <w:bCs/>
          <w:snapToGrid w:val="0"/>
          <w:color w:val="auto"/>
          <w:kern w:val="21"/>
          <w:sz w:val="24"/>
          <w:szCs w:val="21"/>
          <w:highlight w:val="none"/>
          <w:lang w:val="en-US" w:eastAsia="zh-CN" w:bidi="ar-SA"/>
        </w:rPr>
        <w:t>⑥</w:t>
      </w:r>
      <w:r>
        <w:rPr>
          <w:rFonts w:hint="eastAsia" w:ascii="宋体" w:hAnsi="宋体" w:eastAsia="宋体" w:cs="宋体"/>
          <w:b/>
          <w:bCs/>
          <w:snapToGrid w:val="0"/>
          <w:color w:val="auto"/>
          <w:kern w:val="21"/>
          <w:sz w:val="24"/>
          <w:szCs w:val="21"/>
          <w:highlight w:val="none"/>
          <w:lang w:val="en-US" w:eastAsia="zh-CN" w:bidi="ar-SA"/>
        </w:rPr>
        <w:fldChar w:fldCharType="end"/>
      </w:r>
      <w:r>
        <w:rPr>
          <w:rFonts w:hint="eastAsia" w:ascii="宋体" w:hAnsi="宋体" w:eastAsia="宋体" w:cs="宋体"/>
          <w:b/>
          <w:bCs/>
          <w:snapToGrid w:val="0"/>
          <w:color w:val="auto"/>
          <w:kern w:val="21"/>
          <w:sz w:val="24"/>
          <w:szCs w:val="21"/>
          <w:highlight w:val="none"/>
          <w:lang w:val="en-US" w:eastAsia="zh-CN" w:bidi="ar-SA"/>
        </w:rPr>
        <w:t>=</w:t>
      </w:r>
      <w:r>
        <w:rPr>
          <w:rFonts w:hint="eastAsia" w:ascii="宋体" w:hAnsi="宋体" w:eastAsia="宋体" w:cs="宋体"/>
          <w:b/>
          <w:bCs/>
          <w:snapToGrid w:val="0"/>
          <w:color w:val="auto"/>
          <w:kern w:val="21"/>
          <w:sz w:val="24"/>
          <w:szCs w:val="21"/>
          <w:highlight w:val="none"/>
          <w:lang w:val="en-US" w:eastAsia="zh-CN" w:bidi="ar-SA"/>
        </w:rPr>
        <w:fldChar w:fldCharType="begin"/>
      </w:r>
      <w:r>
        <w:rPr>
          <w:rFonts w:hint="eastAsia" w:ascii="宋体" w:hAnsi="宋体" w:eastAsia="宋体" w:cs="宋体"/>
          <w:b/>
          <w:bCs/>
          <w:snapToGrid w:val="0"/>
          <w:color w:val="auto"/>
          <w:kern w:val="21"/>
          <w:sz w:val="24"/>
          <w:szCs w:val="21"/>
          <w:highlight w:val="none"/>
          <w:lang w:val="en-US" w:eastAsia="zh-CN" w:bidi="ar-SA"/>
        </w:rPr>
        <w:instrText xml:space="preserve"> = 1 \* GB3 \* MERGEFORMAT </w:instrText>
      </w:r>
      <w:r>
        <w:rPr>
          <w:rFonts w:hint="eastAsia" w:ascii="宋体" w:hAnsi="宋体" w:eastAsia="宋体" w:cs="宋体"/>
          <w:b/>
          <w:bCs/>
          <w:snapToGrid w:val="0"/>
          <w:color w:val="auto"/>
          <w:kern w:val="21"/>
          <w:sz w:val="24"/>
          <w:szCs w:val="21"/>
          <w:highlight w:val="none"/>
          <w:lang w:val="en-US" w:eastAsia="zh-CN" w:bidi="ar-SA"/>
        </w:rPr>
        <w:fldChar w:fldCharType="separate"/>
      </w:r>
      <w:r>
        <w:rPr>
          <w:rFonts w:hint="eastAsia" w:ascii="宋体" w:hAnsi="宋体" w:eastAsia="宋体" w:cs="宋体"/>
          <w:b/>
          <w:bCs/>
          <w:snapToGrid w:val="0"/>
          <w:color w:val="auto"/>
          <w:kern w:val="21"/>
          <w:sz w:val="24"/>
          <w:szCs w:val="21"/>
          <w:highlight w:val="none"/>
          <w:lang w:val="en-US" w:eastAsia="zh-CN" w:bidi="ar-SA"/>
        </w:rPr>
        <w:t>①</w:t>
      </w:r>
      <w:r>
        <w:rPr>
          <w:rFonts w:hint="eastAsia" w:ascii="宋体" w:hAnsi="宋体" w:eastAsia="宋体" w:cs="宋体"/>
          <w:b/>
          <w:bCs/>
          <w:snapToGrid w:val="0"/>
          <w:color w:val="auto"/>
          <w:kern w:val="21"/>
          <w:sz w:val="24"/>
          <w:szCs w:val="21"/>
          <w:highlight w:val="none"/>
          <w:lang w:val="en-US" w:eastAsia="zh-CN" w:bidi="ar-SA"/>
        </w:rPr>
        <w:fldChar w:fldCharType="end"/>
      </w:r>
      <w:r>
        <w:rPr>
          <w:rFonts w:hint="eastAsia" w:ascii="宋体" w:hAnsi="宋体" w:eastAsia="宋体" w:cs="宋体"/>
          <w:b/>
          <w:bCs/>
          <w:snapToGrid w:val="0"/>
          <w:color w:val="auto"/>
          <w:kern w:val="21"/>
          <w:sz w:val="24"/>
          <w:szCs w:val="21"/>
          <w:highlight w:val="none"/>
          <w:lang w:val="en-US" w:eastAsia="zh-CN" w:bidi="ar-SA"/>
        </w:rPr>
        <w:t>+</w:t>
      </w:r>
      <w:r>
        <w:rPr>
          <w:rFonts w:hint="eastAsia" w:ascii="宋体" w:hAnsi="宋体" w:eastAsia="宋体" w:cs="宋体"/>
          <w:b/>
          <w:bCs/>
          <w:snapToGrid w:val="0"/>
          <w:color w:val="auto"/>
          <w:kern w:val="21"/>
          <w:sz w:val="24"/>
          <w:szCs w:val="21"/>
          <w:highlight w:val="none"/>
          <w:lang w:val="en-US" w:eastAsia="zh-CN" w:bidi="ar-SA"/>
        </w:rPr>
        <w:fldChar w:fldCharType="begin"/>
      </w:r>
      <w:r>
        <w:rPr>
          <w:rFonts w:hint="eastAsia" w:ascii="宋体" w:hAnsi="宋体" w:eastAsia="宋体" w:cs="宋体"/>
          <w:b/>
          <w:bCs/>
          <w:snapToGrid w:val="0"/>
          <w:color w:val="auto"/>
          <w:kern w:val="21"/>
          <w:sz w:val="24"/>
          <w:szCs w:val="21"/>
          <w:highlight w:val="none"/>
          <w:lang w:val="en-US" w:eastAsia="zh-CN" w:bidi="ar-SA"/>
        </w:rPr>
        <w:instrText xml:space="preserve"> = 3 \* GB3 \* MERGEFORMAT </w:instrText>
      </w:r>
      <w:r>
        <w:rPr>
          <w:rFonts w:hint="eastAsia" w:ascii="宋体" w:hAnsi="宋体" w:eastAsia="宋体" w:cs="宋体"/>
          <w:b/>
          <w:bCs/>
          <w:snapToGrid w:val="0"/>
          <w:color w:val="auto"/>
          <w:kern w:val="21"/>
          <w:sz w:val="24"/>
          <w:szCs w:val="21"/>
          <w:highlight w:val="none"/>
          <w:lang w:val="en-US" w:eastAsia="zh-CN" w:bidi="ar-SA"/>
        </w:rPr>
        <w:fldChar w:fldCharType="separate"/>
      </w:r>
      <w:r>
        <w:rPr>
          <w:rFonts w:hint="eastAsia" w:ascii="宋体" w:hAnsi="宋体" w:eastAsia="宋体" w:cs="宋体"/>
          <w:b/>
          <w:bCs/>
          <w:snapToGrid w:val="0"/>
          <w:color w:val="auto"/>
          <w:kern w:val="21"/>
          <w:sz w:val="24"/>
          <w:szCs w:val="21"/>
          <w:highlight w:val="none"/>
          <w:lang w:val="en-US" w:eastAsia="zh-CN" w:bidi="ar-SA"/>
        </w:rPr>
        <w:t>③</w:t>
      </w:r>
      <w:r>
        <w:rPr>
          <w:rFonts w:hint="eastAsia" w:ascii="宋体" w:hAnsi="宋体" w:eastAsia="宋体" w:cs="宋体"/>
          <w:b/>
          <w:bCs/>
          <w:snapToGrid w:val="0"/>
          <w:color w:val="auto"/>
          <w:kern w:val="21"/>
          <w:sz w:val="24"/>
          <w:szCs w:val="21"/>
          <w:highlight w:val="none"/>
          <w:lang w:val="en-US" w:eastAsia="zh-CN" w:bidi="ar-SA"/>
        </w:rPr>
        <w:fldChar w:fldCharType="end"/>
      </w:r>
      <w:r>
        <w:rPr>
          <w:rFonts w:hint="eastAsia" w:ascii="宋体" w:hAnsi="宋体" w:eastAsia="宋体" w:cs="宋体"/>
          <w:b/>
          <w:bCs/>
          <w:snapToGrid w:val="0"/>
          <w:color w:val="auto"/>
          <w:kern w:val="21"/>
          <w:sz w:val="24"/>
          <w:szCs w:val="21"/>
          <w:highlight w:val="none"/>
          <w:lang w:val="en-US" w:eastAsia="zh-CN" w:bidi="ar-SA"/>
        </w:rPr>
        <w:t>+</w:t>
      </w:r>
      <w:r>
        <w:rPr>
          <w:rFonts w:hint="eastAsia" w:ascii="宋体" w:hAnsi="宋体" w:eastAsia="宋体" w:cs="宋体"/>
          <w:b/>
          <w:bCs/>
          <w:snapToGrid w:val="0"/>
          <w:color w:val="auto"/>
          <w:kern w:val="21"/>
          <w:sz w:val="24"/>
          <w:szCs w:val="21"/>
          <w:highlight w:val="none"/>
          <w:lang w:val="en-US" w:eastAsia="zh-CN" w:bidi="ar-SA"/>
        </w:rPr>
        <w:fldChar w:fldCharType="begin"/>
      </w:r>
      <w:r>
        <w:rPr>
          <w:rFonts w:hint="eastAsia" w:ascii="宋体" w:hAnsi="宋体" w:eastAsia="宋体" w:cs="宋体"/>
          <w:b/>
          <w:bCs/>
          <w:snapToGrid w:val="0"/>
          <w:color w:val="auto"/>
          <w:kern w:val="21"/>
          <w:sz w:val="24"/>
          <w:szCs w:val="21"/>
          <w:highlight w:val="none"/>
          <w:lang w:val="en-US" w:eastAsia="zh-CN" w:bidi="ar-SA"/>
        </w:rPr>
        <w:instrText xml:space="preserve"> = 4 \* GB3 \* MERGEFORMAT </w:instrText>
      </w:r>
      <w:r>
        <w:rPr>
          <w:rFonts w:hint="eastAsia" w:ascii="宋体" w:hAnsi="宋体" w:eastAsia="宋体" w:cs="宋体"/>
          <w:b/>
          <w:bCs/>
          <w:snapToGrid w:val="0"/>
          <w:color w:val="auto"/>
          <w:kern w:val="21"/>
          <w:sz w:val="24"/>
          <w:szCs w:val="21"/>
          <w:highlight w:val="none"/>
          <w:lang w:val="en-US" w:eastAsia="zh-CN" w:bidi="ar-SA"/>
        </w:rPr>
        <w:fldChar w:fldCharType="separate"/>
      </w:r>
      <w:r>
        <w:rPr>
          <w:rFonts w:hint="eastAsia" w:ascii="宋体" w:hAnsi="宋体" w:eastAsia="宋体" w:cs="宋体"/>
          <w:b/>
          <w:bCs/>
          <w:snapToGrid w:val="0"/>
          <w:color w:val="auto"/>
          <w:kern w:val="21"/>
          <w:sz w:val="24"/>
          <w:szCs w:val="21"/>
          <w:highlight w:val="none"/>
          <w:lang w:val="en-US" w:eastAsia="zh-CN" w:bidi="ar-SA"/>
        </w:rPr>
        <w:t>④</w:t>
      </w:r>
      <w:r>
        <w:rPr>
          <w:rFonts w:hint="eastAsia" w:ascii="宋体" w:hAnsi="宋体" w:eastAsia="宋体" w:cs="宋体"/>
          <w:b/>
          <w:bCs/>
          <w:snapToGrid w:val="0"/>
          <w:color w:val="auto"/>
          <w:kern w:val="21"/>
          <w:sz w:val="24"/>
          <w:szCs w:val="21"/>
          <w:highlight w:val="none"/>
          <w:lang w:val="en-US" w:eastAsia="zh-CN" w:bidi="ar-SA"/>
        </w:rPr>
        <w:fldChar w:fldCharType="end"/>
      </w:r>
      <w:r>
        <w:rPr>
          <w:rFonts w:hint="eastAsia" w:ascii="宋体" w:hAnsi="宋体" w:eastAsia="宋体" w:cs="宋体"/>
          <w:b/>
          <w:bCs/>
          <w:snapToGrid w:val="0"/>
          <w:color w:val="auto"/>
          <w:kern w:val="21"/>
          <w:sz w:val="24"/>
          <w:szCs w:val="21"/>
          <w:highlight w:val="none"/>
          <w:lang w:val="en-US" w:eastAsia="zh-CN" w:bidi="ar-SA"/>
        </w:rPr>
        <w:t>-</w:t>
      </w:r>
      <w:r>
        <w:rPr>
          <w:rFonts w:hint="eastAsia" w:ascii="宋体" w:hAnsi="宋体" w:eastAsia="宋体" w:cs="宋体"/>
          <w:b/>
          <w:bCs/>
          <w:snapToGrid w:val="0"/>
          <w:color w:val="auto"/>
          <w:kern w:val="21"/>
          <w:sz w:val="24"/>
          <w:szCs w:val="21"/>
          <w:highlight w:val="none"/>
          <w:lang w:val="en-US" w:eastAsia="zh-CN" w:bidi="ar-SA"/>
        </w:rPr>
        <w:fldChar w:fldCharType="begin"/>
      </w:r>
      <w:r>
        <w:rPr>
          <w:rFonts w:hint="eastAsia" w:ascii="宋体" w:hAnsi="宋体" w:eastAsia="宋体" w:cs="宋体"/>
          <w:b/>
          <w:bCs/>
          <w:snapToGrid w:val="0"/>
          <w:color w:val="auto"/>
          <w:kern w:val="21"/>
          <w:sz w:val="24"/>
          <w:szCs w:val="21"/>
          <w:highlight w:val="none"/>
          <w:lang w:val="en-US" w:eastAsia="zh-CN" w:bidi="ar-SA"/>
        </w:rPr>
        <w:instrText xml:space="preserve"> = 5 \* GB3 \* MERGEFORMAT </w:instrText>
      </w:r>
      <w:r>
        <w:rPr>
          <w:rFonts w:hint="eastAsia" w:ascii="宋体" w:hAnsi="宋体" w:eastAsia="宋体" w:cs="宋体"/>
          <w:b/>
          <w:bCs/>
          <w:snapToGrid w:val="0"/>
          <w:color w:val="auto"/>
          <w:kern w:val="21"/>
          <w:sz w:val="24"/>
          <w:szCs w:val="21"/>
          <w:highlight w:val="none"/>
          <w:lang w:val="en-US" w:eastAsia="zh-CN" w:bidi="ar-SA"/>
        </w:rPr>
        <w:fldChar w:fldCharType="separate"/>
      </w:r>
      <w:r>
        <w:rPr>
          <w:rFonts w:hint="eastAsia" w:ascii="宋体" w:hAnsi="宋体" w:eastAsia="宋体" w:cs="宋体"/>
          <w:b/>
          <w:bCs/>
          <w:snapToGrid w:val="0"/>
          <w:color w:val="auto"/>
          <w:kern w:val="21"/>
          <w:sz w:val="24"/>
          <w:szCs w:val="21"/>
          <w:highlight w:val="none"/>
          <w:lang w:val="en-US" w:eastAsia="zh-CN" w:bidi="ar-SA"/>
        </w:rPr>
        <w:t>⑤</w:t>
      </w:r>
      <w:r>
        <w:rPr>
          <w:rFonts w:hint="eastAsia" w:ascii="宋体" w:hAnsi="宋体" w:eastAsia="宋体" w:cs="宋体"/>
          <w:b/>
          <w:bCs/>
          <w:snapToGrid w:val="0"/>
          <w:color w:val="auto"/>
          <w:kern w:val="21"/>
          <w:sz w:val="24"/>
          <w:szCs w:val="21"/>
          <w:highlight w:val="none"/>
          <w:lang w:val="en-US" w:eastAsia="zh-CN" w:bidi="ar-SA"/>
        </w:rPr>
        <w:fldChar w:fldCharType="end"/>
      </w:r>
      <w:r>
        <w:rPr>
          <w:rFonts w:hint="eastAsia" w:ascii="宋体" w:hAnsi="宋体" w:eastAsia="宋体" w:cs="宋体"/>
          <w:b/>
          <w:bCs/>
          <w:snapToGrid w:val="0"/>
          <w:color w:val="auto"/>
          <w:kern w:val="21"/>
          <w:sz w:val="24"/>
          <w:szCs w:val="21"/>
          <w:highlight w:val="none"/>
          <w:lang w:val="en-US" w:eastAsia="zh-CN" w:bidi="ar-SA"/>
        </w:rPr>
        <w:t>；</w:t>
      </w:r>
      <w:r>
        <w:rPr>
          <w:rFonts w:hint="eastAsia" w:ascii="宋体" w:hAnsi="宋体" w:eastAsia="宋体" w:cs="宋体"/>
          <w:b/>
          <w:bCs/>
          <w:snapToGrid w:val="0"/>
          <w:color w:val="auto"/>
          <w:kern w:val="21"/>
          <w:sz w:val="24"/>
          <w:szCs w:val="21"/>
          <w:highlight w:val="none"/>
          <w:lang w:val="en-US" w:eastAsia="zh-CN" w:bidi="ar-SA"/>
        </w:rPr>
        <w:fldChar w:fldCharType="begin"/>
      </w:r>
      <w:r>
        <w:rPr>
          <w:rFonts w:hint="eastAsia" w:ascii="宋体" w:hAnsi="宋体" w:eastAsia="宋体" w:cs="宋体"/>
          <w:b/>
          <w:bCs/>
          <w:snapToGrid w:val="0"/>
          <w:color w:val="auto"/>
          <w:kern w:val="21"/>
          <w:sz w:val="24"/>
          <w:szCs w:val="21"/>
          <w:highlight w:val="none"/>
          <w:lang w:val="en-US" w:eastAsia="zh-CN" w:bidi="ar-SA"/>
        </w:rPr>
        <w:instrText xml:space="preserve"> = 7 \* GB3 \* MERGEFORMAT </w:instrText>
      </w:r>
      <w:r>
        <w:rPr>
          <w:rFonts w:hint="eastAsia" w:ascii="宋体" w:hAnsi="宋体" w:eastAsia="宋体" w:cs="宋体"/>
          <w:b/>
          <w:bCs/>
          <w:snapToGrid w:val="0"/>
          <w:color w:val="auto"/>
          <w:kern w:val="21"/>
          <w:sz w:val="24"/>
          <w:szCs w:val="21"/>
          <w:highlight w:val="none"/>
          <w:lang w:val="en-US" w:eastAsia="zh-CN" w:bidi="ar-SA"/>
        </w:rPr>
        <w:fldChar w:fldCharType="separate"/>
      </w:r>
      <w:r>
        <w:rPr>
          <w:rFonts w:hint="eastAsia" w:ascii="宋体" w:hAnsi="宋体" w:eastAsia="宋体" w:cs="宋体"/>
          <w:b/>
          <w:bCs/>
          <w:snapToGrid w:val="0"/>
          <w:color w:val="auto"/>
          <w:kern w:val="21"/>
          <w:sz w:val="24"/>
          <w:szCs w:val="21"/>
          <w:highlight w:val="none"/>
          <w:lang w:val="en-US" w:eastAsia="zh-CN" w:bidi="ar-SA"/>
        </w:rPr>
        <w:t>⑦</w:t>
      </w:r>
      <w:r>
        <w:rPr>
          <w:rFonts w:hint="eastAsia" w:ascii="宋体" w:hAnsi="宋体" w:eastAsia="宋体" w:cs="宋体"/>
          <w:b/>
          <w:bCs/>
          <w:snapToGrid w:val="0"/>
          <w:color w:val="auto"/>
          <w:kern w:val="21"/>
          <w:sz w:val="24"/>
          <w:szCs w:val="21"/>
          <w:highlight w:val="none"/>
          <w:lang w:val="en-US" w:eastAsia="zh-CN" w:bidi="ar-SA"/>
        </w:rPr>
        <w:fldChar w:fldCharType="end"/>
      </w:r>
      <w:r>
        <w:rPr>
          <w:rFonts w:hint="eastAsia" w:ascii="宋体" w:hAnsi="宋体" w:eastAsia="宋体" w:cs="宋体"/>
          <w:b/>
          <w:bCs/>
          <w:snapToGrid w:val="0"/>
          <w:color w:val="auto"/>
          <w:kern w:val="21"/>
          <w:sz w:val="24"/>
          <w:szCs w:val="21"/>
          <w:highlight w:val="none"/>
          <w:lang w:val="en-US" w:eastAsia="zh-CN" w:bidi="ar-SA"/>
        </w:rPr>
        <w:t>=</w:t>
      </w:r>
      <w:r>
        <w:rPr>
          <w:rFonts w:hint="eastAsia" w:ascii="宋体" w:hAnsi="宋体" w:eastAsia="宋体" w:cs="宋体"/>
          <w:b/>
          <w:bCs/>
          <w:snapToGrid w:val="0"/>
          <w:color w:val="auto"/>
          <w:kern w:val="21"/>
          <w:sz w:val="24"/>
          <w:szCs w:val="21"/>
          <w:highlight w:val="none"/>
          <w:lang w:val="en-US" w:eastAsia="zh-CN" w:bidi="ar-SA"/>
        </w:rPr>
        <w:fldChar w:fldCharType="begin"/>
      </w:r>
      <w:r>
        <w:rPr>
          <w:rFonts w:hint="eastAsia" w:ascii="宋体" w:hAnsi="宋体" w:eastAsia="宋体" w:cs="宋体"/>
          <w:b/>
          <w:bCs/>
          <w:snapToGrid w:val="0"/>
          <w:color w:val="auto"/>
          <w:kern w:val="21"/>
          <w:sz w:val="24"/>
          <w:szCs w:val="21"/>
          <w:highlight w:val="none"/>
          <w:lang w:val="en-US" w:eastAsia="zh-CN" w:bidi="ar-SA"/>
        </w:rPr>
        <w:instrText xml:space="preserve"> = 6 \* GB3 \* MERGEFORMAT </w:instrText>
      </w:r>
      <w:r>
        <w:rPr>
          <w:rFonts w:hint="eastAsia" w:ascii="宋体" w:hAnsi="宋体" w:eastAsia="宋体" w:cs="宋体"/>
          <w:b/>
          <w:bCs/>
          <w:snapToGrid w:val="0"/>
          <w:color w:val="auto"/>
          <w:kern w:val="21"/>
          <w:sz w:val="24"/>
          <w:szCs w:val="21"/>
          <w:highlight w:val="none"/>
          <w:lang w:val="en-US" w:eastAsia="zh-CN" w:bidi="ar-SA"/>
        </w:rPr>
        <w:fldChar w:fldCharType="separate"/>
      </w:r>
      <w:r>
        <w:rPr>
          <w:rFonts w:hint="eastAsia" w:ascii="宋体" w:hAnsi="宋体" w:eastAsia="宋体" w:cs="宋体"/>
          <w:b/>
          <w:bCs/>
          <w:snapToGrid w:val="0"/>
          <w:color w:val="auto"/>
          <w:kern w:val="21"/>
          <w:sz w:val="24"/>
          <w:szCs w:val="21"/>
          <w:highlight w:val="none"/>
          <w:lang w:val="en-US" w:eastAsia="zh-CN" w:bidi="ar-SA"/>
        </w:rPr>
        <w:t>⑥</w:t>
      </w:r>
      <w:r>
        <w:rPr>
          <w:rFonts w:hint="eastAsia" w:ascii="宋体" w:hAnsi="宋体" w:eastAsia="宋体" w:cs="宋体"/>
          <w:b/>
          <w:bCs/>
          <w:snapToGrid w:val="0"/>
          <w:color w:val="auto"/>
          <w:kern w:val="21"/>
          <w:sz w:val="24"/>
          <w:szCs w:val="21"/>
          <w:highlight w:val="none"/>
          <w:lang w:val="en-US" w:eastAsia="zh-CN" w:bidi="ar-SA"/>
        </w:rPr>
        <w:fldChar w:fldCharType="end"/>
      </w:r>
      <w:r>
        <w:rPr>
          <w:rFonts w:hint="eastAsia" w:ascii="宋体" w:hAnsi="宋体" w:eastAsia="宋体" w:cs="宋体"/>
          <w:b/>
          <w:bCs/>
          <w:snapToGrid w:val="0"/>
          <w:color w:val="auto"/>
          <w:kern w:val="21"/>
          <w:sz w:val="24"/>
          <w:szCs w:val="21"/>
          <w:highlight w:val="none"/>
          <w:lang w:val="en-US" w:eastAsia="zh-CN" w:bidi="ar-SA"/>
        </w:rPr>
        <w:t>-</w:t>
      </w:r>
      <w:r>
        <w:rPr>
          <w:rFonts w:hint="eastAsia" w:ascii="宋体" w:hAnsi="宋体" w:eastAsia="宋体" w:cs="宋体"/>
          <w:b/>
          <w:bCs/>
          <w:snapToGrid w:val="0"/>
          <w:color w:val="auto"/>
          <w:kern w:val="21"/>
          <w:sz w:val="24"/>
          <w:szCs w:val="21"/>
          <w:highlight w:val="none"/>
          <w:lang w:val="en-US" w:eastAsia="zh-CN" w:bidi="ar-SA"/>
        </w:rPr>
        <w:fldChar w:fldCharType="begin"/>
      </w:r>
      <w:r>
        <w:rPr>
          <w:rFonts w:hint="eastAsia" w:ascii="宋体" w:hAnsi="宋体" w:eastAsia="宋体" w:cs="宋体"/>
          <w:b/>
          <w:bCs/>
          <w:snapToGrid w:val="0"/>
          <w:color w:val="auto"/>
          <w:kern w:val="21"/>
          <w:sz w:val="24"/>
          <w:szCs w:val="21"/>
          <w:highlight w:val="none"/>
          <w:lang w:val="en-US" w:eastAsia="zh-CN" w:bidi="ar-SA"/>
        </w:rPr>
        <w:instrText xml:space="preserve"> = 1 \* GB3 \* MERGEFORMAT </w:instrText>
      </w:r>
      <w:r>
        <w:rPr>
          <w:rFonts w:hint="eastAsia" w:ascii="宋体" w:hAnsi="宋体" w:eastAsia="宋体" w:cs="宋体"/>
          <w:b/>
          <w:bCs/>
          <w:snapToGrid w:val="0"/>
          <w:color w:val="auto"/>
          <w:kern w:val="21"/>
          <w:sz w:val="24"/>
          <w:szCs w:val="21"/>
          <w:highlight w:val="none"/>
          <w:lang w:val="en-US" w:eastAsia="zh-CN" w:bidi="ar-SA"/>
        </w:rPr>
        <w:fldChar w:fldCharType="separate"/>
      </w:r>
      <w:r>
        <w:rPr>
          <w:rFonts w:hint="eastAsia" w:ascii="宋体" w:hAnsi="宋体" w:eastAsia="宋体" w:cs="宋体"/>
          <w:b/>
          <w:bCs/>
          <w:snapToGrid w:val="0"/>
          <w:color w:val="auto"/>
          <w:kern w:val="21"/>
          <w:sz w:val="24"/>
          <w:szCs w:val="21"/>
          <w:highlight w:val="none"/>
          <w:lang w:val="en-US" w:eastAsia="zh-CN" w:bidi="ar-SA"/>
        </w:rPr>
        <w:t>①</w:t>
      </w:r>
      <w:r>
        <w:rPr>
          <w:rFonts w:hint="eastAsia" w:ascii="宋体" w:hAnsi="宋体" w:eastAsia="宋体" w:cs="宋体"/>
          <w:b/>
          <w:bCs/>
          <w:snapToGrid w:val="0"/>
          <w:color w:val="auto"/>
          <w:kern w:val="21"/>
          <w:sz w:val="24"/>
          <w:szCs w:val="21"/>
          <w:highlight w:val="none"/>
          <w:lang w:val="en-US" w:eastAsia="zh-CN" w:bidi="ar-SA"/>
        </w:rPr>
        <w:fldChar w:fldCharType="end"/>
      </w:r>
    </w:p>
    <w:sectPr>
      <w:footerReference r:id="rId11" w:type="default"/>
      <w:pgSz w:w="16838" w:h="11906" w:orient="landscape"/>
      <w:pgMar w:top="850" w:right="1440" w:bottom="68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87844CBD-436C-406D-B122-CA3312C0FD86}"/>
  </w:font>
  <w:font w:name="黑体">
    <w:panose1 w:val="02010609060101010101"/>
    <w:charset w:val="86"/>
    <w:family w:val="auto"/>
    <w:pitch w:val="default"/>
    <w:sig w:usb0="800002BF" w:usb1="38CF7CFA" w:usb2="00000016" w:usb3="00000000" w:csb0="00040001" w:csb1="00000000"/>
    <w:embedRegular r:id="rId2" w:fontKey="{4233B152-A8F9-4FF6-9530-6FF863A6277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6DC188B1-E1DB-4389-9217-A7CABBDCDCBA}"/>
  </w:font>
  <w:font w:name="Verdana">
    <w:panose1 w:val="020B0604030504040204"/>
    <w:charset w:val="00"/>
    <w:family w:val="swiss"/>
    <w:pitch w:val="default"/>
    <w:sig w:usb0="A10006FF" w:usb1="4000205B" w:usb2="00000010" w:usb3="00000000" w:csb0="2000019F" w:csb1="00000000"/>
  </w:font>
  <w:font w:name="新宋体-1803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仿宋体">
    <w:altName w:val="宋体"/>
    <w:panose1 w:val="02010600030101010101"/>
    <w:charset w:val="86"/>
    <w:family w:val="swiss"/>
    <w:pitch w:val="default"/>
    <w:sig w:usb0="00000000" w:usb1="00000000" w:usb2="00000010" w:usb3="00000000" w:csb0="00040000" w:csb1="00000000"/>
  </w:font>
  <w:font w:name="MingLiU">
    <w:panose1 w:val="02020509000000000000"/>
    <w:charset w:val="88"/>
    <w:family w:val="modern"/>
    <w:pitch w:val="default"/>
    <w:sig w:usb0="A00002FF" w:usb1="28CFFCFA" w:usb2="00000016" w:usb3="00000000" w:csb0="00100001" w:csb1="00000000"/>
  </w:font>
  <w:font w:name="方正小标宋_GBK">
    <w:panose1 w:val="02000000000000000000"/>
    <w:charset w:val="86"/>
    <w:family w:val="script"/>
    <w:pitch w:val="default"/>
    <w:sig w:usb0="A00002BF" w:usb1="38CF7CFA" w:usb2="00082016" w:usb3="00000000" w:csb0="00040001" w:csb1="00000000"/>
    <w:embedRegular r:id="rId4" w:fontKey="{8987EADD-25D7-4A07-9E72-5DFD01091652}"/>
  </w:font>
  <w:font w:name="仿宋">
    <w:panose1 w:val="02010609060101010101"/>
    <w:charset w:val="86"/>
    <w:family w:val="auto"/>
    <w:pitch w:val="default"/>
    <w:sig w:usb0="800002BF" w:usb1="38CF7CFA" w:usb2="00000016" w:usb3="00000000" w:csb0="00040001" w:csb1="00000000"/>
    <w:embedRegular r:id="rId5" w:fontKey="{CF668498-A869-470F-883D-18AB46334CBA}"/>
  </w:font>
  <w:font w:name="楷体_GB2312">
    <w:panose1 w:val="02010609030101010101"/>
    <w:charset w:val="86"/>
    <w:family w:val="modern"/>
    <w:pitch w:val="default"/>
    <w:sig w:usb0="00000001" w:usb1="080E0000" w:usb2="00000000" w:usb3="00000000" w:csb0="00040000" w:csb1="00000000"/>
    <w:embedRegular r:id="rId6" w:fontKey="{674398D0-8F79-4611-B318-D1052CE2A1F2}"/>
  </w:font>
  <w:font w:name="Wingdings 2">
    <w:panose1 w:val="05020102010507070707"/>
    <w:charset w:val="02"/>
    <w:family w:val="auto"/>
    <w:pitch w:val="default"/>
    <w:sig w:usb0="00000000" w:usb1="00000000" w:usb2="00000000" w:usb3="00000000" w:csb0="80000000" w:csb1="00000000"/>
    <w:embedRegular r:id="rId7" w:fontKey="{72D5E643-C058-410F-954D-C48AC87C56E8}"/>
  </w:font>
  <w:font w:name="Segoe UI">
    <w:panose1 w:val="020B0502040204020203"/>
    <w:charset w:val="00"/>
    <w:family w:val="auto"/>
    <w:pitch w:val="default"/>
    <w:sig w:usb0="E10022FF" w:usb1="C000E47F" w:usb2="00000029" w:usb3="00000000" w:csb0="200001DF" w:csb1="20000000"/>
    <w:embedRegular r:id="rId8" w:fontKey="{EA802307-B57E-4A8A-8C81-628EF1641B02}"/>
  </w:font>
  <w:font w:name="Cambria Math">
    <w:panose1 w:val="02040503050406030204"/>
    <w:charset w:val="00"/>
    <w:family w:val="roman"/>
    <w:pitch w:val="default"/>
    <w:sig w:usb0="E00002FF" w:usb1="420024FF" w:usb2="00000000" w:usb3="00000000" w:csb0="2000019F" w:csb1="00000000"/>
    <w:embedRegular r:id="rId9" w:fontKey="{2EA98C3F-E770-4C19-B3E2-0A0C87ED5821}"/>
  </w:font>
  <w:font w:name="WPSEMBED1">
    <w:panose1 w:val="02010609030101010101"/>
    <w:charset w:val="86"/>
    <w:family w:val="auto"/>
    <w:pitch w:val="default"/>
    <w:sig w:usb0="00000001" w:usb1="080E0000" w:usb2="00000000" w:usb3="00000000" w:csb0="00040000" w:csb1="00000000"/>
  </w:font>
  <w:font w:name="WPSEMBED2">
    <w:panose1 w:val="05020102010507070707"/>
    <w:charset w:val="00"/>
    <w:family w:val="auto"/>
    <w:pitch w:val="default"/>
    <w:sig w:usb0="00000000" w:usb1="00000000" w:usb2="00000000" w:usb3="00000000" w:csb0="80000000"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16EB7">
    <w:pPr>
      <w:pStyle w:val="21"/>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7D228">
    <w:pPr>
      <w:pStyle w:val="21"/>
      <w:framePr w:wrap="around" w:vAnchor="text" w:hAnchor="margin" w:xAlign="center" w:y="1"/>
      <w:rPr>
        <w:rStyle w:val="36"/>
      </w:rPr>
    </w:pPr>
    <w:r>
      <w:fldChar w:fldCharType="begin"/>
    </w:r>
    <w:r>
      <w:rPr>
        <w:rStyle w:val="36"/>
      </w:rPr>
      <w:instrText xml:space="preserve">PAGE  </w:instrText>
    </w:r>
    <w:r>
      <w:fldChar w:fldCharType="end"/>
    </w:r>
  </w:p>
  <w:p w14:paraId="5DC8645C">
    <w:pPr>
      <w:pStyle w:val="2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2FFE3">
    <w:pPr>
      <w:pStyle w:val="21"/>
      <w:ind w:right="360"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803E1">
    <w:pPr>
      <w:pStyle w:val="21"/>
      <w:ind w:right="360" w:firstLine="36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B7EA69">
                          <w:pPr>
                            <w:pStyle w:val="21"/>
                            <w:rPr>
                              <w:rStyle w:val="36"/>
                              <w:rFonts w:ascii="宋体" w:hAnsi="宋体"/>
                              <w:sz w:val="28"/>
                              <w:szCs w:val="28"/>
                            </w:rPr>
                          </w:pPr>
                          <w:r>
                            <w:rPr>
                              <w:rStyle w:val="36"/>
                              <w:rFonts w:hint="eastAsia" w:ascii="宋体" w:hAnsi="宋体"/>
                              <w:sz w:val="28"/>
                              <w:szCs w:val="28"/>
                            </w:rPr>
                            <w:t>—</w:t>
                          </w:r>
                          <w:r>
                            <w:rPr>
                              <w:rStyle w:val="36"/>
                              <w:rFonts w:hint="eastAsia" w:ascii="宋体" w:hAnsi="宋体"/>
                              <w:sz w:val="20"/>
                            </w:rPr>
                            <w:t xml:space="preserve"> </w:t>
                          </w:r>
                          <w:r>
                            <w:rPr>
                              <w:rStyle w:val="36"/>
                              <w:rFonts w:hint="default" w:ascii="Times New Roman" w:hAnsi="Times New Roman" w:cs="Times New Roman"/>
                              <w:sz w:val="20"/>
                            </w:rPr>
                            <w:t xml:space="preserve"> </w:t>
                          </w:r>
                          <w:r>
                            <w:rPr>
                              <w:rFonts w:hint="default" w:ascii="Times New Roman" w:hAnsi="Times New Roman" w:cs="Times New Roman"/>
                              <w:sz w:val="26"/>
                              <w:szCs w:val="26"/>
                            </w:rPr>
                            <w:fldChar w:fldCharType="begin"/>
                          </w:r>
                          <w:r>
                            <w:rPr>
                              <w:rStyle w:val="36"/>
                              <w:rFonts w:hint="default" w:ascii="Times New Roman" w:hAnsi="Times New Roman" w:cs="Times New Roman"/>
                              <w:sz w:val="26"/>
                              <w:szCs w:val="26"/>
                            </w:rPr>
                            <w:instrText xml:space="preserve">PAGE  </w:instrText>
                          </w:r>
                          <w:r>
                            <w:rPr>
                              <w:rFonts w:hint="default" w:ascii="Times New Roman" w:hAnsi="Times New Roman" w:cs="Times New Roman"/>
                              <w:sz w:val="26"/>
                              <w:szCs w:val="26"/>
                            </w:rPr>
                            <w:fldChar w:fldCharType="separate"/>
                          </w:r>
                          <w:r>
                            <w:rPr>
                              <w:rStyle w:val="36"/>
                              <w:rFonts w:hint="default" w:ascii="Times New Roman" w:hAnsi="Times New Roman" w:cs="Times New Roman"/>
                              <w:sz w:val="26"/>
                              <w:szCs w:val="26"/>
                            </w:rPr>
                            <w:t>9</w:t>
                          </w:r>
                          <w:r>
                            <w:rPr>
                              <w:rFonts w:hint="default" w:ascii="Times New Roman" w:hAnsi="Times New Roman" w:cs="Times New Roman"/>
                              <w:sz w:val="26"/>
                              <w:szCs w:val="26"/>
                            </w:rPr>
                            <w:fldChar w:fldCharType="end"/>
                          </w:r>
                          <w:r>
                            <w:rPr>
                              <w:rStyle w:val="36"/>
                              <w:rFonts w:hint="eastAsia" w:ascii="宋体" w:hAnsi="宋体"/>
                              <w:sz w:val="20"/>
                            </w:rPr>
                            <w:t xml:space="preserve">  </w:t>
                          </w:r>
                          <w:r>
                            <w:rPr>
                              <w:rStyle w:val="36"/>
                              <w:rFonts w:hint="eastAsia" w:ascii="宋体" w:hAnsi="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4DB7EA69">
                    <w:pPr>
                      <w:pStyle w:val="21"/>
                      <w:rPr>
                        <w:rStyle w:val="36"/>
                        <w:rFonts w:ascii="宋体" w:hAnsi="宋体"/>
                        <w:sz w:val="28"/>
                        <w:szCs w:val="28"/>
                      </w:rPr>
                    </w:pPr>
                    <w:r>
                      <w:rPr>
                        <w:rStyle w:val="36"/>
                        <w:rFonts w:hint="eastAsia" w:ascii="宋体" w:hAnsi="宋体"/>
                        <w:sz w:val="28"/>
                        <w:szCs w:val="28"/>
                      </w:rPr>
                      <w:t>—</w:t>
                    </w:r>
                    <w:r>
                      <w:rPr>
                        <w:rStyle w:val="36"/>
                        <w:rFonts w:hint="eastAsia" w:ascii="宋体" w:hAnsi="宋体"/>
                        <w:sz w:val="20"/>
                      </w:rPr>
                      <w:t xml:space="preserve"> </w:t>
                    </w:r>
                    <w:r>
                      <w:rPr>
                        <w:rStyle w:val="36"/>
                        <w:rFonts w:hint="default" w:ascii="Times New Roman" w:hAnsi="Times New Roman" w:cs="Times New Roman"/>
                        <w:sz w:val="20"/>
                      </w:rPr>
                      <w:t xml:space="preserve"> </w:t>
                    </w:r>
                    <w:r>
                      <w:rPr>
                        <w:rFonts w:hint="default" w:ascii="Times New Roman" w:hAnsi="Times New Roman" w:cs="Times New Roman"/>
                        <w:sz w:val="26"/>
                        <w:szCs w:val="26"/>
                      </w:rPr>
                      <w:fldChar w:fldCharType="begin"/>
                    </w:r>
                    <w:r>
                      <w:rPr>
                        <w:rStyle w:val="36"/>
                        <w:rFonts w:hint="default" w:ascii="Times New Roman" w:hAnsi="Times New Roman" w:cs="Times New Roman"/>
                        <w:sz w:val="26"/>
                        <w:szCs w:val="26"/>
                      </w:rPr>
                      <w:instrText xml:space="preserve">PAGE  </w:instrText>
                    </w:r>
                    <w:r>
                      <w:rPr>
                        <w:rFonts w:hint="default" w:ascii="Times New Roman" w:hAnsi="Times New Roman" w:cs="Times New Roman"/>
                        <w:sz w:val="26"/>
                        <w:szCs w:val="26"/>
                      </w:rPr>
                      <w:fldChar w:fldCharType="separate"/>
                    </w:r>
                    <w:r>
                      <w:rPr>
                        <w:rStyle w:val="36"/>
                        <w:rFonts w:hint="default" w:ascii="Times New Roman" w:hAnsi="Times New Roman" w:cs="Times New Roman"/>
                        <w:sz w:val="26"/>
                        <w:szCs w:val="26"/>
                      </w:rPr>
                      <w:t>9</w:t>
                    </w:r>
                    <w:r>
                      <w:rPr>
                        <w:rFonts w:hint="default" w:ascii="Times New Roman" w:hAnsi="Times New Roman" w:cs="Times New Roman"/>
                        <w:sz w:val="26"/>
                        <w:szCs w:val="26"/>
                      </w:rPr>
                      <w:fldChar w:fldCharType="end"/>
                    </w:r>
                    <w:r>
                      <w:rPr>
                        <w:rStyle w:val="36"/>
                        <w:rFonts w:hint="eastAsia" w:ascii="宋体" w:hAnsi="宋体"/>
                        <w:sz w:val="20"/>
                      </w:rPr>
                      <w:t xml:space="preserve">  </w:t>
                    </w:r>
                    <w:r>
                      <w:rPr>
                        <w:rStyle w:val="36"/>
                        <w:rFonts w:hint="eastAsia" w:ascii="宋体" w:hAnsi="宋体"/>
                        <w:sz w:val="28"/>
                        <w:szCs w:val="28"/>
                      </w:rP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3947F">
    <w:pPr>
      <w:pStyle w:val="21"/>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54E268">
                          <w:pPr>
                            <w:pStyle w:val="21"/>
                            <w:rPr>
                              <w:rStyle w:val="36"/>
                              <w:rFonts w:ascii="宋体" w:hAnsi="宋体"/>
                              <w:sz w:val="28"/>
                              <w:szCs w:val="28"/>
                            </w:rPr>
                          </w:pPr>
                          <w:r>
                            <w:rPr>
                              <w:rStyle w:val="36"/>
                              <w:rFonts w:hint="eastAsia" w:ascii="宋体" w:hAnsi="宋体"/>
                              <w:sz w:val="28"/>
                              <w:szCs w:val="28"/>
                            </w:rPr>
                            <w:t>—</w:t>
                          </w:r>
                          <w:r>
                            <w:rPr>
                              <w:rStyle w:val="36"/>
                              <w:rFonts w:hint="eastAsia" w:ascii="宋体" w:hAnsi="宋体"/>
                              <w:sz w:val="20"/>
                            </w:rPr>
                            <w:t xml:space="preserve"> </w:t>
                          </w:r>
                          <w:r>
                            <w:rPr>
                              <w:rStyle w:val="36"/>
                              <w:rFonts w:hint="default" w:ascii="Times New Roman" w:hAnsi="Times New Roman" w:cs="Times New Roman"/>
                              <w:sz w:val="20"/>
                            </w:rPr>
                            <w:t xml:space="preserve"> </w:t>
                          </w:r>
                          <w:r>
                            <w:rPr>
                              <w:rFonts w:hint="default" w:ascii="Times New Roman" w:hAnsi="Times New Roman" w:cs="Times New Roman"/>
                              <w:sz w:val="26"/>
                              <w:szCs w:val="26"/>
                            </w:rPr>
                            <w:fldChar w:fldCharType="begin"/>
                          </w:r>
                          <w:r>
                            <w:rPr>
                              <w:rStyle w:val="36"/>
                              <w:rFonts w:hint="default" w:ascii="Times New Roman" w:hAnsi="Times New Roman" w:cs="Times New Roman"/>
                              <w:sz w:val="26"/>
                              <w:szCs w:val="26"/>
                            </w:rPr>
                            <w:instrText xml:space="preserve">PAGE  </w:instrText>
                          </w:r>
                          <w:r>
                            <w:rPr>
                              <w:rFonts w:hint="default" w:ascii="Times New Roman" w:hAnsi="Times New Roman" w:cs="Times New Roman"/>
                              <w:sz w:val="26"/>
                              <w:szCs w:val="26"/>
                            </w:rPr>
                            <w:fldChar w:fldCharType="separate"/>
                          </w:r>
                          <w:r>
                            <w:rPr>
                              <w:rStyle w:val="36"/>
                              <w:rFonts w:hint="default" w:ascii="Times New Roman" w:hAnsi="Times New Roman" w:cs="Times New Roman"/>
                              <w:sz w:val="26"/>
                              <w:szCs w:val="26"/>
                            </w:rPr>
                            <w:t>9</w:t>
                          </w:r>
                          <w:r>
                            <w:rPr>
                              <w:rFonts w:hint="default" w:ascii="Times New Roman" w:hAnsi="Times New Roman" w:cs="Times New Roman"/>
                              <w:sz w:val="26"/>
                              <w:szCs w:val="26"/>
                            </w:rPr>
                            <w:fldChar w:fldCharType="end"/>
                          </w:r>
                          <w:r>
                            <w:rPr>
                              <w:rStyle w:val="36"/>
                              <w:rFonts w:hint="eastAsia" w:ascii="宋体" w:hAnsi="宋体"/>
                              <w:sz w:val="20"/>
                            </w:rPr>
                            <w:t xml:space="preserve">  </w:t>
                          </w:r>
                          <w:r>
                            <w:rPr>
                              <w:rStyle w:val="36"/>
                              <w:rFonts w:hint="eastAsia" w:ascii="宋体" w:hAnsi="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754E268">
                    <w:pPr>
                      <w:pStyle w:val="21"/>
                      <w:rPr>
                        <w:rStyle w:val="36"/>
                        <w:rFonts w:ascii="宋体" w:hAnsi="宋体"/>
                        <w:sz w:val="28"/>
                        <w:szCs w:val="28"/>
                      </w:rPr>
                    </w:pPr>
                    <w:r>
                      <w:rPr>
                        <w:rStyle w:val="36"/>
                        <w:rFonts w:hint="eastAsia" w:ascii="宋体" w:hAnsi="宋体"/>
                        <w:sz w:val="28"/>
                        <w:szCs w:val="28"/>
                      </w:rPr>
                      <w:t>—</w:t>
                    </w:r>
                    <w:r>
                      <w:rPr>
                        <w:rStyle w:val="36"/>
                        <w:rFonts w:hint="eastAsia" w:ascii="宋体" w:hAnsi="宋体"/>
                        <w:sz w:val="20"/>
                      </w:rPr>
                      <w:t xml:space="preserve"> </w:t>
                    </w:r>
                    <w:r>
                      <w:rPr>
                        <w:rStyle w:val="36"/>
                        <w:rFonts w:hint="default" w:ascii="Times New Roman" w:hAnsi="Times New Roman" w:cs="Times New Roman"/>
                        <w:sz w:val="20"/>
                      </w:rPr>
                      <w:t xml:space="preserve"> </w:t>
                    </w:r>
                    <w:r>
                      <w:rPr>
                        <w:rFonts w:hint="default" w:ascii="Times New Roman" w:hAnsi="Times New Roman" w:cs="Times New Roman"/>
                        <w:sz w:val="26"/>
                        <w:szCs w:val="26"/>
                      </w:rPr>
                      <w:fldChar w:fldCharType="begin"/>
                    </w:r>
                    <w:r>
                      <w:rPr>
                        <w:rStyle w:val="36"/>
                        <w:rFonts w:hint="default" w:ascii="Times New Roman" w:hAnsi="Times New Roman" w:cs="Times New Roman"/>
                        <w:sz w:val="26"/>
                        <w:szCs w:val="26"/>
                      </w:rPr>
                      <w:instrText xml:space="preserve">PAGE  </w:instrText>
                    </w:r>
                    <w:r>
                      <w:rPr>
                        <w:rFonts w:hint="default" w:ascii="Times New Roman" w:hAnsi="Times New Roman" w:cs="Times New Roman"/>
                        <w:sz w:val="26"/>
                        <w:szCs w:val="26"/>
                      </w:rPr>
                      <w:fldChar w:fldCharType="separate"/>
                    </w:r>
                    <w:r>
                      <w:rPr>
                        <w:rStyle w:val="36"/>
                        <w:rFonts w:hint="default" w:ascii="Times New Roman" w:hAnsi="Times New Roman" w:cs="Times New Roman"/>
                        <w:sz w:val="26"/>
                        <w:szCs w:val="26"/>
                      </w:rPr>
                      <w:t>9</w:t>
                    </w:r>
                    <w:r>
                      <w:rPr>
                        <w:rFonts w:hint="default" w:ascii="Times New Roman" w:hAnsi="Times New Roman" w:cs="Times New Roman"/>
                        <w:sz w:val="26"/>
                        <w:szCs w:val="26"/>
                      </w:rPr>
                      <w:fldChar w:fldCharType="end"/>
                    </w:r>
                    <w:r>
                      <w:rPr>
                        <w:rStyle w:val="36"/>
                        <w:rFonts w:hint="eastAsia" w:ascii="宋体" w:hAnsi="宋体"/>
                        <w:sz w:val="20"/>
                      </w:rPr>
                      <w:t xml:space="preserve">  </w:t>
                    </w:r>
                    <w:r>
                      <w:rPr>
                        <w:rStyle w:val="36"/>
                        <w:rFonts w:hint="eastAsia" w:ascii="宋体" w:hAnsi="宋体"/>
                        <w:sz w:val="28"/>
                        <w:szCs w:val="28"/>
                      </w:rP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52764">
    <w:pPr>
      <w:pStyle w:val="21"/>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DAB3C7">
                          <w:pPr>
                            <w:pStyle w:val="21"/>
                            <w:rPr>
                              <w:rStyle w:val="36"/>
                              <w:rFonts w:ascii="宋体" w:hAnsi="宋体"/>
                              <w:sz w:val="28"/>
                              <w:szCs w:val="28"/>
                            </w:rPr>
                          </w:pPr>
                          <w:r>
                            <w:rPr>
                              <w:rStyle w:val="36"/>
                              <w:rFonts w:hint="eastAsia" w:ascii="宋体" w:hAnsi="宋体"/>
                              <w:sz w:val="28"/>
                              <w:szCs w:val="28"/>
                            </w:rPr>
                            <w:t>—</w:t>
                          </w:r>
                          <w:r>
                            <w:rPr>
                              <w:rStyle w:val="36"/>
                              <w:rFonts w:hint="eastAsia" w:ascii="宋体" w:hAnsi="宋体"/>
                              <w:sz w:val="20"/>
                            </w:rPr>
                            <w:t xml:space="preserve"> </w:t>
                          </w:r>
                          <w:r>
                            <w:rPr>
                              <w:rStyle w:val="36"/>
                              <w:rFonts w:hint="default" w:ascii="Times New Roman" w:hAnsi="Times New Roman" w:cs="Times New Roman"/>
                              <w:sz w:val="20"/>
                            </w:rPr>
                            <w:t xml:space="preserve"> </w:t>
                          </w:r>
                          <w:r>
                            <w:rPr>
                              <w:rFonts w:hint="default" w:ascii="Times New Roman" w:hAnsi="Times New Roman" w:cs="Times New Roman"/>
                              <w:sz w:val="26"/>
                              <w:szCs w:val="26"/>
                            </w:rPr>
                            <w:fldChar w:fldCharType="begin"/>
                          </w:r>
                          <w:r>
                            <w:rPr>
                              <w:rStyle w:val="36"/>
                              <w:rFonts w:hint="default" w:ascii="Times New Roman" w:hAnsi="Times New Roman" w:cs="Times New Roman"/>
                              <w:sz w:val="26"/>
                              <w:szCs w:val="26"/>
                            </w:rPr>
                            <w:instrText xml:space="preserve">PAGE  </w:instrText>
                          </w:r>
                          <w:r>
                            <w:rPr>
                              <w:rFonts w:hint="default" w:ascii="Times New Roman" w:hAnsi="Times New Roman" w:cs="Times New Roman"/>
                              <w:sz w:val="26"/>
                              <w:szCs w:val="26"/>
                            </w:rPr>
                            <w:fldChar w:fldCharType="separate"/>
                          </w:r>
                          <w:r>
                            <w:rPr>
                              <w:rStyle w:val="36"/>
                              <w:rFonts w:hint="default" w:ascii="Times New Roman" w:hAnsi="Times New Roman" w:cs="Times New Roman"/>
                              <w:sz w:val="26"/>
                              <w:szCs w:val="26"/>
                            </w:rPr>
                            <w:t>9</w:t>
                          </w:r>
                          <w:r>
                            <w:rPr>
                              <w:rFonts w:hint="default" w:ascii="Times New Roman" w:hAnsi="Times New Roman" w:cs="Times New Roman"/>
                              <w:sz w:val="26"/>
                              <w:szCs w:val="26"/>
                            </w:rPr>
                            <w:fldChar w:fldCharType="end"/>
                          </w:r>
                          <w:r>
                            <w:rPr>
                              <w:rStyle w:val="36"/>
                              <w:rFonts w:hint="eastAsia" w:ascii="宋体" w:hAnsi="宋体"/>
                              <w:sz w:val="20"/>
                            </w:rPr>
                            <w:t xml:space="preserve">  </w:t>
                          </w:r>
                          <w:r>
                            <w:rPr>
                              <w:rStyle w:val="36"/>
                              <w:rFonts w:hint="eastAsia" w:ascii="宋体" w:hAnsi="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4DAB3C7">
                    <w:pPr>
                      <w:pStyle w:val="21"/>
                      <w:rPr>
                        <w:rStyle w:val="36"/>
                        <w:rFonts w:ascii="宋体" w:hAnsi="宋体"/>
                        <w:sz w:val="28"/>
                        <w:szCs w:val="28"/>
                      </w:rPr>
                    </w:pPr>
                    <w:r>
                      <w:rPr>
                        <w:rStyle w:val="36"/>
                        <w:rFonts w:hint="eastAsia" w:ascii="宋体" w:hAnsi="宋体"/>
                        <w:sz w:val="28"/>
                        <w:szCs w:val="28"/>
                      </w:rPr>
                      <w:t>—</w:t>
                    </w:r>
                    <w:r>
                      <w:rPr>
                        <w:rStyle w:val="36"/>
                        <w:rFonts w:hint="eastAsia" w:ascii="宋体" w:hAnsi="宋体"/>
                        <w:sz w:val="20"/>
                      </w:rPr>
                      <w:t xml:space="preserve"> </w:t>
                    </w:r>
                    <w:r>
                      <w:rPr>
                        <w:rStyle w:val="36"/>
                        <w:rFonts w:hint="default" w:ascii="Times New Roman" w:hAnsi="Times New Roman" w:cs="Times New Roman"/>
                        <w:sz w:val="20"/>
                      </w:rPr>
                      <w:t xml:space="preserve"> </w:t>
                    </w:r>
                    <w:r>
                      <w:rPr>
                        <w:rFonts w:hint="default" w:ascii="Times New Roman" w:hAnsi="Times New Roman" w:cs="Times New Roman"/>
                        <w:sz w:val="26"/>
                        <w:szCs w:val="26"/>
                      </w:rPr>
                      <w:fldChar w:fldCharType="begin"/>
                    </w:r>
                    <w:r>
                      <w:rPr>
                        <w:rStyle w:val="36"/>
                        <w:rFonts w:hint="default" w:ascii="Times New Roman" w:hAnsi="Times New Roman" w:cs="Times New Roman"/>
                        <w:sz w:val="26"/>
                        <w:szCs w:val="26"/>
                      </w:rPr>
                      <w:instrText xml:space="preserve">PAGE  </w:instrText>
                    </w:r>
                    <w:r>
                      <w:rPr>
                        <w:rFonts w:hint="default" w:ascii="Times New Roman" w:hAnsi="Times New Roman" w:cs="Times New Roman"/>
                        <w:sz w:val="26"/>
                        <w:szCs w:val="26"/>
                      </w:rPr>
                      <w:fldChar w:fldCharType="separate"/>
                    </w:r>
                    <w:r>
                      <w:rPr>
                        <w:rStyle w:val="36"/>
                        <w:rFonts w:hint="default" w:ascii="Times New Roman" w:hAnsi="Times New Roman" w:cs="Times New Roman"/>
                        <w:sz w:val="26"/>
                        <w:szCs w:val="26"/>
                      </w:rPr>
                      <w:t>9</w:t>
                    </w:r>
                    <w:r>
                      <w:rPr>
                        <w:rFonts w:hint="default" w:ascii="Times New Roman" w:hAnsi="Times New Roman" w:cs="Times New Roman"/>
                        <w:sz w:val="26"/>
                        <w:szCs w:val="26"/>
                      </w:rPr>
                      <w:fldChar w:fldCharType="end"/>
                    </w:r>
                    <w:r>
                      <w:rPr>
                        <w:rStyle w:val="36"/>
                        <w:rFonts w:hint="eastAsia" w:ascii="宋体" w:hAnsi="宋体"/>
                        <w:sz w:val="20"/>
                      </w:rPr>
                      <w:t xml:space="preserve">  </w:t>
                    </w:r>
                    <w:r>
                      <w:rPr>
                        <w:rStyle w:val="36"/>
                        <w:rFonts w:hint="eastAsia" w:ascii="宋体" w:hAnsi="宋体"/>
                        <w:sz w:val="28"/>
                        <w:szCs w:val="28"/>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9669B">
    <w:pPr>
      <w:widowControl w:val="0"/>
      <w:tabs>
        <w:tab w:val="center" w:pos="4153"/>
        <w:tab w:val="right" w:pos="8306"/>
      </w:tabs>
      <w:snapToGrid w:val="0"/>
      <w:ind w:right="360" w:firstLine="360"/>
      <w:jc w:val="left"/>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0"/>
        <w:sz w:val="18"/>
        <w:szCs w:val="20"/>
        <w:lang w:val="en-US" w:eastAsia="zh-CN"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428C2241">
                          <w:pPr>
                            <w:widowControl w:val="0"/>
                            <w:tabs>
                              <w:tab w:val="center" w:pos="4153"/>
                              <w:tab w:val="right" w:pos="8306"/>
                            </w:tabs>
                            <w:snapToGrid w:val="0"/>
                            <w:jc w:val="left"/>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0"/>
                              <w:sz w:val="18"/>
                              <w:szCs w:val="20"/>
                              <w:lang w:val="en-US" w:eastAsia="zh-CN" w:bidi="ar-SA"/>
                            </w:rPr>
                            <w:fldChar w:fldCharType="begin"/>
                          </w:r>
                          <w:r>
                            <w:rPr>
                              <w:rFonts w:ascii="Times New Roman" w:hAnsi="Times New Roman" w:eastAsia="宋体" w:cs="Times New Roman"/>
                              <w:kern w:val="0"/>
                              <w:sz w:val="18"/>
                              <w:szCs w:val="20"/>
                              <w:lang w:val="en-US" w:eastAsia="zh-CN" w:bidi="ar-SA"/>
                            </w:rPr>
                            <w:instrText xml:space="preserve"> PAGE  \* MERGEFORMAT </w:instrText>
                          </w:r>
                          <w:r>
                            <w:rPr>
                              <w:rFonts w:ascii="Times New Roman" w:hAnsi="Times New Roman" w:eastAsia="宋体" w:cs="Times New Roman"/>
                              <w:kern w:val="0"/>
                              <w:sz w:val="18"/>
                              <w:szCs w:val="20"/>
                              <w:lang w:val="en-US" w:eastAsia="zh-CN" w:bidi="ar-SA"/>
                            </w:rPr>
                            <w:fldChar w:fldCharType="separate"/>
                          </w:r>
                          <w:r>
                            <w:rPr>
                              <w:rFonts w:ascii="Times New Roman" w:hAnsi="Times New Roman" w:eastAsia="宋体" w:cs="Times New Roman"/>
                              <w:kern w:val="0"/>
                              <w:sz w:val="18"/>
                              <w:szCs w:val="20"/>
                              <w:lang w:val="en-US" w:eastAsia="zh-CN" w:bidi="ar-SA"/>
                            </w:rPr>
                            <w:t>36</w:t>
                          </w:r>
                          <w:r>
                            <w:rPr>
                              <w:rFonts w:ascii="Times New Roman" w:hAnsi="Times New Roman" w:eastAsia="宋体" w:cs="Times New Roman"/>
                              <w:kern w:val="0"/>
                              <w:sz w:val="18"/>
                              <w:szCs w:val="20"/>
                              <w:lang w:val="en-US" w:eastAsia="zh-CN" w:bidi="ar-SA"/>
                            </w:rPr>
                            <w:fldChar w:fldCharType="end"/>
                          </w:r>
                        </w:p>
                      </w:txbxContent>
                    </wps:txbx>
                    <wps:bodyPr vert="horz" wrap="none" lIns="0" tIns="0" rIns="0" bIns="0" anchor="t" upright="0">
                      <a:spAutoFit/>
                    </wps:bodyPr>
                  </wps:wsp>
                </a:graphicData>
              </a:graphic>
            </wp:anchor>
          </w:drawing>
        </mc:Choice>
        <mc:Fallback>
          <w:pict>
            <v:rect id="文本框 4"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5dblS0AAAAAUBAAAPAAAAAAAAAAEAIAAAACIA&#10;AABkcnMvZG93bnJldi54bWxQSwECFAAUAAAACACHTuJAhElNT9gBAAC0AwAADgAAAAAAAAABACAA&#10;AAAfAQAAZHJzL2Uyb0RvYy54bWxQSwUGAAAAAAYABgBZAQAAaQUAAAAA&#10;">
              <v:fill on="f" focussize="0,0"/>
              <v:stroke on="f"/>
              <v:imagedata o:title=""/>
              <o:lock v:ext="edit" aspectratio="f"/>
              <v:textbox inset="0mm,0mm,0mm,0mm" style="mso-fit-shape-to-text:t;">
                <w:txbxContent>
                  <w:p w14:paraId="428C2241">
                    <w:pPr>
                      <w:widowControl w:val="0"/>
                      <w:tabs>
                        <w:tab w:val="center" w:pos="4153"/>
                        <w:tab w:val="right" w:pos="8306"/>
                      </w:tabs>
                      <w:snapToGrid w:val="0"/>
                      <w:jc w:val="left"/>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0"/>
                        <w:sz w:val="18"/>
                        <w:szCs w:val="20"/>
                        <w:lang w:val="en-US" w:eastAsia="zh-CN" w:bidi="ar-SA"/>
                      </w:rPr>
                      <w:fldChar w:fldCharType="begin"/>
                    </w:r>
                    <w:r>
                      <w:rPr>
                        <w:rFonts w:ascii="Times New Roman" w:hAnsi="Times New Roman" w:eastAsia="宋体" w:cs="Times New Roman"/>
                        <w:kern w:val="0"/>
                        <w:sz w:val="18"/>
                        <w:szCs w:val="20"/>
                        <w:lang w:val="en-US" w:eastAsia="zh-CN" w:bidi="ar-SA"/>
                      </w:rPr>
                      <w:instrText xml:space="preserve"> PAGE  \* MERGEFORMAT </w:instrText>
                    </w:r>
                    <w:r>
                      <w:rPr>
                        <w:rFonts w:ascii="Times New Roman" w:hAnsi="Times New Roman" w:eastAsia="宋体" w:cs="Times New Roman"/>
                        <w:kern w:val="0"/>
                        <w:sz w:val="18"/>
                        <w:szCs w:val="20"/>
                        <w:lang w:val="en-US" w:eastAsia="zh-CN" w:bidi="ar-SA"/>
                      </w:rPr>
                      <w:fldChar w:fldCharType="separate"/>
                    </w:r>
                    <w:r>
                      <w:rPr>
                        <w:rFonts w:ascii="Times New Roman" w:hAnsi="Times New Roman" w:eastAsia="宋体" w:cs="Times New Roman"/>
                        <w:kern w:val="0"/>
                        <w:sz w:val="18"/>
                        <w:szCs w:val="20"/>
                        <w:lang w:val="en-US" w:eastAsia="zh-CN" w:bidi="ar-SA"/>
                      </w:rPr>
                      <w:t>36</w:t>
                    </w:r>
                    <w:r>
                      <w:rPr>
                        <w:rFonts w:ascii="Times New Roman" w:hAnsi="Times New Roman" w:eastAsia="宋体" w:cs="Times New Roman"/>
                        <w:kern w:val="0"/>
                        <w:sz w:val="18"/>
                        <w:szCs w:val="20"/>
                        <w:lang w:val="en-US" w:eastAsia="zh-CN" w:bidi="ar-SA"/>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595D44"/>
    <w:multiLevelType w:val="singleLevel"/>
    <w:tmpl w:val="DE595D44"/>
    <w:lvl w:ilvl="0" w:tentative="0">
      <w:start w:val="1"/>
      <w:numFmt w:val="bullet"/>
      <w:pStyle w:val="12"/>
      <w:lvlText w:val=""/>
      <w:lvlJc w:val="left"/>
      <w:pPr>
        <w:tabs>
          <w:tab w:val="left" w:pos="2040"/>
        </w:tabs>
        <w:ind w:left="2040" w:hanging="360"/>
      </w:pPr>
      <w:rPr>
        <w:rFonts w:hint="default" w:ascii="Wingdings" w:hAnsi="Wingdings"/>
      </w:rPr>
    </w:lvl>
  </w:abstractNum>
  <w:abstractNum w:abstractNumId="1">
    <w:nsid w:val="EF3A6160"/>
    <w:multiLevelType w:val="singleLevel"/>
    <w:tmpl w:val="EF3A6160"/>
    <w:lvl w:ilvl="0" w:tentative="0">
      <w:start w:val="1"/>
      <w:numFmt w:val="decimal"/>
      <w:pStyle w:val="2"/>
      <w:suff w:val="nothing"/>
      <w:lvlText w:val="%1、"/>
      <w:lvlJc w:val="left"/>
    </w:lvl>
  </w:abstractNum>
  <w:abstractNum w:abstractNumId="2">
    <w:nsid w:val="4D9B69FD"/>
    <w:multiLevelType w:val="multilevel"/>
    <w:tmpl w:val="4D9B69FD"/>
    <w:lvl w:ilvl="0" w:tentative="0">
      <w:start w:val="1"/>
      <w:numFmt w:val="decimal"/>
      <w:lvlText w:val="%1"/>
      <w:lvlJc w:val="left"/>
      <w:pPr>
        <w:tabs>
          <w:tab w:val="left" w:pos="432"/>
        </w:tabs>
        <w:ind w:left="432" w:hanging="432"/>
      </w:pPr>
      <w:rPr>
        <w:rFonts w:hint="eastAsia"/>
      </w:rPr>
    </w:lvl>
    <w:lvl w:ilvl="1" w:tentative="0">
      <w:start w:val="1"/>
      <w:numFmt w:val="decimal"/>
      <w:pStyle w:val="40"/>
      <w:lvlText w:val="%1.%2"/>
      <w:lvlJc w:val="left"/>
      <w:pPr>
        <w:tabs>
          <w:tab w:val="left" w:pos="576"/>
        </w:tabs>
        <w:ind w:left="576" w:hanging="576"/>
      </w:pPr>
      <w:rPr>
        <w:rFonts w:hint="eastAsia"/>
      </w:rPr>
    </w:lvl>
    <w:lvl w:ilvl="2" w:tentative="0">
      <w:start w:val="1"/>
      <w:numFmt w:val="decimal"/>
      <w:lvlText w:val="1.1.%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0MDk2YTBiZGRhMWRmNjE3MDU4ZDBlMTFlZmUyZTIifQ=="/>
  </w:docVars>
  <w:rsids>
    <w:rsidRoot w:val="00172A27"/>
    <w:rsid w:val="000060B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172A8"/>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A1B35"/>
    <w:rsid w:val="001A48A2"/>
    <w:rsid w:val="001A6F61"/>
    <w:rsid w:val="001B72B8"/>
    <w:rsid w:val="001C3CFC"/>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75CEF"/>
    <w:rsid w:val="002805AB"/>
    <w:rsid w:val="00284204"/>
    <w:rsid w:val="00291773"/>
    <w:rsid w:val="002A168C"/>
    <w:rsid w:val="002A3DC7"/>
    <w:rsid w:val="002B49E2"/>
    <w:rsid w:val="002B7B00"/>
    <w:rsid w:val="002B7C44"/>
    <w:rsid w:val="002C2B17"/>
    <w:rsid w:val="002D3DD0"/>
    <w:rsid w:val="002E1F3A"/>
    <w:rsid w:val="002E298A"/>
    <w:rsid w:val="002F765F"/>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420D"/>
    <w:rsid w:val="003C041F"/>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66321"/>
    <w:rsid w:val="00484B9B"/>
    <w:rsid w:val="004855F6"/>
    <w:rsid w:val="0048661E"/>
    <w:rsid w:val="00494670"/>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617CC3"/>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230"/>
    <w:rsid w:val="007E4BD2"/>
    <w:rsid w:val="00801393"/>
    <w:rsid w:val="00802F88"/>
    <w:rsid w:val="0081293E"/>
    <w:rsid w:val="00815465"/>
    <w:rsid w:val="00817E9A"/>
    <w:rsid w:val="008306BD"/>
    <w:rsid w:val="00831A80"/>
    <w:rsid w:val="00833743"/>
    <w:rsid w:val="008340A4"/>
    <w:rsid w:val="0087135F"/>
    <w:rsid w:val="00872D94"/>
    <w:rsid w:val="008747BB"/>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0166"/>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9F3136"/>
    <w:rsid w:val="00A04F1B"/>
    <w:rsid w:val="00A0501B"/>
    <w:rsid w:val="00A14947"/>
    <w:rsid w:val="00A32A83"/>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D055E"/>
    <w:rsid w:val="00AD47A7"/>
    <w:rsid w:val="00AF0CBF"/>
    <w:rsid w:val="00AF257F"/>
    <w:rsid w:val="00AF33CF"/>
    <w:rsid w:val="00AF4D50"/>
    <w:rsid w:val="00AF6179"/>
    <w:rsid w:val="00B1295A"/>
    <w:rsid w:val="00B20A45"/>
    <w:rsid w:val="00B22C5C"/>
    <w:rsid w:val="00B24F30"/>
    <w:rsid w:val="00B31ABF"/>
    <w:rsid w:val="00B33BE3"/>
    <w:rsid w:val="00B41868"/>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5393"/>
    <w:rsid w:val="00CF36BE"/>
    <w:rsid w:val="00CF5C72"/>
    <w:rsid w:val="00CF6000"/>
    <w:rsid w:val="00D003F3"/>
    <w:rsid w:val="00D0364F"/>
    <w:rsid w:val="00D06834"/>
    <w:rsid w:val="00D308ED"/>
    <w:rsid w:val="00D36D86"/>
    <w:rsid w:val="00D428AA"/>
    <w:rsid w:val="00D50A34"/>
    <w:rsid w:val="00D53EFA"/>
    <w:rsid w:val="00D94A7C"/>
    <w:rsid w:val="00D95896"/>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B5255"/>
    <w:rsid w:val="00EB5C47"/>
    <w:rsid w:val="00ED0639"/>
    <w:rsid w:val="00EF4755"/>
    <w:rsid w:val="00EF7135"/>
    <w:rsid w:val="00F027DB"/>
    <w:rsid w:val="00F14A7A"/>
    <w:rsid w:val="00F22985"/>
    <w:rsid w:val="00F31A6F"/>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0FF0807"/>
    <w:rsid w:val="01290F7E"/>
    <w:rsid w:val="01376D9B"/>
    <w:rsid w:val="013B7FDC"/>
    <w:rsid w:val="01401827"/>
    <w:rsid w:val="015D1E09"/>
    <w:rsid w:val="018B5577"/>
    <w:rsid w:val="01A303C7"/>
    <w:rsid w:val="01AD5F97"/>
    <w:rsid w:val="01D42840"/>
    <w:rsid w:val="01D77CBA"/>
    <w:rsid w:val="01DE5CAD"/>
    <w:rsid w:val="01FC3F31"/>
    <w:rsid w:val="020027E3"/>
    <w:rsid w:val="02066AED"/>
    <w:rsid w:val="02221834"/>
    <w:rsid w:val="022554A9"/>
    <w:rsid w:val="023135C6"/>
    <w:rsid w:val="02447044"/>
    <w:rsid w:val="02697903"/>
    <w:rsid w:val="026A3314"/>
    <w:rsid w:val="028C5C44"/>
    <w:rsid w:val="029029F1"/>
    <w:rsid w:val="02B7449E"/>
    <w:rsid w:val="02EB061C"/>
    <w:rsid w:val="02F96569"/>
    <w:rsid w:val="02FF1FE9"/>
    <w:rsid w:val="031F5A04"/>
    <w:rsid w:val="032248F4"/>
    <w:rsid w:val="03470C5D"/>
    <w:rsid w:val="0353238F"/>
    <w:rsid w:val="03671986"/>
    <w:rsid w:val="0374413D"/>
    <w:rsid w:val="03772BD4"/>
    <w:rsid w:val="03801CBB"/>
    <w:rsid w:val="03902606"/>
    <w:rsid w:val="039A5AC3"/>
    <w:rsid w:val="039D3A6E"/>
    <w:rsid w:val="03A55F1E"/>
    <w:rsid w:val="03CA33CD"/>
    <w:rsid w:val="03CB50F7"/>
    <w:rsid w:val="03CF5460"/>
    <w:rsid w:val="03DE5825"/>
    <w:rsid w:val="03E0080B"/>
    <w:rsid w:val="03EA7B21"/>
    <w:rsid w:val="03FB4EF5"/>
    <w:rsid w:val="03FD4E85"/>
    <w:rsid w:val="04046882"/>
    <w:rsid w:val="04176B55"/>
    <w:rsid w:val="04180460"/>
    <w:rsid w:val="04244880"/>
    <w:rsid w:val="04245A06"/>
    <w:rsid w:val="0431596A"/>
    <w:rsid w:val="04505C24"/>
    <w:rsid w:val="046850F6"/>
    <w:rsid w:val="046948F3"/>
    <w:rsid w:val="047B596E"/>
    <w:rsid w:val="04964DCF"/>
    <w:rsid w:val="04AC743C"/>
    <w:rsid w:val="04B75E27"/>
    <w:rsid w:val="04BF7079"/>
    <w:rsid w:val="04CE1F73"/>
    <w:rsid w:val="04DB356B"/>
    <w:rsid w:val="04DF12DD"/>
    <w:rsid w:val="04E55604"/>
    <w:rsid w:val="0500737E"/>
    <w:rsid w:val="052227B9"/>
    <w:rsid w:val="054A43B7"/>
    <w:rsid w:val="05523905"/>
    <w:rsid w:val="05734DBA"/>
    <w:rsid w:val="057A3EBC"/>
    <w:rsid w:val="05A13FF1"/>
    <w:rsid w:val="05D20E0F"/>
    <w:rsid w:val="05DD2639"/>
    <w:rsid w:val="05F83EAE"/>
    <w:rsid w:val="060C045C"/>
    <w:rsid w:val="063E0A32"/>
    <w:rsid w:val="063E7D85"/>
    <w:rsid w:val="06670FB4"/>
    <w:rsid w:val="067D4DFD"/>
    <w:rsid w:val="067E2971"/>
    <w:rsid w:val="068C25DB"/>
    <w:rsid w:val="06AA2484"/>
    <w:rsid w:val="06CB0043"/>
    <w:rsid w:val="06D85061"/>
    <w:rsid w:val="06E57F5F"/>
    <w:rsid w:val="0705475A"/>
    <w:rsid w:val="07087F06"/>
    <w:rsid w:val="070A64CF"/>
    <w:rsid w:val="07110A6B"/>
    <w:rsid w:val="07293586"/>
    <w:rsid w:val="07295285"/>
    <w:rsid w:val="072953F7"/>
    <w:rsid w:val="07463537"/>
    <w:rsid w:val="074665CC"/>
    <w:rsid w:val="07480BE4"/>
    <w:rsid w:val="074C1528"/>
    <w:rsid w:val="075A7BF9"/>
    <w:rsid w:val="075C6613"/>
    <w:rsid w:val="07636392"/>
    <w:rsid w:val="07677E3C"/>
    <w:rsid w:val="076A0FCB"/>
    <w:rsid w:val="07744D8A"/>
    <w:rsid w:val="07770C56"/>
    <w:rsid w:val="079B65E1"/>
    <w:rsid w:val="07A67405"/>
    <w:rsid w:val="07AC6E6D"/>
    <w:rsid w:val="07C0069E"/>
    <w:rsid w:val="07C268E8"/>
    <w:rsid w:val="08130B74"/>
    <w:rsid w:val="08276C59"/>
    <w:rsid w:val="084001D8"/>
    <w:rsid w:val="08457CA2"/>
    <w:rsid w:val="08641AC6"/>
    <w:rsid w:val="08846C9B"/>
    <w:rsid w:val="08875F7E"/>
    <w:rsid w:val="088D296F"/>
    <w:rsid w:val="088D6107"/>
    <w:rsid w:val="089758ED"/>
    <w:rsid w:val="08BD20E2"/>
    <w:rsid w:val="08BE6635"/>
    <w:rsid w:val="08C43011"/>
    <w:rsid w:val="08DC155F"/>
    <w:rsid w:val="08E93B96"/>
    <w:rsid w:val="08EB2E20"/>
    <w:rsid w:val="09120041"/>
    <w:rsid w:val="09141FCF"/>
    <w:rsid w:val="092217DD"/>
    <w:rsid w:val="093A7294"/>
    <w:rsid w:val="09481010"/>
    <w:rsid w:val="095D6857"/>
    <w:rsid w:val="0967222D"/>
    <w:rsid w:val="096E2321"/>
    <w:rsid w:val="097B29C0"/>
    <w:rsid w:val="097B712E"/>
    <w:rsid w:val="097C528A"/>
    <w:rsid w:val="0980047A"/>
    <w:rsid w:val="098431EF"/>
    <w:rsid w:val="098448D7"/>
    <w:rsid w:val="09983383"/>
    <w:rsid w:val="09BC750C"/>
    <w:rsid w:val="09D84F2F"/>
    <w:rsid w:val="0A043DB1"/>
    <w:rsid w:val="0A137B5C"/>
    <w:rsid w:val="0A212765"/>
    <w:rsid w:val="0A263993"/>
    <w:rsid w:val="0A26490B"/>
    <w:rsid w:val="0A2C21B6"/>
    <w:rsid w:val="0A2D3AC2"/>
    <w:rsid w:val="0A375800"/>
    <w:rsid w:val="0A4C1633"/>
    <w:rsid w:val="0A5E7BE0"/>
    <w:rsid w:val="0A9B4849"/>
    <w:rsid w:val="0AA755DF"/>
    <w:rsid w:val="0ADA0002"/>
    <w:rsid w:val="0AF860A4"/>
    <w:rsid w:val="0B120D44"/>
    <w:rsid w:val="0B186926"/>
    <w:rsid w:val="0B187D40"/>
    <w:rsid w:val="0B2E6C67"/>
    <w:rsid w:val="0B3044C0"/>
    <w:rsid w:val="0B3158D0"/>
    <w:rsid w:val="0B3840BF"/>
    <w:rsid w:val="0B935E9E"/>
    <w:rsid w:val="0BA7403E"/>
    <w:rsid w:val="0BB56D4E"/>
    <w:rsid w:val="0BC31D5F"/>
    <w:rsid w:val="0BC41A42"/>
    <w:rsid w:val="0BD27BF6"/>
    <w:rsid w:val="0BF51ABF"/>
    <w:rsid w:val="0C0957F7"/>
    <w:rsid w:val="0C0B3D70"/>
    <w:rsid w:val="0C144761"/>
    <w:rsid w:val="0C1D113E"/>
    <w:rsid w:val="0C3B3C7D"/>
    <w:rsid w:val="0C5B71D1"/>
    <w:rsid w:val="0C6E34E3"/>
    <w:rsid w:val="0C765482"/>
    <w:rsid w:val="0C7B1069"/>
    <w:rsid w:val="0C7D58C2"/>
    <w:rsid w:val="0C851550"/>
    <w:rsid w:val="0C8D565E"/>
    <w:rsid w:val="0CA74F5F"/>
    <w:rsid w:val="0CAB2EAE"/>
    <w:rsid w:val="0CC003F3"/>
    <w:rsid w:val="0CC04676"/>
    <w:rsid w:val="0CD2301C"/>
    <w:rsid w:val="0CD949B1"/>
    <w:rsid w:val="0CDC56D9"/>
    <w:rsid w:val="0D1903A6"/>
    <w:rsid w:val="0D205386"/>
    <w:rsid w:val="0D27738B"/>
    <w:rsid w:val="0D2F21F8"/>
    <w:rsid w:val="0D497AAE"/>
    <w:rsid w:val="0D621C7D"/>
    <w:rsid w:val="0D8B38F2"/>
    <w:rsid w:val="0DB33A67"/>
    <w:rsid w:val="0DD257B5"/>
    <w:rsid w:val="0DD26630"/>
    <w:rsid w:val="0DD33A0B"/>
    <w:rsid w:val="0DE077EF"/>
    <w:rsid w:val="0DEB70BD"/>
    <w:rsid w:val="0DF71A3E"/>
    <w:rsid w:val="0DFD34CF"/>
    <w:rsid w:val="0E0734DE"/>
    <w:rsid w:val="0E0E6D84"/>
    <w:rsid w:val="0E22469E"/>
    <w:rsid w:val="0E427775"/>
    <w:rsid w:val="0E56750C"/>
    <w:rsid w:val="0E73034D"/>
    <w:rsid w:val="0E93053F"/>
    <w:rsid w:val="0E936E80"/>
    <w:rsid w:val="0E972225"/>
    <w:rsid w:val="0E9D07DB"/>
    <w:rsid w:val="0EAD2BF9"/>
    <w:rsid w:val="0EDE2516"/>
    <w:rsid w:val="0EE470BB"/>
    <w:rsid w:val="0EF40475"/>
    <w:rsid w:val="0EFF4A76"/>
    <w:rsid w:val="0F046ABD"/>
    <w:rsid w:val="0F0E73CC"/>
    <w:rsid w:val="0F13775A"/>
    <w:rsid w:val="0F14048F"/>
    <w:rsid w:val="0F32703C"/>
    <w:rsid w:val="0F360E40"/>
    <w:rsid w:val="0F552E69"/>
    <w:rsid w:val="0F56337F"/>
    <w:rsid w:val="0F5F45FE"/>
    <w:rsid w:val="0F8B5990"/>
    <w:rsid w:val="0F8F18FC"/>
    <w:rsid w:val="0F9A112B"/>
    <w:rsid w:val="0F9E3C64"/>
    <w:rsid w:val="0FB73D2F"/>
    <w:rsid w:val="0FBD3026"/>
    <w:rsid w:val="0FFB71A8"/>
    <w:rsid w:val="100049C9"/>
    <w:rsid w:val="101F7FEA"/>
    <w:rsid w:val="102C0FFC"/>
    <w:rsid w:val="1032723A"/>
    <w:rsid w:val="103434C6"/>
    <w:rsid w:val="10390244"/>
    <w:rsid w:val="104F6117"/>
    <w:rsid w:val="1057491A"/>
    <w:rsid w:val="106D2F64"/>
    <w:rsid w:val="10761BEC"/>
    <w:rsid w:val="107D1BE1"/>
    <w:rsid w:val="108506C8"/>
    <w:rsid w:val="10873D67"/>
    <w:rsid w:val="109E78AD"/>
    <w:rsid w:val="10B54C51"/>
    <w:rsid w:val="10B63710"/>
    <w:rsid w:val="10D20880"/>
    <w:rsid w:val="10D72ED3"/>
    <w:rsid w:val="10DB6451"/>
    <w:rsid w:val="10F10820"/>
    <w:rsid w:val="10FB3953"/>
    <w:rsid w:val="110C29D1"/>
    <w:rsid w:val="11183DA1"/>
    <w:rsid w:val="111C2F7A"/>
    <w:rsid w:val="112825C2"/>
    <w:rsid w:val="1139454A"/>
    <w:rsid w:val="11515ABE"/>
    <w:rsid w:val="115F5CAE"/>
    <w:rsid w:val="115F762C"/>
    <w:rsid w:val="11665CA1"/>
    <w:rsid w:val="11850A0B"/>
    <w:rsid w:val="1191573A"/>
    <w:rsid w:val="11B44AA1"/>
    <w:rsid w:val="11CE5DA7"/>
    <w:rsid w:val="11F652A3"/>
    <w:rsid w:val="11F96CCA"/>
    <w:rsid w:val="11FB472C"/>
    <w:rsid w:val="12231B24"/>
    <w:rsid w:val="12377218"/>
    <w:rsid w:val="123D271F"/>
    <w:rsid w:val="125C1CE5"/>
    <w:rsid w:val="127930E1"/>
    <w:rsid w:val="12840288"/>
    <w:rsid w:val="129C545E"/>
    <w:rsid w:val="12A44C3C"/>
    <w:rsid w:val="12C8677A"/>
    <w:rsid w:val="12CD0DA8"/>
    <w:rsid w:val="12D94649"/>
    <w:rsid w:val="12E54B04"/>
    <w:rsid w:val="12E71808"/>
    <w:rsid w:val="12FA3979"/>
    <w:rsid w:val="13070915"/>
    <w:rsid w:val="13146A11"/>
    <w:rsid w:val="13201366"/>
    <w:rsid w:val="132B0CC6"/>
    <w:rsid w:val="133D41F0"/>
    <w:rsid w:val="13467C51"/>
    <w:rsid w:val="138951F4"/>
    <w:rsid w:val="138C0BEE"/>
    <w:rsid w:val="13951726"/>
    <w:rsid w:val="13A378A1"/>
    <w:rsid w:val="13B25275"/>
    <w:rsid w:val="13BE1E02"/>
    <w:rsid w:val="13C50F9B"/>
    <w:rsid w:val="13DD2ED0"/>
    <w:rsid w:val="13E12F78"/>
    <w:rsid w:val="13FB5C38"/>
    <w:rsid w:val="14391008"/>
    <w:rsid w:val="14396509"/>
    <w:rsid w:val="14585BDC"/>
    <w:rsid w:val="14907190"/>
    <w:rsid w:val="14AD3ACA"/>
    <w:rsid w:val="14BD28A0"/>
    <w:rsid w:val="14C858F5"/>
    <w:rsid w:val="14C97660"/>
    <w:rsid w:val="14CD451B"/>
    <w:rsid w:val="14DD2C3C"/>
    <w:rsid w:val="14EB74B4"/>
    <w:rsid w:val="15065976"/>
    <w:rsid w:val="151253C0"/>
    <w:rsid w:val="1517558A"/>
    <w:rsid w:val="152E08A2"/>
    <w:rsid w:val="15433670"/>
    <w:rsid w:val="155510DF"/>
    <w:rsid w:val="155B4CE9"/>
    <w:rsid w:val="1565638A"/>
    <w:rsid w:val="1570698D"/>
    <w:rsid w:val="158F7EFF"/>
    <w:rsid w:val="15A13E75"/>
    <w:rsid w:val="15E848D2"/>
    <w:rsid w:val="15EE2139"/>
    <w:rsid w:val="15FB1613"/>
    <w:rsid w:val="16011297"/>
    <w:rsid w:val="16087E1D"/>
    <w:rsid w:val="160A3FBA"/>
    <w:rsid w:val="1643541F"/>
    <w:rsid w:val="16456485"/>
    <w:rsid w:val="16730284"/>
    <w:rsid w:val="168D3CE4"/>
    <w:rsid w:val="16934170"/>
    <w:rsid w:val="16950C35"/>
    <w:rsid w:val="16AE0302"/>
    <w:rsid w:val="16B54D41"/>
    <w:rsid w:val="16C640BD"/>
    <w:rsid w:val="17033F0E"/>
    <w:rsid w:val="1703663B"/>
    <w:rsid w:val="170A5411"/>
    <w:rsid w:val="170B57F5"/>
    <w:rsid w:val="170C117A"/>
    <w:rsid w:val="170C4463"/>
    <w:rsid w:val="17173A55"/>
    <w:rsid w:val="17376A6B"/>
    <w:rsid w:val="17517831"/>
    <w:rsid w:val="17553F07"/>
    <w:rsid w:val="17701D14"/>
    <w:rsid w:val="177046F6"/>
    <w:rsid w:val="17735226"/>
    <w:rsid w:val="178877CB"/>
    <w:rsid w:val="179746EF"/>
    <w:rsid w:val="17AD5E36"/>
    <w:rsid w:val="17C16227"/>
    <w:rsid w:val="17C23E72"/>
    <w:rsid w:val="17C33120"/>
    <w:rsid w:val="17CB3F7D"/>
    <w:rsid w:val="17E4768B"/>
    <w:rsid w:val="17F50BB6"/>
    <w:rsid w:val="18013855"/>
    <w:rsid w:val="18094100"/>
    <w:rsid w:val="1821577D"/>
    <w:rsid w:val="184743E2"/>
    <w:rsid w:val="185C27B1"/>
    <w:rsid w:val="185D3E24"/>
    <w:rsid w:val="18796305"/>
    <w:rsid w:val="187F00F9"/>
    <w:rsid w:val="189548D2"/>
    <w:rsid w:val="18972679"/>
    <w:rsid w:val="189F624C"/>
    <w:rsid w:val="18A137CE"/>
    <w:rsid w:val="18AD2E71"/>
    <w:rsid w:val="18B02F86"/>
    <w:rsid w:val="18BA4890"/>
    <w:rsid w:val="18F74CDE"/>
    <w:rsid w:val="192B10FA"/>
    <w:rsid w:val="192E2CE1"/>
    <w:rsid w:val="193441B0"/>
    <w:rsid w:val="193B5472"/>
    <w:rsid w:val="194C2C5F"/>
    <w:rsid w:val="19593EED"/>
    <w:rsid w:val="199E3574"/>
    <w:rsid w:val="199F2394"/>
    <w:rsid w:val="19C126AB"/>
    <w:rsid w:val="19D51F06"/>
    <w:rsid w:val="19D93774"/>
    <w:rsid w:val="19DC68B1"/>
    <w:rsid w:val="19E16CB7"/>
    <w:rsid w:val="19F30DE0"/>
    <w:rsid w:val="1A1A0D77"/>
    <w:rsid w:val="1A1C66C0"/>
    <w:rsid w:val="1A317441"/>
    <w:rsid w:val="1A401BA4"/>
    <w:rsid w:val="1A421F49"/>
    <w:rsid w:val="1A42393B"/>
    <w:rsid w:val="1A483ADB"/>
    <w:rsid w:val="1A4E7FDF"/>
    <w:rsid w:val="1A855F1F"/>
    <w:rsid w:val="1AA646C4"/>
    <w:rsid w:val="1AA76749"/>
    <w:rsid w:val="1AAD45DE"/>
    <w:rsid w:val="1ACA7A90"/>
    <w:rsid w:val="1ACB281C"/>
    <w:rsid w:val="1ACB6546"/>
    <w:rsid w:val="1AF0106B"/>
    <w:rsid w:val="1AF10B67"/>
    <w:rsid w:val="1AFC3601"/>
    <w:rsid w:val="1B046F80"/>
    <w:rsid w:val="1B320E36"/>
    <w:rsid w:val="1B3267B5"/>
    <w:rsid w:val="1B373990"/>
    <w:rsid w:val="1B3C77DE"/>
    <w:rsid w:val="1B40161D"/>
    <w:rsid w:val="1B441859"/>
    <w:rsid w:val="1B5F5562"/>
    <w:rsid w:val="1B6606B1"/>
    <w:rsid w:val="1B7668BD"/>
    <w:rsid w:val="1B7F59D0"/>
    <w:rsid w:val="1BA875D4"/>
    <w:rsid w:val="1BAA21F2"/>
    <w:rsid w:val="1BB55799"/>
    <w:rsid w:val="1BB65C27"/>
    <w:rsid w:val="1BB750B7"/>
    <w:rsid w:val="1BBE4C24"/>
    <w:rsid w:val="1BF9122C"/>
    <w:rsid w:val="1C024432"/>
    <w:rsid w:val="1C0E1A98"/>
    <w:rsid w:val="1C2B45CF"/>
    <w:rsid w:val="1C331185"/>
    <w:rsid w:val="1C3D6A57"/>
    <w:rsid w:val="1C411983"/>
    <w:rsid w:val="1C500A14"/>
    <w:rsid w:val="1C5E7925"/>
    <w:rsid w:val="1C690472"/>
    <w:rsid w:val="1C8256C5"/>
    <w:rsid w:val="1C860ED7"/>
    <w:rsid w:val="1C924917"/>
    <w:rsid w:val="1C93512B"/>
    <w:rsid w:val="1CC27B7E"/>
    <w:rsid w:val="1CD63A2C"/>
    <w:rsid w:val="1CD756DD"/>
    <w:rsid w:val="1CE06CCC"/>
    <w:rsid w:val="1CF466F3"/>
    <w:rsid w:val="1CF94FF9"/>
    <w:rsid w:val="1CFD070F"/>
    <w:rsid w:val="1D031DC3"/>
    <w:rsid w:val="1D040902"/>
    <w:rsid w:val="1D151852"/>
    <w:rsid w:val="1D1A597A"/>
    <w:rsid w:val="1D5F6196"/>
    <w:rsid w:val="1D606470"/>
    <w:rsid w:val="1D6132A5"/>
    <w:rsid w:val="1D8E56D5"/>
    <w:rsid w:val="1DA82F09"/>
    <w:rsid w:val="1DB15AA3"/>
    <w:rsid w:val="1DB256B1"/>
    <w:rsid w:val="1DDE312C"/>
    <w:rsid w:val="1DF12ABB"/>
    <w:rsid w:val="1DFD3564"/>
    <w:rsid w:val="1E273F67"/>
    <w:rsid w:val="1E2A7DC2"/>
    <w:rsid w:val="1E2E7E76"/>
    <w:rsid w:val="1E366988"/>
    <w:rsid w:val="1E470070"/>
    <w:rsid w:val="1E562C6A"/>
    <w:rsid w:val="1E6050DF"/>
    <w:rsid w:val="1E6A0D8A"/>
    <w:rsid w:val="1E7940A5"/>
    <w:rsid w:val="1E7A43DA"/>
    <w:rsid w:val="1E7E1F44"/>
    <w:rsid w:val="1E9C7865"/>
    <w:rsid w:val="1EA47B74"/>
    <w:rsid w:val="1EA62422"/>
    <w:rsid w:val="1ECE699F"/>
    <w:rsid w:val="1EE15A58"/>
    <w:rsid w:val="1EEB532C"/>
    <w:rsid w:val="1EEF6D40"/>
    <w:rsid w:val="1F0B3901"/>
    <w:rsid w:val="1F562262"/>
    <w:rsid w:val="1F5667AB"/>
    <w:rsid w:val="1F646AAD"/>
    <w:rsid w:val="1F73528D"/>
    <w:rsid w:val="1F7E27E9"/>
    <w:rsid w:val="1F8243E1"/>
    <w:rsid w:val="1F861028"/>
    <w:rsid w:val="1FB41ECE"/>
    <w:rsid w:val="1FBC4836"/>
    <w:rsid w:val="1FE7539E"/>
    <w:rsid w:val="200B13BD"/>
    <w:rsid w:val="202D6E51"/>
    <w:rsid w:val="205E04E8"/>
    <w:rsid w:val="20671BE0"/>
    <w:rsid w:val="206A4597"/>
    <w:rsid w:val="207A38F4"/>
    <w:rsid w:val="208D02FA"/>
    <w:rsid w:val="20923B67"/>
    <w:rsid w:val="20963CB8"/>
    <w:rsid w:val="20977198"/>
    <w:rsid w:val="20A727DB"/>
    <w:rsid w:val="20A81A1B"/>
    <w:rsid w:val="20A91DB1"/>
    <w:rsid w:val="20B07FB6"/>
    <w:rsid w:val="20B646FB"/>
    <w:rsid w:val="20BB580D"/>
    <w:rsid w:val="20F801FF"/>
    <w:rsid w:val="20F91791"/>
    <w:rsid w:val="21003432"/>
    <w:rsid w:val="211A1289"/>
    <w:rsid w:val="21225AE8"/>
    <w:rsid w:val="21243A60"/>
    <w:rsid w:val="213056EF"/>
    <w:rsid w:val="213B74B1"/>
    <w:rsid w:val="215869F4"/>
    <w:rsid w:val="215A2310"/>
    <w:rsid w:val="21740607"/>
    <w:rsid w:val="217F21D3"/>
    <w:rsid w:val="218350AE"/>
    <w:rsid w:val="21C25A2D"/>
    <w:rsid w:val="21DA404D"/>
    <w:rsid w:val="21DE318A"/>
    <w:rsid w:val="21DF07EB"/>
    <w:rsid w:val="21EF5B80"/>
    <w:rsid w:val="22104B5E"/>
    <w:rsid w:val="2213549D"/>
    <w:rsid w:val="222C1958"/>
    <w:rsid w:val="222C7E2A"/>
    <w:rsid w:val="22357045"/>
    <w:rsid w:val="224901BF"/>
    <w:rsid w:val="224B6084"/>
    <w:rsid w:val="2254555B"/>
    <w:rsid w:val="22576990"/>
    <w:rsid w:val="2263569A"/>
    <w:rsid w:val="2272604C"/>
    <w:rsid w:val="227B7E8D"/>
    <w:rsid w:val="227D49F5"/>
    <w:rsid w:val="22BE33AB"/>
    <w:rsid w:val="22DA04AC"/>
    <w:rsid w:val="22F06751"/>
    <w:rsid w:val="22F47480"/>
    <w:rsid w:val="231C7457"/>
    <w:rsid w:val="2323662C"/>
    <w:rsid w:val="23237F5A"/>
    <w:rsid w:val="234C7EA1"/>
    <w:rsid w:val="234D7166"/>
    <w:rsid w:val="23587363"/>
    <w:rsid w:val="236110F0"/>
    <w:rsid w:val="237A3157"/>
    <w:rsid w:val="237E6EFC"/>
    <w:rsid w:val="239A4903"/>
    <w:rsid w:val="239C173E"/>
    <w:rsid w:val="239D0DCB"/>
    <w:rsid w:val="23A15204"/>
    <w:rsid w:val="23AA48B4"/>
    <w:rsid w:val="23DC0EDB"/>
    <w:rsid w:val="23DC1B5F"/>
    <w:rsid w:val="23DE1C48"/>
    <w:rsid w:val="23EA65AE"/>
    <w:rsid w:val="240210CD"/>
    <w:rsid w:val="24034DE3"/>
    <w:rsid w:val="240468BD"/>
    <w:rsid w:val="241B0378"/>
    <w:rsid w:val="24295ED3"/>
    <w:rsid w:val="242E1D07"/>
    <w:rsid w:val="24332EDB"/>
    <w:rsid w:val="244500E0"/>
    <w:rsid w:val="24591BA9"/>
    <w:rsid w:val="24635CF5"/>
    <w:rsid w:val="246601FC"/>
    <w:rsid w:val="24751D53"/>
    <w:rsid w:val="2488621F"/>
    <w:rsid w:val="248A3348"/>
    <w:rsid w:val="24BE7FD4"/>
    <w:rsid w:val="24BF09F7"/>
    <w:rsid w:val="24D96ACF"/>
    <w:rsid w:val="25021EEF"/>
    <w:rsid w:val="25053949"/>
    <w:rsid w:val="25123DAD"/>
    <w:rsid w:val="25143471"/>
    <w:rsid w:val="25293C3A"/>
    <w:rsid w:val="252D53FE"/>
    <w:rsid w:val="2564005E"/>
    <w:rsid w:val="25763497"/>
    <w:rsid w:val="25767EBA"/>
    <w:rsid w:val="25822DC5"/>
    <w:rsid w:val="258C1478"/>
    <w:rsid w:val="259E5BFA"/>
    <w:rsid w:val="25EC2D81"/>
    <w:rsid w:val="25ED3536"/>
    <w:rsid w:val="25ED7864"/>
    <w:rsid w:val="25FB43F8"/>
    <w:rsid w:val="26041BE9"/>
    <w:rsid w:val="2626215E"/>
    <w:rsid w:val="262E3128"/>
    <w:rsid w:val="263E318C"/>
    <w:rsid w:val="26446D74"/>
    <w:rsid w:val="264848D9"/>
    <w:rsid w:val="26645926"/>
    <w:rsid w:val="266C32E9"/>
    <w:rsid w:val="268263C6"/>
    <w:rsid w:val="268435BF"/>
    <w:rsid w:val="269513DD"/>
    <w:rsid w:val="26AE3B4C"/>
    <w:rsid w:val="26C22CB8"/>
    <w:rsid w:val="26E15B79"/>
    <w:rsid w:val="26E36D60"/>
    <w:rsid w:val="26F3769D"/>
    <w:rsid w:val="26F50319"/>
    <w:rsid w:val="26F945E1"/>
    <w:rsid w:val="26FD2518"/>
    <w:rsid w:val="27015614"/>
    <w:rsid w:val="270A14E8"/>
    <w:rsid w:val="2714160F"/>
    <w:rsid w:val="27442F2D"/>
    <w:rsid w:val="274F2A0A"/>
    <w:rsid w:val="27532138"/>
    <w:rsid w:val="275B2BED"/>
    <w:rsid w:val="275D1F08"/>
    <w:rsid w:val="276B7B29"/>
    <w:rsid w:val="277057A2"/>
    <w:rsid w:val="27736336"/>
    <w:rsid w:val="278F0C96"/>
    <w:rsid w:val="279063C7"/>
    <w:rsid w:val="27925BF5"/>
    <w:rsid w:val="27B21E97"/>
    <w:rsid w:val="27D2022D"/>
    <w:rsid w:val="27EA7D81"/>
    <w:rsid w:val="27F82CDF"/>
    <w:rsid w:val="27FD3D7F"/>
    <w:rsid w:val="280B63B5"/>
    <w:rsid w:val="2816687D"/>
    <w:rsid w:val="282A6164"/>
    <w:rsid w:val="2831429A"/>
    <w:rsid w:val="2836303B"/>
    <w:rsid w:val="28413255"/>
    <w:rsid w:val="28702981"/>
    <w:rsid w:val="28733483"/>
    <w:rsid w:val="28785BED"/>
    <w:rsid w:val="28880914"/>
    <w:rsid w:val="289E3477"/>
    <w:rsid w:val="28B74948"/>
    <w:rsid w:val="28C9360B"/>
    <w:rsid w:val="28F97E28"/>
    <w:rsid w:val="28FB1348"/>
    <w:rsid w:val="29206EB8"/>
    <w:rsid w:val="29276EBD"/>
    <w:rsid w:val="29377D36"/>
    <w:rsid w:val="29493B4E"/>
    <w:rsid w:val="29595666"/>
    <w:rsid w:val="295D104C"/>
    <w:rsid w:val="295D54F0"/>
    <w:rsid w:val="29635038"/>
    <w:rsid w:val="296C58A8"/>
    <w:rsid w:val="29874881"/>
    <w:rsid w:val="298D4A70"/>
    <w:rsid w:val="29A422EE"/>
    <w:rsid w:val="29A450FB"/>
    <w:rsid w:val="29B11398"/>
    <w:rsid w:val="29CA1CE0"/>
    <w:rsid w:val="29D1613E"/>
    <w:rsid w:val="29D77C91"/>
    <w:rsid w:val="29E325E0"/>
    <w:rsid w:val="29E610B9"/>
    <w:rsid w:val="29E90B31"/>
    <w:rsid w:val="29EC1ADF"/>
    <w:rsid w:val="29FF4B58"/>
    <w:rsid w:val="2A125772"/>
    <w:rsid w:val="2A3D6A13"/>
    <w:rsid w:val="2A3E6EA4"/>
    <w:rsid w:val="2A42164C"/>
    <w:rsid w:val="2A452503"/>
    <w:rsid w:val="2A6079C2"/>
    <w:rsid w:val="2A62042F"/>
    <w:rsid w:val="2A6C170A"/>
    <w:rsid w:val="2A737CF7"/>
    <w:rsid w:val="2A756861"/>
    <w:rsid w:val="2A901BBF"/>
    <w:rsid w:val="2AAA1298"/>
    <w:rsid w:val="2AAF714C"/>
    <w:rsid w:val="2AB40F49"/>
    <w:rsid w:val="2AB4438B"/>
    <w:rsid w:val="2AB523D7"/>
    <w:rsid w:val="2AC81815"/>
    <w:rsid w:val="2AE26937"/>
    <w:rsid w:val="2AEA1B43"/>
    <w:rsid w:val="2B0025D7"/>
    <w:rsid w:val="2B034174"/>
    <w:rsid w:val="2B260A3F"/>
    <w:rsid w:val="2B27282F"/>
    <w:rsid w:val="2B2D78A1"/>
    <w:rsid w:val="2B5000CA"/>
    <w:rsid w:val="2B624521"/>
    <w:rsid w:val="2B715282"/>
    <w:rsid w:val="2B85012F"/>
    <w:rsid w:val="2B860FAC"/>
    <w:rsid w:val="2B866F81"/>
    <w:rsid w:val="2BA1282F"/>
    <w:rsid w:val="2BA570AF"/>
    <w:rsid w:val="2BA936A8"/>
    <w:rsid w:val="2C315A5A"/>
    <w:rsid w:val="2C45636A"/>
    <w:rsid w:val="2C4B1C25"/>
    <w:rsid w:val="2C8028A0"/>
    <w:rsid w:val="2C8C56FE"/>
    <w:rsid w:val="2CB67628"/>
    <w:rsid w:val="2D050655"/>
    <w:rsid w:val="2D0856E1"/>
    <w:rsid w:val="2D550AF8"/>
    <w:rsid w:val="2D56547E"/>
    <w:rsid w:val="2D576B87"/>
    <w:rsid w:val="2D663463"/>
    <w:rsid w:val="2D6B2A06"/>
    <w:rsid w:val="2D7713BE"/>
    <w:rsid w:val="2D852054"/>
    <w:rsid w:val="2D875EC1"/>
    <w:rsid w:val="2D9E56F5"/>
    <w:rsid w:val="2DAE061C"/>
    <w:rsid w:val="2DC709DF"/>
    <w:rsid w:val="2DCA2A28"/>
    <w:rsid w:val="2DD4732F"/>
    <w:rsid w:val="2DF1059F"/>
    <w:rsid w:val="2E061CB6"/>
    <w:rsid w:val="2E090A8B"/>
    <w:rsid w:val="2E0A050A"/>
    <w:rsid w:val="2E1F0DFD"/>
    <w:rsid w:val="2E205C69"/>
    <w:rsid w:val="2E5A117F"/>
    <w:rsid w:val="2E633D76"/>
    <w:rsid w:val="2E667F96"/>
    <w:rsid w:val="2E8226AB"/>
    <w:rsid w:val="2E843DF5"/>
    <w:rsid w:val="2E8F74F6"/>
    <w:rsid w:val="2E9D1A0C"/>
    <w:rsid w:val="2EDD2863"/>
    <w:rsid w:val="2EEA7E90"/>
    <w:rsid w:val="2EEC0663"/>
    <w:rsid w:val="2F0209B0"/>
    <w:rsid w:val="2F097579"/>
    <w:rsid w:val="2F300FB0"/>
    <w:rsid w:val="2F364819"/>
    <w:rsid w:val="2F415005"/>
    <w:rsid w:val="2F5A24CA"/>
    <w:rsid w:val="2F8369D4"/>
    <w:rsid w:val="2F8B5819"/>
    <w:rsid w:val="2F8D4686"/>
    <w:rsid w:val="2F964B59"/>
    <w:rsid w:val="2FBE61FB"/>
    <w:rsid w:val="2FD065E6"/>
    <w:rsid w:val="2FD85881"/>
    <w:rsid w:val="2FD96870"/>
    <w:rsid w:val="2FFF78FF"/>
    <w:rsid w:val="30022972"/>
    <w:rsid w:val="3014722F"/>
    <w:rsid w:val="30182170"/>
    <w:rsid w:val="30215E43"/>
    <w:rsid w:val="303316D4"/>
    <w:rsid w:val="303A418D"/>
    <w:rsid w:val="30544E8A"/>
    <w:rsid w:val="30580BC9"/>
    <w:rsid w:val="30940839"/>
    <w:rsid w:val="30B2552D"/>
    <w:rsid w:val="30B25F5E"/>
    <w:rsid w:val="30C131F5"/>
    <w:rsid w:val="30F40977"/>
    <w:rsid w:val="30FE32E9"/>
    <w:rsid w:val="31182C4A"/>
    <w:rsid w:val="311E2ED7"/>
    <w:rsid w:val="31223A7E"/>
    <w:rsid w:val="31366ADC"/>
    <w:rsid w:val="31432340"/>
    <w:rsid w:val="31452DE2"/>
    <w:rsid w:val="31485E95"/>
    <w:rsid w:val="31505D6B"/>
    <w:rsid w:val="315619EE"/>
    <w:rsid w:val="315A535C"/>
    <w:rsid w:val="315C449C"/>
    <w:rsid w:val="315C5FF4"/>
    <w:rsid w:val="31761836"/>
    <w:rsid w:val="31802AD2"/>
    <w:rsid w:val="319728AC"/>
    <w:rsid w:val="319A25B8"/>
    <w:rsid w:val="31B82709"/>
    <w:rsid w:val="31C57618"/>
    <w:rsid w:val="31D05482"/>
    <w:rsid w:val="31D72E37"/>
    <w:rsid w:val="32166C65"/>
    <w:rsid w:val="321A1456"/>
    <w:rsid w:val="323A05E7"/>
    <w:rsid w:val="32400B34"/>
    <w:rsid w:val="32496A40"/>
    <w:rsid w:val="324D1C53"/>
    <w:rsid w:val="329E6876"/>
    <w:rsid w:val="32A8543E"/>
    <w:rsid w:val="32B15835"/>
    <w:rsid w:val="32B3735A"/>
    <w:rsid w:val="32B80B74"/>
    <w:rsid w:val="32D44706"/>
    <w:rsid w:val="332B4F29"/>
    <w:rsid w:val="332E679A"/>
    <w:rsid w:val="333015F2"/>
    <w:rsid w:val="33390A6F"/>
    <w:rsid w:val="334B6320"/>
    <w:rsid w:val="33684741"/>
    <w:rsid w:val="336C5EE8"/>
    <w:rsid w:val="3373762C"/>
    <w:rsid w:val="33886AE2"/>
    <w:rsid w:val="339E2243"/>
    <w:rsid w:val="339E4512"/>
    <w:rsid w:val="33A16061"/>
    <w:rsid w:val="33B96229"/>
    <w:rsid w:val="33BB1F24"/>
    <w:rsid w:val="33BB51C3"/>
    <w:rsid w:val="33C718CB"/>
    <w:rsid w:val="33D501F6"/>
    <w:rsid w:val="33D934D4"/>
    <w:rsid w:val="33FE2F6A"/>
    <w:rsid w:val="34071E54"/>
    <w:rsid w:val="340E07E5"/>
    <w:rsid w:val="341F73D8"/>
    <w:rsid w:val="34235BF7"/>
    <w:rsid w:val="343F183E"/>
    <w:rsid w:val="34404229"/>
    <w:rsid w:val="344506D9"/>
    <w:rsid w:val="34473152"/>
    <w:rsid w:val="344F0DC5"/>
    <w:rsid w:val="346140E2"/>
    <w:rsid w:val="3476050C"/>
    <w:rsid w:val="34942808"/>
    <w:rsid w:val="349D63EC"/>
    <w:rsid w:val="34A125DC"/>
    <w:rsid w:val="34A84391"/>
    <w:rsid w:val="34C36242"/>
    <w:rsid w:val="34C7313A"/>
    <w:rsid w:val="34CF6B7B"/>
    <w:rsid w:val="34D00573"/>
    <w:rsid w:val="34DC7FAD"/>
    <w:rsid w:val="34EF7905"/>
    <w:rsid w:val="350178FC"/>
    <w:rsid w:val="351849C1"/>
    <w:rsid w:val="351F6D34"/>
    <w:rsid w:val="35373004"/>
    <w:rsid w:val="356617A9"/>
    <w:rsid w:val="35725D15"/>
    <w:rsid w:val="35746604"/>
    <w:rsid w:val="35806DCD"/>
    <w:rsid w:val="358C5FA8"/>
    <w:rsid w:val="359631F5"/>
    <w:rsid w:val="35A543A4"/>
    <w:rsid w:val="35A72B9D"/>
    <w:rsid w:val="35A746CB"/>
    <w:rsid w:val="35B30F60"/>
    <w:rsid w:val="35C15DF1"/>
    <w:rsid w:val="35D7487F"/>
    <w:rsid w:val="35E15B95"/>
    <w:rsid w:val="35EE68C6"/>
    <w:rsid w:val="36074A7F"/>
    <w:rsid w:val="360B56C2"/>
    <w:rsid w:val="361A7B97"/>
    <w:rsid w:val="363961D9"/>
    <w:rsid w:val="363A682D"/>
    <w:rsid w:val="3640117D"/>
    <w:rsid w:val="36430FDA"/>
    <w:rsid w:val="364F7F6E"/>
    <w:rsid w:val="36504611"/>
    <w:rsid w:val="367017B5"/>
    <w:rsid w:val="36712BCB"/>
    <w:rsid w:val="3680074B"/>
    <w:rsid w:val="36861760"/>
    <w:rsid w:val="36862B95"/>
    <w:rsid w:val="368D1279"/>
    <w:rsid w:val="36906367"/>
    <w:rsid w:val="36923549"/>
    <w:rsid w:val="36AC774A"/>
    <w:rsid w:val="36AD32F3"/>
    <w:rsid w:val="36B75FBF"/>
    <w:rsid w:val="36BB5BB8"/>
    <w:rsid w:val="36BD0C45"/>
    <w:rsid w:val="36BE25DA"/>
    <w:rsid w:val="36C74802"/>
    <w:rsid w:val="37055B02"/>
    <w:rsid w:val="370A417E"/>
    <w:rsid w:val="37130137"/>
    <w:rsid w:val="3742700D"/>
    <w:rsid w:val="374C0952"/>
    <w:rsid w:val="37526B7E"/>
    <w:rsid w:val="37585658"/>
    <w:rsid w:val="376A5BD1"/>
    <w:rsid w:val="377E5889"/>
    <w:rsid w:val="37845534"/>
    <w:rsid w:val="378E01D2"/>
    <w:rsid w:val="379B4856"/>
    <w:rsid w:val="37B00763"/>
    <w:rsid w:val="37D3591A"/>
    <w:rsid w:val="37E00298"/>
    <w:rsid w:val="37F36DC6"/>
    <w:rsid w:val="38022BDC"/>
    <w:rsid w:val="38174ABC"/>
    <w:rsid w:val="383C2774"/>
    <w:rsid w:val="383C7886"/>
    <w:rsid w:val="384514D3"/>
    <w:rsid w:val="385A6D95"/>
    <w:rsid w:val="38665C4B"/>
    <w:rsid w:val="38895265"/>
    <w:rsid w:val="38A003A5"/>
    <w:rsid w:val="38AB029B"/>
    <w:rsid w:val="38B302F9"/>
    <w:rsid w:val="38C1268A"/>
    <w:rsid w:val="38CA6699"/>
    <w:rsid w:val="38CC227E"/>
    <w:rsid w:val="38F12CD3"/>
    <w:rsid w:val="38F94775"/>
    <w:rsid w:val="39091EF7"/>
    <w:rsid w:val="39187FB4"/>
    <w:rsid w:val="3927141D"/>
    <w:rsid w:val="392971ED"/>
    <w:rsid w:val="39325651"/>
    <w:rsid w:val="393F6552"/>
    <w:rsid w:val="394E428A"/>
    <w:rsid w:val="3992279A"/>
    <w:rsid w:val="399B779C"/>
    <w:rsid w:val="39A64AE6"/>
    <w:rsid w:val="39B71E8B"/>
    <w:rsid w:val="39C360E9"/>
    <w:rsid w:val="39CB5862"/>
    <w:rsid w:val="39E411D7"/>
    <w:rsid w:val="3A1E79D7"/>
    <w:rsid w:val="3A256CB2"/>
    <w:rsid w:val="3A30175F"/>
    <w:rsid w:val="3A361B71"/>
    <w:rsid w:val="3A4E63E2"/>
    <w:rsid w:val="3A55439A"/>
    <w:rsid w:val="3A7E52C6"/>
    <w:rsid w:val="3A872856"/>
    <w:rsid w:val="3A8F0E5F"/>
    <w:rsid w:val="3A992100"/>
    <w:rsid w:val="3AA74716"/>
    <w:rsid w:val="3ABE0D64"/>
    <w:rsid w:val="3AC80868"/>
    <w:rsid w:val="3AC97ADA"/>
    <w:rsid w:val="3ADE4788"/>
    <w:rsid w:val="3AE6637F"/>
    <w:rsid w:val="3AEC1530"/>
    <w:rsid w:val="3AF87C7B"/>
    <w:rsid w:val="3AFE2909"/>
    <w:rsid w:val="3B0D5649"/>
    <w:rsid w:val="3B101E26"/>
    <w:rsid w:val="3B123572"/>
    <w:rsid w:val="3B2468F7"/>
    <w:rsid w:val="3B2A329F"/>
    <w:rsid w:val="3B3763D1"/>
    <w:rsid w:val="3B5D7AB1"/>
    <w:rsid w:val="3B5F481A"/>
    <w:rsid w:val="3B6430D9"/>
    <w:rsid w:val="3B7444A1"/>
    <w:rsid w:val="3B7C5139"/>
    <w:rsid w:val="3BA07529"/>
    <w:rsid w:val="3BAC7F61"/>
    <w:rsid w:val="3BB77B0A"/>
    <w:rsid w:val="3BD32709"/>
    <w:rsid w:val="3BE4338C"/>
    <w:rsid w:val="3BF17215"/>
    <w:rsid w:val="3C0B54D9"/>
    <w:rsid w:val="3C205CDA"/>
    <w:rsid w:val="3C261FE7"/>
    <w:rsid w:val="3C292E44"/>
    <w:rsid w:val="3C2F6E1E"/>
    <w:rsid w:val="3C3C08E3"/>
    <w:rsid w:val="3C4B2A92"/>
    <w:rsid w:val="3C4F64BA"/>
    <w:rsid w:val="3C500C51"/>
    <w:rsid w:val="3C552056"/>
    <w:rsid w:val="3C564CA4"/>
    <w:rsid w:val="3C7E4F5D"/>
    <w:rsid w:val="3C8A3E1E"/>
    <w:rsid w:val="3C8F2D8E"/>
    <w:rsid w:val="3CB80519"/>
    <w:rsid w:val="3CBB0E0C"/>
    <w:rsid w:val="3CCD2DEC"/>
    <w:rsid w:val="3CDA245A"/>
    <w:rsid w:val="3CE5368B"/>
    <w:rsid w:val="3CE539F7"/>
    <w:rsid w:val="3CF737FE"/>
    <w:rsid w:val="3CFF09C0"/>
    <w:rsid w:val="3D0270DB"/>
    <w:rsid w:val="3D123B38"/>
    <w:rsid w:val="3D147CAC"/>
    <w:rsid w:val="3D193084"/>
    <w:rsid w:val="3D1E06B7"/>
    <w:rsid w:val="3D215930"/>
    <w:rsid w:val="3D280AEA"/>
    <w:rsid w:val="3D306D7F"/>
    <w:rsid w:val="3D3E6F7E"/>
    <w:rsid w:val="3D4365BD"/>
    <w:rsid w:val="3D4D53D7"/>
    <w:rsid w:val="3D5A68B2"/>
    <w:rsid w:val="3D6A327D"/>
    <w:rsid w:val="3D6B048D"/>
    <w:rsid w:val="3D831DB4"/>
    <w:rsid w:val="3D9D390A"/>
    <w:rsid w:val="3DDB21B3"/>
    <w:rsid w:val="3DE73897"/>
    <w:rsid w:val="3DEC026F"/>
    <w:rsid w:val="3DFD6502"/>
    <w:rsid w:val="3E0167C9"/>
    <w:rsid w:val="3E041875"/>
    <w:rsid w:val="3E06185A"/>
    <w:rsid w:val="3E083729"/>
    <w:rsid w:val="3E1A09B4"/>
    <w:rsid w:val="3E467EA9"/>
    <w:rsid w:val="3E4D2C7C"/>
    <w:rsid w:val="3E5719AF"/>
    <w:rsid w:val="3E8E4854"/>
    <w:rsid w:val="3E905CDE"/>
    <w:rsid w:val="3EA543F7"/>
    <w:rsid w:val="3EDA0523"/>
    <w:rsid w:val="3EDF7F93"/>
    <w:rsid w:val="3EE03E6A"/>
    <w:rsid w:val="3F17217A"/>
    <w:rsid w:val="3F2B511E"/>
    <w:rsid w:val="3F4376A1"/>
    <w:rsid w:val="3F5F0232"/>
    <w:rsid w:val="3F6231B8"/>
    <w:rsid w:val="3F644989"/>
    <w:rsid w:val="3F703D4E"/>
    <w:rsid w:val="3F822094"/>
    <w:rsid w:val="3F851E9F"/>
    <w:rsid w:val="3F864E74"/>
    <w:rsid w:val="3F870AE8"/>
    <w:rsid w:val="3F911257"/>
    <w:rsid w:val="3FCD5180"/>
    <w:rsid w:val="3FDC1CFC"/>
    <w:rsid w:val="400E13F7"/>
    <w:rsid w:val="40173C06"/>
    <w:rsid w:val="40205212"/>
    <w:rsid w:val="40210CE8"/>
    <w:rsid w:val="40362AC3"/>
    <w:rsid w:val="40395D8D"/>
    <w:rsid w:val="404F5615"/>
    <w:rsid w:val="406C497A"/>
    <w:rsid w:val="407A6407"/>
    <w:rsid w:val="408B041B"/>
    <w:rsid w:val="40972C3D"/>
    <w:rsid w:val="40A271C7"/>
    <w:rsid w:val="40C213F8"/>
    <w:rsid w:val="40C27E13"/>
    <w:rsid w:val="40CA310D"/>
    <w:rsid w:val="40EB2E68"/>
    <w:rsid w:val="410A53D2"/>
    <w:rsid w:val="4134674D"/>
    <w:rsid w:val="413562DF"/>
    <w:rsid w:val="414B354F"/>
    <w:rsid w:val="415C2BA5"/>
    <w:rsid w:val="4190371B"/>
    <w:rsid w:val="41971D96"/>
    <w:rsid w:val="41CC7B9B"/>
    <w:rsid w:val="41D62B6E"/>
    <w:rsid w:val="41EC302C"/>
    <w:rsid w:val="41EE7B19"/>
    <w:rsid w:val="41FB3F08"/>
    <w:rsid w:val="41FC466C"/>
    <w:rsid w:val="4200449D"/>
    <w:rsid w:val="42070AD5"/>
    <w:rsid w:val="42091457"/>
    <w:rsid w:val="42241D3D"/>
    <w:rsid w:val="422814B4"/>
    <w:rsid w:val="422E085B"/>
    <w:rsid w:val="423A3BCC"/>
    <w:rsid w:val="424E57D2"/>
    <w:rsid w:val="42507CFC"/>
    <w:rsid w:val="42531291"/>
    <w:rsid w:val="4258464E"/>
    <w:rsid w:val="42724B59"/>
    <w:rsid w:val="42764AD5"/>
    <w:rsid w:val="42997ACA"/>
    <w:rsid w:val="42B26C49"/>
    <w:rsid w:val="42B53286"/>
    <w:rsid w:val="42C84357"/>
    <w:rsid w:val="42D16300"/>
    <w:rsid w:val="42E10B89"/>
    <w:rsid w:val="42E45EE2"/>
    <w:rsid w:val="42E9137C"/>
    <w:rsid w:val="42E93C59"/>
    <w:rsid w:val="42FB1127"/>
    <w:rsid w:val="431B686A"/>
    <w:rsid w:val="431D03AC"/>
    <w:rsid w:val="433A6FE6"/>
    <w:rsid w:val="43480868"/>
    <w:rsid w:val="43502877"/>
    <w:rsid w:val="4350713C"/>
    <w:rsid w:val="43536CDE"/>
    <w:rsid w:val="43553159"/>
    <w:rsid w:val="43662BF4"/>
    <w:rsid w:val="436653E0"/>
    <w:rsid w:val="436C2636"/>
    <w:rsid w:val="438034D2"/>
    <w:rsid w:val="43825AF5"/>
    <w:rsid w:val="438A4CDB"/>
    <w:rsid w:val="439E75CD"/>
    <w:rsid w:val="43B70035"/>
    <w:rsid w:val="43B92ECB"/>
    <w:rsid w:val="43C4431A"/>
    <w:rsid w:val="43CF65EB"/>
    <w:rsid w:val="43E82CAA"/>
    <w:rsid w:val="43F81343"/>
    <w:rsid w:val="44024D58"/>
    <w:rsid w:val="443D7A64"/>
    <w:rsid w:val="44427DD3"/>
    <w:rsid w:val="44447A3A"/>
    <w:rsid w:val="44667BAE"/>
    <w:rsid w:val="44734E71"/>
    <w:rsid w:val="44766DF4"/>
    <w:rsid w:val="44791610"/>
    <w:rsid w:val="44854617"/>
    <w:rsid w:val="4486115D"/>
    <w:rsid w:val="4493196E"/>
    <w:rsid w:val="44B31C21"/>
    <w:rsid w:val="44B77BC4"/>
    <w:rsid w:val="44B951CC"/>
    <w:rsid w:val="44CD14E0"/>
    <w:rsid w:val="44D04970"/>
    <w:rsid w:val="44D06196"/>
    <w:rsid w:val="44D64BB2"/>
    <w:rsid w:val="44DD3875"/>
    <w:rsid w:val="44E95A99"/>
    <w:rsid w:val="44EE6885"/>
    <w:rsid w:val="44F20B0B"/>
    <w:rsid w:val="44F81BAD"/>
    <w:rsid w:val="44F87658"/>
    <w:rsid w:val="45205DA9"/>
    <w:rsid w:val="452D20D9"/>
    <w:rsid w:val="452E5636"/>
    <w:rsid w:val="452E5F4C"/>
    <w:rsid w:val="45612018"/>
    <w:rsid w:val="458946E9"/>
    <w:rsid w:val="45910CFE"/>
    <w:rsid w:val="45A02645"/>
    <w:rsid w:val="45A47C0E"/>
    <w:rsid w:val="45D46108"/>
    <w:rsid w:val="463B631E"/>
    <w:rsid w:val="46487256"/>
    <w:rsid w:val="464D2756"/>
    <w:rsid w:val="46572CEA"/>
    <w:rsid w:val="46577FD6"/>
    <w:rsid w:val="46716FB4"/>
    <w:rsid w:val="46815E9E"/>
    <w:rsid w:val="4683261E"/>
    <w:rsid w:val="46835782"/>
    <w:rsid w:val="468B0023"/>
    <w:rsid w:val="46A13D52"/>
    <w:rsid w:val="46B65A92"/>
    <w:rsid w:val="46C31924"/>
    <w:rsid w:val="46C751FE"/>
    <w:rsid w:val="46CF5590"/>
    <w:rsid w:val="46D955A7"/>
    <w:rsid w:val="46DC33BA"/>
    <w:rsid w:val="46E72FA4"/>
    <w:rsid w:val="46F07ED9"/>
    <w:rsid w:val="47133957"/>
    <w:rsid w:val="47283376"/>
    <w:rsid w:val="47296595"/>
    <w:rsid w:val="47372465"/>
    <w:rsid w:val="475007F8"/>
    <w:rsid w:val="47570E5E"/>
    <w:rsid w:val="475C3947"/>
    <w:rsid w:val="477F705E"/>
    <w:rsid w:val="47A07E0C"/>
    <w:rsid w:val="47A22E93"/>
    <w:rsid w:val="47B57DB9"/>
    <w:rsid w:val="47B96E0F"/>
    <w:rsid w:val="47CB06D0"/>
    <w:rsid w:val="47DC4159"/>
    <w:rsid w:val="47E16994"/>
    <w:rsid w:val="47E40C0C"/>
    <w:rsid w:val="47F53716"/>
    <w:rsid w:val="47FF28D0"/>
    <w:rsid w:val="48081689"/>
    <w:rsid w:val="480923F8"/>
    <w:rsid w:val="480973DE"/>
    <w:rsid w:val="482803EC"/>
    <w:rsid w:val="4862077F"/>
    <w:rsid w:val="486C08CE"/>
    <w:rsid w:val="4870272E"/>
    <w:rsid w:val="487975C4"/>
    <w:rsid w:val="488D1A7C"/>
    <w:rsid w:val="48AD3F30"/>
    <w:rsid w:val="48B52F16"/>
    <w:rsid w:val="48B620CF"/>
    <w:rsid w:val="48B71AB2"/>
    <w:rsid w:val="48C50CCB"/>
    <w:rsid w:val="48F055E1"/>
    <w:rsid w:val="48F32542"/>
    <w:rsid w:val="49133BE6"/>
    <w:rsid w:val="4931055C"/>
    <w:rsid w:val="493F76DE"/>
    <w:rsid w:val="4969284C"/>
    <w:rsid w:val="4981092F"/>
    <w:rsid w:val="498521CD"/>
    <w:rsid w:val="498E71CF"/>
    <w:rsid w:val="49912465"/>
    <w:rsid w:val="49AB3144"/>
    <w:rsid w:val="49BC718F"/>
    <w:rsid w:val="49C73862"/>
    <w:rsid w:val="49C93AAD"/>
    <w:rsid w:val="49DC7715"/>
    <w:rsid w:val="49DD49F7"/>
    <w:rsid w:val="49F30042"/>
    <w:rsid w:val="4A0066D8"/>
    <w:rsid w:val="4A023139"/>
    <w:rsid w:val="4A58601F"/>
    <w:rsid w:val="4A6524A0"/>
    <w:rsid w:val="4A657B14"/>
    <w:rsid w:val="4A783AE0"/>
    <w:rsid w:val="4A796DCB"/>
    <w:rsid w:val="4A7B576F"/>
    <w:rsid w:val="4A7D4E6D"/>
    <w:rsid w:val="4A902BA9"/>
    <w:rsid w:val="4AA24F72"/>
    <w:rsid w:val="4AC802F4"/>
    <w:rsid w:val="4ADC3537"/>
    <w:rsid w:val="4AE724C4"/>
    <w:rsid w:val="4AF561A9"/>
    <w:rsid w:val="4B0D0853"/>
    <w:rsid w:val="4B162AE9"/>
    <w:rsid w:val="4B255903"/>
    <w:rsid w:val="4B357006"/>
    <w:rsid w:val="4B3E6D07"/>
    <w:rsid w:val="4B415F15"/>
    <w:rsid w:val="4B496BA3"/>
    <w:rsid w:val="4B520799"/>
    <w:rsid w:val="4B5A7B3E"/>
    <w:rsid w:val="4B6C07A7"/>
    <w:rsid w:val="4B6C665C"/>
    <w:rsid w:val="4B722F43"/>
    <w:rsid w:val="4B7B5D52"/>
    <w:rsid w:val="4B8B1586"/>
    <w:rsid w:val="4B9A4A86"/>
    <w:rsid w:val="4BD44051"/>
    <w:rsid w:val="4BF24749"/>
    <w:rsid w:val="4BFF5ED2"/>
    <w:rsid w:val="4C08034A"/>
    <w:rsid w:val="4C0D36D2"/>
    <w:rsid w:val="4C134198"/>
    <w:rsid w:val="4C165835"/>
    <w:rsid w:val="4C2A31E4"/>
    <w:rsid w:val="4C3117D0"/>
    <w:rsid w:val="4C341FF6"/>
    <w:rsid w:val="4C361A7C"/>
    <w:rsid w:val="4C4A0649"/>
    <w:rsid w:val="4C61110D"/>
    <w:rsid w:val="4C7229C4"/>
    <w:rsid w:val="4C7851BA"/>
    <w:rsid w:val="4C7E5ECA"/>
    <w:rsid w:val="4C802E40"/>
    <w:rsid w:val="4C876AA5"/>
    <w:rsid w:val="4C8E749A"/>
    <w:rsid w:val="4C9B359D"/>
    <w:rsid w:val="4CA3182A"/>
    <w:rsid w:val="4CA43708"/>
    <w:rsid w:val="4CAA7DEC"/>
    <w:rsid w:val="4CB22665"/>
    <w:rsid w:val="4CC5226E"/>
    <w:rsid w:val="4CC64174"/>
    <w:rsid w:val="4CE415DF"/>
    <w:rsid w:val="4CEC0FC2"/>
    <w:rsid w:val="4D05234D"/>
    <w:rsid w:val="4D0B486F"/>
    <w:rsid w:val="4D0E00FB"/>
    <w:rsid w:val="4D0F2F67"/>
    <w:rsid w:val="4D176606"/>
    <w:rsid w:val="4D424C2C"/>
    <w:rsid w:val="4D571B68"/>
    <w:rsid w:val="4D7128FF"/>
    <w:rsid w:val="4D725A77"/>
    <w:rsid w:val="4D920DD9"/>
    <w:rsid w:val="4D9C6058"/>
    <w:rsid w:val="4DA14A71"/>
    <w:rsid w:val="4DA94D88"/>
    <w:rsid w:val="4DBA7040"/>
    <w:rsid w:val="4DC41FE3"/>
    <w:rsid w:val="4DC810AF"/>
    <w:rsid w:val="4DCB05CD"/>
    <w:rsid w:val="4DEC4FB0"/>
    <w:rsid w:val="4DEF2D59"/>
    <w:rsid w:val="4DF97333"/>
    <w:rsid w:val="4DFF1E22"/>
    <w:rsid w:val="4E075D8A"/>
    <w:rsid w:val="4E2D47A9"/>
    <w:rsid w:val="4E335FC5"/>
    <w:rsid w:val="4E405B08"/>
    <w:rsid w:val="4E551D01"/>
    <w:rsid w:val="4E602827"/>
    <w:rsid w:val="4E80347F"/>
    <w:rsid w:val="4E8E6350"/>
    <w:rsid w:val="4EB421D2"/>
    <w:rsid w:val="4EBA3F7E"/>
    <w:rsid w:val="4EC00FAD"/>
    <w:rsid w:val="4ECA0395"/>
    <w:rsid w:val="4ED4087C"/>
    <w:rsid w:val="4EE00CF0"/>
    <w:rsid w:val="4EE10585"/>
    <w:rsid w:val="4EF35442"/>
    <w:rsid w:val="4F0F7256"/>
    <w:rsid w:val="4F1D5D58"/>
    <w:rsid w:val="4F1F6DF4"/>
    <w:rsid w:val="4F396A76"/>
    <w:rsid w:val="4F6125DB"/>
    <w:rsid w:val="4F671D15"/>
    <w:rsid w:val="4F6D7FAB"/>
    <w:rsid w:val="4F70790A"/>
    <w:rsid w:val="4F7F35E3"/>
    <w:rsid w:val="4F8460A5"/>
    <w:rsid w:val="4F8C1D47"/>
    <w:rsid w:val="4F9843DC"/>
    <w:rsid w:val="4FB13634"/>
    <w:rsid w:val="4FC62A8C"/>
    <w:rsid w:val="4FCC2DC9"/>
    <w:rsid w:val="4FE20F0D"/>
    <w:rsid w:val="4FE51552"/>
    <w:rsid w:val="4FE52C74"/>
    <w:rsid w:val="4FE52DC8"/>
    <w:rsid w:val="4FF7028D"/>
    <w:rsid w:val="4FFC7243"/>
    <w:rsid w:val="500F14E7"/>
    <w:rsid w:val="502244F9"/>
    <w:rsid w:val="50340914"/>
    <w:rsid w:val="50504C4B"/>
    <w:rsid w:val="505863F8"/>
    <w:rsid w:val="508E41D7"/>
    <w:rsid w:val="50966A6E"/>
    <w:rsid w:val="509A4DD8"/>
    <w:rsid w:val="509C6E7C"/>
    <w:rsid w:val="50A60276"/>
    <w:rsid w:val="50BC1F11"/>
    <w:rsid w:val="50BF2AE0"/>
    <w:rsid w:val="50D130E4"/>
    <w:rsid w:val="50ED0658"/>
    <w:rsid w:val="50FF46CA"/>
    <w:rsid w:val="510B08E5"/>
    <w:rsid w:val="511A37CB"/>
    <w:rsid w:val="514209A3"/>
    <w:rsid w:val="514B503A"/>
    <w:rsid w:val="5162104E"/>
    <w:rsid w:val="517737A2"/>
    <w:rsid w:val="51835F5D"/>
    <w:rsid w:val="518426E9"/>
    <w:rsid w:val="518E2430"/>
    <w:rsid w:val="518E5555"/>
    <w:rsid w:val="51910EB0"/>
    <w:rsid w:val="51B033A3"/>
    <w:rsid w:val="51B73895"/>
    <w:rsid w:val="51BF61BE"/>
    <w:rsid w:val="51C130DD"/>
    <w:rsid w:val="51CC48AB"/>
    <w:rsid w:val="51CE232D"/>
    <w:rsid w:val="51D6298A"/>
    <w:rsid w:val="51E26721"/>
    <w:rsid w:val="51EA0BCE"/>
    <w:rsid w:val="52031E4C"/>
    <w:rsid w:val="52150E2F"/>
    <w:rsid w:val="52156097"/>
    <w:rsid w:val="52251F91"/>
    <w:rsid w:val="523907DD"/>
    <w:rsid w:val="523E7EAC"/>
    <w:rsid w:val="52AA6356"/>
    <w:rsid w:val="52EB25E5"/>
    <w:rsid w:val="532700A4"/>
    <w:rsid w:val="532A715E"/>
    <w:rsid w:val="53343D59"/>
    <w:rsid w:val="53464DA1"/>
    <w:rsid w:val="534A6351"/>
    <w:rsid w:val="5368359A"/>
    <w:rsid w:val="537962DC"/>
    <w:rsid w:val="538D7C23"/>
    <w:rsid w:val="53A039CC"/>
    <w:rsid w:val="53A1505A"/>
    <w:rsid w:val="53A62765"/>
    <w:rsid w:val="53AC47FA"/>
    <w:rsid w:val="53AD272C"/>
    <w:rsid w:val="53C5091A"/>
    <w:rsid w:val="53C54903"/>
    <w:rsid w:val="53CA27E8"/>
    <w:rsid w:val="53CB3C2C"/>
    <w:rsid w:val="53D3079D"/>
    <w:rsid w:val="53E07CC5"/>
    <w:rsid w:val="54063E08"/>
    <w:rsid w:val="540A44EA"/>
    <w:rsid w:val="540D11A9"/>
    <w:rsid w:val="542B294E"/>
    <w:rsid w:val="543437E8"/>
    <w:rsid w:val="543A0C1F"/>
    <w:rsid w:val="54440632"/>
    <w:rsid w:val="546610B6"/>
    <w:rsid w:val="54772413"/>
    <w:rsid w:val="54AB7527"/>
    <w:rsid w:val="54B218F6"/>
    <w:rsid w:val="54B62590"/>
    <w:rsid w:val="54CD4A28"/>
    <w:rsid w:val="54EA3903"/>
    <w:rsid w:val="54F11796"/>
    <w:rsid w:val="54F73313"/>
    <w:rsid w:val="54F80955"/>
    <w:rsid w:val="55025226"/>
    <w:rsid w:val="55112BD9"/>
    <w:rsid w:val="55130D85"/>
    <w:rsid w:val="552B694E"/>
    <w:rsid w:val="552B6FAB"/>
    <w:rsid w:val="555170A7"/>
    <w:rsid w:val="55580927"/>
    <w:rsid w:val="555B2062"/>
    <w:rsid w:val="55607712"/>
    <w:rsid w:val="55797A50"/>
    <w:rsid w:val="557B0AD4"/>
    <w:rsid w:val="5587536D"/>
    <w:rsid w:val="559B174B"/>
    <w:rsid w:val="55A1663E"/>
    <w:rsid w:val="55B37A21"/>
    <w:rsid w:val="55CE0CF4"/>
    <w:rsid w:val="55F4341E"/>
    <w:rsid w:val="562331BD"/>
    <w:rsid w:val="563128F4"/>
    <w:rsid w:val="5635455E"/>
    <w:rsid w:val="563C3923"/>
    <w:rsid w:val="564E2A89"/>
    <w:rsid w:val="567902A2"/>
    <w:rsid w:val="567A4EA2"/>
    <w:rsid w:val="56833BAA"/>
    <w:rsid w:val="568B5DBD"/>
    <w:rsid w:val="56A87E7A"/>
    <w:rsid w:val="56B22A9C"/>
    <w:rsid w:val="56D91034"/>
    <w:rsid w:val="56E213A6"/>
    <w:rsid w:val="56F92D0B"/>
    <w:rsid w:val="57037C29"/>
    <w:rsid w:val="5720694B"/>
    <w:rsid w:val="57215303"/>
    <w:rsid w:val="5733761B"/>
    <w:rsid w:val="57363626"/>
    <w:rsid w:val="573954BE"/>
    <w:rsid w:val="573E3FD0"/>
    <w:rsid w:val="57466AE5"/>
    <w:rsid w:val="574F7976"/>
    <w:rsid w:val="57643855"/>
    <w:rsid w:val="57917C49"/>
    <w:rsid w:val="57996E43"/>
    <w:rsid w:val="579C6FDE"/>
    <w:rsid w:val="579D222A"/>
    <w:rsid w:val="579F68AE"/>
    <w:rsid w:val="57B72A76"/>
    <w:rsid w:val="57C3426C"/>
    <w:rsid w:val="57CE1F93"/>
    <w:rsid w:val="57D53B16"/>
    <w:rsid w:val="57E159CA"/>
    <w:rsid w:val="58425436"/>
    <w:rsid w:val="585A2DA9"/>
    <w:rsid w:val="58760C45"/>
    <w:rsid w:val="58766CFB"/>
    <w:rsid w:val="587A3A1C"/>
    <w:rsid w:val="587F072F"/>
    <w:rsid w:val="588743D1"/>
    <w:rsid w:val="5887701A"/>
    <w:rsid w:val="588D376D"/>
    <w:rsid w:val="588E51F5"/>
    <w:rsid w:val="588F4822"/>
    <w:rsid w:val="58B0165C"/>
    <w:rsid w:val="58B7255A"/>
    <w:rsid w:val="58C43B4E"/>
    <w:rsid w:val="58D9699D"/>
    <w:rsid w:val="58E369D6"/>
    <w:rsid w:val="58E77B01"/>
    <w:rsid w:val="58F40E9A"/>
    <w:rsid w:val="58FD7AFF"/>
    <w:rsid w:val="59022753"/>
    <w:rsid w:val="592402F7"/>
    <w:rsid w:val="592909E0"/>
    <w:rsid w:val="59321129"/>
    <w:rsid w:val="5936505F"/>
    <w:rsid w:val="593C1C42"/>
    <w:rsid w:val="595549F4"/>
    <w:rsid w:val="59624F05"/>
    <w:rsid w:val="59882F1C"/>
    <w:rsid w:val="59A56C56"/>
    <w:rsid w:val="59C0439F"/>
    <w:rsid w:val="59CA5B59"/>
    <w:rsid w:val="59D55467"/>
    <w:rsid w:val="59E832FB"/>
    <w:rsid w:val="5A0D5487"/>
    <w:rsid w:val="5A202404"/>
    <w:rsid w:val="5A57659A"/>
    <w:rsid w:val="5A772D55"/>
    <w:rsid w:val="5AB11D73"/>
    <w:rsid w:val="5AB227B8"/>
    <w:rsid w:val="5ABD121A"/>
    <w:rsid w:val="5ABE2233"/>
    <w:rsid w:val="5ACE241C"/>
    <w:rsid w:val="5AD77582"/>
    <w:rsid w:val="5ADF0AE4"/>
    <w:rsid w:val="5AE16FCF"/>
    <w:rsid w:val="5AED7473"/>
    <w:rsid w:val="5AF30BB9"/>
    <w:rsid w:val="5B022193"/>
    <w:rsid w:val="5B15162F"/>
    <w:rsid w:val="5B205384"/>
    <w:rsid w:val="5B280C0A"/>
    <w:rsid w:val="5B2846A4"/>
    <w:rsid w:val="5B305D11"/>
    <w:rsid w:val="5B3114CD"/>
    <w:rsid w:val="5B394BF9"/>
    <w:rsid w:val="5B3D2D9E"/>
    <w:rsid w:val="5B630ABC"/>
    <w:rsid w:val="5B7845FE"/>
    <w:rsid w:val="5B795891"/>
    <w:rsid w:val="5B7D069A"/>
    <w:rsid w:val="5B843E81"/>
    <w:rsid w:val="5B9C0E61"/>
    <w:rsid w:val="5BA0794A"/>
    <w:rsid w:val="5BBF11CF"/>
    <w:rsid w:val="5BDF5D95"/>
    <w:rsid w:val="5BE07790"/>
    <w:rsid w:val="5BEB35C7"/>
    <w:rsid w:val="5BF50F00"/>
    <w:rsid w:val="5BFE7528"/>
    <w:rsid w:val="5C027DC5"/>
    <w:rsid w:val="5C080114"/>
    <w:rsid w:val="5C096940"/>
    <w:rsid w:val="5C1E52D6"/>
    <w:rsid w:val="5C2A66BA"/>
    <w:rsid w:val="5C36554E"/>
    <w:rsid w:val="5C3856CC"/>
    <w:rsid w:val="5C4F0418"/>
    <w:rsid w:val="5C7A4D9E"/>
    <w:rsid w:val="5C910A31"/>
    <w:rsid w:val="5C931A04"/>
    <w:rsid w:val="5CAF1626"/>
    <w:rsid w:val="5CB205F3"/>
    <w:rsid w:val="5CBD2AE9"/>
    <w:rsid w:val="5CCB1FBD"/>
    <w:rsid w:val="5CCF7EA7"/>
    <w:rsid w:val="5D110667"/>
    <w:rsid w:val="5D1D36B0"/>
    <w:rsid w:val="5D1D797F"/>
    <w:rsid w:val="5D225127"/>
    <w:rsid w:val="5D2A0C63"/>
    <w:rsid w:val="5D361DC4"/>
    <w:rsid w:val="5D375348"/>
    <w:rsid w:val="5D4D27CF"/>
    <w:rsid w:val="5D5B5319"/>
    <w:rsid w:val="5D6D45AA"/>
    <w:rsid w:val="5D766250"/>
    <w:rsid w:val="5D840C48"/>
    <w:rsid w:val="5D8F304E"/>
    <w:rsid w:val="5D905838"/>
    <w:rsid w:val="5DEE2A72"/>
    <w:rsid w:val="5DF11D8B"/>
    <w:rsid w:val="5DF26BED"/>
    <w:rsid w:val="5DFF2A93"/>
    <w:rsid w:val="5E044F5D"/>
    <w:rsid w:val="5E0B174D"/>
    <w:rsid w:val="5E1F1DEC"/>
    <w:rsid w:val="5E2467F1"/>
    <w:rsid w:val="5E293CC8"/>
    <w:rsid w:val="5E2F0501"/>
    <w:rsid w:val="5E321EBA"/>
    <w:rsid w:val="5E3D361F"/>
    <w:rsid w:val="5E3E74D3"/>
    <w:rsid w:val="5E485DD6"/>
    <w:rsid w:val="5E4C4969"/>
    <w:rsid w:val="5E500160"/>
    <w:rsid w:val="5E891F93"/>
    <w:rsid w:val="5E940ABD"/>
    <w:rsid w:val="5EC45DE9"/>
    <w:rsid w:val="5ECD2180"/>
    <w:rsid w:val="5EE4061B"/>
    <w:rsid w:val="5EE4753E"/>
    <w:rsid w:val="5EEA602F"/>
    <w:rsid w:val="5EFC0195"/>
    <w:rsid w:val="5F0C1CC4"/>
    <w:rsid w:val="5F1A2B43"/>
    <w:rsid w:val="5F200162"/>
    <w:rsid w:val="5F201484"/>
    <w:rsid w:val="5F2366A5"/>
    <w:rsid w:val="5F283D41"/>
    <w:rsid w:val="5F2F594E"/>
    <w:rsid w:val="5F433550"/>
    <w:rsid w:val="5F471FD7"/>
    <w:rsid w:val="5F503643"/>
    <w:rsid w:val="5F770804"/>
    <w:rsid w:val="5F842BFA"/>
    <w:rsid w:val="5F9342A5"/>
    <w:rsid w:val="5F970074"/>
    <w:rsid w:val="5FB837BB"/>
    <w:rsid w:val="5FDA157C"/>
    <w:rsid w:val="5FE27F4A"/>
    <w:rsid w:val="5FED4EE9"/>
    <w:rsid w:val="5FFC3ECF"/>
    <w:rsid w:val="6002299A"/>
    <w:rsid w:val="6002365A"/>
    <w:rsid w:val="60283F9A"/>
    <w:rsid w:val="60285208"/>
    <w:rsid w:val="60295F66"/>
    <w:rsid w:val="603C3A3D"/>
    <w:rsid w:val="603F525F"/>
    <w:rsid w:val="60452A41"/>
    <w:rsid w:val="604A7B30"/>
    <w:rsid w:val="60610066"/>
    <w:rsid w:val="60633B6C"/>
    <w:rsid w:val="6065645C"/>
    <w:rsid w:val="607507EE"/>
    <w:rsid w:val="60760A3F"/>
    <w:rsid w:val="60786BB4"/>
    <w:rsid w:val="60792E9B"/>
    <w:rsid w:val="60842EBF"/>
    <w:rsid w:val="60844B35"/>
    <w:rsid w:val="60870528"/>
    <w:rsid w:val="60955C2D"/>
    <w:rsid w:val="609A3043"/>
    <w:rsid w:val="60AD095A"/>
    <w:rsid w:val="60CC405A"/>
    <w:rsid w:val="60D2057D"/>
    <w:rsid w:val="60D65D34"/>
    <w:rsid w:val="60E23800"/>
    <w:rsid w:val="60E96DB8"/>
    <w:rsid w:val="610D5571"/>
    <w:rsid w:val="61312427"/>
    <w:rsid w:val="61402DD9"/>
    <w:rsid w:val="61430134"/>
    <w:rsid w:val="6172036F"/>
    <w:rsid w:val="618A256A"/>
    <w:rsid w:val="618E69E6"/>
    <w:rsid w:val="61A304D2"/>
    <w:rsid w:val="61AF2091"/>
    <w:rsid w:val="61BB476E"/>
    <w:rsid w:val="61BE6571"/>
    <w:rsid w:val="61E215D8"/>
    <w:rsid w:val="61E92137"/>
    <w:rsid w:val="61FE57D4"/>
    <w:rsid w:val="620620DA"/>
    <w:rsid w:val="62084933"/>
    <w:rsid w:val="62105ED3"/>
    <w:rsid w:val="621367F8"/>
    <w:rsid w:val="621B3775"/>
    <w:rsid w:val="62364782"/>
    <w:rsid w:val="6243779C"/>
    <w:rsid w:val="624A7C23"/>
    <w:rsid w:val="624B60B8"/>
    <w:rsid w:val="627D7FA7"/>
    <w:rsid w:val="62874BFA"/>
    <w:rsid w:val="628A7A3B"/>
    <w:rsid w:val="62917D42"/>
    <w:rsid w:val="62A23F3F"/>
    <w:rsid w:val="62A27A5E"/>
    <w:rsid w:val="62C61100"/>
    <w:rsid w:val="62D005AD"/>
    <w:rsid w:val="62D8207A"/>
    <w:rsid w:val="62F473D5"/>
    <w:rsid w:val="62F82F7B"/>
    <w:rsid w:val="63330483"/>
    <w:rsid w:val="633D43AB"/>
    <w:rsid w:val="633E198C"/>
    <w:rsid w:val="63420136"/>
    <w:rsid w:val="634C100D"/>
    <w:rsid w:val="63535997"/>
    <w:rsid w:val="6355058C"/>
    <w:rsid w:val="635C01AA"/>
    <w:rsid w:val="63687CE2"/>
    <w:rsid w:val="6394356A"/>
    <w:rsid w:val="63A47435"/>
    <w:rsid w:val="63AB4C27"/>
    <w:rsid w:val="63B44108"/>
    <w:rsid w:val="63C61B2C"/>
    <w:rsid w:val="63D40BE9"/>
    <w:rsid w:val="63E87188"/>
    <w:rsid w:val="640A4C20"/>
    <w:rsid w:val="64102431"/>
    <w:rsid w:val="641F304E"/>
    <w:rsid w:val="641F7451"/>
    <w:rsid w:val="64302E92"/>
    <w:rsid w:val="64311637"/>
    <w:rsid w:val="644237A0"/>
    <w:rsid w:val="644316E4"/>
    <w:rsid w:val="64516369"/>
    <w:rsid w:val="64567C1B"/>
    <w:rsid w:val="6479300C"/>
    <w:rsid w:val="648F3AA8"/>
    <w:rsid w:val="649C30F9"/>
    <w:rsid w:val="649D1304"/>
    <w:rsid w:val="64A4219D"/>
    <w:rsid w:val="64A5243A"/>
    <w:rsid w:val="64BD3169"/>
    <w:rsid w:val="64F17B4B"/>
    <w:rsid w:val="64F531DE"/>
    <w:rsid w:val="650C50F9"/>
    <w:rsid w:val="65110D51"/>
    <w:rsid w:val="65373578"/>
    <w:rsid w:val="653C49C8"/>
    <w:rsid w:val="65661885"/>
    <w:rsid w:val="657371B1"/>
    <w:rsid w:val="65AD1D09"/>
    <w:rsid w:val="65C25756"/>
    <w:rsid w:val="65C84576"/>
    <w:rsid w:val="65D32730"/>
    <w:rsid w:val="65DF37BF"/>
    <w:rsid w:val="65E03A31"/>
    <w:rsid w:val="65F546AF"/>
    <w:rsid w:val="660B2B83"/>
    <w:rsid w:val="660D311A"/>
    <w:rsid w:val="661978F4"/>
    <w:rsid w:val="66264B32"/>
    <w:rsid w:val="662768C2"/>
    <w:rsid w:val="662C2BF7"/>
    <w:rsid w:val="66335CB7"/>
    <w:rsid w:val="66456D3C"/>
    <w:rsid w:val="664A7A0D"/>
    <w:rsid w:val="665027BF"/>
    <w:rsid w:val="66520D95"/>
    <w:rsid w:val="668646D1"/>
    <w:rsid w:val="66A4646F"/>
    <w:rsid w:val="66BF4F10"/>
    <w:rsid w:val="66CC12DF"/>
    <w:rsid w:val="66D90802"/>
    <w:rsid w:val="66DB0A2A"/>
    <w:rsid w:val="66E1652B"/>
    <w:rsid w:val="66FA3EFC"/>
    <w:rsid w:val="670213EA"/>
    <w:rsid w:val="67137C8C"/>
    <w:rsid w:val="671E042A"/>
    <w:rsid w:val="671F124A"/>
    <w:rsid w:val="67211A19"/>
    <w:rsid w:val="67232090"/>
    <w:rsid w:val="67256B5F"/>
    <w:rsid w:val="672E151A"/>
    <w:rsid w:val="67334BBF"/>
    <w:rsid w:val="6736645D"/>
    <w:rsid w:val="6750380B"/>
    <w:rsid w:val="6752622F"/>
    <w:rsid w:val="67554DBC"/>
    <w:rsid w:val="677A33C6"/>
    <w:rsid w:val="678513D5"/>
    <w:rsid w:val="678C53BC"/>
    <w:rsid w:val="67B5480C"/>
    <w:rsid w:val="67BA0E9B"/>
    <w:rsid w:val="67CA4925"/>
    <w:rsid w:val="67D604D7"/>
    <w:rsid w:val="67DD697D"/>
    <w:rsid w:val="68030B8B"/>
    <w:rsid w:val="68076CC1"/>
    <w:rsid w:val="680F433D"/>
    <w:rsid w:val="68150768"/>
    <w:rsid w:val="681F6961"/>
    <w:rsid w:val="68304867"/>
    <w:rsid w:val="68376317"/>
    <w:rsid w:val="685051C9"/>
    <w:rsid w:val="68610A2F"/>
    <w:rsid w:val="68781BB1"/>
    <w:rsid w:val="68805514"/>
    <w:rsid w:val="6883707F"/>
    <w:rsid w:val="68920F21"/>
    <w:rsid w:val="689D7452"/>
    <w:rsid w:val="68B12009"/>
    <w:rsid w:val="68C12D95"/>
    <w:rsid w:val="68CD1855"/>
    <w:rsid w:val="68CE2A78"/>
    <w:rsid w:val="68D56291"/>
    <w:rsid w:val="68DD0D46"/>
    <w:rsid w:val="68E7034E"/>
    <w:rsid w:val="68EE66C6"/>
    <w:rsid w:val="68F13618"/>
    <w:rsid w:val="68FF489C"/>
    <w:rsid w:val="6906603D"/>
    <w:rsid w:val="69097B17"/>
    <w:rsid w:val="69316E2F"/>
    <w:rsid w:val="694E2071"/>
    <w:rsid w:val="696030A5"/>
    <w:rsid w:val="69656B9A"/>
    <w:rsid w:val="696656AE"/>
    <w:rsid w:val="69665978"/>
    <w:rsid w:val="696B1659"/>
    <w:rsid w:val="69766163"/>
    <w:rsid w:val="697A3B33"/>
    <w:rsid w:val="69856185"/>
    <w:rsid w:val="69A32E61"/>
    <w:rsid w:val="69AF0D7F"/>
    <w:rsid w:val="69CD27F4"/>
    <w:rsid w:val="69D44760"/>
    <w:rsid w:val="69E1722F"/>
    <w:rsid w:val="69F45B9B"/>
    <w:rsid w:val="6A19471D"/>
    <w:rsid w:val="6A286B42"/>
    <w:rsid w:val="6A3868BF"/>
    <w:rsid w:val="6A402057"/>
    <w:rsid w:val="6A520EC7"/>
    <w:rsid w:val="6A7971DA"/>
    <w:rsid w:val="6A7A2DF9"/>
    <w:rsid w:val="6A7B611C"/>
    <w:rsid w:val="6A7F5800"/>
    <w:rsid w:val="6A8E73A2"/>
    <w:rsid w:val="6A9B7F92"/>
    <w:rsid w:val="6ABB06A5"/>
    <w:rsid w:val="6AC76CD4"/>
    <w:rsid w:val="6ACE49C9"/>
    <w:rsid w:val="6ACF1471"/>
    <w:rsid w:val="6AE37FAB"/>
    <w:rsid w:val="6AE452FF"/>
    <w:rsid w:val="6AF05745"/>
    <w:rsid w:val="6AF87E20"/>
    <w:rsid w:val="6B322639"/>
    <w:rsid w:val="6B4A192F"/>
    <w:rsid w:val="6B7907D1"/>
    <w:rsid w:val="6BAE3F69"/>
    <w:rsid w:val="6BB53171"/>
    <w:rsid w:val="6BB8103F"/>
    <w:rsid w:val="6BB838ED"/>
    <w:rsid w:val="6BBD0EFB"/>
    <w:rsid w:val="6BCB007C"/>
    <w:rsid w:val="6BDB5A6B"/>
    <w:rsid w:val="6BE648F5"/>
    <w:rsid w:val="6BEC7C58"/>
    <w:rsid w:val="6BF32143"/>
    <w:rsid w:val="6C186F7E"/>
    <w:rsid w:val="6C1B1480"/>
    <w:rsid w:val="6C2F0E96"/>
    <w:rsid w:val="6C36149E"/>
    <w:rsid w:val="6C37484A"/>
    <w:rsid w:val="6C3A079D"/>
    <w:rsid w:val="6C421064"/>
    <w:rsid w:val="6C4212BE"/>
    <w:rsid w:val="6C4543BE"/>
    <w:rsid w:val="6C636C38"/>
    <w:rsid w:val="6C706B10"/>
    <w:rsid w:val="6C762432"/>
    <w:rsid w:val="6C8B33DF"/>
    <w:rsid w:val="6CA15E71"/>
    <w:rsid w:val="6CB5516F"/>
    <w:rsid w:val="6CBE1E6A"/>
    <w:rsid w:val="6CC51F6E"/>
    <w:rsid w:val="6CE963DB"/>
    <w:rsid w:val="6CEC03EE"/>
    <w:rsid w:val="6CF1411B"/>
    <w:rsid w:val="6D0326C3"/>
    <w:rsid w:val="6D2001F1"/>
    <w:rsid w:val="6D225A2C"/>
    <w:rsid w:val="6D275706"/>
    <w:rsid w:val="6D3450DB"/>
    <w:rsid w:val="6D3F3DB8"/>
    <w:rsid w:val="6D491180"/>
    <w:rsid w:val="6D4C6DFE"/>
    <w:rsid w:val="6D501B8C"/>
    <w:rsid w:val="6D707DBC"/>
    <w:rsid w:val="6D75760F"/>
    <w:rsid w:val="6D8607E0"/>
    <w:rsid w:val="6D967D4D"/>
    <w:rsid w:val="6D9B47C5"/>
    <w:rsid w:val="6D9D1790"/>
    <w:rsid w:val="6DB34098"/>
    <w:rsid w:val="6DB545B6"/>
    <w:rsid w:val="6DB96223"/>
    <w:rsid w:val="6DBB6E0F"/>
    <w:rsid w:val="6DC80165"/>
    <w:rsid w:val="6DE02FB4"/>
    <w:rsid w:val="6DE94F98"/>
    <w:rsid w:val="6DF51F57"/>
    <w:rsid w:val="6DFD559E"/>
    <w:rsid w:val="6E1A1656"/>
    <w:rsid w:val="6E1F3BFE"/>
    <w:rsid w:val="6E2E2A3A"/>
    <w:rsid w:val="6E49397A"/>
    <w:rsid w:val="6E496452"/>
    <w:rsid w:val="6E506FF6"/>
    <w:rsid w:val="6E514CED"/>
    <w:rsid w:val="6E6E6414"/>
    <w:rsid w:val="6E8F1D82"/>
    <w:rsid w:val="6E985C4F"/>
    <w:rsid w:val="6EAA4321"/>
    <w:rsid w:val="6EAC711B"/>
    <w:rsid w:val="6EB34B5A"/>
    <w:rsid w:val="6EB563D5"/>
    <w:rsid w:val="6EB7721D"/>
    <w:rsid w:val="6EBA7433"/>
    <w:rsid w:val="6ED31C80"/>
    <w:rsid w:val="6ED92677"/>
    <w:rsid w:val="6F103B22"/>
    <w:rsid w:val="6F140F6B"/>
    <w:rsid w:val="6F225983"/>
    <w:rsid w:val="6F3D7CAC"/>
    <w:rsid w:val="6F46362F"/>
    <w:rsid w:val="6F494165"/>
    <w:rsid w:val="6F5522CE"/>
    <w:rsid w:val="6F687543"/>
    <w:rsid w:val="6F8C5B84"/>
    <w:rsid w:val="6FA25671"/>
    <w:rsid w:val="6FA72607"/>
    <w:rsid w:val="6FAC7C04"/>
    <w:rsid w:val="6FB1342D"/>
    <w:rsid w:val="6FC65A73"/>
    <w:rsid w:val="6FE27B76"/>
    <w:rsid w:val="6FFC5590"/>
    <w:rsid w:val="70094C20"/>
    <w:rsid w:val="70397CFA"/>
    <w:rsid w:val="70522CBB"/>
    <w:rsid w:val="70592D07"/>
    <w:rsid w:val="70646EF1"/>
    <w:rsid w:val="706D1DD0"/>
    <w:rsid w:val="70757803"/>
    <w:rsid w:val="70767EC8"/>
    <w:rsid w:val="70856B87"/>
    <w:rsid w:val="70931923"/>
    <w:rsid w:val="70A439BD"/>
    <w:rsid w:val="70A911A6"/>
    <w:rsid w:val="70B33198"/>
    <w:rsid w:val="70BC5F0B"/>
    <w:rsid w:val="70D527EE"/>
    <w:rsid w:val="70E4637B"/>
    <w:rsid w:val="70EB6F9A"/>
    <w:rsid w:val="70EE740A"/>
    <w:rsid w:val="70F84D26"/>
    <w:rsid w:val="71051595"/>
    <w:rsid w:val="710A33C0"/>
    <w:rsid w:val="71153587"/>
    <w:rsid w:val="7119633D"/>
    <w:rsid w:val="711E092E"/>
    <w:rsid w:val="712A21A5"/>
    <w:rsid w:val="712E12E4"/>
    <w:rsid w:val="71451D40"/>
    <w:rsid w:val="71556B2B"/>
    <w:rsid w:val="715B5300"/>
    <w:rsid w:val="71614A29"/>
    <w:rsid w:val="7162777D"/>
    <w:rsid w:val="716B6DA3"/>
    <w:rsid w:val="718801E6"/>
    <w:rsid w:val="718A3C3D"/>
    <w:rsid w:val="718D7A43"/>
    <w:rsid w:val="719835C8"/>
    <w:rsid w:val="71B8274B"/>
    <w:rsid w:val="71D27F8A"/>
    <w:rsid w:val="71E17A59"/>
    <w:rsid w:val="720A1018"/>
    <w:rsid w:val="723F6439"/>
    <w:rsid w:val="72553024"/>
    <w:rsid w:val="72565C05"/>
    <w:rsid w:val="72623A7D"/>
    <w:rsid w:val="72957717"/>
    <w:rsid w:val="72996BE3"/>
    <w:rsid w:val="72A762A0"/>
    <w:rsid w:val="72AC6083"/>
    <w:rsid w:val="72AE4B58"/>
    <w:rsid w:val="72BB3E30"/>
    <w:rsid w:val="72EE47F2"/>
    <w:rsid w:val="72FB01C7"/>
    <w:rsid w:val="72FC530E"/>
    <w:rsid w:val="730476FD"/>
    <w:rsid w:val="730561F0"/>
    <w:rsid w:val="7308161C"/>
    <w:rsid w:val="73122968"/>
    <w:rsid w:val="73153754"/>
    <w:rsid w:val="73192BDA"/>
    <w:rsid w:val="731B0A24"/>
    <w:rsid w:val="731F5D5E"/>
    <w:rsid w:val="732666E9"/>
    <w:rsid w:val="73307771"/>
    <w:rsid w:val="73451CDF"/>
    <w:rsid w:val="734D4157"/>
    <w:rsid w:val="735A4E86"/>
    <w:rsid w:val="73607CB6"/>
    <w:rsid w:val="7365160C"/>
    <w:rsid w:val="736A0CF0"/>
    <w:rsid w:val="736F0F8F"/>
    <w:rsid w:val="738B2168"/>
    <w:rsid w:val="73992461"/>
    <w:rsid w:val="73A265D4"/>
    <w:rsid w:val="73AA2006"/>
    <w:rsid w:val="73C51AD5"/>
    <w:rsid w:val="73F00353"/>
    <w:rsid w:val="741C0965"/>
    <w:rsid w:val="741E793C"/>
    <w:rsid w:val="74272D75"/>
    <w:rsid w:val="742762AB"/>
    <w:rsid w:val="745D4B67"/>
    <w:rsid w:val="745E3944"/>
    <w:rsid w:val="74601F6C"/>
    <w:rsid w:val="746D77E6"/>
    <w:rsid w:val="747135EB"/>
    <w:rsid w:val="747B2010"/>
    <w:rsid w:val="74830CC4"/>
    <w:rsid w:val="748D4753"/>
    <w:rsid w:val="748F1B23"/>
    <w:rsid w:val="748F24D4"/>
    <w:rsid w:val="74AC797E"/>
    <w:rsid w:val="74B3425A"/>
    <w:rsid w:val="74B60BDD"/>
    <w:rsid w:val="74C06959"/>
    <w:rsid w:val="74CD33F6"/>
    <w:rsid w:val="74E1142A"/>
    <w:rsid w:val="74E137A2"/>
    <w:rsid w:val="74F77275"/>
    <w:rsid w:val="74FC7840"/>
    <w:rsid w:val="74FD76ED"/>
    <w:rsid w:val="751F00B7"/>
    <w:rsid w:val="754C2B79"/>
    <w:rsid w:val="75682432"/>
    <w:rsid w:val="756D208F"/>
    <w:rsid w:val="757E204E"/>
    <w:rsid w:val="75876373"/>
    <w:rsid w:val="75880A19"/>
    <w:rsid w:val="75884861"/>
    <w:rsid w:val="75970A0E"/>
    <w:rsid w:val="75974323"/>
    <w:rsid w:val="75A210ED"/>
    <w:rsid w:val="75AE7589"/>
    <w:rsid w:val="75CA0A85"/>
    <w:rsid w:val="75D76132"/>
    <w:rsid w:val="75EF35FC"/>
    <w:rsid w:val="76071EA7"/>
    <w:rsid w:val="76272707"/>
    <w:rsid w:val="7629207F"/>
    <w:rsid w:val="76300288"/>
    <w:rsid w:val="7635099D"/>
    <w:rsid w:val="764A4D8C"/>
    <w:rsid w:val="765661D4"/>
    <w:rsid w:val="76645369"/>
    <w:rsid w:val="76646797"/>
    <w:rsid w:val="7671300D"/>
    <w:rsid w:val="767D6306"/>
    <w:rsid w:val="767E684B"/>
    <w:rsid w:val="76885999"/>
    <w:rsid w:val="769377E8"/>
    <w:rsid w:val="76AC2297"/>
    <w:rsid w:val="76D73AAE"/>
    <w:rsid w:val="76DB1101"/>
    <w:rsid w:val="770221BB"/>
    <w:rsid w:val="77063665"/>
    <w:rsid w:val="77097E8B"/>
    <w:rsid w:val="7712495F"/>
    <w:rsid w:val="77127E04"/>
    <w:rsid w:val="7726575B"/>
    <w:rsid w:val="775B0363"/>
    <w:rsid w:val="77762421"/>
    <w:rsid w:val="77782522"/>
    <w:rsid w:val="779F4998"/>
    <w:rsid w:val="77B56B1F"/>
    <w:rsid w:val="780C1009"/>
    <w:rsid w:val="780F09F4"/>
    <w:rsid w:val="78144EBD"/>
    <w:rsid w:val="78237D1B"/>
    <w:rsid w:val="782C672D"/>
    <w:rsid w:val="78365C93"/>
    <w:rsid w:val="783800D7"/>
    <w:rsid w:val="7844199D"/>
    <w:rsid w:val="784A620C"/>
    <w:rsid w:val="78573D80"/>
    <w:rsid w:val="785C690B"/>
    <w:rsid w:val="78760DAF"/>
    <w:rsid w:val="78937F68"/>
    <w:rsid w:val="789930E1"/>
    <w:rsid w:val="789B462E"/>
    <w:rsid w:val="78A90480"/>
    <w:rsid w:val="78AC5956"/>
    <w:rsid w:val="78D7282F"/>
    <w:rsid w:val="78E3003E"/>
    <w:rsid w:val="791E36DB"/>
    <w:rsid w:val="792461DD"/>
    <w:rsid w:val="79252173"/>
    <w:rsid w:val="79474133"/>
    <w:rsid w:val="795762C3"/>
    <w:rsid w:val="7958681C"/>
    <w:rsid w:val="795B2AA5"/>
    <w:rsid w:val="79634855"/>
    <w:rsid w:val="7965335C"/>
    <w:rsid w:val="79783294"/>
    <w:rsid w:val="797C08AB"/>
    <w:rsid w:val="7986452E"/>
    <w:rsid w:val="799F57FE"/>
    <w:rsid w:val="79CF5EB3"/>
    <w:rsid w:val="79E5165E"/>
    <w:rsid w:val="79F010DD"/>
    <w:rsid w:val="79F91919"/>
    <w:rsid w:val="7A084C89"/>
    <w:rsid w:val="7A0A17B5"/>
    <w:rsid w:val="7A1107DE"/>
    <w:rsid w:val="7A1B7557"/>
    <w:rsid w:val="7A305DAE"/>
    <w:rsid w:val="7A364017"/>
    <w:rsid w:val="7A457395"/>
    <w:rsid w:val="7A483FC4"/>
    <w:rsid w:val="7A801B3E"/>
    <w:rsid w:val="7A8265E1"/>
    <w:rsid w:val="7AEA5347"/>
    <w:rsid w:val="7AF33B99"/>
    <w:rsid w:val="7B1C4C50"/>
    <w:rsid w:val="7B255C16"/>
    <w:rsid w:val="7B446541"/>
    <w:rsid w:val="7B5D4393"/>
    <w:rsid w:val="7B5D6F9B"/>
    <w:rsid w:val="7B686D42"/>
    <w:rsid w:val="7B791562"/>
    <w:rsid w:val="7B7F3F20"/>
    <w:rsid w:val="7B8141D8"/>
    <w:rsid w:val="7B841746"/>
    <w:rsid w:val="7B8E085C"/>
    <w:rsid w:val="7BC141E6"/>
    <w:rsid w:val="7BC51A75"/>
    <w:rsid w:val="7BC65752"/>
    <w:rsid w:val="7BCE20F4"/>
    <w:rsid w:val="7BE27726"/>
    <w:rsid w:val="7BE32A3D"/>
    <w:rsid w:val="7C002A60"/>
    <w:rsid w:val="7C0D2378"/>
    <w:rsid w:val="7C3B725F"/>
    <w:rsid w:val="7C5C7B97"/>
    <w:rsid w:val="7C6C5AC7"/>
    <w:rsid w:val="7C7A4576"/>
    <w:rsid w:val="7C7E03A7"/>
    <w:rsid w:val="7C7E7A66"/>
    <w:rsid w:val="7C911160"/>
    <w:rsid w:val="7CB47FCE"/>
    <w:rsid w:val="7CC25B73"/>
    <w:rsid w:val="7CC51051"/>
    <w:rsid w:val="7CC6544B"/>
    <w:rsid w:val="7CDF787D"/>
    <w:rsid w:val="7CF231E0"/>
    <w:rsid w:val="7CFB25CC"/>
    <w:rsid w:val="7D0239FF"/>
    <w:rsid w:val="7D034D99"/>
    <w:rsid w:val="7D0D70B7"/>
    <w:rsid w:val="7D23452A"/>
    <w:rsid w:val="7D2E110D"/>
    <w:rsid w:val="7D324CCB"/>
    <w:rsid w:val="7D374932"/>
    <w:rsid w:val="7D3B571B"/>
    <w:rsid w:val="7D410F8D"/>
    <w:rsid w:val="7D5414FA"/>
    <w:rsid w:val="7D545684"/>
    <w:rsid w:val="7D587E1A"/>
    <w:rsid w:val="7D5E40CD"/>
    <w:rsid w:val="7D624406"/>
    <w:rsid w:val="7D6A5169"/>
    <w:rsid w:val="7D7B6E68"/>
    <w:rsid w:val="7D816F47"/>
    <w:rsid w:val="7D9161F2"/>
    <w:rsid w:val="7D934828"/>
    <w:rsid w:val="7DB31EAC"/>
    <w:rsid w:val="7DCD56F2"/>
    <w:rsid w:val="7DCE354D"/>
    <w:rsid w:val="7DF60DA2"/>
    <w:rsid w:val="7E176284"/>
    <w:rsid w:val="7E192908"/>
    <w:rsid w:val="7E281BDC"/>
    <w:rsid w:val="7E3450CD"/>
    <w:rsid w:val="7E3758E4"/>
    <w:rsid w:val="7E602419"/>
    <w:rsid w:val="7E6F543C"/>
    <w:rsid w:val="7E7A3F89"/>
    <w:rsid w:val="7E8B7ECB"/>
    <w:rsid w:val="7E9A310B"/>
    <w:rsid w:val="7EAE64D8"/>
    <w:rsid w:val="7EB85D81"/>
    <w:rsid w:val="7EB92205"/>
    <w:rsid w:val="7EBF0F5B"/>
    <w:rsid w:val="7ECA1D84"/>
    <w:rsid w:val="7EDD130D"/>
    <w:rsid w:val="7EFE07BF"/>
    <w:rsid w:val="7EFE5207"/>
    <w:rsid w:val="7F001CE7"/>
    <w:rsid w:val="7F00678F"/>
    <w:rsid w:val="7F0A1AB3"/>
    <w:rsid w:val="7F0A1CBC"/>
    <w:rsid w:val="7F234E8C"/>
    <w:rsid w:val="7F2821D3"/>
    <w:rsid w:val="7F374F7E"/>
    <w:rsid w:val="7F3E748E"/>
    <w:rsid w:val="7F467622"/>
    <w:rsid w:val="7F606FAC"/>
    <w:rsid w:val="7F7376CA"/>
    <w:rsid w:val="7F81561D"/>
    <w:rsid w:val="7FAD7280"/>
    <w:rsid w:val="7FDC2309"/>
    <w:rsid w:val="7FE47E50"/>
    <w:rsid w:val="7FFF127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semiHidden="0" w:name="heading 2" w:locked="1"/>
    <w:lsdException w:qFormat="1" w:uiPriority="0" w:semiHidden="0" w:name="heading 3" w:locked="1"/>
    <w:lsdException w:qFormat="1" w:uiPriority="9"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0" w:semiHidden="0" w:name="toc 1" w:locked="1"/>
    <w:lsdException w:qFormat="1" w:unhideWhenUsed="0"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nhideWhenUsed="0" w:uiPriority="0" w:semiHidden="0" w:name="caption" w:locked="1"/>
    <w:lsdException w:qFormat="1"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iPriority="99"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qFormat="1"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qFormat="1"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iPriority="99" w:semiHidden="0" w:name="Body Text First Indent" w:locked="1"/>
    <w:lsdException w:qFormat="1" w:unhideWhenUsed="0" w:uiPriority="0" w:semiHidden="0" w:name="Body Text First Indent 2" w:locked="1"/>
    <w:lsdException w:unhideWhenUsed="0" w:uiPriority="0" w:semiHidden="0" w:name="Note Heading" w:locked="1"/>
    <w:lsdException w:qFormat="1" w:unhideWhenUsed="0" w:uiPriority="0" w:semiHidden="0" w:name="Body Text 2" w:locked="1"/>
    <w:lsdException w:qFormat="1" w:unhideWhenUsed="0" w:uiPriority="0" w:semiHidden="0" w:name="Body Text 3" w:locked="1"/>
    <w:lsdException w:qFormat="1" w:unhideWhenUsed="0" w:uiPriority="0" w:semiHidden="0" w:name="Body Text Indent 2" w:locked="1"/>
    <w:lsdException w:unhideWhenUsed="0" w:uiPriority="0" w:semiHidden="0" w:name="Body Text Indent 3" w:locked="1"/>
    <w:lsdException w:qFormat="1" w:unhideWhenUsed="0" w:uiPriority="99" w:semiHidden="0" w:name="Block Text" w:locked="1"/>
    <w:lsdException w:qFormat="1"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72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50"/>
    <w:qFormat/>
    <w:locked/>
    <w:uiPriority w:val="99"/>
    <w:pPr>
      <w:keepNext/>
      <w:numPr>
        <w:ilvl w:val="0"/>
        <w:numId w:val="1"/>
      </w:numPr>
      <w:overflowPunct w:val="0"/>
      <w:snapToGrid w:val="0"/>
      <w:spacing w:before="120" w:after="160" w:line="259" w:lineRule="auto"/>
      <w:ind w:left="0" w:firstLine="0" w:firstLineChars="0"/>
      <w:outlineLvl w:val="0"/>
    </w:pPr>
    <w:rPr>
      <w:rFonts w:eastAsia="黑体"/>
      <w:b/>
      <w:bCs/>
      <w:color w:val="000000"/>
      <w:kern w:val="44"/>
      <w:sz w:val="30"/>
      <w:szCs w:val="30"/>
    </w:rPr>
  </w:style>
  <w:style w:type="paragraph" w:styleId="3">
    <w:name w:val="heading 2"/>
    <w:basedOn w:val="1"/>
    <w:next w:val="1"/>
    <w:unhideWhenUsed/>
    <w:qFormat/>
    <w:locked/>
    <w:uiPriority w:val="0"/>
    <w:pPr>
      <w:spacing w:before="100" w:beforeAutospacing="1" w:after="100" w:afterAutospacing="1"/>
      <w:jc w:val="left"/>
    </w:pPr>
    <w:rPr>
      <w:rFonts w:hint="eastAsia" w:ascii="宋体" w:hAnsi="宋体" w:eastAsia="宋体" w:cs="宋体"/>
      <w:b/>
      <w:kern w:val="0"/>
      <w:sz w:val="36"/>
      <w:szCs w:val="36"/>
      <w:lang w:val="en-US" w:eastAsia="zh-CN" w:bidi="ar"/>
    </w:rPr>
  </w:style>
  <w:style w:type="paragraph" w:styleId="4">
    <w:name w:val="heading 3"/>
    <w:basedOn w:val="1"/>
    <w:next w:val="1"/>
    <w:unhideWhenUsed/>
    <w:qFormat/>
    <w:locked/>
    <w:uiPriority w:val="0"/>
    <w:pPr>
      <w:spacing w:before="100" w:beforeAutospacing="1" w:after="100" w:afterAutospacing="1"/>
      <w:jc w:val="left"/>
    </w:pPr>
    <w:rPr>
      <w:rFonts w:hint="eastAsia" w:ascii="宋体" w:hAnsi="宋体" w:eastAsia="宋体" w:cs="宋体"/>
      <w:b/>
      <w:kern w:val="0"/>
      <w:sz w:val="27"/>
      <w:szCs w:val="27"/>
      <w:lang w:val="en-US" w:eastAsia="zh-CN" w:bidi="ar"/>
    </w:rPr>
  </w:style>
  <w:style w:type="paragraph" w:styleId="5">
    <w:name w:val="heading 4"/>
    <w:basedOn w:val="1"/>
    <w:next w:val="1"/>
    <w:unhideWhenUsed/>
    <w:qFormat/>
    <w:locked/>
    <w:uiPriority w:val="9"/>
    <w:pPr>
      <w:keepNext/>
      <w:spacing w:line="440" w:lineRule="exact"/>
      <w:jc w:val="center"/>
      <w:outlineLvl w:val="3"/>
    </w:pPr>
    <w:rPr>
      <w:rFonts w:ascii="宋体" w:hAnsi="宋体"/>
      <w:b/>
      <w:szCs w:val="20"/>
    </w:rPr>
  </w:style>
  <w:style w:type="character" w:default="1" w:styleId="34">
    <w:name w:val="Default Paragraph Font"/>
    <w:semiHidden/>
    <w:qFormat/>
    <w:uiPriority w:val="0"/>
  </w:style>
  <w:style w:type="table" w:default="1" w:styleId="3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List 3"/>
    <w:basedOn w:val="1"/>
    <w:qFormat/>
    <w:locked/>
    <w:uiPriority w:val="0"/>
    <w:pPr>
      <w:adjustRightInd/>
      <w:spacing w:line="240" w:lineRule="auto"/>
      <w:ind w:left="0" w:leftChars="0" w:firstLine="0" w:firstLineChars="0"/>
      <w:jc w:val="center"/>
      <w:textAlignment w:val="auto"/>
    </w:pPr>
    <w:rPr>
      <w:rFonts w:ascii="Times New Roman" w:hAnsi="Times New Roman" w:eastAsia="宋体"/>
      <w:sz w:val="21"/>
    </w:rPr>
  </w:style>
  <w:style w:type="paragraph" w:styleId="7">
    <w:name w:val="Normal Indent"/>
    <w:basedOn w:val="1"/>
    <w:next w:val="1"/>
    <w:qFormat/>
    <w:locked/>
    <w:uiPriority w:val="0"/>
    <w:pPr>
      <w:adjustRightInd w:val="0"/>
      <w:spacing w:line="240" w:lineRule="auto"/>
      <w:ind w:firstLine="0" w:firstLineChars="0"/>
      <w:jc w:val="both"/>
      <w:textAlignment w:val="baseline"/>
    </w:pPr>
    <w:rPr>
      <w:rFonts w:ascii="Times New Roman" w:hAnsi="Times New Roman" w:eastAsia="宋体"/>
      <w:sz w:val="21"/>
      <w:szCs w:val="21"/>
    </w:rPr>
  </w:style>
  <w:style w:type="paragraph" w:styleId="8">
    <w:name w:val="caption"/>
    <w:basedOn w:val="1"/>
    <w:next w:val="1"/>
    <w:qFormat/>
    <w:locked/>
    <w:uiPriority w:val="0"/>
    <w:pPr>
      <w:spacing w:line="360" w:lineRule="auto"/>
    </w:pPr>
    <w:rPr>
      <w:rFonts w:ascii="Arial" w:hAnsi="Arial" w:eastAsia="黑体"/>
      <w:sz w:val="20"/>
      <w:szCs w:val="20"/>
    </w:rPr>
  </w:style>
  <w:style w:type="paragraph" w:styleId="9">
    <w:name w:val="annotation text"/>
    <w:basedOn w:val="1"/>
    <w:link w:val="98"/>
    <w:semiHidden/>
    <w:qFormat/>
    <w:uiPriority w:val="0"/>
    <w:pPr>
      <w:jc w:val="left"/>
    </w:pPr>
    <w:rPr>
      <w:kern w:val="0"/>
      <w:sz w:val="24"/>
      <w:szCs w:val="20"/>
    </w:rPr>
  </w:style>
  <w:style w:type="paragraph" w:styleId="10">
    <w:name w:val="Body Text 3"/>
    <w:basedOn w:val="1"/>
    <w:qFormat/>
    <w:locked/>
    <w:uiPriority w:val="0"/>
    <w:pPr>
      <w:spacing w:after="120"/>
    </w:pPr>
    <w:rPr>
      <w:sz w:val="16"/>
      <w:szCs w:val="16"/>
    </w:rPr>
  </w:style>
  <w:style w:type="paragraph" w:styleId="11">
    <w:name w:val="Body Text"/>
    <w:basedOn w:val="1"/>
    <w:next w:val="12"/>
    <w:link w:val="94"/>
    <w:qFormat/>
    <w:uiPriority w:val="0"/>
    <w:pPr>
      <w:widowControl/>
      <w:snapToGrid w:val="0"/>
      <w:spacing w:line="240" w:lineRule="auto"/>
      <w:ind w:right="0" w:firstLine="0" w:firstLineChars="0"/>
      <w:jc w:val="center"/>
    </w:pPr>
    <w:rPr>
      <w:kern w:val="0"/>
      <w:sz w:val="21"/>
      <w:szCs w:val="20"/>
    </w:rPr>
  </w:style>
  <w:style w:type="paragraph" w:styleId="12">
    <w:name w:val="List Bullet 5"/>
    <w:basedOn w:val="1"/>
    <w:qFormat/>
    <w:locked/>
    <w:uiPriority w:val="0"/>
    <w:pPr>
      <w:numPr>
        <w:ilvl w:val="0"/>
        <w:numId w:val="2"/>
      </w:numPr>
    </w:pPr>
  </w:style>
  <w:style w:type="paragraph" w:styleId="13">
    <w:name w:val="Body Text Indent"/>
    <w:basedOn w:val="1"/>
    <w:next w:val="7"/>
    <w:link w:val="82"/>
    <w:qFormat/>
    <w:uiPriority w:val="0"/>
    <w:pPr>
      <w:ind w:left="0" w:leftChars="0"/>
      <w:jc w:val="left"/>
    </w:pPr>
    <w:rPr>
      <w:rFonts w:ascii="Times New Roman" w:hAnsi="Times New Roman"/>
      <w:kern w:val="0"/>
      <w:szCs w:val="20"/>
    </w:rPr>
  </w:style>
  <w:style w:type="paragraph" w:styleId="14">
    <w:name w:val="Block Text"/>
    <w:basedOn w:val="1"/>
    <w:qFormat/>
    <w:locked/>
    <w:uiPriority w:val="99"/>
    <w:pPr>
      <w:autoSpaceDE w:val="0"/>
      <w:autoSpaceDN w:val="0"/>
      <w:adjustRightInd w:val="0"/>
      <w:spacing w:before="1" w:line="537" w:lineRule="exact"/>
      <w:ind w:left="88" w:right="6"/>
    </w:pPr>
    <w:rPr>
      <w:kern w:val="0"/>
      <w:sz w:val="28"/>
      <w:szCs w:val="28"/>
    </w:rPr>
  </w:style>
  <w:style w:type="paragraph" w:styleId="15">
    <w:name w:val="Plain Text"/>
    <w:basedOn w:val="1"/>
    <w:next w:val="16"/>
    <w:qFormat/>
    <w:locked/>
    <w:uiPriority w:val="0"/>
    <w:pPr>
      <w:widowControl w:val="0"/>
      <w:spacing w:line="240" w:lineRule="auto"/>
      <w:textAlignment w:val="auto"/>
    </w:pPr>
    <w:rPr>
      <w:rFonts w:ascii="宋体" w:hAnsi="Courier New"/>
      <w:color w:val="auto"/>
      <w:kern w:val="2"/>
      <w:u w:val="none" w:color="auto"/>
    </w:rPr>
  </w:style>
  <w:style w:type="paragraph" w:customStyle="1" w:styleId="16">
    <w:name w:val="正本"/>
    <w:basedOn w:val="1"/>
    <w:qFormat/>
    <w:uiPriority w:val="0"/>
    <w:pPr>
      <w:adjustRightInd w:val="0"/>
      <w:snapToGrid w:val="0"/>
      <w:spacing w:line="360" w:lineRule="auto"/>
      <w:ind w:firstLine="200" w:firstLineChars="200"/>
    </w:pPr>
    <w:rPr>
      <w:rFonts w:ascii="宋体" w:eastAsia="宋体"/>
      <w:sz w:val="24"/>
    </w:rPr>
  </w:style>
  <w:style w:type="paragraph" w:styleId="17">
    <w:name w:val="Date"/>
    <w:basedOn w:val="1"/>
    <w:next w:val="1"/>
    <w:link w:val="96"/>
    <w:qFormat/>
    <w:uiPriority w:val="0"/>
    <w:pPr>
      <w:ind w:left="100" w:leftChars="2500"/>
    </w:pPr>
    <w:rPr>
      <w:kern w:val="0"/>
      <w:sz w:val="24"/>
      <w:szCs w:val="20"/>
    </w:rPr>
  </w:style>
  <w:style w:type="paragraph" w:styleId="18">
    <w:name w:val="Body Text Indent 2"/>
    <w:basedOn w:val="1"/>
    <w:next w:val="19"/>
    <w:qFormat/>
    <w:locked/>
    <w:uiPriority w:val="0"/>
    <w:pPr>
      <w:spacing w:line="360" w:lineRule="auto"/>
      <w:ind w:firstLine="720" w:firstLineChars="300"/>
    </w:pPr>
    <w:rPr>
      <w:rFonts w:ascii="仿宋_GB2312" w:hAnsi="宋体" w:eastAsia="仿宋_GB2312"/>
      <w:color w:val="FF0000"/>
      <w:sz w:val="24"/>
    </w:rPr>
  </w:style>
  <w:style w:type="paragraph" w:styleId="19">
    <w:name w:val="Body Text First Indent 2"/>
    <w:basedOn w:val="13"/>
    <w:next w:val="1"/>
    <w:qFormat/>
    <w:locked/>
    <w:uiPriority w:val="0"/>
    <w:pPr>
      <w:spacing w:line="360" w:lineRule="auto"/>
      <w:ind w:left="0" w:leftChars="0" w:firstLine="420" w:firstLineChars="200"/>
      <w:jc w:val="left"/>
    </w:pPr>
    <w:rPr>
      <w:rFonts w:ascii="Times New Roman" w:hAnsi="Times New Roman" w:eastAsia="宋体"/>
      <w:szCs w:val="22"/>
    </w:rPr>
  </w:style>
  <w:style w:type="paragraph" w:styleId="20">
    <w:name w:val="Balloon Text"/>
    <w:basedOn w:val="1"/>
    <w:link w:val="93"/>
    <w:semiHidden/>
    <w:qFormat/>
    <w:uiPriority w:val="0"/>
    <w:rPr>
      <w:kern w:val="0"/>
      <w:sz w:val="18"/>
      <w:szCs w:val="20"/>
    </w:rPr>
  </w:style>
  <w:style w:type="paragraph" w:styleId="21">
    <w:name w:val="footer"/>
    <w:basedOn w:val="1"/>
    <w:next w:val="22"/>
    <w:link w:val="91"/>
    <w:qFormat/>
    <w:uiPriority w:val="99"/>
    <w:pPr>
      <w:tabs>
        <w:tab w:val="center" w:pos="4153"/>
        <w:tab w:val="right" w:pos="8306"/>
      </w:tabs>
      <w:snapToGrid w:val="0"/>
      <w:jc w:val="left"/>
    </w:pPr>
    <w:rPr>
      <w:kern w:val="0"/>
      <w:sz w:val="18"/>
      <w:szCs w:val="20"/>
    </w:rPr>
  </w:style>
  <w:style w:type="paragraph" w:styleId="22">
    <w:name w:val="Normal (Web)"/>
    <w:basedOn w:val="1"/>
    <w:link w:val="87"/>
    <w:qFormat/>
    <w:uiPriority w:val="0"/>
    <w:pPr>
      <w:widowControl/>
      <w:spacing w:beforeAutospacing="0" w:afterAutospacing="0" w:line="240" w:lineRule="auto"/>
      <w:ind w:firstLine="0" w:firstLineChars="0"/>
      <w:jc w:val="center"/>
    </w:pPr>
    <w:rPr>
      <w:rFonts w:ascii="宋体" w:hAnsi="宋体"/>
      <w:kern w:val="0"/>
      <w:szCs w:val="20"/>
    </w:rPr>
  </w:style>
  <w:style w:type="paragraph" w:styleId="23">
    <w:name w:val="header"/>
    <w:basedOn w:val="1"/>
    <w:link w:val="86"/>
    <w:qFormat/>
    <w:uiPriority w:val="0"/>
    <w:pPr>
      <w:pBdr>
        <w:bottom w:val="single" w:color="auto" w:sz="6" w:space="1"/>
      </w:pBdr>
      <w:tabs>
        <w:tab w:val="center" w:pos="4153"/>
        <w:tab w:val="right" w:pos="8306"/>
      </w:tabs>
      <w:snapToGrid w:val="0"/>
      <w:jc w:val="center"/>
    </w:pPr>
    <w:rPr>
      <w:kern w:val="0"/>
      <w:sz w:val="18"/>
      <w:szCs w:val="20"/>
    </w:rPr>
  </w:style>
  <w:style w:type="paragraph" w:styleId="24">
    <w:name w:val="toc 1"/>
    <w:basedOn w:val="1"/>
    <w:next w:val="1"/>
    <w:qFormat/>
    <w:locked/>
    <w:uiPriority w:val="0"/>
  </w:style>
  <w:style w:type="paragraph" w:styleId="25">
    <w:name w:val="List"/>
    <w:basedOn w:val="1"/>
    <w:unhideWhenUsed/>
    <w:qFormat/>
    <w:locked/>
    <w:uiPriority w:val="99"/>
    <w:pPr>
      <w:widowControl/>
      <w:tabs>
        <w:tab w:val="left" w:pos="8020"/>
      </w:tabs>
      <w:spacing w:line="307" w:lineRule="auto"/>
      <w:ind w:left="420" w:hanging="420"/>
    </w:pPr>
    <w:rPr>
      <w:sz w:val="28"/>
      <w:szCs w:val="20"/>
    </w:rPr>
  </w:style>
  <w:style w:type="paragraph" w:styleId="26">
    <w:name w:val="table of figures"/>
    <w:basedOn w:val="1"/>
    <w:next w:val="1"/>
    <w:qFormat/>
    <w:locked/>
    <w:uiPriority w:val="0"/>
  </w:style>
  <w:style w:type="paragraph" w:styleId="27">
    <w:name w:val="toc 2"/>
    <w:basedOn w:val="1"/>
    <w:next w:val="1"/>
    <w:qFormat/>
    <w:locked/>
    <w:uiPriority w:val="39"/>
    <w:pPr>
      <w:spacing w:line="480" w:lineRule="exact"/>
      <w:ind w:firstLine="200"/>
    </w:pPr>
    <w:rPr>
      <w:rFonts w:ascii="Verdana" w:hAnsi="Verdana" w:cs="Verdana"/>
      <w:sz w:val="21"/>
      <w:szCs w:val="24"/>
    </w:rPr>
  </w:style>
  <w:style w:type="paragraph" w:styleId="28">
    <w:name w:val="Body Text 2"/>
    <w:basedOn w:val="1"/>
    <w:qFormat/>
    <w:locked/>
    <w:uiPriority w:val="0"/>
    <w:rPr>
      <w:rFonts w:eastAsia="仿宋_GB2312"/>
      <w:sz w:val="28"/>
    </w:rPr>
  </w:style>
  <w:style w:type="paragraph" w:styleId="29">
    <w:name w:val="Message Header"/>
    <w:basedOn w:val="1"/>
    <w:qFormat/>
    <w:locked/>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rPr>
  </w:style>
  <w:style w:type="paragraph" w:styleId="30">
    <w:name w:val="annotation subject"/>
    <w:basedOn w:val="9"/>
    <w:next w:val="9"/>
    <w:link w:val="83"/>
    <w:semiHidden/>
    <w:qFormat/>
    <w:uiPriority w:val="0"/>
    <w:rPr>
      <w:b/>
      <w:sz w:val="24"/>
      <w:szCs w:val="20"/>
    </w:rPr>
  </w:style>
  <w:style w:type="paragraph" w:styleId="31">
    <w:name w:val="Body Text First Indent"/>
    <w:basedOn w:val="11"/>
    <w:unhideWhenUsed/>
    <w:qFormat/>
    <w:locked/>
    <w:uiPriority w:val="99"/>
    <w:pPr>
      <w:spacing w:before="0" w:line="360" w:lineRule="auto"/>
      <w:ind w:left="0" w:firstLine="720" w:firstLineChars="200"/>
      <w:jc w:val="left"/>
    </w:pPr>
    <w:rPr>
      <w:rFonts w:hint="eastAsia" w:ascii="Times New Roman" w:hAnsi="Times New Roman" w:eastAsia="宋体" w:cs="Times New Roman"/>
      <w:kern w:val="2"/>
      <w:sz w:val="24"/>
      <w:szCs w:val="22"/>
    </w:rPr>
  </w:style>
  <w:style w:type="table" w:styleId="33">
    <w:name w:val="Table Grid"/>
    <w:basedOn w:val="32"/>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basedOn w:val="34"/>
    <w:qFormat/>
    <w:locked/>
    <w:uiPriority w:val="0"/>
    <w:rPr>
      <w:b/>
    </w:rPr>
  </w:style>
  <w:style w:type="character" w:styleId="36">
    <w:name w:val="page number"/>
    <w:basedOn w:val="34"/>
    <w:qFormat/>
    <w:locked/>
    <w:uiPriority w:val="0"/>
  </w:style>
  <w:style w:type="character" w:styleId="37">
    <w:name w:val="Emphasis"/>
    <w:basedOn w:val="34"/>
    <w:qFormat/>
    <w:locked/>
    <w:uiPriority w:val="0"/>
    <w:rPr>
      <w:i/>
    </w:rPr>
  </w:style>
  <w:style w:type="character" w:styleId="38">
    <w:name w:val="Hyperlink"/>
    <w:basedOn w:val="34"/>
    <w:qFormat/>
    <w:locked/>
    <w:uiPriority w:val="0"/>
    <w:rPr>
      <w:color w:val="0000FF"/>
      <w:u w:val="single"/>
    </w:rPr>
  </w:style>
  <w:style w:type="character" w:styleId="39">
    <w:name w:val="annotation reference"/>
    <w:basedOn w:val="34"/>
    <w:semiHidden/>
    <w:qFormat/>
    <w:uiPriority w:val="0"/>
    <w:rPr>
      <w:sz w:val="21"/>
    </w:rPr>
  </w:style>
  <w:style w:type="paragraph" w:customStyle="1" w:styleId="40">
    <w:name w:val="样式 标题 2 + 三号1"/>
    <w:basedOn w:val="3"/>
    <w:next w:val="1"/>
    <w:qFormat/>
    <w:uiPriority w:val="99"/>
    <w:pPr>
      <w:keepLines w:val="0"/>
      <w:numPr>
        <w:ilvl w:val="1"/>
        <w:numId w:val="3"/>
      </w:numPr>
      <w:tabs>
        <w:tab w:val="left" w:pos="718"/>
        <w:tab w:val="clear" w:pos="576"/>
      </w:tabs>
      <w:spacing w:line="480" w:lineRule="auto"/>
      <w:ind w:left="718"/>
      <w:jc w:val="left"/>
    </w:pPr>
    <w:rPr>
      <w:rFonts w:ascii="宋体" w:hAnsi="宋体"/>
      <w:kern w:val="0"/>
      <w:sz w:val="32"/>
    </w:rPr>
  </w:style>
  <w:style w:type="paragraph" w:customStyle="1" w:styleId="41">
    <w:name w:val="toc 84"/>
    <w:next w:val="1"/>
    <w:qFormat/>
    <w:uiPriority w:val="99"/>
    <w:pPr>
      <w:wordWrap w:val="0"/>
      <w:ind w:left="2975"/>
      <w:jc w:val="both"/>
    </w:pPr>
    <w:rPr>
      <w:rFonts w:ascii="Times New Roman" w:hAnsi="Times New Roman" w:eastAsia="宋体" w:cs="Times New Roman"/>
      <w:sz w:val="21"/>
      <w:szCs w:val="22"/>
      <w:lang w:val="en-US" w:eastAsia="zh-CN" w:bidi="ar-SA"/>
    </w:rPr>
  </w:style>
  <w:style w:type="paragraph" w:customStyle="1" w:styleId="42">
    <w:name w:val="Default"/>
    <w:basedOn w:val="43"/>
    <w:next w:val="19"/>
    <w:link w:val="84"/>
    <w:unhideWhenUsed/>
    <w:qFormat/>
    <w:uiPriority w:val="0"/>
    <w:pPr>
      <w:widowControl w:val="0"/>
      <w:autoSpaceDE w:val="0"/>
      <w:autoSpaceDN w:val="0"/>
      <w:adjustRightInd w:val="0"/>
      <w:spacing w:line="360" w:lineRule="auto"/>
      <w:ind w:firstLine="720" w:firstLineChars="200"/>
      <w:jc w:val="left"/>
    </w:pPr>
    <w:rPr>
      <w:rFonts w:hint="eastAsia" w:ascii="Times New Roman" w:hAnsi="Times New Roman" w:eastAsia="宋体"/>
      <w:sz w:val="24"/>
      <w:szCs w:val="22"/>
    </w:rPr>
  </w:style>
  <w:style w:type="paragraph" w:customStyle="1" w:styleId="43">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44">
    <w:name w:val="Default1"/>
    <w:basedOn w:val="45"/>
    <w:link w:val="89"/>
    <w:qFormat/>
    <w:uiPriority w:val="0"/>
    <w:pPr>
      <w:widowControl w:val="0"/>
      <w:tabs>
        <w:tab w:val="left" w:pos="8020"/>
      </w:tabs>
      <w:autoSpaceDE w:val="0"/>
      <w:autoSpaceDN w:val="0"/>
      <w:adjustRightInd w:val="0"/>
      <w:spacing w:line="360" w:lineRule="auto"/>
      <w:ind w:firstLine="720" w:firstLineChars="200"/>
      <w:jc w:val="left"/>
    </w:pPr>
    <w:rPr>
      <w:rFonts w:ascii="Times New Roman" w:hAnsi="Times New Roman" w:eastAsia="宋体" w:cs="宋体"/>
      <w:bCs/>
      <w:color w:val="000000"/>
      <w:sz w:val="24"/>
      <w:szCs w:val="21"/>
      <w:lang w:val="en-US" w:eastAsia="zh-CN" w:bidi="ar-SA"/>
    </w:rPr>
  </w:style>
  <w:style w:type="paragraph" w:customStyle="1" w:styleId="45">
    <w:name w:val="Normal_14_0"/>
    <w:qFormat/>
    <w:uiPriority w:val="0"/>
    <w:pPr>
      <w:spacing w:before="120" w:after="240"/>
      <w:jc w:val="both"/>
    </w:pPr>
    <w:rPr>
      <w:rFonts w:ascii="Calibri" w:hAnsi="Calibri" w:eastAsia="Calibri" w:cs="Times New Roman"/>
      <w:sz w:val="22"/>
      <w:szCs w:val="22"/>
      <w:lang w:val="ru-RU" w:eastAsia="en-US" w:bidi="ar-SA"/>
    </w:rPr>
  </w:style>
  <w:style w:type="paragraph" w:customStyle="1" w:styleId="46">
    <w:name w:val="xl2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新宋体-18030" w:hAnsi="新宋体-18030" w:eastAsia="新宋体-18030" w:cs="新宋体-18030"/>
      <w:kern w:val="0"/>
    </w:rPr>
  </w:style>
  <w:style w:type="paragraph" w:customStyle="1" w:styleId="47">
    <w:name w:val="标题4"/>
    <w:basedOn w:val="1"/>
    <w:next w:val="48"/>
    <w:qFormat/>
    <w:uiPriority w:val="0"/>
    <w:pPr>
      <w:ind w:left="496"/>
    </w:pPr>
    <w:rPr>
      <w:rFonts w:ascii="宋体" w:eastAsia="Calibri"/>
    </w:rPr>
  </w:style>
  <w:style w:type="paragraph" w:customStyle="1" w:styleId="48">
    <w:name w:val="表格内正文"/>
    <w:basedOn w:val="1"/>
    <w:next w:val="49"/>
    <w:qFormat/>
    <w:uiPriority w:val="0"/>
    <w:pPr>
      <w:ind w:firstLine="493" w:firstLineChars="0"/>
      <w:jc w:val="both"/>
    </w:pPr>
    <w:rPr>
      <w:rFonts w:ascii="宋体" w:hAnsi="宋体" w:cs="Times New Roman"/>
      <w:spacing w:val="4"/>
      <w:kern w:val="18"/>
      <w:szCs w:val="20"/>
      <w:lang w:eastAsia="zh-CN"/>
    </w:rPr>
  </w:style>
  <w:style w:type="paragraph" w:customStyle="1" w:styleId="49">
    <w:name w:val="A 正文"/>
    <w:basedOn w:val="1"/>
    <w:next w:val="1"/>
    <w:qFormat/>
    <w:uiPriority w:val="0"/>
    <w:pPr>
      <w:spacing w:line="360" w:lineRule="auto"/>
      <w:ind w:firstLine="200" w:firstLineChars="200"/>
    </w:pPr>
    <w:rPr>
      <w:sz w:val="24"/>
    </w:rPr>
  </w:style>
  <w:style w:type="character" w:customStyle="1" w:styleId="50">
    <w:name w:val="标题 1 Char"/>
    <w:link w:val="2"/>
    <w:qFormat/>
    <w:uiPriority w:val="99"/>
    <w:rPr>
      <w:rFonts w:eastAsia="黑体"/>
      <w:b/>
      <w:bCs/>
      <w:color w:val="000000"/>
      <w:kern w:val="44"/>
      <w:sz w:val="30"/>
      <w:szCs w:val="30"/>
    </w:rPr>
  </w:style>
  <w:style w:type="paragraph" w:customStyle="1" w:styleId="51">
    <w:name w:val="样式 正文文本缩进 + 行距: 1.5 倍行距"/>
    <w:basedOn w:val="13"/>
    <w:qFormat/>
    <w:uiPriority w:val="0"/>
    <w:pPr>
      <w:adjustRightInd/>
      <w:spacing w:after="120" w:afterLines="0" w:line="360" w:lineRule="auto"/>
      <w:ind w:left="90" w:leftChars="32" w:firstLine="560" w:firstLineChars="200"/>
      <w:textAlignment w:val="auto"/>
    </w:pPr>
    <w:rPr>
      <w:rFonts w:cs="宋体"/>
      <w:kern w:val="2"/>
      <w:sz w:val="24"/>
    </w:rPr>
  </w:style>
  <w:style w:type="paragraph" w:customStyle="1" w:styleId="52">
    <w:name w:val="_正文格式"/>
    <w:basedOn w:val="1"/>
    <w:qFormat/>
    <w:uiPriority w:val="0"/>
    <w:pPr>
      <w:spacing w:line="480" w:lineRule="exact"/>
      <w:ind w:firstLine="567"/>
    </w:pPr>
    <w:rPr>
      <w:rFonts w:eastAsia="仿宋_GB2312"/>
      <w:sz w:val="28"/>
    </w:rPr>
  </w:style>
  <w:style w:type="paragraph" w:customStyle="1" w:styleId="53">
    <w:name w:val="样式 小四 行距: 1.5 倍行距"/>
    <w:basedOn w:val="1"/>
    <w:qFormat/>
    <w:uiPriority w:val="0"/>
    <w:pPr>
      <w:ind w:firstLine="480" w:firstLineChars="200"/>
    </w:pPr>
    <w:rPr>
      <w:rFonts w:cs="宋体"/>
    </w:rPr>
  </w:style>
  <w:style w:type="paragraph" w:customStyle="1" w:styleId="54">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customStyle="1" w:styleId="55">
    <w:name w:val="小四+首行缩进"/>
    <w:basedOn w:val="1"/>
    <w:qFormat/>
    <w:uiPriority w:val="0"/>
    <w:pPr>
      <w:spacing w:line="360" w:lineRule="auto"/>
      <w:ind w:firstLine="482"/>
    </w:pPr>
    <w:rPr>
      <w:rFonts w:ascii="宋体" w:hAnsi="宋体"/>
      <w:sz w:val="24"/>
    </w:rPr>
  </w:style>
  <w:style w:type="paragraph" w:customStyle="1" w:styleId="56">
    <w:name w:val="D表内1磅"/>
    <w:basedOn w:val="57"/>
    <w:qFormat/>
    <w:uiPriority w:val="0"/>
    <w:pPr>
      <w:spacing w:before="20" w:after="20"/>
    </w:pPr>
  </w:style>
  <w:style w:type="paragraph" w:customStyle="1" w:styleId="57">
    <w:name w:val="D表内0磅"/>
    <w:basedOn w:val="58"/>
    <w:qFormat/>
    <w:uiPriority w:val="0"/>
  </w:style>
  <w:style w:type="paragraph" w:customStyle="1" w:styleId="58">
    <w:name w:val="D表内"/>
    <w:basedOn w:val="59"/>
    <w:qFormat/>
    <w:uiPriority w:val="0"/>
    <w:pPr>
      <w:spacing w:before="40" w:after="40"/>
      <w:jc w:val="center"/>
    </w:pPr>
    <w:rPr>
      <w:szCs w:val="21"/>
    </w:rPr>
  </w:style>
  <w:style w:type="paragraph" w:customStyle="1" w:styleId="59">
    <w:name w:val="图表"/>
    <w:basedOn w:val="1"/>
    <w:semiHidden/>
    <w:qFormat/>
    <w:uiPriority w:val="0"/>
    <w:pPr>
      <w:spacing w:before="120" w:after="120"/>
      <w:jc w:val="center"/>
    </w:pPr>
    <w:rPr>
      <w:szCs w:val="21"/>
    </w:rPr>
  </w:style>
  <w:style w:type="paragraph" w:customStyle="1" w:styleId="60">
    <w:name w:val="1正文"/>
    <w:qFormat/>
    <w:uiPriority w:val="0"/>
    <w:pPr>
      <w:spacing w:line="480" w:lineRule="exact"/>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61">
    <w:name w:val="表格"/>
    <w:basedOn w:val="11"/>
    <w:next w:val="1"/>
    <w:link w:val="80"/>
    <w:qFormat/>
    <w:uiPriority w:val="0"/>
    <w:pPr>
      <w:tabs>
        <w:tab w:val="left" w:pos="860"/>
        <w:tab w:val="left" w:pos="1075"/>
      </w:tabs>
      <w:adjustRightInd w:val="0"/>
      <w:snapToGrid w:val="0"/>
      <w:spacing w:line="240" w:lineRule="auto"/>
      <w:ind w:firstLine="0" w:firstLineChars="0"/>
      <w:jc w:val="center"/>
    </w:pPr>
    <w:rPr>
      <w:rFonts w:ascii="Times New Roman" w:hAnsi="Times New Roman" w:eastAsia="宋体"/>
      <w:sz w:val="21"/>
    </w:rPr>
  </w:style>
  <w:style w:type="paragraph" w:customStyle="1" w:styleId="62">
    <w:name w:val="表头"/>
    <w:basedOn w:val="11"/>
    <w:next w:val="1"/>
    <w:qFormat/>
    <w:uiPriority w:val="0"/>
    <w:pPr>
      <w:tabs>
        <w:tab w:val="left" w:pos="860"/>
        <w:tab w:val="left" w:pos="1075"/>
      </w:tabs>
      <w:snapToGrid w:val="0"/>
      <w:spacing w:before="100" w:beforeLines="0" w:beforeAutospacing="1" w:line="360" w:lineRule="auto"/>
      <w:jc w:val="center"/>
      <w:outlineLvl w:val="0"/>
    </w:pPr>
    <w:rPr>
      <w:rFonts w:ascii="宋体"/>
      <w:b/>
      <w:spacing w:val="2"/>
      <w:sz w:val="24"/>
    </w:rPr>
  </w:style>
  <w:style w:type="paragraph" w:customStyle="1" w:styleId="63">
    <w:name w:val="报告正文"/>
    <w:basedOn w:val="1"/>
    <w:qFormat/>
    <w:uiPriority w:val="0"/>
    <w:pPr>
      <w:ind w:firstLine="200"/>
    </w:pPr>
    <w:rPr>
      <w:rFonts w:cs="Times New Roman"/>
      <w:kern w:val="2"/>
      <w:szCs w:val="24"/>
      <w:lang w:eastAsia="zh-CN"/>
    </w:rPr>
  </w:style>
  <w:style w:type="paragraph" w:customStyle="1" w:styleId="64">
    <w:name w:val="【正文】"/>
    <w:basedOn w:val="1"/>
    <w:next w:val="29"/>
    <w:qFormat/>
    <w:uiPriority w:val="0"/>
    <w:pPr>
      <w:ind w:firstLine="480"/>
    </w:pPr>
    <w:rPr>
      <w:sz w:val="24"/>
      <w:szCs w:val="24"/>
    </w:rPr>
  </w:style>
  <w:style w:type="paragraph" w:customStyle="1" w:styleId="65">
    <w:name w:val="报告正文-连续目录"/>
    <w:basedOn w:val="1"/>
    <w:qFormat/>
    <w:uiPriority w:val="0"/>
    <w:pPr>
      <w:spacing w:line="440" w:lineRule="exact"/>
      <w:ind w:firstLine="200"/>
      <w:jc w:val="both"/>
    </w:pPr>
    <w:rPr>
      <w:rFonts w:ascii="Arial" w:hAnsi="Arial" w:cs="Times New Roman"/>
      <w:snapToGrid w:val="0"/>
      <w:szCs w:val="24"/>
      <w:lang w:eastAsia="zh-CN"/>
    </w:rPr>
  </w:style>
  <w:style w:type="paragraph" w:customStyle="1" w:styleId="66">
    <w:name w:val="0.5正文"/>
    <w:basedOn w:val="1"/>
    <w:next w:val="1"/>
    <w:qFormat/>
    <w:uiPriority w:val="0"/>
    <w:pPr>
      <w:spacing w:beforeLines="50"/>
    </w:pPr>
  </w:style>
  <w:style w:type="paragraph" w:customStyle="1" w:styleId="67">
    <w:name w:val="D标二"/>
    <w:basedOn w:val="1"/>
    <w:qFormat/>
    <w:uiPriority w:val="0"/>
    <w:pPr>
      <w:keepNext/>
      <w:keepLines/>
      <w:spacing w:before="360" w:line="360" w:lineRule="auto"/>
      <w:outlineLvl w:val="1"/>
    </w:pPr>
    <w:rPr>
      <w:rFonts w:eastAsia="黑体"/>
      <w:b/>
      <w:bCs/>
      <w:sz w:val="30"/>
      <w:szCs w:val="30"/>
    </w:rPr>
  </w:style>
  <w:style w:type="paragraph" w:customStyle="1" w:styleId="68">
    <w:name w:val="样式1"/>
    <w:basedOn w:val="69"/>
    <w:next w:val="1"/>
    <w:qFormat/>
    <w:uiPriority w:val="0"/>
    <w:pPr>
      <w:spacing w:before="78" w:beforeLines="25" w:after="78" w:afterLines="25"/>
      <w:ind w:firstLine="560" w:firstLineChars="200"/>
    </w:pPr>
    <w:rPr>
      <w:bCs/>
      <w:color w:val="000000"/>
      <w:sz w:val="28"/>
      <w:szCs w:val="28"/>
    </w:rPr>
  </w:style>
  <w:style w:type="paragraph" w:customStyle="1" w:styleId="69">
    <w:name w:val="表格文字"/>
    <w:qFormat/>
    <w:uiPriority w:val="0"/>
    <w:pPr>
      <w:spacing w:before="50" w:beforeLines="50" w:line="240" w:lineRule="auto"/>
      <w:jc w:val="center"/>
    </w:pPr>
    <w:rPr>
      <w:rFonts w:ascii="Times New Roman" w:hAnsi="Times New Roman" w:eastAsia="宋体" w:cs="Times New Roman"/>
      <w:kern w:val="2"/>
      <w:sz w:val="24"/>
      <w:szCs w:val="24"/>
      <w:lang w:val="en-US" w:eastAsia="zh-CN" w:bidi="ar-SA"/>
    </w:rPr>
  </w:style>
  <w:style w:type="paragraph" w:customStyle="1" w:styleId="70">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71">
    <w:name w:val="其他"/>
    <w:basedOn w:val="1"/>
    <w:qFormat/>
    <w:uiPriority w:val="0"/>
    <w:pPr>
      <w:keepNext w:val="0"/>
      <w:keepLines w:val="0"/>
      <w:shd w:val="clear" w:color="auto" w:fill="FFFFFF"/>
      <w:snapToGrid/>
      <w:spacing w:line="240" w:lineRule="auto"/>
      <w:ind w:firstLine="0" w:firstLineChars="0"/>
      <w:jc w:val="center"/>
    </w:pPr>
    <w:rPr>
      <w:rFonts w:eastAsia="Times New Roman"/>
      <w:kern w:val="0"/>
      <w:sz w:val="20"/>
      <w:szCs w:val="20"/>
      <w:lang w:val="zh-CN" w:bidi="zh-CN"/>
    </w:rPr>
  </w:style>
  <w:style w:type="paragraph" w:customStyle="1" w:styleId="72">
    <w:name w:val="表格标题"/>
    <w:basedOn w:val="1"/>
    <w:qFormat/>
    <w:uiPriority w:val="0"/>
    <w:pPr>
      <w:keepNext w:val="0"/>
      <w:keepLines w:val="0"/>
      <w:shd w:val="clear" w:color="auto" w:fill="FFFFFF"/>
      <w:snapToGrid/>
      <w:spacing w:line="240" w:lineRule="auto"/>
      <w:ind w:firstLine="0" w:firstLineChars="0"/>
      <w:jc w:val="left"/>
    </w:pPr>
    <w:rPr>
      <w:rFonts w:ascii="黑体" w:hAnsi="黑体" w:eastAsia="黑体" w:cs="黑体"/>
      <w:kern w:val="0"/>
      <w:sz w:val="20"/>
      <w:szCs w:val="20"/>
      <w:lang w:val="zh-CN" w:bidi="zh-CN"/>
    </w:rPr>
  </w:style>
  <w:style w:type="paragraph" w:customStyle="1" w:styleId="73">
    <w:name w:val="24磅正文"/>
    <w:basedOn w:val="1"/>
    <w:qFormat/>
    <w:uiPriority w:val="0"/>
    <w:pPr>
      <w:spacing w:line="480" w:lineRule="exact"/>
      <w:ind w:firstLine="480" w:firstLineChars="200"/>
    </w:pPr>
    <w:rPr>
      <w:rFonts w:eastAsia="宋体"/>
    </w:rPr>
  </w:style>
  <w:style w:type="paragraph" w:customStyle="1" w:styleId="74">
    <w:name w:val="正文_10"/>
    <w:link w:val="81"/>
    <w:qFormat/>
    <w:uiPriority w:val="0"/>
    <w:pPr>
      <w:widowControl w:val="0"/>
      <w:jc w:val="center"/>
    </w:pPr>
    <w:rPr>
      <w:rFonts w:ascii="Times New Roman" w:hAnsi="Times New Roman" w:eastAsia="宋体" w:cs="Times New Roman"/>
      <w:b/>
      <w:kern w:val="2"/>
      <w:sz w:val="21"/>
      <w:szCs w:val="22"/>
      <w:lang w:val="en-US" w:eastAsia="zh-CN" w:bidi="ar-SA"/>
    </w:rPr>
  </w:style>
  <w:style w:type="paragraph" w:customStyle="1" w:styleId="75">
    <w:name w:val="0正文"/>
    <w:basedOn w:val="1"/>
    <w:qFormat/>
    <w:uiPriority w:val="0"/>
    <w:rPr>
      <w:szCs w:val="20"/>
    </w:rPr>
  </w:style>
  <w:style w:type="paragraph" w:customStyle="1" w:styleId="76">
    <w:name w:val="表1表2"/>
    <w:basedOn w:val="1"/>
    <w:qFormat/>
    <w:uiPriority w:val="0"/>
    <w:pPr>
      <w:autoSpaceDE w:val="0"/>
      <w:autoSpaceDN w:val="0"/>
      <w:adjustRightInd w:val="0"/>
      <w:jc w:val="center"/>
      <w:textAlignment w:val="center"/>
    </w:pPr>
    <w:rPr>
      <w:rFonts w:ascii="Calibri" w:hAnsi="Calibri" w:eastAsia="仿宋体" w:cs="Calibri"/>
      <w:kern w:val="0"/>
      <w:szCs w:val="20"/>
    </w:rPr>
  </w:style>
  <w:style w:type="paragraph" w:customStyle="1" w:styleId="77">
    <w:name w:val="正文文本1"/>
    <w:basedOn w:val="1"/>
    <w:qFormat/>
    <w:uiPriority w:val="0"/>
    <w:pPr>
      <w:keepNext w:val="0"/>
      <w:keepLines w:val="0"/>
      <w:shd w:val="clear" w:color="auto" w:fill="FFFFFF"/>
      <w:snapToGrid/>
      <w:spacing w:line="403" w:lineRule="auto"/>
      <w:ind w:firstLine="400" w:firstLineChars="0"/>
      <w:jc w:val="left"/>
    </w:pPr>
    <w:rPr>
      <w:rFonts w:ascii="宋体" w:hAnsi="宋体" w:cs="宋体"/>
      <w:kern w:val="0"/>
      <w:sz w:val="20"/>
      <w:szCs w:val="20"/>
      <w:lang w:val="zh-CN" w:bidi="zh-CN"/>
    </w:rPr>
  </w:style>
  <w:style w:type="paragraph" w:customStyle="1" w:styleId="78">
    <w:name w:val="表格（5号）"/>
    <w:basedOn w:val="1"/>
    <w:qFormat/>
    <w:uiPriority w:val="0"/>
    <w:pPr>
      <w:spacing w:line="360" w:lineRule="exact"/>
      <w:ind w:left="-113" w:right="-113"/>
      <w:jc w:val="center"/>
    </w:pPr>
    <w:rPr>
      <w:rFonts w:ascii="宋体" w:hAnsi="宋体" w:cs="宋体"/>
      <w:color w:val="000000"/>
      <w:sz w:val="18"/>
      <w:szCs w:val="18"/>
    </w:rPr>
  </w:style>
  <w:style w:type="paragraph" w:customStyle="1" w:styleId="79">
    <w:name w:val="Table Paragraph"/>
    <w:basedOn w:val="1"/>
    <w:qFormat/>
    <w:uiPriority w:val="1"/>
    <w:rPr>
      <w:rFonts w:ascii="Times New Roman" w:hAnsi="Times New Roman" w:eastAsia="宋体" w:cs="Times New Roman"/>
    </w:rPr>
  </w:style>
  <w:style w:type="character" w:customStyle="1" w:styleId="80">
    <w:name w:val="表格 Char"/>
    <w:link w:val="61"/>
    <w:qFormat/>
    <w:locked/>
    <w:uiPriority w:val="0"/>
    <w:rPr>
      <w:rFonts w:ascii="Times New Roman" w:hAnsi="Times New Roman" w:eastAsia="宋体"/>
      <w:sz w:val="21"/>
    </w:rPr>
  </w:style>
  <w:style w:type="character" w:customStyle="1" w:styleId="81">
    <w:name w:val="正文_10 Char"/>
    <w:link w:val="74"/>
    <w:qFormat/>
    <w:uiPriority w:val="0"/>
    <w:rPr>
      <w:rFonts w:ascii="Times New Roman" w:hAnsi="Times New Roman" w:eastAsia="宋体"/>
      <w:b/>
      <w:kern w:val="2"/>
      <w:sz w:val="21"/>
      <w:szCs w:val="22"/>
      <w:lang w:val="en-US" w:eastAsia="zh-CN" w:bidi="ar-SA"/>
    </w:rPr>
  </w:style>
  <w:style w:type="character" w:customStyle="1" w:styleId="82">
    <w:name w:val="正文文本缩进 Char"/>
    <w:link w:val="13"/>
    <w:semiHidden/>
    <w:qFormat/>
    <w:locked/>
    <w:uiPriority w:val="0"/>
    <w:rPr>
      <w:rFonts w:ascii="Times New Roman" w:hAnsi="Times New Roman" w:eastAsia="宋体"/>
      <w:sz w:val="24"/>
    </w:rPr>
  </w:style>
  <w:style w:type="character" w:customStyle="1" w:styleId="83">
    <w:name w:val="批注主题 Char"/>
    <w:link w:val="30"/>
    <w:semiHidden/>
    <w:qFormat/>
    <w:locked/>
    <w:uiPriority w:val="0"/>
    <w:rPr>
      <w:rFonts w:ascii="Times New Roman" w:hAnsi="Times New Roman" w:eastAsia="宋体"/>
      <w:b/>
      <w:kern w:val="2"/>
      <w:sz w:val="24"/>
    </w:rPr>
  </w:style>
  <w:style w:type="character" w:customStyle="1" w:styleId="84">
    <w:name w:val="Default Char"/>
    <w:link w:val="42"/>
    <w:qFormat/>
    <w:uiPriority w:val="0"/>
    <w:rPr>
      <w:rFonts w:hint="eastAsia" w:ascii="Times New Roman" w:hAnsi="Times New Roman" w:eastAsia="宋体"/>
      <w:sz w:val="24"/>
      <w:szCs w:val="22"/>
    </w:rPr>
  </w:style>
  <w:style w:type="character" w:customStyle="1" w:styleId="85">
    <w:name w:val="15"/>
    <w:basedOn w:val="34"/>
    <w:qFormat/>
    <w:uiPriority w:val="0"/>
    <w:rPr>
      <w:rFonts w:hint="default" w:ascii="Times New Roman" w:hAnsi="Times New Roman" w:cs="Times New Roman"/>
    </w:rPr>
  </w:style>
  <w:style w:type="character" w:customStyle="1" w:styleId="86">
    <w:name w:val="页眉 Char"/>
    <w:link w:val="23"/>
    <w:qFormat/>
    <w:locked/>
    <w:uiPriority w:val="0"/>
    <w:rPr>
      <w:sz w:val="18"/>
    </w:rPr>
  </w:style>
  <w:style w:type="character" w:customStyle="1" w:styleId="87">
    <w:name w:val="普通(网站) Char"/>
    <w:link w:val="22"/>
    <w:qFormat/>
    <w:locked/>
    <w:uiPriority w:val="0"/>
    <w:rPr>
      <w:rFonts w:ascii="宋体" w:hAnsi="宋体" w:eastAsia="宋体"/>
      <w:sz w:val="24"/>
    </w:rPr>
  </w:style>
  <w:style w:type="character" w:customStyle="1" w:styleId="88">
    <w:name w:val="页脚 字符"/>
    <w:basedOn w:val="34"/>
    <w:qFormat/>
    <w:uiPriority w:val="99"/>
  </w:style>
  <w:style w:type="character" w:customStyle="1" w:styleId="89">
    <w:name w:val="Default1 Char"/>
    <w:link w:val="44"/>
    <w:qFormat/>
    <w:uiPriority w:val="0"/>
    <w:rPr>
      <w:rFonts w:ascii="Times New Roman" w:hAnsi="Times New Roman" w:eastAsia="宋体" w:cs="宋体"/>
      <w:bCs/>
      <w:color w:val="000000"/>
      <w:sz w:val="24"/>
      <w:szCs w:val="21"/>
      <w:lang w:val="en-US" w:eastAsia="zh-CN" w:bidi="ar-SA"/>
    </w:rPr>
  </w:style>
  <w:style w:type="character" w:customStyle="1" w:styleId="90">
    <w:name w:val="10"/>
    <w:basedOn w:val="34"/>
    <w:qFormat/>
    <w:uiPriority w:val="0"/>
    <w:rPr>
      <w:rFonts w:hint="default" w:ascii="Times New Roman" w:hAnsi="Times New Roman" w:cs="Times New Roman"/>
    </w:rPr>
  </w:style>
  <w:style w:type="character" w:customStyle="1" w:styleId="91">
    <w:name w:val="页脚 Char"/>
    <w:link w:val="21"/>
    <w:qFormat/>
    <w:locked/>
    <w:uiPriority w:val="99"/>
    <w:rPr>
      <w:sz w:val="18"/>
    </w:rPr>
  </w:style>
  <w:style w:type="character" w:customStyle="1" w:styleId="92">
    <w:name w:val="批注文字 字符1"/>
    <w:semiHidden/>
    <w:qFormat/>
    <w:uiPriority w:val="0"/>
    <w:rPr>
      <w:rFonts w:ascii="Times New Roman" w:hAnsi="Times New Roman" w:eastAsia="宋体"/>
      <w:sz w:val="24"/>
    </w:rPr>
  </w:style>
  <w:style w:type="character" w:customStyle="1" w:styleId="93">
    <w:name w:val="批注框文本 Char"/>
    <w:link w:val="20"/>
    <w:semiHidden/>
    <w:qFormat/>
    <w:locked/>
    <w:uiPriority w:val="0"/>
    <w:rPr>
      <w:rFonts w:ascii="Times New Roman" w:hAnsi="Times New Roman" w:eastAsia="宋体"/>
      <w:sz w:val="18"/>
    </w:rPr>
  </w:style>
  <w:style w:type="character" w:customStyle="1" w:styleId="94">
    <w:name w:val="正文文本 Char"/>
    <w:link w:val="11"/>
    <w:qFormat/>
    <w:locked/>
    <w:uiPriority w:val="0"/>
    <w:rPr>
      <w:rFonts w:eastAsia="宋体"/>
      <w:sz w:val="21"/>
    </w:rPr>
  </w:style>
  <w:style w:type="character" w:customStyle="1" w:styleId="95">
    <w:name w:val="正文文本 字符1"/>
    <w:semiHidden/>
    <w:qFormat/>
    <w:uiPriority w:val="0"/>
    <w:rPr>
      <w:rFonts w:ascii="Times New Roman" w:hAnsi="Times New Roman" w:eastAsia="宋体"/>
      <w:sz w:val="24"/>
    </w:rPr>
  </w:style>
  <w:style w:type="character" w:customStyle="1" w:styleId="96">
    <w:name w:val="日期 Char"/>
    <w:link w:val="17"/>
    <w:qFormat/>
    <w:locked/>
    <w:uiPriority w:val="0"/>
    <w:rPr>
      <w:rFonts w:ascii="Times New Roman" w:hAnsi="Times New Roman" w:eastAsia="宋体"/>
      <w:sz w:val="24"/>
    </w:rPr>
  </w:style>
  <w:style w:type="character" w:customStyle="1" w:styleId="97">
    <w:name w:val="日期 字符"/>
    <w:semiHidden/>
    <w:qFormat/>
    <w:uiPriority w:val="0"/>
    <w:rPr>
      <w:rFonts w:ascii="Times New Roman" w:hAnsi="Times New Roman" w:eastAsia="宋体"/>
      <w:sz w:val="24"/>
    </w:rPr>
  </w:style>
  <w:style w:type="character" w:customStyle="1" w:styleId="98">
    <w:name w:val="批注文字 Char"/>
    <w:link w:val="9"/>
    <w:qFormat/>
    <w:locked/>
    <w:uiPriority w:val="0"/>
    <w:rPr>
      <w:rFonts w:ascii="Times New Roman" w:hAnsi="Times New Roman" w:eastAsia="宋体"/>
      <w:sz w:val="24"/>
    </w:rPr>
  </w:style>
  <w:style w:type="paragraph" w:customStyle="1" w:styleId="99">
    <w:name w:val="正文文本 21"/>
    <w:basedOn w:val="1"/>
    <w:qFormat/>
    <w:uiPriority w:val="0"/>
    <w:pPr>
      <w:spacing w:line="240" w:lineRule="auto"/>
      <w:jc w:val="center"/>
    </w:pPr>
    <w:rPr>
      <w:kern w:val="2"/>
      <w:sz w:val="24"/>
    </w:rPr>
  </w:style>
  <w:style w:type="paragraph" w:customStyle="1" w:styleId="100">
    <w:name w:val="标注"/>
    <w:basedOn w:val="1"/>
    <w:qFormat/>
    <w:uiPriority w:val="0"/>
    <w:pPr>
      <w:spacing w:line="240" w:lineRule="auto"/>
      <w:ind w:firstLine="0"/>
    </w:pPr>
    <w:rPr>
      <w:color w:val="000000"/>
      <w:kern w:val="21"/>
      <w:sz w:val="18"/>
      <w:szCs w:val="18"/>
    </w:rPr>
  </w:style>
  <w:style w:type="paragraph" w:customStyle="1" w:styleId="101">
    <w:name w:val="表格居中 Char"/>
    <w:basedOn w:val="1"/>
    <w:qFormat/>
    <w:uiPriority w:val="0"/>
    <w:pPr>
      <w:adjustRightInd/>
      <w:spacing w:line="240" w:lineRule="auto"/>
      <w:jc w:val="center"/>
      <w:textAlignment w:val="auto"/>
    </w:pPr>
    <w:rPr>
      <w:rFonts w:ascii="宋体" w:hAnsi="宋体"/>
      <w:w w:val="90"/>
      <w:sz w:val="24"/>
      <w:szCs w:val="24"/>
    </w:rPr>
  </w:style>
  <w:style w:type="paragraph" w:customStyle="1" w:styleId="102">
    <w:name w:val="aa正文"/>
    <w:basedOn w:val="1"/>
    <w:qFormat/>
    <w:uiPriority w:val="0"/>
    <w:pPr>
      <w:spacing w:line="360" w:lineRule="auto"/>
      <w:ind w:firstLine="200" w:firstLineChars="200"/>
    </w:pPr>
    <w:rPr>
      <w:rFonts w:ascii="Calibri" w:hAnsi="Calibri"/>
      <w:sz w:val="24"/>
      <w:szCs w:val="24"/>
    </w:rPr>
  </w:style>
  <w:style w:type="paragraph" w:customStyle="1" w:styleId="103">
    <w:name w:val="List Paragraph"/>
    <w:basedOn w:val="1"/>
    <w:qFormat/>
    <w:uiPriority w:val="1"/>
    <w:pPr>
      <w:ind w:left="563" w:hanging="352"/>
    </w:pPr>
    <w:rPr>
      <w:rFonts w:ascii="宋体" w:hAnsi="宋体" w:eastAsia="宋体" w:cs="宋体"/>
      <w:lang w:val="en-US" w:eastAsia="en-US" w:bidi="en-US"/>
    </w:rPr>
  </w:style>
  <w:style w:type="paragraph" w:customStyle="1" w:styleId="104">
    <w:name w:val="样式 样式 样式 宋体 小四 行距: 多倍行距 1.4 字行2 + 黑色 + Times New Roman1"/>
    <w:basedOn w:val="1"/>
    <w:qFormat/>
    <w:uiPriority w:val="0"/>
    <w:pPr>
      <w:spacing w:line="360" w:lineRule="auto"/>
      <w:ind w:firstLine="200" w:firstLineChars="200"/>
    </w:pPr>
    <w:rPr>
      <w:rFonts w:cs="宋体"/>
      <w:color w:val="000000"/>
      <w:sz w:val="24"/>
      <w:szCs w:val="24"/>
    </w:rPr>
  </w:style>
  <w:style w:type="paragraph" w:customStyle="1" w:styleId="105">
    <w:name w:val="样式 文本正文 + 仿宋_GB23121"/>
    <w:basedOn w:val="11"/>
    <w:qFormat/>
    <w:uiPriority w:val="0"/>
    <w:pPr>
      <w:autoSpaceDE w:val="0"/>
      <w:autoSpaceDN w:val="0"/>
      <w:spacing w:after="0" w:afterLines="0" w:line="360" w:lineRule="auto"/>
      <w:ind w:firstLine="510"/>
    </w:pPr>
    <w:rPr>
      <w:rFonts w:ascii="仿宋_GB2312" w:hAnsi="仿宋_GB2312" w:eastAsia="仿宋_GB2312"/>
      <w:snapToGrid w:val="0"/>
      <w:color w:val="000000"/>
      <w:spacing w:val="4"/>
      <w:kern w:val="18"/>
      <w:sz w:val="28"/>
      <w:szCs w:val="24"/>
    </w:rPr>
  </w:style>
  <w:style w:type="paragraph" w:customStyle="1" w:styleId="106">
    <w:name w:val="Body Text 2"/>
    <w:basedOn w:val="1"/>
    <w:qFormat/>
    <w:uiPriority w:val="0"/>
    <w:pPr>
      <w:spacing w:line="240" w:lineRule="auto"/>
      <w:jc w:val="center"/>
    </w:pPr>
    <w:rPr>
      <w:kern w:val="2"/>
      <w:sz w:val="24"/>
    </w:rPr>
  </w:style>
  <w:style w:type="table" w:customStyle="1" w:styleId="107">
    <w:name w:val="Table Normal"/>
    <w:unhideWhenUsed/>
    <w:qFormat/>
    <w:uiPriority w:val="0"/>
    <w:tblPr>
      <w:tblCellMar>
        <w:top w:w="0" w:type="dxa"/>
        <w:left w:w="0" w:type="dxa"/>
        <w:bottom w:w="0" w:type="dxa"/>
        <w:right w:w="0" w:type="dxa"/>
      </w:tblCellMar>
    </w:tblPr>
  </w:style>
  <w:style w:type="paragraph" w:customStyle="1" w:styleId="108">
    <w:name w:val="正文01"/>
    <w:basedOn w:val="1"/>
    <w:qFormat/>
    <w:uiPriority w:val="0"/>
    <w:pPr>
      <w:adjustRightInd w:val="0"/>
      <w:snapToGrid w:val="0"/>
      <w:spacing w:line="360" w:lineRule="auto"/>
      <w:ind w:firstLine="200" w:firstLineChars="200"/>
    </w:pPr>
    <w:rPr>
      <w:sz w:val="24"/>
    </w:rPr>
  </w:style>
  <w:style w:type="paragraph" w:customStyle="1" w:styleId="109">
    <w:name w:val="图表01"/>
    <w:basedOn w:val="108"/>
    <w:next w:val="108"/>
    <w:qFormat/>
    <w:uiPriority w:val="0"/>
    <w:pPr>
      <w:spacing w:line="240" w:lineRule="auto"/>
      <w:jc w:val="center"/>
    </w:pPr>
    <w:rPr>
      <w:b/>
    </w:rPr>
  </w:style>
  <w:style w:type="paragraph" w:customStyle="1" w:styleId="110">
    <w:name w:val="表格正文"/>
    <w:basedOn w:val="43"/>
    <w:next w:val="1"/>
    <w:qFormat/>
    <w:uiPriority w:val="0"/>
    <w:pPr>
      <w:jc w:val="center"/>
    </w:pPr>
    <w:rPr>
      <w:szCs w:val="21"/>
    </w:rPr>
  </w:style>
  <w:style w:type="paragraph" w:customStyle="1" w:styleId="111">
    <w:name w:val="正文文本5"/>
    <w:basedOn w:val="1"/>
    <w:qFormat/>
    <w:uiPriority w:val="0"/>
    <w:pPr>
      <w:shd w:val="clear" w:color="auto" w:fill="FFFFFF"/>
      <w:spacing w:after="960" w:line="0" w:lineRule="atLeast"/>
      <w:jc w:val="center"/>
    </w:pPr>
    <w:rPr>
      <w:rFonts w:ascii="MingLiU" w:hAnsi="MingLiU" w:eastAsia="MingLiU"/>
      <w:sz w:val="19"/>
      <w:szCs w:val="19"/>
    </w:rPr>
  </w:style>
  <w:style w:type="character" w:customStyle="1" w:styleId="112">
    <w:name w:val="正文文本2"/>
    <w:qFormat/>
    <w:uiPriority w:val="0"/>
    <w:rPr>
      <w:rFonts w:ascii="MingLiU" w:hAnsi="MingLiU" w:eastAsia="MingLiU" w:cs="MingLiU"/>
      <w:color w:val="000000"/>
      <w:spacing w:val="0"/>
      <w:w w:val="100"/>
      <w:position w:val="0"/>
      <w:sz w:val="19"/>
      <w:szCs w:val="19"/>
      <w:shd w:val="clear" w:color="auto" w:fill="FFFFFF"/>
      <w:lang w:val="zh-TW"/>
    </w:rPr>
  </w:style>
  <w:style w:type="paragraph" w:customStyle="1" w:styleId="113">
    <w:name w:val="正文样式"/>
    <w:basedOn w:val="1"/>
    <w:qFormat/>
    <w:uiPriority w:val="0"/>
    <w:pPr>
      <w:spacing w:line="360" w:lineRule="auto"/>
      <w:ind w:right="170" w:firstLine="480" w:firstLineChars="200"/>
    </w:pPr>
    <w:rPr>
      <w:rFonts w:hAnsi="宋体"/>
      <w:sz w:val="24"/>
    </w:rPr>
  </w:style>
  <w:style w:type="paragraph" w:customStyle="1" w:styleId="114">
    <w:name w:val="A表内"/>
    <w:basedOn w:val="1"/>
    <w:qFormat/>
    <w:uiPriority w:val="0"/>
    <w:pPr>
      <w:spacing w:line="0" w:lineRule="atLeast"/>
      <w:jc w:val="center"/>
    </w:pPr>
    <w:rPr>
      <w:rFonts w:cs="宋体"/>
      <w:szCs w:val="20"/>
    </w:rPr>
  </w:style>
  <w:style w:type="paragraph" w:customStyle="1" w:styleId="115">
    <w:name w:val="05F凡式正文"/>
    <w:basedOn w:val="1"/>
    <w:qFormat/>
    <w:uiPriority w:val="0"/>
    <w:pPr>
      <w:spacing w:line="360" w:lineRule="auto"/>
      <w:ind w:firstLine="720" w:firstLineChars="200"/>
    </w:pPr>
    <w:rPr>
      <w:kern w:val="0"/>
      <w:sz w:val="24"/>
      <w:szCs w:val="20"/>
    </w:rPr>
  </w:style>
  <w:style w:type="character" w:customStyle="1" w:styleId="116">
    <w:name w:val="font11"/>
    <w:basedOn w:val="34"/>
    <w:qFormat/>
    <w:uiPriority w:val="0"/>
    <w:rPr>
      <w:rFonts w:hint="default" w:ascii="Times New Roman" w:hAnsi="Times New Roman" w:cs="Times New Roman"/>
      <w:color w:val="000000"/>
      <w:sz w:val="21"/>
      <w:szCs w:val="21"/>
      <w:u w:val="none"/>
    </w:rPr>
  </w:style>
  <w:style w:type="paragraph" w:customStyle="1" w:styleId="117">
    <w:name w:val="_Style 106"/>
    <w:basedOn w:val="13"/>
    <w:next w:val="19"/>
    <w:qFormat/>
    <w:uiPriority w:val="0"/>
    <w:pPr>
      <w:spacing w:after="120" w:line="240" w:lineRule="auto"/>
      <w:ind w:left="420" w:leftChars="200" w:firstLine="420" w:firstLineChars="200"/>
    </w:pPr>
    <w:rPr>
      <w:rFonts w:ascii="Times New Roman" w:hAnsi="Times New Roman"/>
      <w:sz w:val="21"/>
    </w:rPr>
  </w:style>
  <w:style w:type="character" w:customStyle="1" w:styleId="118">
    <w:name w:val="font21"/>
    <w:basedOn w:val="34"/>
    <w:qFormat/>
    <w:uiPriority w:val="0"/>
    <w:rPr>
      <w:rFonts w:hint="eastAsia" w:ascii="宋体" w:hAnsi="宋体" w:eastAsia="宋体" w:cs="宋体"/>
      <w:color w:val="FF0000"/>
      <w:sz w:val="18"/>
      <w:szCs w:val="18"/>
      <w:u w:val="none"/>
    </w:rPr>
  </w:style>
  <w:style w:type="paragraph" w:customStyle="1" w:styleId="119">
    <w:name w:val="lll"/>
    <w:basedOn w:val="1"/>
    <w:qFormat/>
    <w:uiPriority w:val="0"/>
    <w:pPr>
      <w:spacing w:line="360" w:lineRule="auto"/>
      <w:ind w:firstLine="601"/>
    </w:pPr>
    <w:rPr>
      <w:rFonts w:ascii="宋体" w:hAnsi="宋体" w:cs="Times New Roman"/>
      <w:sz w:val="28"/>
    </w:rPr>
  </w:style>
  <w:style w:type="paragraph" w:customStyle="1" w:styleId="120">
    <w:name w:val="报告表  段"/>
    <w:basedOn w:val="1"/>
    <w:qFormat/>
    <w:uiPriority w:val="0"/>
    <w:pPr>
      <w:adjustRightInd w:val="0"/>
      <w:spacing w:line="360" w:lineRule="auto"/>
      <w:ind w:firstLine="505"/>
      <w:textAlignment w:val="baseline"/>
    </w:pPr>
    <w:rPr>
      <w:rFonts w:eastAsia="宋体"/>
    </w:rPr>
  </w:style>
  <w:style w:type="paragraph" w:customStyle="1" w:styleId="121">
    <w:name w:val="正文(首行缩进)"/>
    <w:basedOn w:val="1"/>
    <w:qFormat/>
    <w:uiPriority w:val="0"/>
    <w:pPr>
      <w:adjustRightInd w:val="0"/>
      <w:snapToGrid w:val="0"/>
      <w:spacing w:line="360" w:lineRule="auto"/>
      <w:ind w:firstLine="200" w:firstLineChars="200"/>
    </w:pPr>
    <w:rPr>
      <w:kern w:val="0"/>
      <w:sz w:val="24"/>
    </w:rPr>
  </w:style>
  <w:style w:type="paragraph" w:customStyle="1" w:styleId="122">
    <w:name w:val="正本文字"/>
    <w:basedOn w:val="1"/>
    <w:qFormat/>
    <w:uiPriority w:val="0"/>
    <w:pPr>
      <w:adjustRightInd w:val="0"/>
      <w:snapToGrid w:val="0"/>
      <w:spacing w:line="360" w:lineRule="auto"/>
      <w:ind w:firstLine="480" w:firstLineChars="200"/>
      <w:jc w:val="left"/>
    </w:pPr>
    <w:rPr>
      <w:rFonts w:ascii="Calibri" w:hAnsi="Calibri"/>
      <w:kern w:val="18"/>
      <w:sz w:val="24"/>
    </w:rPr>
  </w:style>
  <w:style w:type="character" w:customStyle="1" w:styleId="123">
    <w:name w:val="fontstyle21"/>
    <w:basedOn w:val="34"/>
    <w:qFormat/>
    <w:uiPriority w:val="0"/>
    <w:rPr>
      <w:rFonts w:ascii="宋体" w:hAnsi="宋体" w:eastAsia="宋体" w:cs="宋体"/>
      <w:color w:val="000000"/>
      <w:sz w:val="24"/>
      <w:szCs w:val="24"/>
    </w:rPr>
  </w:style>
  <w:style w:type="paragraph" w:customStyle="1" w:styleId="124">
    <w:name w:val="D图表"/>
    <w:basedOn w:val="59"/>
    <w:qFormat/>
    <w:uiPriority w:val="0"/>
    <w:pPr>
      <w:spacing w:before="120" w:after="120" w:line="240" w:lineRule="auto"/>
      <w:ind w:firstLine="0" w:firstLineChars="0"/>
      <w:jc w:val="center"/>
    </w:pPr>
    <w:rPr>
      <w:rFonts w:cs="Times New Roman"/>
      <w:b/>
      <w:kern w:val="2"/>
      <w:sz w:val="21"/>
      <w:szCs w:val="21"/>
      <w:lang w:eastAsia="zh-CN"/>
    </w:rPr>
  </w:style>
  <w:style w:type="paragraph" w:customStyle="1" w:styleId="125">
    <w:name w:val="表格内-ckg"/>
    <w:qFormat/>
    <w:uiPriority w:val="0"/>
    <w:pPr>
      <w:jc w:val="center"/>
    </w:pPr>
    <w:rPr>
      <w:rFonts w:ascii="Calibri" w:hAnsi="Calibri" w:eastAsia="宋体" w:cs="Times New Roman"/>
      <w:color w:val="000000"/>
      <w:lang w:val="en-US" w:eastAsia="zh-CN" w:bidi="ar-SA"/>
    </w:rPr>
  </w:style>
  <w:style w:type="paragraph" w:customStyle="1" w:styleId="126">
    <w:name w:val="111111111111111111111111"/>
    <w:basedOn w:val="122"/>
    <w:qFormat/>
    <w:uiPriority w:val="0"/>
    <w:pPr>
      <w:spacing w:before="50" w:beforeLines="50" w:line="240" w:lineRule="auto"/>
      <w:ind w:firstLine="0" w:firstLineChars="0"/>
      <w:jc w:val="center"/>
    </w:pPr>
    <w:rPr>
      <w:b/>
    </w:rPr>
  </w:style>
  <w:style w:type="paragraph" w:customStyle="1" w:styleId="127">
    <w:name w:val="222222222222222222222"/>
    <w:basedOn w:val="1"/>
    <w:qFormat/>
    <w:uiPriority w:val="0"/>
    <w:pPr>
      <w:spacing w:line="240" w:lineRule="auto"/>
      <w:ind w:firstLine="0" w:firstLineChars="0"/>
      <w:jc w:val="center"/>
    </w:pPr>
    <w:rPr>
      <w:sz w:val="21"/>
      <w:szCs w:val="21"/>
    </w:rPr>
  </w:style>
  <w:style w:type="paragraph" w:customStyle="1" w:styleId="128">
    <w:name w:val="222222222222222222222222222"/>
    <w:basedOn w:val="1"/>
    <w:qFormat/>
    <w:uiPriority w:val="0"/>
    <w:pPr>
      <w:spacing w:line="240" w:lineRule="auto"/>
      <w:ind w:firstLine="0" w:firstLineChars="0"/>
      <w:jc w:val="center"/>
    </w:pPr>
    <w:rPr>
      <w:sz w:val="21"/>
      <w:szCs w:val="21"/>
    </w:rPr>
  </w:style>
  <w:style w:type="paragraph" w:customStyle="1" w:styleId="129">
    <w:name w:val="表格内容居中"/>
    <w:qFormat/>
    <w:uiPriority w:val="0"/>
    <w:pPr>
      <w:adjustRightInd w:val="0"/>
      <w:snapToGrid w:val="0"/>
      <w:jc w:val="center"/>
    </w:pPr>
    <w:rPr>
      <w:rFonts w:ascii="Times New Roman" w:hAnsi="Times New Roman" w:eastAsia="宋体" w:cs="Times New Roman"/>
      <w:snapToGrid w:val="0"/>
      <w:sz w:val="21"/>
      <w:szCs w:val="21"/>
      <w:lang w:val="en-US" w:eastAsia="zh-CN" w:bidi="ar-SA"/>
    </w:rPr>
  </w:style>
  <w:style w:type="paragraph" w:customStyle="1" w:styleId="130">
    <w:name w:val="正文2"/>
    <w:basedOn w:val="1"/>
    <w:qFormat/>
    <w:uiPriority w:val="0"/>
    <w:pPr>
      <w:adjustRightInd w:val="0"/>
      <w:spacing w:line="360" w:lineRule="auto"/>
      <w:ind w:firstLine="480" w:firstLineChars="200"/>
      <w:textAlignment w:val="baseline"/>
    </w:pPr>
    <w:rPr>
      <w:rFonts w:ascii="宋体" w:hAnsi="宋体" w:cs="宋体"/>
      <w:kern w:val="21"/>
      <w:sz w:val="24"/>
    </w:rPr>
  </w:style>
  <w:style w:type="paragraph" w:customStyle="1" w:styleId="131">
    <w:name w:val="正文王"/>
    <w:basedOn w:val="132"/>
    <w:semiHidden/>
    <w:qFormat/>
    <w:uiPriority w:val="0"/>
    <w:pPr>
      <w:spacing w:beforeLines="0" w:afterLines="0"/>
      <w:ind w:firstLine="720" w:firstLineChars="200"/>
      <w:outlineLvl w:val="9"/>
    </w:pPr>
    <w:rPr>
      <w:rFonts w:eastAsia="宋体"/>
      <w:b w:val="0"/>
      <w:sz w:val="24"/>
    </w:rPr>
  </w:style>
  <w:style w:type="paragraph" w:customStyle="1" w:styleId="132">
    <w:name w:val="标题三王"/>
    <w:basedOn w:val="133"/>
    <w:semiHidden/>
    <w:qFormat/>
    <w:uiPriority w:val="0"/>
    <w:pPr>
      <w:spacing w:beforeLines="50" w:afterLines="20"/>
      <w:outlineLvl w:val="2"/>
    </w:pPr>
    <w:rPr>
      <w:sz w:val="28"/>
    </w:rPr>
  </w:style>
  <w:style w:type="paragraph" w:customStyle="1" w:styleId="133">
    <w:name w:val="标题二王"/>
    <w:basedOn w:val="1"/>
    <w:semiHidden/>
    <w:qFormat/>
    <w:uiPriority w:val="0"/>
    <w:pPr>
      <w:spacing w:beforeLines="100" w:afterLines="50" w:line="360" w:lineRule="auto"/>
      <w:outlineLvl w:val="1"/>
    </w:pPr>
    <w:rPr>
      <w:rFonts w:eastAsia="黑体"/>
      <w:b/>
      <w:sz w:val="32"/>
    </w:rPr>
  </w:style>
  <w:style w:type="paragraph" w:customStyle="1" w:styleId="134">
    <w:name w:val="表格文本"/>
    <w:basedOn w:val="1"/>
    <w:qFormat/>
    <w:uiPriority w:val="0"/>
    <w:pPr>
      <w:adjustRightInd w:val="0"/>
      <w:snapToGrid w:val="0"/>
      <w:jc w:val="center"/>
    </w:pPr>
    <w:rPr>
      <w:szCs w:val="21"/>
    </w:rPr>
  </w:style>
  <w:style w:type="paragraph" w:customStyle="1" w:styleId="135">
    <w:name w:val="正文1 Char"/>
    <w:basedOn w:val="1"/>
    <w:qFormat/>
    <w:uiPriority w:val="0"/>
    <w:pPr>
      <w:spacing w:line="360" w:lineRule="auto"/>
      <w:ind w:firstLine="480" w:firstLineChars="200"/>
    </w:pPr>
    <w:rPr>
      <w:rFonts w:ascii="宋体" w:hAnsi="宋体"/>
      <w:kern w:val="21"/>
      <w:sz w:val="24"/>
    </w:rPr>
  </w:style>
  <w:style w:type="paragraph" w:customStyle="1" w:styleId="136">
    <w:name w:val="yt正文"/>
    <w:basedOn w:val="1"/>
    <w:qFormat/>
    <w:uiPriority w:val="0"/>
    <w:pPr>
      <w:spacing w:line="360" w:lineRule="auto"/>
      <w:ind w:firstLine="1446" w:firstLineChars="200"/>
    </w:pPr>
    <w:rPr>
      <w:sz w:val="24"/>
    </w:rPr>
  </w:style>
  <w:style w:type="paragraph" w:customStyle="1" w:styleId="137">
    <w:name w:val="报告表 段"/>
    <w:basedOn w:val="1"/>
    <w:qFormat/>
    <w:uiPriority w:val="0"/>
    <w:pPr>
      <w:spacing w:line="360" w:lineRule="auto"/>
      <w:ind w:firstLine="470" w:firstLineChars="196"/>
    </w:pPr>
    <w:rPr>
      <w:rFonts w:ascii="宋体" w:hAnsi="宋体"/>
      <w:bCs/>
      <w:sz w:val="24"/>
      <w:szCs w:val="24"/>
    </w:rPr>
  </w:style>
  <w:style w:type="paragraph" w:customStyle="1" w:styleId="138">
    <w:name w:val="表中文字"/>
    <w:basedOn w:val="10"/>
    <w:qFormat/>
    <w:uiPriority w:val="0"/>
    <w:pPr>
      <w:spacing w:after="0" w:afterLines="0"/>
      <w:jc w:val="center"/>
    </w:pPr>
    <w:rPr>
      <w:rFonts w:ascii="宋体"/>
      <w:spacing w:val="4"/>
      <w:w w:val="90"/>
      <w:sz w:val="24"/>
      <w:szCs w:val="24"/>
    </w:rPr>
  </w:style>
  <w:style w:type="paragraph" w:customStyle="1" w:styleId="139">
    <w:name w:val="06F图名表名"/>
    <w:basedOn w:val="140"/>
    <w:next w:val="140"/>
    <w:qFormat/>
    <w:uiPriority w:val="0"/>
    <w:rPr>
      <w:rFonts w:eastAsia="宋体"/>
      <w:b/>
    </w:rPr>
  </w:style>
  <w:style w:type="paragraph" w:customStyle="1" w:styleId="140">
    <w:name w:val="07F表格文字"/>
    <w:basedOn w:val="141"/>
    <w:next w:val="141"/>
    <w:qFormat/>
    <w:uiPriority w:val="0"/>
    <w:pPr>
      <w:jc w:val="center"/>
    </w:pPr>
    <w:rPr>
      <w:rFonts w:eastAsia="宋体"/>
    </w:rPr>
  </w:style>
  <w:style w:type="paragraph" w:customStyle="1" w:styleId="141">
    <w:name w:val="08F表格批注"/>
    <w:basedOn w:val="1"/>
    <w:next w:val="1"/>
    <w:qFormat/>
    <w:uiPriority w:val="0"/>
    <w:pPr>
      <w:jc w:val="left"/>
    </w:pPr>
    <w:rPr>
      <w:rFonts w:ascii="Times New Roman" w:hAnsi="Times New Roman" w:eastAsia="宋体"/>
      <w:szCs w:val="21"/>
    </w:rPr>
  </w:style>
  <w:style w:type="character" w:customStyle="1" w:styleId="142">
    <w:name w:val="表头 Char Char"/>
    <w:basedOn w:val="34"/>
    <w:semiHidden/>
    <w:qFormat/>
    <w:uiPriority w:val="0"/>
    <w:rPr>
      <w:rFonts w:ascii="宋体" w:eastAsia="宋体" w:cs="宋体"/>
      <w:spacing w:val="6"/>
      <w:kern w:val="10"/>
      <w:sz w:val="24"/>
      <w:szCs w:val="24"/>
      <w:lang w:val="en-US" w:eastAsia="zh-CN"/>
    </w:rPr>
  </w:style>
  <w:style w:type="paragraph" w:customStyle="1" w:styleId="143">
    <w:name w:val="Char"/>
    <w:basedOn w:val="1"/>
    <w:qFormat/>
    <w:uiPriority w:val="0"/>
  </w:style>
  <w:style w:type="paragraph" w:customStyle="1" w:styleId="144">
    <w:name w:val="表格标题1"/>
    <w:basedOn w:val="1"/>
    <w:qFormat/>
    <w:uiPriority w:val="0"/>
    <w:pPr>
      <w:snapToGrid w:val="0"/>
      <w:spacing w:line="360" w:lineRule="auto"/>
      <w:jc w:val="center"/>
    </w:pPr>
    <w:rPr>
      <w:rFonts w:ascii="宋体"/>
      <w:b/>
      <w:spacing w:val="4"/>
      <w:sz w:val="24"/>
    </w:rPr>
  </w:style>
  <w:style w:type="paragraph" w:customStyle="1" w:styleId="145">
    <w:name w:val="表格居中"/>
    <w:basedOn w:val="1"/>
    <w:qFormat/>
    <w:uiPriority w:val="0"/>
    <w:pPr>
      <w:adjustRightInd/>
      <w:spacing w:line="240" w:lineRule="auto"/>
      <w:jc w:val="center"/>
      <w:textAlignment w:val="auto"/>
    </w:pPr>
    <w:rPr>
      <w:rFonts w:ascii="宋体" w:hAnsi="宋体"/>
      <w:snapToGrid w:val="0"/>
      <w:spacing w:val="-4"/>
      <w:w w:val="90"/>
      <w:sz w:val="24"/>
    </w:rPr>
  </w:style>
  <w:style w:type="paragraph" w:customStyle="1" w:styleId="146">
    <w:name w:val="居中正文"/>
    <w:basedOn w:val="31"/>
    <w:qFormat/>
    <w:uiPriority w:val="0"/>
    <w:pPr>
      <w:adjustRightInd w:val="0"/>
      <w:spacing w:before="120" w:beforeLines="0" w:after="0" w:afterLines="0" w:line="360" w:lineRule="auto"/>
      <w:ind w:left="0" w:leftChars="0"/>
      <w:jc w:val="center"/>
      <w:textAlignment w:val="baseline"/>
    </w:pPr>
    <w:rPr>
      <w:rFonts w:ascii="宋体" w:hAnsi="Times New Roman"/>
      <w:kern w:val="28"/>
      <w:sz w:val="24"/>
      <w:szCs w:val="20"/>
    </w:rPr>
  </w:style>
  <w:style w:type="paragraph" w:customStyle="1" w:styleId="147">
    <w:name w:val="样式 正文文本文本正文正文文字 Char Char Char Char + 居中 首行缩进:  0 厘米 段前: 6 磅"/>
    <w:basedOn w:val="11"/>
    <w:qFormat/>
    <w:uiPriority w:val="0"/>
    <w:pPr>
      <w:spacing w:before="120" w:beforeLines="0" w:line="240" w:lineRule="auto"/>
      <w:ind w:firstLine="0"/>
      <w:jc w:val="center"/>
    </w:pPr>
    <w:rPr>
      <w:rFonts w:cs="宋体"/>
      <w:spacing w:val="0"/>
      <w:w w:val="90"/>
      <w:kern w:val="2"/>
      <w:szCs w:val="20"/>
    </w:rPr>
  </w:style>
  <w:style w:type="paragraph" w:customStyle="1" w:styleId="148">
    <w:name w:val="表格内容"/>
    <w:basedOn w:val="1"/>
    <w:qFormat/>
    <w:uiPriority w:val="0"/>
    <w:pPr>
      <w:overflowPunct w:val="0"/>
      <w:adjustRightInd w:val="0"/>
      <w:spacing w:before="40" w:after="60" w:line="200" w:lineRule="atLeast"/>
    </w:pPr>
    <w:rPr>
      <w:rFonts w:ascii="Arial" w:hAnsi="Arial" w:eastAsia="仿宋_GB2312"/>
      <w:kern w:val="0"/>
      <w:sz w:val="24"/>
      <w:szCs w:val="20"/>
    </w:rPr>
  </w:style>
  <w:style w:type="paragraph" w:customStyle="1" w:styleId="149">
    <w:name w:val="_C小五号图表内容"/>
    <w:qFormat/>
    <w:uiPriority w:val="0"/>
    <w:pPr>
      <w:jc w:val="center"/>
    </w:pPr>
    <w:rPr>
      <w:rFonts w:ascii="Times New Roman" w:hAnsi="Times New Roman" w:eastAsia="宋体" w:cs="Times New Roman"/>
      <w:kern w:val="2"/>
      <w:sz w:val="18"/>
      <w:lang w:val="en-US" w:eastAsia="zh-CN" w:bidi="ar-SA"/>
    </w:rPr>
  </w:style>
  <w:style w:type="paragraph" w:customStyle="1" w:styleId="150">
    <w:name w:val="D图表内容"/>
    <w:basedOn w:val="1"/>
    <w:next w:val="1"/>
    <w:qFormat/>
    <w:uiPriority w:val="0"/>
    <w:pPr>
      <w:widowControl/>
      <w:spacing w:line="240" w:lineRule="auto"/>
      <w:ind w:firstLine="0"/>
      <w:jc w:val="center"/>
    </w:pPr>
    <w:rPr>
      <w:rFonts w:cs="宋体"/>
      <w:sz w:val="21"/>
      <w:szCs w:val="18"/>
    </w:rPr>
  </w:style>
  <w:style w:type="paragraph" w:customStyle="1" w:styleId="151">
    <w:name w:val="_C五号图表内容"/>
    <w:qFormat/>
    <w:uiPriority w:val="0"/>
    <w:pPr>
      <w:jc w:val="center"/>
    </w:pPr>
    <w:rPr>
      <w:rFonts w:ascii="Times New Roman" w:hAnsi="Times New Roman" w:eastAsia="宋体" w:cs="Times New Roman"/>
      <w:kern w:val="2"/>
      <w:sz w:val="21"/>
      <w:lang w:val="en-US" w:eastAsia="zh-CN" w:bidi="ar-SA"/>
    </w:rPr>
  </w:style>
  <w:style w:type="paragraph" w:customStyle="1" w:styleId="152">
    <w:name w:val="D标三"/>
    <w:basedOn w:val="1"/>
    <w:qFormat/>
    <w:uiPriority w:val="0"/>
    <w:pPr>
      <w:keepNext/>
      <w:keepLines/>
      <w:spacing w:line="360" w:lineRule="auto"/>
      <w:ind w:firstLine="0" w:firstLineChars="0"/>
      <w:jc w:val="both"/>
      <w:outlineLvl w:val="2"/>
    </w:pPr>
    <w:rPr>
      <w:rFonts w:eastAsia="黑体"/>
      <w:b/>
      <w:bCs/>
      <w:kern w:val="2"/>
      <w:sz w:val="26"/>
      <w:szCs w:val="26"/>
    </w:rPr>
  </w:style>
  <w:style w:type="paragraph" w:customStyle="1" w:styleId="153">
    <w:name w:val="A0正文"/>
    <w:qFormat/>
    <w:uiPriority w:val="0"/>
    <w:pPr>
      <w:widowControl w:val="0"/>
      <w:spacing w:line="500" w:lineRule="exact"/>
      <w:jc w:val="both"/>
    </w:pPr>
    <w:rPr>
      <w:rFonts w:ascii="Times New Roman" w:hAnsi="Times New Roman" w:eastAsia="宋体" w:cs="宋体"/>
      <w:kern w:val="2"/>
      <w:sz w:val="21"/>
      <w:szCs w:val="20"/>
      <w:lang w:val="zh-CN" w:eastAsia="zh-CN" w:bidi="ar-SA"/>
    </w:rPr>
  </w:style>
  <w:style w:type="paragraph" w:customStyle="1" w:styleId="154">
    <w:name w:val="样式 标题 1一级标题 + 段前: 0.5 行 段后: 0.5 行"/>
    <w:qFormat/>
    <w:uiPriority w:val="99"/>
    <w:pPr>
      <w:keepNext/>
      <w:keepLines/>
      <w:widowControl w:val="0"/>
      <w:snapToGrid w:val="0"/>
      <w:spacing w:line="320" w:lineRule="exact"/>
      <w:jc w:val="both"/>
    </w:pPr>
    <w:rPr>
      <w:rFonts w:ascii="Calibri" w:hAnsi="Calibri" w:eastAsia="黑体" w:cs="Times New Roman"/>
      <w:bCs/>
      <w:spacing w:val="-6"/>
      <w:kern w:val="44"/>
      <w:sz w:val="21"/>
      <w:szCs w:val="21"/>
      <w:lang w:val="en-US" w:eastAsia="zh-CN" w:bidi="ar-SA"/>
    </w:rPr>
  </w:style>
  <w:style w:type="paragraph" w:customStyle="1" w:styleId="155">
    <w:name w:val="D正文"/>
    <w:basedOn w:val="156"/>
    <w:qFormat/>
    <w:uiPriority w:val="0"/>
    <w:pPr>
      <w:widowControl w:val="0"/>
      <w:ind w:firstLine="200" w:firstLineChars="200"/>
    </w:pPr>
    <w:rPr>
      <w:rFonts w:cs="Times New Roman"/>
    </w:rPr>
  </w:style>
  <w:style w:type="paragraph" w:customStyle="1" w:styleId="156">
    <w:name w:val="正文对的"/>
    <w:basedOn w:val="15"/>
    <w:semiHidden/>
    <w:qFormat/>
    <w:uiPriority w:val="0"/>
    <w:pPr>
      <w:widowControl/>
      <w:snapToGrid w:val="0"/>
      <w:spacing w:line="500" w:lineRule="exact"/>
      <w:ind w:firstLine="482"/>
    </w:pPr>
    <w:rPr>
      <w:color w:val="000000"/>
      <w:szCs w:val="24"/>
    </w:rPr>
  </w:style>
  <w:style w:type="paragraph" w:customStyle="1" w:styleId="157">
    <w:name w:val="QQ表格"/>
    <w:next w:val="31"/>
    <w:qFormat/>
    <w:uiPriority w:val="0"/>
    <w:pPr>
      <w:jc w:val="center"/>
    </w:pPr>
    <w:rPr>
      <w:rFonts w:ascii="Times New Roman" w:hAnsi="Times New Roman" w:eastAsia="宋体" w:cs="Times New Roman"/>
      <w:sz w:val="18"/>
      <w:szCs w:val="24"/>
      <w:lang w:val="en-US" w:eastAsia="zh-CN" w:bidi="ar-SA"/>
    </w:rPr>
  </w:style>
  <w:style w:type="table" w:customStyle="1" w:styleId="158">
    <w:name w:val="表格主题1"/>
    <w:basedOn w:val="32"/>
    <w:qFormat/>
    <w:uiPriority w:val="0"/>
    <w:pPr>
      <w:widowControl w:val="0"/>
      <w:jc w:val="center"/>
    </w:pPr>
    <w:tblPr>
      <w:tblBorders>
        <w:top w:val="single" w:color="auto" w:sz="12" w:space="0"/>
        <w:bottom w:val="single" w:color="auto" w:sz="12" w:space="0"/>
        <w:insideH w:val="single" w:color="auto" w:sz="4" w:space="0"/>
        <w:insideV w:val="single" w:color="auto" w:sz="4" w:space="0"/>
      </w:tblBorders>
    </w:tblPr>
    <w:tcPr>
      <w:vAlign w:val="center"/>
    </w:tcPr>
  </w:style>
  <w:style w:type="paragraph" w:customStyle="1" w:styleId="159">
    <w:name w:val="QQ正文"/>
    <w:basedOn w:val="1"/>
    <w:qFormat/>
    <w:uiPriority w:val="0"/>
    <w:pPr>
      <w:spacing w:line="360" w:lineRule="auto"/>
      <w:ind w:firstLine="480" w:firstLineChars="200"/>
    </w:pPr>
    <w:rPr>
      <w:szCs w:val="22"/>
    </w:rPr>
  </w:style>
  <w:style w:type="paragraph" w:customStyle="1" w:styleId="160">
    <w:name w:val="QQ表头"/>
    <w:basedOn w:val="1"/>
    <w:qFormat/>
    <w:uiPriority w:val="0"/>
    <w:pPr>
      <w:widowControl/>
      <w:shd w:val="clear" w:color="auto" w:fill="FFFFFF"/>
      <w:adjustRightInd w:val="0"/>
      <w:snapToGrid w:val="0"/>
      <w:spacing w:line="360" w:lineRule="auto"/>
      <w:jc w:val="center"/>
    </w:pPr>
    <w:rPr>
      <w:b/>
      <w:kern w:val="0"/>
      <w:lang w:val="zh-CN"/>
    </w:rPr>
  </w:style>
  <w:style w:type="paragraph" w:customStyle="1" w:styleId="161">
    <w:name w:val="Table Text"/>
    <w:basedOn w:val="1"/>
    <w:semiHidden/>
    <w:qFormat/>
    <w:uiPriority w:val="0"/>
    <w:rPr>
      <w:rFonts w:ascii="宋体" w:hAnsi="宋体" w:eastAsia="宋体" w:cs="宋体"/>
      <w:sz w:val="24"/>
      <w:szCs w:val="24"/>
      <w:lang w:val="en-US" w:eastAsia="en-US" w:bidi="ar-SA"/>
    </w:rPr>
  </w:style>
  <w:style w:type="paragraph" w:customStyle="1" w:styleId="162">
    <w:name w:val="环评报告表新版-表格内容"/>
    <w:basedOn w:val="79"/>
    <w:qFormat/>
    <w:uiPriority w:val="1"/>
    <w:pPr>
      <w:spacing w:line="360" w:lineRule="exact"/>
      <w:jc w:val="center"/>
    </w:pPr>
    <w:rPr>
      <w:rFonts w:ascii="Times New Roman" w:hAnsi="Times New Roman" w:eastAsia="宋体" w:cs="Times New Roman"/>
      <w:sz w:val="21"/>
      <w:szCs w:val="21"/>
    </w:rPr>
  </w:style>
  <w:style w:type="paragraph" w:customStyle="1" w:styleId="163">
    <w:name w:val="环评报告表新版-正文"/>
    <w:basedOn w:val="1"/>
    <w:qFormat/>
    <w:uiPriority w:val="0"/>
    <w:pPr>
      <w:autoSpaceDE w:val="0"/>
      <w:autoSpaceDN w:val="0"/>
      <w:adjustRightInd w:val="0"/>
      <w:snapToGrid w:val="0"/>
      <w:spacing w:line="360" w:lineRule="exact"/>
      <w:ind w:firstLine="200" w:firstLineChars="200"/>
    </w:pPr>
    <w:rPr>
      <w:rFonts w:cs="宋体"/>
      <w:kern w:val="0"/>
      <w:sz w:val="24"/>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9" Type="http://schemas.openxmlformats.org/officeDocument/2006/relationships/fontTable" Target="fontTable.xml"/><Relationship Id="rId48" Type="http://schemas.openxmlformats.org/officeDocument/2006/relationships/customXml" Target="../customXml/item2.xml"/><Relationship Id="rId47" Type="http://schemas.openxmlformats.org/officeDocument/2006/relationships/numbering" Target="numbering.xml"/><Relationship Id="rId46" Type="http://schemas.openxmlformats.org/officeDocument/2006/relationships/customXml" Target="../customXml/item1.xml"/><Relationship Id="rId45" Type="http://schemas.openxmlformats.org/officeDocument/2006/relationships/image" Target="media/image24.jpeg"/><Relationship Id="rId44" Type="http://schemas.openxmlformats.org/officeDocument/2006/relationships/image" Target="media/image23.jpeg"/><Relationship Id="rId43" Type="http://schemas.openxmlformats.org/officeDocument/2006/relationships/image" Target="media/image22.png"/><Relationship Id="rId42" Type="http://schemas.openxmlformats.org/officeDocument/2006/relationships/image" Target="media/image21.png"/><Relationship Id="rId41" Type="http://schemas.openxmlformats.org/officeDocument/2006/relationships/image" Target="media/image20.png"/><Relationship Id="rId40" Type="http://schemas.openxmlformats.org/officeDocument/2006/relationships/image" Target="media/image19.png"/><Relationship Id="rId4" Type="http://schemas.openxmlformats.org/officeDocument/2006/relationships/endnotes" Target="endnotes.xml"/><Relationship Id="rId39" Type="http://schemas.openxmlformats.org/officeDocument/2006/relationships/image" Target="media/image18.png"/><Relationship Id="rId38" Type="http://schemas.openxmlformats.org/officeDocument/2006/relationships/image" Target="media/image17.jpeg"/><Relationship Id="rId37" Type="http://schemas.openxmlformats.org/officeDocument/2006/relationships/image" Target="media/image16.jpeg"/><Relationship Id="rId36" Type="http://schemas.openxmlformats.org/officeDocument/2006/relationships/image" Target="media/image15.png"/><Relationship Id="rId35" Type="http://schemas.openxmlformats.org/officeDocument/2006/relationships/image" Target="media/image14.wmf"/><Relationship Id="rId34" Type="http://schemas.openxmlformats.org/officeDocument/2006/relationships/oleObject" Target="embeddings/oleObject9.bin"/><Relationship Id="rId33" Type="http://schemas.openxmlformats.org/officeDocument/2006/relationships/image" Target="media/image13.wmf"/><Relationship Id="rId32" Type="http://schemas.openxmlformats.org/officeDocument/2006/relationships/image" Target="media/image12.wmf"/><Relationship Id="rId31" Type="http://schemas.openxmlformats.org/officeDocument/2006/relationships/image" Target="media/image11.wmf"/><Relationship Id="rId30" Type="http://schemas.openxmlformats.org/officeDocument/2006/relationships/image" Target="media/image10.wmf"/><Relationship Id="rId3" Type="http://schemas.openxmlformats.org/officeDocument/2006/relationships/footnotes" Target="footnotes.xml"/><Relationship Id="rId29" Type="http://schemas.openxmlformats.org/officeDocument/2006/relationships/image" Target="media/image9.wmf"/><Relationship Id="rId28" Type="http://schemas.openxmlformats.org/officeDocument/2006/relationships/oleObject" Target="embeddings/oleObject8.bin"/><Relationship Id="rId27" Type="http://schemas.openxmlformats.org/officeDocument/2006/relationships/image" Target="media/image8.wmf"/><Relationship Id="rId26" Type="http://schemas.openxmlformats.org/officeDocument/2006/relationships/oleObject" Target="embeddings/oleObject7.bin"/><Relationship Id="rId25" Type="http://schemas.openxmlformats.org/officeDocument/2006/relationships/image" Target="media/image7.wmf"/><Relationship Id="rId24" Type="http://schemas.openxmlformats.org/officeDocument/2006/relationships/oleObject" Target="embeddings/oleObject6.bin"/><Relationship Id="rId23" Type="http://schemas.openxmlformats.org/officeDocument/2006/relationships/image" Target="media/image6.png"/><Relationship Id="rId22" Type="http://schemas.openxmlformats.org/officeDocument/2006/relationships/image" Target="media/image5.emf"/><Relationship Id="rId21" Type="http://schemas.openxmlformats.org/officeDocument/2006/relationships/oleObject" Target="embeddings/oleObject5.bin"/><Relationship Id="rId20" Type="http://schemas.openxmlformats.org/officeDocument/2006/relationships/image" Target="media/image4.e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3.emf"/><Relationship Id="rId17" Type="http://schemas.openxmlformats.org/officeDocument/2006/relationships/oleObject" Target="embeddings/oleObject3.bin"/><Relationship Id="rId16" Type="http://schemas.openxmlformats.org/officeDocument/2006/relationships/image" Target="media/image2.emf"/><Relationship Id="rId15" Type="http://schemas.openxmlformats.org/officeDocument/2006/relationships/oleObject" Target="embeddings/oleObject2.bin"/><Relationship Id="rId14" Type="http://schemas.openxmlformats.org/officeDocument/2006/relationships/image" Target="media/image1.emf"/><Relationship Id="rId13" Type="http://schemas.openxmlformats.org/officeDocument/2006/relationships/oleObject" Target="embeddings/oleObject1.bin"/><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128f7f85-264a-47cb-8852-3ec12bb64e37</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2F31DAEE</paraID>
      <start>0</start>
      <end>4</end>
      <status>ignored</status>
      <modifiedWord/>
      <trackRevisions>false</trackRevisions>
    </reviewItem>
    <reviewItem>
      <errorID>ed93cf17-91e7-4be0-ad44-33cb5e8587e2</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16CB3273</paraID>
      <start>0</start>
      <end>4</end>
      <status>ignored</status>
      <modifiedWord/>
      <trackRevisions>false</trackRevisions>
    </reviewItem>
    <reviewItem>
      <errorID>6567e47c-749e-4eda-b0a0-4151ce44f96a</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1E7356EA</paraID>
      <start>0</start>
      <end>4</end>
      <status>ignored</status>
      <modifiedWord/>
      <trackRevisions>false</trackRevisions>
    </reviewItem>
    <reviewItem>
      <errorID>3e101334-f59f-48db-b295-22454b32e00c</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35EB4931</paraID>
      <start>0</start>
      <end>4</end>
      <status>ignored</status>
      <modifiedWord/>
      <trackRevisions>false</trackRevisions>
    </reviewItem>
    <reviewItem>
      <errorID>4b6631c4-ca41-40f1-af7c-aed778ec98e3</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69A61506</paraID>
      <start>0</start>
      <end>4</end>
      <status>ignored</status>
      <modifiedWord/>
      <trackRevisions>false</trackRevisions>
    </reviewItem>
    <reviewItem>
      <errorID>b26e4ad5-ac00-430a-b59a-7a2b81cf35a3</errorID>
      <errorWord>(</errorWord>
      <group>L1_Format</group>
      <groupName>格式问题</groupName>
      <ability>L2_HalfPunc_CN</ability>
      <abilityName>全半角问题</abilityName>
      <candidateList>
        <item>（</item>
      </candidateList>
      <explain>文本全半角错误。</explain>
      <paraID>75F83DE9</paraID>
      <start>11</start>
      <end>12</end>
      <status>ignored</status>
      <modifiedWord/>
      <trackRevisions>false</trackRevisions>
    </reviewItem>
    <reviewItem>
      <errorID>997f17f1-f3ed-4bdd-a6a7-dd8c968b9f46</errorID>
      <errorWord>)</errorWord>
      <group>L1_Format</group>
      <groupName>格式问题</groupName>
      <ability>L2_HalfPunc_CN</ability>
      <abilityName>全半角问题</abilityName>
      <candidateList>
        <item>）</item>
      </candidateList>
      <explain>文本全半角错误。</explain>
      <paraID>75F83DE9</paraID>
      <start>18</start>
      <end>19</end>
      <status>ignored</status>
      <modifiedWord/>
      <trackRevisions>false</trackRevisions>
    </reviewItem>
    <reviewItem>
      <errorID>e72e736d-351b-436f-bd46-307323177043</errorID>
      <errorWord>(</errorWord>
      <group>L1_Format</group>
      <groupName>格式问题</groupName>
      <ability>L2_HalfPunc_CN</ability>
      <abilityName>全半角问题</abilityName>
      <candidateList>
        <item>（</item>
      </candidateList>
      <explain>文本全半角错误。</explain>
      <paraID>4A612E38</paraID>
      <start>11</start>
      <end>12</end>
      <status>ignored</status>
      <modifiedWord/>
      <trackRevisions>false</trackRevisions>
    </reviewItem>
    <reviewItem>
      <errorID>bf7f0177-e190-40ca-9caf-e639bc4dee2f</errorID>
      <errorWord>)</errorWord>
      <group>L1_Format</group>
      <groupName>格式问题</groupName>
      <ability>L2_HalfPunc_CN</ability>
      <abilityName>全半角问题</abilityName>
      <candidateList>
        <item>）</item>
      </candidateList>
      <explain>文本全半角错误。</explain>
      <paraID>4A612E38</paraID>
      <start>18</start>
      <end>19</end>
      <status>ignored</status>
      <modifiedWord/>
      <trackRevisions>false</trackRevisions>
    </reviewItem>
    <reviewItem>
      <errorID>4f232221-cc2b-40aa-aa03-96e488fe9efe</errorID>
      <errorWord>(</errorWord>
      <group>L1_Format</group>
      <groupName>格式问题</groupName>
      <ability>L2_HalfPunc_CN</ability>
      <abilityName>全半角问题</abilityName>
      <candidateList>
        <item>（</item>
      </candidateList>
      <explain>文本全半角错误。</explain>
      <paraID>48366EA3</paraID>
      <start>11</start>
      <end>12</end>
      <status>ignored</status>
      <modifiedWord/>
      <trackRevisions>false</trackRevisions>
    </reviewItem>
    <reviewItem>
      <errorID>139d56bb-2460-488f-8822-dc0565e6f590</errorID>
      <errorWord>)</errorWord>
      <group>L1_Format</group>
      <groupName>格式问题</groupName>
      <ability>L2_HalfPunc_CN</ability>
      <abilityName>全半角问题</abilityName>
      <candidateList>
        <item>）</item>
      </candidateList>
      <explain>文本全半角错误。</explain>
      <paraID>48366EA3</paraID>
      <start>18</start>
      <end>19</end>
      <status>ignored</status>
      <modifiedWord/>
      <trackRevisions>false</trackRevisions>
    </reviewItem>
    <reviewItem>
      <errorID>5386e41b-30ff-42ce-aa62-0441046dc3b2</errorID>
      <errorWord>(</errorWord>
      <group>L1_Format</group>
      <groupName>格式问题</groupName>
      <ability>L2_HalfPunc_CN</ability>
      <abilityName>全半角问题</abilityName>
      <candidateList>
        <item>（</item>
      </candidateList>
      <explain>文本全半角错误。</explain>
      <paraID>2DD42338</paraID>
      <start>17</start>
      <end>18</end>
      <status>ignored</status>
      <modifiedWord/>
      <trackRevisions>false</trackRevisions>
    </reviewItem>
    <reviewItem>
      <errorID>b29e5ca7-e2e6-46ca-853d-13cdf7f6700f</errorID>
      <errorWord>)</errorWord>
      <group>L1_Format</group>
      <groupName>格式问题</groupName>
      <ability>L2_HalfPunc_CN</ability>
      <abilityName>全半角问题</abilityName>
      <candidateList>
        <item>）</item>
      </candidateList>
      <explain>文本全半角错误。</explain>
      <paraID>2DD42338</paraID>
      <start>24</start>
      <end>25</end>
      <status>ignored</status>
      <modifiedWord/>
      <trackRevisions>false</trackRevisions>
    </reviewItem>
    <reviewItem>
      <errorID>3c7b03a1-1862-4661-97d2-6bf03caaa97c</errorID>
      <errorWord>。</errorWord>
      <group>L1_Grammar</group>
      <groupName>语法问题</groupName>
      <ability>L2_Collocation</ability>
      <abilityName>搭配不当</abilityName>
      <candidateList>
        <item>的要求。</item>
      </candidateList>
      <explain>句子中可能存在主谓、动宾、定语中心语、状语中心语、补语中心语、关联词搭配不当等问题。</explain>
      <paraID>512E8ACF</paraID>
      <start>27</start>
      <end>28</end>
      <status>ignored</status>
      <modifiedWord/>
      <trackRevisions>false</trackRevisions>
    </reviewItem>
    <reviewItem>
      <errorID>6e751bbf-8473-4c6d-b066-29452d68c270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33446E51</paraID>
      <start>0</start>
      <end>2</end>
      <status>ignored</status>
      <modifiedWord/>
      <trackRevisions>false</trackRevisions>
    </reviewItem>
    <reviewItem>
      <errorID>8dc11844-8f29-44ae-8b2d-1481156af9a8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47ECFC03</paraID>
      <start>0</start>
      <end>2</end>
      <status>ignored</status>
      <modifiedWord/>
      <trackRevisions>false</trackRevisions>
    </reviewItem>
    <reviewItem>
      <errorID>c462b56e-dc3b-422e-944d-f7d9f273a8a4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464FD6BC</paraID>
      <start>0</start>
      <end>2</end>
      <status>ignored</status>
      <modifiedWord/>
      <trackRevisions>false</trackRevisions>
    </reviewItem>
    <reviewItem>
      <errorID>11b19e62-cac7-41de-8431-2e4a2891b682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79775671</paraID>
      <start>0</start>
      <end>2</end>
      <status>ignored</status>
      <modifiedWord/>
      <trackRevisions>false</trackRevisions>
    </reviewItem>
    <reviewItem>
      <errorID>abfbf435-7394-4af9-92e4-22f0a59e8b6c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ACAC4B6</paraID>
      <start>0</start>
      <end>2</end>
      <status>ignored</status>
      <modifiedWord/>
      <trackRevisions>false</trackRevisions>
    </reviewItem>
    <reviewItem>
      <errorID>f29dc0b5-1e25-4af6-b58e-90bc94222b47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588A9E27</paraID>
      <start>0</start>
      <end>2</end>
      <status>ignored</status>
      <modifiedWord/>
      <trackRevisions>false</trackRevisions>
    </reviewItem>
    <reviewItem>
      <errorID>d2ee4c32-349d-4170-a139-ad7c44edca0d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46F11469</paraID>
      <start>0</start>
      <end>2</end>
      <status>ignored</status>
      <modifiedWord/>
      <trackRevisions>false</trackRevisions>
    </reviewItem>
    <reviewItem>
      <errorID>2db0da98-801e-4672-aade-a4206a7f8f56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35C90B62</paraID>
      <start>0</start>
      <end>2</end>
      <status>ignored</status>
      <modifiedWord/>
      <trackRevisions>false</trackRevisions>
    </reviewItem>
    <reviewItem>
      <errorID>e6b4fe0d-d759-4676-a46b-74c110b81458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6DD8E201</paraID>
      <start>0</start>
      <end>2</end>
      <status>ignored</status>
      <modifiedWord/>
      <trackRevisions>false</trackRevisions>
    </reviewItem>
    <reviewItem>
      <errorID>8dea19d5-2146-4248-bd35-ea62f344d2ce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1885F2B9</paraID>
      <start>0</start>
      <end>2</end>
      <status>ignored</status>
      <modifiedWord/>
      <trackRevisions>false</trackRevisions>
    </reviewItem>
    <reviewItem>
      <errorID>f806d4fd-b30e-4f55-a4b7-d5e62bc5b32c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3811391D</paraID>
      <start>0</start>
      <end>2</end>
      <status>unmodified</status>
      <modifiedWord/>
      <trackRevisions>false</trackRevisions>
    </reviewItem>
    <reviewItem>
      <errorID>5038d5ca-b70f-4f6b-966d-1a24382ec805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6825BF19</paraID>
      <start>0</start>
      <end>2</end>
      <status>unmodified</status>
      <modifiedWord/>
      <trackRevisions>false</trackRevisions>
    </reviewItem>
    <reviewItem>
      <errorID>05e95bf8-32f7-4c39-b83a-b6f10831a6cd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30CA80CB</paraID>
      <start>0</start>
      <end>2</end>
      <status>unmodified</status>
      <modifiedWord/>
      <trackRevisions>false</trackRevisions>
    </reviewItem>
    <reviewItem>
      <errorID>66a0f2ea-9b2b-4701-a202-1ebc7906f322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4939280E</paraID>
      <start>0</start>
      <end>2</end>
      <status>unmodified</status>
      <modifiedWord/>
      <trackRevisions>false</trackRevisions>
    </reviewItem>
    <reviewItem>
      <errorID>437b79b9-23d3-4fc9-a278-b084ab49b570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4C53DF1A</paraID>
      <start>0</start>
      <end>2</end>
      <status>unmodified</status>
      <modifiedWord/>
      <trackRevisions>false</trackRevisions>
    </reviewItem>
    <reviewItem>
      <errorID>2a12a642-6d51-4c64-80d2-32d4e4c6cc18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2159756A</paraID>
      <start>0</start>
      <end>2</end>
      <status>unmodified</status>
      <modifiedWord/>
      <trackRevisions>false</trackRevisions>
    </reviewItem>
    <reviewItem>
      <errorID>fbd5b885-1870-4a74-ac44-941c57a768d1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51664D08</paraID>
      <start>0</start>
      <end>2</end>
      <status>unmodified</status>
      <modifiedWord/>
      <trackRevisions>false</trackRevisions>
    </reviewItem>
    <reviewItem>
      <errorID>105a35ac-8b4c-453d-a692-c70ff99f7fea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4DB150AD</paraID>
      <start>0</start>
      <end>2</end>
      <status>unmodified</status>
      <modifiedWord/>
      <trackRevisions>false</trackRevisions>
    </reviewItem>
    <reviewItem>
      <errorID>b58b24b8-9bd5-4698-939d-ee333e4fadb5</errorID>
      <errorWord>属</errorWord>
      <group>L1_Word</group>
      <groupName>字词问题</groupName>
      <ability>L2_Typo</ability>
      <abilityName>字词错误</abilityName>
      <candidateList>
        <item>属于</item>
      </candidateList>
      <explain/>
      <paraID> EA55404</paraID>
      <start>3</start>
      <end>4</end>
      <status>ignored</status>
      <modifiedWord/>
      <trackRevisions>false</trackRevisions>
    </reviewItem>
    <reviewItem>
      <errorID>9b375707-ff3b-4819-a78d-bc7c478b8818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4D3AEBD0</paraID>
      <start>0</start>
      <end>2</end>
      <status>unmodified</status>
      <modifiedWord/>
      <trackRevisions>false</trackRevisions>
    </reviewItem>
    <reviewItem>
      <errorID>9f452694-675f-423b-88d7-e29067a02332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4D40CC7F</paraID>
      <start>0</start>
      <end>2</end>
      <status>unmodified</status>
      <modifiedWord/>
      <trackRevisions>false</trackRevisions>
    </reviewItem>
    <reviewItem>
      <errorID>7dbe9287-73ba-414b-97df-6c0df572ffe4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76137576</paraID>
      <start>74</start>
      <end>77</end>
      <status>unmodified</status>
      <modifiedWord/>
      <trackRevisions>false</trackRevisions>
    </reviewItem>
    <reviewItem>
      <errorID>72ae6a73-251b-4e78-9a3b-0649c6d9f636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43011CB1</paraID>
      <start>0</start>
      <end>2</end>
      <status>unmodified</status>
      <modifiedWord/>
      <trackRevisions>false</trackRevisions>
    </reviewItem>
    <reviewItem>
      <errorID>7d906a5d-e7e2-4f62-b731-1e9039858caa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49A291FA</paraID>
      <start>22</start>
      <end>23</end>
      <status>unmodified</status>
      <modifiedWord/>
      <trackRevisions>false</trackRevisions>
    </reviewItem>
    <reviewItem>
      <errorID>487b0cfb-1a29-4d90-a2d4-bcddd76e00ce</errorID>
      <errorWord>重金</errorWord>
      <group>L1_Word</group>
      <groupName>字词问题</groupName>
      <ability>L2_Typo</ability>
      <abilityName>字词错误</abilityName>
      <candidateList>
        <item>黄金</item>
      </candidateList>
      <explain/>
      <paraID>63ABE017</paraID>
      <start>6</start>
      <end>8</end>
      <status>unmodified</status>
      <modifiedWord/>
      <trackRevisions>false</trackRevisions>
    </reviewItem>
    <reviewItem>
      <errorID>fe347751-0902-4c19-ab93-6633cb213356</errorID>
      <errorWord>水污染排放</errorWord>
      <group>L1_Word</group>
      <groupName>字词问题</groupName>
      <ability>L2_Typo</ability>
      <abilityName>字词错误</abilityName>
      <candidateList>
        <item>水污染物排放</item>
      </candidateList>
      <explain/>
      <paraID>2128B885</paraID>
      <start>61</start>
      <end>66</end>
      <status>unmodified</status>
      <modifiedWord/>
      <trackRevisions>false</trackRevisions>
    </reviewItem>
    <reviewItem>
      <errorID>89f17c9a-9344-4dd4-8a9f-18ca03586286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50416E31</paraID>
      <start>0</start>
      <end>2</end>
      <status>unmodified</status>
      <modifiedWord/>
      <trackRevisions>false</trackRevisions>
    </reviewItem>
    <reviewItem>
      <errorID>4355faf4-0d4d-4e98-a1c4-ca7bba3a11da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4E0E6DAD</paraID>
      <start>0</start>
      <end>2</end>
      <status>unmodified</status>
      <modifiedWord/>
      <trackRevisions>false</trackRevisions>
    </reviewItem>
    <reviewItem>
      <errorID>94b0719e-a5c7-4daa-9c6c-b574d1216d68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6AEE72E2</paraID>
      <start>0</start>
      <end>2</end>
      <status>unmodified</status>
      <modifiedWord/>
      <trackRevisions>false</trackRevisions>
    </reviewItem>
    <reviewItem>
      <errorID>81204d71-a348-423f-b79a-edb884bf4ec4</errorID>
      <errorWord>胶粘剂</errorWord>
      <group>L1_Word</group>
      <groupName>字词问题</groupName>
      <ability>L2_Typo</ability>
      <abilityName>字词错误</abilityName>
      <candidateList>
        <item>胶黏剂</item>
      </candidateList>
      <explain/>
      <paraID>5D2E7E20</paraID>
      <start>64</start>
      <end>67</end>
      <status>unmodified</status>
      <modifiedWord/>
      <trackRevisions>false</trackRevisions>
    </reviewItem>
    <reviewItem>
      <errorID>99374374-ed49-4ed8-b512-406935d3f4d2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78ED97FC</paraID>
      <start>0</start>
      <end>2</end>
      <status>unmodified</status>
      <modifiedWord/>
      <trackRevisions>false</trackRevisions>
    </reviewItem>
    <reviewItem>
      <errorID>600ff0b8-afcc-410e-9beb-02c4e92db3cf</errorID>
      <errorWord>[2019]53号</errorWord>
      <group>L1_Knowledge</group>
      <groupName>知识性问题</groupName>
      <ability>L2_Knowledge</ability>
      <abilityName>其他知识</abilityName>
      <candidateList>
        <item>〔2019〕53号</item>
      </candidateList>
      <explain>发文字号格式错误。</explain>
      <paraID>78ED97FC</paraID>
      <start>25</start>
      <end>34</end>
      <status>modified</status>
      <modifiedWord>〔2019〕53号</modifiedWord>
      <trackRevisions>false</trackRevisions>
    </reviewItem>
    <reviewItem>
      <errorID>ab6c426a-f647-4ec1-9c1e-fd44b66e8494</errorID>
      <errorWord>[2019]53号</errorWord>
      <group>L1_Knowledge</group>
      <groupName>知识性问题</groupName>
      <ability>L2_Knowledge</ability>
      <abilityName>其他知识</abilityName>
      <candidateList>
        <item>〔2019〕53号</item>
      </candidateList>
      <explain>发文字号格式错误。</explain>
      <paraID>2F6445DD</paraID>
      <start>102</start>
      <end>111</end>
      <status>modified</status>
      <modifiedWord>〔2019〕53号</modifiedWord>
      <trackRevisions>false</trackRevisions>
    </reviewItem>
    <reviewItem>
      <errorID>0c328987-f098-4879-9ddf-fcca707c7df3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20BE64CE</paraID>
      <start>0</start>
      <end>2</end>
      <status>unmodified</status>
      <modifiedWord/>
      <trackRevisions>false</trackRevisions>
    </reviewItem>
    <reviewItem>
      <errorID>217e30f1-1e30-4e9a-a426-56fcabbb4f90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373D83E2</paraID>
      <start>0</start>
      <end>2</end>
      <status>unmodified</status>
      <modifiedWord/>
      <trackRevisions>false</trackRevisions>
    </reviewItem>
    <reviewItem>
      <errorID>94b43f6c-cbb9-489d-87fd-a50a5b42ef38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47D1BC32</paraID>
      <start>0</start>
      <end>2</end>
      <status>unmodified</status>
      <modifiedWord/>
      <trackRevisions>false</trackRevisions>
    </reviewItem>
    <reviewItem>
      <errorID>a239b4a3-8952-4c97-878b-3011b25065ed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4C2A6B9</paraID>
      <start>0</start>
      <end>2</end>
      <status>unmodified</status>
      <modifiedWord/>
      <trackRevisions>false</trackRevisions>
    </reviewItem>
    <reviewItem>
      <errorID>d1465ccf-d221-4384-ab95-0341b1235e49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6F50E591</paraID>
      <start>0</start>
      <end>2</end>
      <status>unmodified</status>
      <modifiedWord/>
      <trackRevisions>false</trackRevisions>
    </reviewItem>
    <reviewItem>
      <errorID>34f94b0c-71c2-45fb-b419-cb5757a4ea6a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36F982A</paraID>
      <start>0</start>
      <end>2</end>
      <status>unmodified</status>
      <modifiedWord/>
      <trackRevisions>false</trackRevisions>
    </reviewItem>
    <reviewItem>
      <errorID>04d1255a-ed2d-49f6-917e-97823f6a638a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6B1BE741</paraID>
      <start>0</start>
      <end>2</end>
      <status>unmodified</status>
      <modifiedWord/>
      <trackRevisions>false</trackRevisions>
    </reviewItem>
    <reviewItem>
      <errorID>982e54e5-3a4f-44c1-a70b-85f3d05bdd60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24FDFB3D</paraID>
      <start>0</start>
      <end>2</end>
      <status>unmodified</status>
      <modifiedWord/>
      <trackRevisions>false</trackRevisions>
    </reviewItem>
    <reviewItem>
      <errorID>b96f29b4-4c21-44b9-ac3b-2f2bf9a1e56c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6CFD331A</paraID>
      <start>0</start>
      <end>2</end>
      <status>unmodified</status>
      <modifiedWord/>
      <trackRevisions>false</trackRevisions>
    </reviewItem>
    <reviewItem>
      <errorID>70b1d2b2-aeda-4ba2-8d67-dfb676801158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1EC8F2DB</paraID>
      <start>0</start>
      <end>2</end>
      <status>unmodified</status>
      <modifiedWord/>
      <trackRevisions>false</trackRevisions>
    </reviewItem>
    <reviewItem>
      <errorID>20ac048e-722b-4c41-9e76-69aacd099ccd</errorID>
      <errorWord>粘结</errorWord>
      <group>L1_Word</group>
      <groupName>字词问题</groupName>
      <ability>L2_Typo</ability>
      <abilityName>字词错误</abilityName>
      <candidateList>
        <item>黏结</item>
      </candidateList>
      <explain>存在发音相同字词的误用。</explain>
      <paraID>4728F54B</paraID>
      <start>2</start>
      <end>4</end>
      <status>unmodified</status>
      <modifiedWord/>
      <trackRevisions>false</trackRevisions>
    </reviewItem>
    <reviewItem>
      <errorID>c41f4497-246b-45e9-9685-c0820338a9c2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581FAD9F</paraID>
      <start>0</start>
      <end>2</end>
      <status>unmodified</status>
      <modifiedWord/>
      <trackRevisions>false</trackRevisions>
    </reviewItem>
    <reviewItem>
      <errorID>48d75393-b9fe-4381-bb2a-a44bdfe9b035</errorID>
      <errorWord>[2022]7号</errorWord>
      <group>L1_Knowledge</group>
      <groupName>知识性问题</groupName>
      <ability>L2_Knowledge</ability>
      <abilityName>其他知识</abilityName>
      <candidateList>
        <item>〔2022〕7号</item>
      </candidateList>
      <explain>发文字号格式错误。</explain>
      <paraID>3199431D</paraID>
      <start>64</start>
      <end>72</end>
      <status>unmodified</status>
      <modifiedWord/>
      <trackRevisions>false</trackRevisions>
    </reviewItem>
    <reviewItem>
      <errorID>eb2e55f0-e8de-43e2-a758-4689f9a979f4</errorID>
      <errorWord>产能片</errorWord>
      <group>L1_Word</group>
      <groupName>字词问题</groupName>
      <ability>L2_Typo</ability>
      <abilityName>字词错误</abilityName>
      <candidateList>
        <item>产能</item>
      </candidateList>
      <explain/>
      <paraID>58552B6B</paraID>
      <start>97</start>
      <end>100</end>
      <status>unmodified</status>
      <modifiedWord/>
      <trackRevisions>false</trackRevisions>
    </reviewItem>
    <reviewItem>
      <errorID>62cb1ae2-7531-41f0-b9df-5058bfadf158</errorID>
      <errorWord>[2021]33号</errorWord>
      <group>L1_Knowledge</group>
      <groupName>知识性问题</groupName>
      <ability>L2_Knowledge</ability>
      <abilityName>其他知识</abilityName>
      <candidateList>
        <item>〔2021〕33号</item>
      </candidateList>
      <explain>发文字号格式错误。</explain>
      <paraID> 50C8B14</paraID>
      <start>64</start>
      <end>73</end>
      <status>modified</status>
      <modifiedWord>〔2021〕33号</modifiedWord>
      <trackRevisions>false</trackRevisions>
    </reviewItem>
    <reviewItem>
      <errorID>03d8eebf-e01c-4c6e-b84a-e450ba9fa49d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79560BC0</paraID>
      <start>0</start>
      <end>2</end>
      <status>unmodified</status>
      <modifiedWord/>
      <trackRevisions>false</trackRevisions>
    </reviewItem>
    <reviewItem>
      <errorID>8e037f0c-a25d-4184-a0e6-469b622712cb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2D7647F6</paraID>
      <start>158</start>
      <end>159</end>
      <status>unmodified</status>
      <modifiedWord/>
      <trackRevisions>false</trackRevisions>
    </reviewItem>
    <reviewItem>
      <errorID>64e36bef-fa2d-44b7-bf02-65d1f3ceb00c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3DC78701</paraID>
      <start>0</start>
      <end>2</end>
      <status>unmodified</status>
      <modifiedWord/>
      <trackRevisions>false</trackRevisions>
    </reviewItem>
    <reviewItem>
      <errorID>f2cd487a-ec79-43f7-be74-e840b9662ee9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5177B127</paraID>
      <start>0</start>
      <end>2</end>
      <status>unmodified</status>
      <modifiedWord/>
      <trackRevisions>false</trackRevisions>
    </reviewItem>
    <reviewItem>
      <errorID>dbcc9639-837e-44e8-b8f8-25bec846f38a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5DFFC029</paraID>
      <start>0</start>
      <end>2</end>
      <status>unmodified</status>
      <modifiedWord/>
      <trackRevisions>false</trackRevisions>
    </reviewItem>
    <reviewItem>
      <errorID>8e3d65fd-1386-4fb9-8b64-8e197ddb3940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D16B71B</paraID>
      <start>0</start>
      <end>2</end>
      <status>unmodified</status>
      <modifiedWord/>
      <trackRevisions>false</trackRevisions>
    </reviewItem>
    <reviewItem>
      <errorID>7e79be17-e4f5-4b40-900a-c032f8f92175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4BC8F611</paraID>
      <start>0</start>
      <end>2</end>
      <status>unmodified</status>
      <modifiedWord/>
      <trackRevisions>false</trackRevisions>
    </reviewItem>
    <reviewItem>
      <errorID>877d1bbf-6019-445c-be2c-b75747f7460f</errorID>
      <errorWord>达</errorWord>
      <group>L1_Word</group>
      <groupName>字词问题</groupName>
      <ability>L2_Typo</ability>
      <abilityName>字词错误</abilityName>
      <candidateList>
        <item>达到</item>
      </candidateList>
      <explain/>
      <paraID>58076DD7</paraID>
      <start>54</start>
      <end>55</end>
      <status>unmodified</status>
      <modifiedWord/>
      <trackRevisions>false</trackRevisions>
    </reviewItem>
    <reviewItem>
      <errorID>648af242-2844-4e20-8c9d-0373fd473d3f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BD480DD</paraID>
      <start>0</start>
      <end>2</end>
      <status>unmodified</status>
      <modifiedWord/>
      <trackRevisions>false</trackRevisions>
    </reviewItem>
    <reviewItem>
      <errorID>2a32cade-7261-4557-a451-002732f24aa1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569BDE8</paraID>
      <start>0</start>
      <end>2</end>
      <status>unmodified</status>
      <modifiedWord/>
      <trackRevisions>false</trackRevisions>
    </reviewItem>
    <reviewItem>
      <errorID>d2f8588f-7568-43dd-91b6-78939d83d992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5B1841A7</paraID>
      <start>0</start>
      <end>2</end>
      <status>unmodified</status>
      <modifiedWord/>
      <trackRevisions>false</trackRevisions>
    </reviewItem>
    <reviewItem>
      <errorID>657e569a-45a6-4446-b482-a214ce532aa8</errorID>
      <errorWord>做</errorWord>
      <group>L1_Word</group>
      <groupName>字词问题</groupName>
      <ability>L2_Typo</ability>
      <abilityName>字词错误</abilityName>
      <candidateList>
        <item>作</item>
      </candidateList>
      <explain>存在发音相同字词的误用。</explain>
      <paraID>29FA1CF6</paraID>
      <start>87</start>
      <end>88</end>
      <status>modified</status>
      <modifiedWord>作</modifiedWord>
      <trackRevisions>false</trackRevisions>
    </reviewItem>
    <reviewItem>
      <errorID>e5d68859-28f6-45fb-9911-ac9a1b86d51a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53335687</paraID>
      <start>0</start>
      <end>2</end>
      <status>unmodified</status>
      <modifiedWord/>
      <trackRevisions>false</trackRevisions>
    </reviewItem>
    <reviewItem>
      <errorID>d32ae8f1-1405-4235-a81d-a15bb97ebc9c</errorID>
      <errorWord>加入到</errorWord>
      <group>L1_Word</group>
      <groupName>字词问题</groupName>
      <ability>L2_Typo</ability>
      <abilityName>字词错误</abilityName>
      <candidateList>
        <item>加入</item>
      </candidateList>
      <explain/>
      <paraID>71C65FC0</paraID>
      <start>18</start>
      <end>20</end>
      <status>modified</status>
      <modifiedWord>加入</modifiedWord>
      <trackRevisions>false</trackRevisions>
    </reviewItem>
    <reviewItem>
      <errorID>5b61db83-60cc-4993-82af-72d4ed5d8372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5C17C81A</paraID>
      <start>0</start>
      <end>2</end>
      <status>unmodified</status>
      <modifiedWord/>
      <trackRevisions>false</trackRevisions>
    </reviewItem>
    <reviewItem>
      <errorID>139e92a0-aac9-4538-9ed2-337d7d05cd60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76B858ED</paraID>
      <start>0</start>
      <end>2</end>
      <status>unmodified</status>
      <modifiedWord/>
      <trackRevisions>false</trackRevisions>
    </reviewItem>
    <reviewItem>
      <errorID>a0b7b880-89d6-41e0-b93a-df76cb1158d6</errorID>
      <errorWord>废废</errorWord>
      <group>L1_Word</group>
      <groupName>字词问题</groupName>
      <ability>L2_Typo</ability>
      <abilityName>字词错误</abilityName>
      <candidateList>
        <item>废</item>
      </candidateList>
      <explain/>
      <paraID>739921AD</paraID>
      <start>61</start>
      <end>63</end>
      <status>unmodified</status>
      <modifiedWord/>
      <trackRevisions>false</trackRevisions>
    </reviewItem>
    <reviewItem>
      <errorID>fb7f3c01-b569-4507-90b5-836c50ce8882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68E78F23</paraID>
      <start>0</start>
      <end>2</end>
      <status>unmodified</status>
      <modifiedWord/>
      <trackRevisions>false</trackRevisions>
    </reviewItem>
    <reviewItem>
      <errorID>41fb319e-326d-4b0a-bcd8-049b076ab564</errorID>
      <errorWord>67m2约</errorWord>
      <group>L1_Word</group>
      <groupName>字词问题</groupName>
      <ability>L2_Typo</ability>
      <abilityName>字词错误</abilityName>
      <candidateList>
        <item>67m2</item>
      </candidateList>
      <explain/>
      <paraID>7C3A6566</paraID>
      <start>15</start>
      <end>20</end>
      <status>unmodified</status>
      <modifiedWord/>
      <trackRevisions>false</trackRevisions>
    </reviewItem>
    <reviewItem>
      <errorID>7fdd9bbe-157a-45ae-8634-b92490fb7e98</errorID>
      <errorWord>组份中</errorWord>
      <group>L1_Word</group>
      <groupName>字词问题</groupName>
      <ability>L2_Variant</ability>
      <abilityName>异形词</abilityName>
      <candidateList>
        <item>组分中</item>
      </candidateList>
      <explain>词汇[组份中]的规范词形写作[组分中]。</explain>
      <paraID>66A33826</paraID>
      <start>1</start>
      <end>4</end>
      <status>unmodified</status>
      <modifiedWord/>
      <trackRevisions>false</trackRevisions>
    </reviewItem>
    <reviewItem>
      <errorID>9198c172-5479-4fea-8a99-d6348a379d16</errorID>
      <errorWord>石蜡油</errorWord>
      <group>L1_Knowledge</group>
      <groupName>知识性问题</groupName>
      <ability>L2_Term</ability>
      <abilityName>专业术语</abilityName>
      <candidateList>
        <item>液状石蜡</item>
      </candidateList>
      <explain>医学名词[石蜡油]为不规范表述或旧称，其规范书面表述为[液状石蜡]。</explain>
      <paraID> FC52900</paraID>
      <start>0</start>
      <end>3</end>
      <status>unmodified</status>
      <modifiedWord/>
      <trackRevisions>false</trackRevisions>
    </reviewItem>
    <reviewItem>
      <errorID>c187b8b5-38ac-40b1-87e8-aeaa0794233a</errorID>
      <errorWord>硫磺</errorWord>
      <group>L1_Word</group>
      <groupName>字词问题</groupName>
      <ability>L2_Typo</ability>
      <abilityName>字词错误</abilityName>
      <candidateList>
        <item>硫黄</item>
      </candidateList>
      <explain/>
      <paraID>2E9A5EE9</paraID>
      <start>0</start>
      <end>2</end>
      <status>unmodified</status>
      <modifiedWord/>
      <trackRevisions>false</trackRevisions>
    </reviewItem>
    <reviewItem>
      <errorID>0c6f73b0-ab1b-4647-acff-6ee80979f1c5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39923308</paraID>
      <start>0</start>
      <end>2</end>
      <status>unmodified</status>
      <modifiedWord/>
      <trackRevisions>false</trackRevisions>
    </reviewItem>
    <reviewItem>
      <errorID>969ccfd6-109c-4778-8191-92ad84a10a7b</errorID>
      <errorWord>)</errorWord>
      <group>L1_Format</group>
      <groupName>格式问题</groupName>
      <ability>L2_HalfPunc_CN</ability>
      <abilityName>全半角问题</abilityName>
      <candidateList>
        <item>）</item>
      </candidateList>
      <explain>文本全半角错误。</explain>
      <paraID>52F34D42</paraID>
      <start>88</start>
      <end>89</end>
      <status>unmodified</status>
      <modifiedWord/>
      <trackRevisions>false</trackRevisions>
    </reviewItem>
    <reviewItem>
      <errorID>67f55772-c796-4762-963d-174d77a32b19</errorID>
      <errorWord>)</errorWord>
      <group>L1_Format</group>
      <groupName>格式问题</groupName>
      <ability>L2_HalfPunc_CN</ability>
      <abilityName>全半角问题</abilityName>
      <candidateList>
        <item>）</item>
      </candidateList>
      <explain>文本全半角错误。</explain>
      <paraID> D6DB912</paraID>
      <start>33</start>
      <end>34</end>
      <status>unmodified</status>
      <modifiedWord/>
      <trackRevisions>false</trackRevisions>
    </reviewItem>
    <reviewItem>
      <errorID>69877297-54c4-46f7-9b39-52902a79c47a</errorID>
      <errorWord>少量水份</errorWord>
      <group>L1_Word</group>
      <groupName>字词问题</groupName>
      <ability>L2_Variant</ability>
      <abilityName>异形词</abilityName>
      <candidateList>
        <item>少量水分</item>
      </candidateList>
      <explain>词汇[少量水份]的规范词形写作[少量水分]。</explain>
      <paraID>11F9AB38</paraID>
      <start>28</start>
      <end>32</end>
      <status>unmodified</status>
      <modifiedWord/>
      <trackRevisions>false</trackRevisions>
    </reviewItem>
    <reviewItem>
      <errorID>c10c1211-745c-4c4f-9194-e1dfcd208882</errorID>
      <errorWord>(</errorWord>
      <group>L1_Format</group>
      <groupName>格式问题</groupName>
      <ability>L2_HalfPunc_CN</ability>
      <abilityName>全半角问题</abilityName>
      <candidateList>
        <item>（</item>
      </candidateList>
      <explain>文本全半角错误。</explain>
      <paraID>564A1A8D</paraID>
      <start>13</start>
      <end>14</end>
      <status>unmodified</status>
      <modifiedWord/>
      <trackRevisions>false</trackRevisions>
    </reviewItem>
    <reviewItem>
      <errorID>7e2ead27-f80b-445b-9133-5c42bb72fc55</errorID>
      <errorWord>)</errorWord>
      <group>L1_Format</group>
      <groupName>格式问题</groupName>
      <ability>L2_HalfPunc_CN</ability>
      <abilityName>全半角问题</abilityName>
      <candidateList>
        <item>）</item>
      </candidateList>
      <explain>文本全半角错误。</explain>
      <paraID>564A1A8D</paraID>
      <start>18</start>
      <end>19</end>
      <status>unmodified</status>
      <modifiedWord/>
      <trackRevisions>false</trackRevisions>
    </reviewItem>
    <reviewItem>
      <errorID>afc2c86d-7820-496c-955f-b6555d979dbb</errorID>
      <errorWord>)</errorWord>
      <group>L1_Format</group>
      <groupName>格式问题</groupName>
      <ability>L2_HalfPunc_CN</ability>
      <abilityName>全半角问题</abilityName>
      <candidateList>
        <item>）</item>
      </candidateList>
      <explain>文本全半角错误。</explain>
      <paraID>59A8E6B1</paraID>
      <start>54</start>
      <end>55</end>
      <status>unmodified</status>
      <modifiedWord/>
      <trackRevisions>false</trackRevisions>
    </reviewItem>
    <reviewItem>
      <errorID>ee56dfbd-b30a-4ca0-8a05-01a94567de97</errorID>
      <errorWord>)</errorWord>
      <group>L1_Format</group>
      <groupName>格式问题</groupName>
      <ability>L2_HalfPunc_CN</ability>
      <abilityName>全半角问题</abilityName>
      <candidateList>
        <item>）</item>
      </candidateList>
      <explain>文本全半角错误。</explain>
      <paraID>6ED6B61A</paraID>
      <start>40</start>
      <end>41</end>
      <status>unmodified</status>
      <modifiedWord/>
      <trackRevisions>false</trackRevisions>
    </reviewItem>
    <reviewItem>
      <errorID>fbce3861-eb64-49f6-ba1d-e1e95df47086</errorID>
      <errorWord>(</errorWord>
      <group>L1_Format</group>
      <groupName>格式问题</groupName>
      <ability>L2_HalfPunc_CN</ability>
      <abilityName>全半角问题</abilityName>
      <candidateList>
        <item>（</item>
      </candidateList>
      <explain>文本全半角错误。</explain>
      <paraID>5F308638</paraID>
      <start>16</start>
      <end>17</end>
      <status>unmodified</status>
      <modifiedWord/>
      <trackRevisions>false</trackRevisions>
    </reviewItem>
    <reviewItem>
      <errorID>05fde31d-5537-4905-b824-6a270134c4e7</errorID>
      <errorWord>)</errorWord>
      <group>L1_Format</group>
      <groupName>格式问题</groupName>
      <ability>L2_HalfPunc_CN</ability>
      <abilityName>全半角问题</abilityName>
      <candidateList>
        <item>）</item>
      </candidateList>
      <explain>文本全半角错误。</explain>
      <paraID>5F308638</paraID>
      <start>21</start>
      <end>22</end>
      <status>unmodified</status>
      <modifiedWord/>
      <trackRevisions>false</trackRevisions>
    </reviewItem>
    <reviewItem>
      <errorID>2c3ba603-a7d6-4a28-a930-91d0e5c0ed9a</errorID>
      <errorWord>硫磺</errorWord>
      <group>L1_Word</group>
      <groupName>字词问题</groupName>
      <ability>L2_Typo</ability>
      <abilityName>字词错误</abilityName>
      <candidateList>
        <item>硫黄</item>
      </candidateList>
      <explain/>
      <paraID>169236A6</paraID>
      <start>39</start>
      <end>41</end>
      <status>unmodified</status>
      <modifiedWord/>
      <trackRevisions>false</trackRevisions>
    </reviewItem>
    <reviewItem>
      <errorID>2b0b88e6-f3d4-47c8-af10-577ef2b31ec3</errorID>
      <errorWord>程</errorWord>
      <group>L1_Word</group>
      <groupName>字词问题</groupName>
      <ability>L2_Typo</ability>
      <abilityName>字词错误</abilityName>
      <candidateList>
        <item>程中</item>
      </candidateList>
      <explain/>
      <paraID>15D404D0</paraID>
      <start>73</start>
      <end>74</end>
      <status>unmodified</status>
      <modifiedWord/>
      <trackRevisions>false</trackRevisions>
    </reviewItem>
    <reviewItem>
      <errorID>196823dc-69d3-4a77-94cb-b6111ac2d4c1</errorID>
      <errorWord>石蜡油</errorWord>
      <group>L1_Knowledge</group>
      <groupName>知识性问题</groupName>
      <ability>L2_Term</ability>
      <abilityName>专业术语</abilityName>
      <candidateList>
        <item>液状石蜡</item>
      </candidateList>
      <explain>医学名词[石蜡油]为不规范表述或旧称，其规范书面表述为[液状石蜡]。</explain>
      <paraID>19622F43</paraID>
      <start>1</start>
      <end>4</end>
      <status>unmodified</status>
      <modifiedWord/>
      <trackRevisions>false</trackRevisions>
    </reviewItem>
    <reviewItem>
      <errorID>b6828e08-988e-4d9b-a03c-dc8888c7c8d1</errorID>
      <errorWord>~</errorWord>
      <group>L1_Format</group>
      <groupName>格式问题</groupName>
      <ability>L2_HalfPunc_CN</ability>
      <abilityName>全半角问题</abilityName>
      <candidateList>
        <item>～</item>
      </candidateList>
      <explain>文本全半角错误。</explain>
      <paraID>322D7805</paraID>
      <start>21</start>
      <end>22</end>
      <status>unmodified</status>
      <modifiedWord/>
      <trackRevisions>false</trackRevisions>
    </reviewItem>
    <reviewItem>
      <errorID>8219f5aa-6c42-4a49-9bd7-69ac7d29f7ea</errorID>
      <errorWord>石蜡油</errorWord>
      <group>L1_Knowledge</group>
      <groupName>知识性问题</groupName>
      <ability>L2_Term</ability>
      <abilityName>专业术语</abilityName>
      <candidateList>
        <item>液状石蜡</item>
      </candidateList>
      <explain>医学名词[石蜡油]为不规范表述或旧称，其规范书面表述为[液状石蜡]。</explain>
      <paraID>31802BBE</paraID>
      <start>16</start>
      <end>19</end>
      <status>unmodified</status>
      <modifiedWord/>
      <trackRevisions>false</trackRevisions>
    </reviewItem>
    <reviewItem>
      <errorID>82314f0d-b114-4739-afaa-c60c2c3d12e4</errorID>
      <errorWord>)</errorWord>
      <group>L1_Format</group>
      <groupName>格式问题</groupName>
      <ability>L2_HalfPunc_CN</ability>
      <abilityName>全半角问题</abilityName>
      <candidateList>
        <item>）</item>
      </candidateList>
      <explain>文本全半角错误。</explain>
      <paraID>3037C7F1</paraID>
      <start>70</start>
      <end>71</end>
      <status>unmodified</status>
      <modifiedWord/>
      <trackRevisions>false</trackRevisions>
    </reviewItem>
    <reviewItem>
      <errorID>51a80a25-19ca-4a06-9dcf-2d861420bb32</errorID>
      <errorWord>经</errorWord>
      <group>L1_Word</group>
      <groupName>字词问题</groupName>
      <ability>L2_Typo</ability>
      <abilityName>字词错误</abilityName>
      <candidateList>
        <item>将</item>
      </candidateList>
      <explain>存在发音相近字词的误用。</explain>
      <paraID>6CAF9EA4</paraID>
      <start>41</start>
      <end>42</end>
      <status>unmodified</status>
      <modifiedWord/>
      <trackRevisions>false</trackRevisions>
    </reviewItem>
    <reviewItem>
      <errorID>2368013b-3960-48f2-b0ce-13a4cafe8d7d</errorID>
      <errorWord>大大</errorWord>
      <group>L1_Grammar</group>
      <groupName>语法问题</groupName>
      <ability>L2_Grammar</ability>
      <abilityName>语法错误</abilityName>
      <candidateList>
        <item>大幅</item>
      </candidateList>
      <explain>“大大～缩短”搭配不当，建议修改为“大幅～缩短”。</explain>
      <paraID>3406813F</paraID>
      <start>53</start>
      <end>55</end>
      <status>unmodified</status>
      <modifiedWord/>
      <trackRevisions>false</trackRevisions>
    </reviewItem>
    <reviewItem>
      <errorID>969197da-35e9-4b1c-81fb-40ce2913037e</errorID>
      <errorWord>)</errorWord>
      <group>L1_Format</group>
      <groupName>格式问题</groupName>
      <ability>L2_HalfPunc_CN</ability>
      <abilityName>全半角问题</abilityName>
      <candidateList>
        <item>）</item>
      </candidateList>
      <explain>文本全半角错误。</explain>
      <paraID>3AE4023B</paraID>
      <start>37</start>
      <end>38</end>
      <status>unmodified</status>
      <modifiedWord/>
      <trackRevisions>false</trackRevisions>
    </reviewItem>
    <reviewItem>
      <errorID>358a63f6-ab36-49ac-902b-916bfac67b88</errorID>
      <errorWord>达</errorWord>
      <group>L1_Word</group>
      <groupName>字词问题</groupName>
      <ability>L2_Typo</ability>
      <abilityName>字词错误</abilityName>
      <candidateList>
        <item>达到</item>
      </candidateList>
      <explain/>
      <paraID>2C160106</paraID>
      <start>47</start>
      <end>48</end>
      <status>unmodified</status>
      <modifiedWord/>
      <trackRevisions>false</trackRevisions>
    </reviewItem>
    <reviewItem>
      <errorID>d2cc0fc3-c9bd-4e5b-b422-533bbdcc1e57</errorID>
      <errorWord>)</errorWord>
      <group>L1_Format</group>
      <groupName>格式问题</groupName>
      <ability>L2_HalfPunc_CN</ability>
      <abilityName>全半角问题</abilityName>
      <candidateList>
        <item>）</item>
      </candidateList>
      <explain>文本全半角错误。</explain>
      <paraID>64F3DFD9</paraID>
      <start>26</start>
      <end>27</end>
      <status>unmodified</status>
      <modifiedWord/>
      <trackRevisions>false</trackRevisions>
    </reviewItem>
    <reviewItem>
      <errorID>7e858b78-f695-4ccb-ab83-0b9274192e8f</errorID>
      <errorWord>(</errorWord>
      <group>L1_Format</group>
      <groupName>格式问题</groupName>
      <ability>L2_HalfPunc_CN</ability>
      <abilityName>全半角问题</abilityName>
      <candidateList>
        <item>（</item>
      </candidateList>
      <explain>文本全半角错误。</explain>
      <paraID>41FF35BC</paraID>
      <start>40</start>
      <end>41</end>
      <status>unmodified</status>
      <modifiedWord/>
      <trackRevisions>false</trackRevisions>
    </reviewItem>
    <reviewItem>
      <errorID>f0265391-0d75-4090-8957-19801bde81bf</errorID>
      <errorWord>)</errorWord>
      <group>L1_Format</group>
      <groupName>格式问题</groupName>
      <ability>L2_HalfPunc_CN</ability>
      <abilityName>全半角问题</abilityName>
      <candidateList>
        <item>）</item>
      </candidateList>
      <explain>文本全半角错误。</explain>
      <paraID>41FF35BC</paraID>
      <start>53</start>
      <end>54</end>
      <status>unmodified</status>
      <modifiedWord/>
      <trackRevisions>false</trackRevisions>
    </reviewItem>
    <reviewItem>
      <errorID>d178d739-97e0-47ca-88bb-98fa458b5d88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3EFD1F29</paraID>
      <start>0</start>
      <end>2</end>
      <status>unmodified</status>
      <modifiedWord/>
      <trackRevisions>false</trackRevisions>
    </reviewItem>
    <reviewItem>
      <errorID>3f334976-cafb-41fa-b097-06310a9e53e8</errorID>
      <errorWord>2025年09月17日</errorWord>
      <group>L1_Knowledge</group>
      <groupName>知识性问题</groupName>
      <ability>L2_Time</ability>
      <abilityName>日期时间</abilityName>
      <candidateList>
        <item>2025年9月17日</item>
      </candidateList>
      <explain>根据日常书写习惯，月份一般会省略前导零。</explain>
      <paraID>23E13449</paraID>
      <start>89</start>
      <end>100</end>
      <status>unmodified</status>
      <modifiedWord/>
      <trackRevisions>false</trackRevisions>
    </reviewItem>
    <reviewItem>
      <errorID>2d1f5ae7-1b77-4b58-9532-6f2e5cffeb38</errorID>
      <errorWord>2030年09月16日</errorWord>
      <group>L1_Knowledge</group>
      <groupName>知识性问题</groupName>
      <ability>L2_Time</ability>
      <abilityName>日期时间</abilityName>
      <candidateList>
        <item>2030年9月16日</item>
      </candidateList>
      <explain>根据日常书写习惯，月份一般会省略前导零。</explain>
      <paraID>23E13449</paraID>
      <start>101</start>
      <end>112</end>
      <status>unmodified</status>
      <modifiedWord/>
      <trackRevisions>false</trackRevisions>
    </reviewItem>
    <reviewItem>
      <errorID>814813ba-f207-4f4d-9942-9d9aa63de302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27241007</paraID>
      <start>0</start>
      <end>2</end>
      <status>unmodified</status>
      <modifiedWord/>
      <trackRevisions>false</trackRevisions>
    </reviewItem>
    <reviewItem>
      <errorID>5e97c1e9-e31f-453b-ae79-3dd8676863a4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D35C3D9</paraID>
      <start>0</start>
      <end>2</end>
      <status>unmodified</status>
      <modifiedWord/>
      <trackRevisions>false</trackRevisions>
    </reviewItem>
    <reviewItem>
      <errorID>0b789d44-6198-48c4-b44f-557530233c60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4B0414B0</paraID>
      <start>0</start>
      <end>2</end>
      <status>unmodified</status>
      <modifiedWord/>
      <trackRevisions>false</trackRevisions>
    </reviewItem>
    <reviewItem>
      <errorID>3136237a-b1a7-49d0-bb7f-f62023047c83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7E4951A6</paraID>
      <start>0</start>
      <end>2</end>
      <status>unmodified</status>
      <modifiedWord/>
      <trackRevisions>false</trackRevisions>
    </reviewItem>
    <reviewItem>
      <errorID>ed7857e6-e18b-4469-82d2-cbf22eee0d8c</errorID>
      <errorWord>》（试行）</errorWord>
      <group>L1_Word</group>
      <groupName>字词问题</groupName>
      <ability>L2_Typo</ability>
      <abilityName>字词错误</abilityName>
      <candidateList>
        <item>（试行）》</item>
      </candidateList>
      <explain/>
      <paraID>206A2B5E</paraID>
      <start>27</start>
      <end>32</end>
      <status>unmodified</status>
      <modifiedWord/>
      <trackRevisions>false</trackRevisions>
    </reviewItem>
    <reviewItem>
      <errorID>0c93291b-09da-4f41-8f40-59965939f1d4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B095CC5</paraID>
      <start>0</start>
      <end>2</end>
      <status>unmodified</status>
      <modifiedWord/>
      <trackRevisions>false</trackRevisions>
    </reviewItem>
    <reviewItem>
      <errorID>80d5a0d9-a5aa-4cba-b492-ddd40639f2e1</errorID>
      <errorWord>(</errorWord>
      <group>L1_Format</group>
      <groupName>格式问题</groupName>
      <ability>L2_HalfPunc_CN</ability>
      <abilityName>全半角问题</abilityName>
      <candidateList>
        <item>（</item>
      </candidateList>
      <explain>文本全半角错误。</explain>
      <paraID>2DAB640A</paraID>
      <start>113</start>
      <end>114</end>
      <status>unmodified</status>
      <modifiedWord/>
      <trackRevisions>false</trackRevisions>
    </reviewItem>
    <reviewItem>
      <errorID>48acf071-93af-42da-a20a-fa7125888d9a</errorID>
      <errorWord>)</errorWord>
      <group>L1_Format</group>
      <groupName>格式问题</groupName>
      <ability>L2_HalfPunc_CN</ability>
      <abilityName>全半角问题</abilityName>
      <candidateList>
        <item>）</item>
      </candidateList>
      <explain>文本全半角错误。</explain>
      <paraID>2DAB640A</paraID>
      <start>125</start>
      <end>126</end>
      <status>unmodified</status>
      <modifiedWord/>
      <trackRevisions>false</trackRevisions>
    </reviewItem>
    <reviewItem>
      <errorID>d15ab663-518f-4a3b-bcee-565a53f511eb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216277D4</paraID>
      <start>0</start>
      <end>2</end>
      <status>unmodified</status>
      <modifiedWord/>
      <trackRevisions>false</trackRevisions>
    </reviewItem>
    <reviewItem>
      <errorID>8a3c5f90-8963-44ab-87d5-d1b1354a219a</errorID>
      <errorWord>》（试行）</errorWord>
      <group>L1_Word</group>
      <groupName>字词问题</groupName>
      <ability>L2_Typo</ability>
      <abilityName>字词错误</abilityName>
      <candidateList>
        <item>（试行）》</item>
      </candidateList>
      <explain/>
      <paraID>2F6FF998</paraID>
      <start>27</start>
      <end>32</end>
      <status>unmodified</status>
      <modifiedWord/>
      <trackRevisions>false</trackRevisions>
    </reviewItem>
    <reviewItem>
      <errorID>60a190a2-626d-4b92-b5e2-c08759d72164</errorID>
      <errorWord>本</errorWord>
      <group>L1_Word</group>
      <groupName>字词问题</groupName>
      <ability>L2_Typo</ability>
      <abilityName>字词错误</abilityName>
      <candidateList>
        <item>本次</item>
      </candidateList>
      <explain/>
      <paraID>2F6FF998</paraID>
      <start>106</start>
      <end>107</end>
      <status>unmodified</status>
      <modifiedWord/>
      <trackRevisions>false</trackRevisions>
    </reviewItem>
    <reviewItem>
      <errorID>bcaa74d5-98eb-45f3-8962-7e9dead38010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24F1ABB5</paraID>
      <start>0</start>
      <end>2</end>
      <status>unmodified</status>
      <modifiedWord/>
      <trackRevisions>false</trackRevisions>
    </reviewItem>
    <reviewItem>
      <errorID>b20732d6-515b-4ad8-8a79-d799bb188c77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20A06C8E</paraID>
      <start>0</start>
      <end>2</end>
      <status>unmodified</status>
      <modifiedWord/>
      <trackRevisions>false</trackRevisions>
    </reviewItem>
    <reviewItem>
      <errorID>0187e9f5-0bf0-4251-adc8-ad1559805b21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3A4931EF</paraID>
      <start>0</start>
      <end>2</end>
      <status>unmodified</status>
      <modifiedWord/>
      <trackRevisions>false</trackRevisions>
    </reviewItem>
    <reviewItem>
      <errorID>75ef5b33-9272-43b2-bddd-96860dc42a62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1165121D</paraID>
      <start>0</start>
      <end>2</end>
      <status>unmodified</status>
      <modifiedWord/>
      <trackRevisions>false</trackRevisions>
    </reviewItem>
    <reviewItem>
      <errorID>da56984d-57a8-4205-9338-40b7dbb22304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6736FC2F</paraID>
      <start>0</start>
      <end>2</end>
      <status>unmodified</status>
      <modifiedWord/>
      <trackRevisions>false</trackRevisions>
    </reviewItem>
    <reviewItem>
      <errorID>888c7c01-b0c7-4efe-8129-450231c62a0f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78DB0FAF</paraID>
      <start>0</start>
      <end>2</end>
      <status>unmodified</status>
      <modifiedWord/>
      <trackRevisions>false</trackRevisions>
    </reviewItem>
    <reviewItem>
      <errorID>bb364ee2-e126-41ba-a5e3-93b3cc7e5ad5</errorID>
      <errorWord>达</errorWord>
      <group>L1_Word</group>
      <groupName>字词问题</groupName>
      <ability>L2_Typo</ability>
      <abilityName>字词错误</abilityName>
      <candidateList>
        <item>达到</item>
      </candidateList>
      <explain/>
      <paraID>1518FA5E</paraID>
      <start>78</start>
      <end>79</end>
      <status>unmodified</status>
      <modifiedWord/>
      <trackRevisions>false</trackRevisions>
    </reviewItem>
    <reviewItem>
      <errorID>f2e97f5c-60ad-4b75-896c-f622cb6c6945</errorID>
      <errorWord>（</errorWord>
      <group>L1_Format</group>
      <groupName>格式问题</groupName>
      <ability>L2_HalfPunc_CN</ability>
      <abilityName>全半角问题</abilityName>
      <candidateList>
        <item>(</item>
      </candidateList>
      <explain>文本全半角错误。</explain>
      <paraID>12C6F62E</paraID>
      <start>1</start>
      <end>2</end>
      <status>unmodified</status>
      <modifiedWord/>
      <trackRevisions>false</trackRevisions>
    </reviewItem>
    <reviewItem>
      <errorID>78c17529-e353-4528-9a6a-8cef3fb1bf50</errorID>
      <errorWord>）</errorWord>
      <group>L1_Format</group>
      <groupName>格式问题</groupName>
      <ability>L2_HalfPunc_CN</ability>
      <abilityName>全半角问题</abilityName>
      <candidateList>
        <item>)</item>
      </candidateList>
      <explain>文本全半角错误。</explain>
      <paraID>12C6F62E</paraID>
      <start>3</start>
      <end>4</end>
      <status>unmodified</status>
      <modifiedWord/>
      <trackRevisions>false</trackRevisions>
    </reviewItem>
    <reviewItem>
      <errorID>2e316a64-d34a-4487-a356-ee4c721db066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4EF8A12D</paraID>
      <start>0</start>
      <end>2</end>
      <status>unmodified</status>
      <modifiedWord/>
      <trackRevisions>false</trackRevisions>
    </reviewItem>
    <reviewItem>
      <errorID>1f750b9a-89c1-437e-92f1-38a2a3804a50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53BA559F</paraID>
      <start>0</start>
      <end>2</end>
      <status>unmodified</status>
      <modifiedWord/>
      <trackRevisions>false</trackRevisions>
    </reviewItem>
    <reviewItem>
      <errorID>abd58d28-58b8-4ac8-8031-441ac16d85aa</errorID>
      <errorWord>；</errorWord>
      <group>L1_Format</group>
      <groupName>格式问题</groupName>
      <ability>L2_HalfPunc_CN</ability>
      <abilityName>全半角问题</abilityName>
      <candidateList>
        <item>;</item>
      </candidateList>
      <explain>文本全半角错误。</explain>
      <paraID> 9FF254C</paraID>
      <start>31</start>
      <end>32</end>
      <status>unmodified</status>
      <modifiedWord/>
      <trackRevisions>false</trackRevisions>
    </reviewItem>
    <reviewItem>
      <errorID>81849204-e09a-4140-8110-e0054e803cd6</errorID>
      <errorWord>；</errorWord>
      <group>L1_Format</group>
      <groupName>格式问题</groupName>
      <ability>L2_HalfPunc_CN</ability>
      <abilityName>全半角问题</abilityName>
      <candidateList>
        <item>;</item>
      </candidateList>
      <explain>文本全半角错误。</explain>
      <paraID>585C81D3</paraID>
      <start>36</start>
      <end>37</end>
      <status>unmodified</status>
      <modifiedWord/>
      <trackRevisions>false</trackRevisions>
    </reviewItem>
    <reviewItem>
      <errorID>e26ceb28-2c60-4343-b7b1-1777800bf0b4</errorID>
      <errorWord>；</errorWord>
      <group>L1_Format</group>
      <groupName>格式问题</groupName>
      <ability>L2_HalfPunc_CN</ability>
      <abilityName>全半角问题</abilityName>
      <candidateList>
        <item>;</item>
      </candidateList>
      <explain>文本全半角错误。</explain>
      <paraID>47554C55</paraID>
      <start>30</start>
      <end>31</end>
      <status>unmodified</status>
      <modifiedWord/>
      <trackRevisions>false</trackRevisions>
    </reviewItem>
    <reviewItem>
      <errorID>2dab04ba-a836-41a1-80cc-10378f66c2c3</errorID>
      <errorWord>；</errorWord>
      <group>L1_Format</group>
      <groupName>格式问题</groupName>
      <ability>L2_HalfPunc_CN</ability>
      <abilityName>全半角问题</abilityName>
      <candidateList>
        <item>;</item>
      </candidateList>
      <explain>文本全半角错误。</explain>
      <paraID>7BA03579</paraID>
      <start>35</start>
      <end>36</end>
      <status>unmodified</status>
      <modifiedWord/>
      <trackRevisions>false</trackRevisions>
    </reviewItem>
    <reviewItem>
      <errorID>91250e37-1e69-48d5-9181-6cc2716e2041</errorID>
      <errorWord>（</errorWord>
      <group>L1_Format</group>
      <groupName>格式问题</groupName>
      <ability>L2_HalfPunc_CN</ability>
      <abilityName>全半角问题</abilityName>
      <candidateList>
        <item>(</item>
      </candidateList>
      <explain>文本全半角错误。</explain>
      <paraID>7C06EF91</paraID>
      <start>10</start>
      <end>11</end>
      <status>unmodified</status>
      <modifiedWord/>
      <trackRevisions>false</trackRevisions>
    </reviewItem>
    <reviewItem>
      <errorID>b3c71cf3-5ffd-4dc6-be7e-f65231f21832</errorID>
      <errorWord>1-30%</errorWord>
      <group>L1_Knowledge</group>
      <groupName>知识性问题</groupName>
      <ability>L2_Knowledge</ability>
      <abilityName>其他知识</abilityName>
      <candidateList>
        <item>1%—30%</item>
      </candidateList>
      <explain>1. “1-30%”中的单位“%”仅出现在后一个数字上，容易引起歧义；根据《现代汉语标点符号数字用法规范手册》，数字表示范围两边需要使用统一的格式。2. 根据标点国标 4.13 中的规则，数字、时间或地域连接符应使用（视觉上更长的）“—”或“～”。</explain>
      <paraID>7C06EF91</paraID>
      <start>11</start>
      <end>16</end>
      <status>unmodified</status>
      <modifiedWord/>
      <trackRevisions>false</trackRevisions>
    </reviewItem>
    <reviewItem>
      <errorID>10c21c75-89c0-4b77-a1f4-dea3dc700efc</errorID>
      <errorWord>）＝</errorWord>
      <group>L1_Format</group>
      <groupName>格式问题</groupName>
      <ability>L2_HalfPunc_CN</ability>
      <abilityName>全半角问题</abilityName>
      <candidateList>
        <item>)=</item>
      </candidateList>
      <explain>文本全半角错误。</explain>
      <paraID>7C06EF91</paraID>
      <start>16</start>
      <end>18</end>
      <status>unmodified</status>
      <modifiedWord/>
      <trackRevisions>false</trackRevisions>
    </reviewItem>
    <reviewItem>
      <errorID>45d53a91-15da-45b0-8efe-266f9a487733</errorID>
      <errorWord>。</errorWord>
      <group>L1_Format</group>
      <groupName>格式问题</groupName>
      <ability>L2_HalfPunc_CN</ability>
      <abilityName>全半角问题</abilityName>
      <candidateList>
        <item>.</item>
      </candidateList>
      <explain>文本全半角错误。</explain>
      <paraID>7C06EF91</paraID>
      <start>26</start>
      <end>27</end>
      <status>unmodified</status>
      <modifiedWord/>
      <trackRevisions>false</trackRevisions>
    </reviewItem>
    <reviewItem>
      <errorID>edb14915-2d01-4470-8c70-168f572b1066</errorID>
      <errorWord>做</errorWord>
      <group>L1_Word</group>
      <groupName>字词问题</groupName>
      <ability>L2_Typo</ability>
      <abilityName>字词错误</abilityName>
      <candidateList>
        <item>作</item>
      </candidateList>
      <explain>存在发音相同字词的误用。</explain>
      <paraID>1737EE8A</paraID>
      <start>108</start>
      <end>109</end>
      <status>modified</status>
      <modifiedWord>作</modifiedWord>
      <trackRevisions>false</trackRevisions>
    </reviewItem>
    <reviewItem>
      <errorID>34811b52-c052-417f-9f89-564dfa847b38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5E7B83EE</paraID>
      <start>0</start>
      <end>2</end>
      <status>unmodified</status>
      <modifiedWord/>
      <trackRevisions>false</trackRevisions>
    </reviewItem>
    <reviewItem>
      <errorID>1ebef152-ee8d-4baf-a450-351b0d9b5c96</errorID>
      <errorWord>况</errorWord>
      <group>L1_Word</group>
      <groupName>字词问题</groupName>
      <ability>L2_Typo</ability>
      <abilityName>字词错误</abilityName>
      <candidateList>
        <item>况下</item>
      </candidateList>
      <explain/>
      <paraID>6CFF2F4D</paraID>
      <start>114</start>
      <end>115</end>
      <status>unmodified</status>
      <modifiedWord/>
      <trackRevisions>false</trackRevisions>
    </reviewItem>
    <reviewItem>
      <errorID>7f78ccd6-6db2-48c4-8d22-4f48a1638a15</errorID>
      <errorWord>-</errorWord>
      <group>L1_Format</group>
      <groupName>格式问题</groupName>
      <ability>L2_HalfPunc_CN</ability>
      <abilityName>全半角问题</abilityName>
      <candidateList>
        <item>－</item>
      </candidateList>
      <explain>文本全半角错误。</explain>
      <paraID>6CFF2F4D</paraID>
      <start>235</start>
      <end>236</end>
      <status>unmodified</status>
      <modifiedWord/>
      <trackRevisions>false</trackRevisions>
    </reviewItem>
    <reviewItem>
      <errorID>3f2189ca-3cbd-4ccc-bab3-5cb6772a0470</errorID>
      <errorWord>程</errorWord>
      <group>L1_Word</group>
      <groupName>字词问题</groupName>
      <ability>L2_Typo</ability>
      <abilityName>字词错误</abilityName>
      <candidateList>
        <item>程中</item>
      </candidateList>
      <explain/>
      <paraID>402C95A0</paraID>
      <start>6</start>
      <end>7</end>
      <status>unmodified</status>
      <modifiedWord/>
      <trackRevisions>false</trackRevisions>
    </reviewItem>
    <reviewItem>
      <errorID>26f79eb9-747b-4045-a02d-f8eac4c3d814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6A75FF23</paraID>
      <start>0</start>
      <end>2</end>
      <status>unmodified</status>
      <modifiedWord/>
      <trackRevisions>false</trackRevisions>
    </reviewItem>
    <reviewItem>
      <errorID>1a342065-480b-4fcc-813c-e45bffcbb22c</errorID>
      <errorWord>达</errorWord>
      <group>L1_Word</group>
      <groupName>字词问题</groupName>
      <ability>L2_Typo</ability>
      <abilityName>字词错误</abilityName>
      <candidateList>
        <item>达到</item>
      </candidateList>
      <explain/>
      <paraID>3D3432B2</paraID>
      <start>46</start>
      <end>47</end>
      <status>unmodified</status>
      <modifiedWord/>
      <trackRevisions>false</trackRevisions>
    </reviewItem>
    <reviewItem>
      <errorID>2c1a30b6-3b66-4189-9043-494cf4501012</errorID>
      <errorWord>化粪池预处理达</errorWord>
      <group>L1_Word</group>
      <groupName>字词问题</groupName>
      <ability>L2_Typo</ability>
      <abilityName>字词错误</abilityName>
      <candidateList>
        <item>化粪池预处理达到</item>
      </candidateList>
      <explain/>
      <paraID>304D8E7A</paraID>
      <start>77</start>
      <end>84</end>
      <status>unmodified</status>
      <modifiedWord/>
      <trackRevisions>false</trackRevisions>
    </reviewItem>
    <reviewItem>
      <errorID>35f5cd36-577c-4dc6-9d2c-4f387834960e</errorID>
      <errorWord>达</errorWord>
      <group>L1_Word</group>
      <groupName>字词问题</groupName>
      <ability>L2_Typo</ability>
      <abilityName>字词错误</abilityName>
      <candidateList>
        <item>达到</item>
      </candidateList>
      <explain/>
      <paraID>304D8E7A</paraID>
      <start>122</start>
      <end>123</end>
      <status>unmodified</status>
      <modifiedWord/>
      <trackRevisions>false</trackRevisions>
    </reviewItem>
    <reviewItem>
      <errorID>7cb2a1b9-cbbf-4694-a514-4d98356c2006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1756C691</paraID>
      <start>0</start>
      <end>2</end>
      <status>unmodified</status>
      <modifiedWord/>
      <trackRevisions>false</trackRevisions>
    </reviewItem>
    <reviewItem>
      <errorID>de574fd3-45ff-48f5-8bfd-096c06d65921</errorID>
      <errorWord>)</errorWord>
      <group>L1_Format</group>
      <groupName>格式问题</groupName>
      <ability>L2_HalfPunc_CN</ability>
      <abilityName>全半角问题</abilityName>
      <candidateList>
        <item>）</item>
      </candidateList>
      <explain>文本全半角错误。</explain>
      <paraID>2E236635</paraID>
      <start>22</start>
      <end>23</end>
      <status>unmodified</status>
      <modifiedWord/>
      <trackRevisions>false</trackRevisions>
    </reviewItem>
    <reviewItem>
      <errorID>d5dd819e-5ae7-4ea2-9018-ca150a2dc32c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545FDA05</paraID>
      <start>0</start>
      <end>2</end>
      <status>unmodified</status>
      <modifiedWord/>
      <trackRevisions>false</trackRevisions>
    </reviewItem>
    <reviewItem>
      <errorID>ecb83f5c-164e-4cd1-9740-190c49fafc44</errorID>
      <errorWord>，</errorWord>
      <group>L1_Format</group>
      <groupName>格式问题</groupName>
      <ability>L2_HalfPunc_CN</ability>
      <abilityName>全半角问题</abilityName>
      <candidateList>
        <item>, </item>
      </candidateList>
      <explain>文本全半角错误。</explain>
      <paraID>1E038F76</paraID>
      <start>1</start>
      <end>2</end>
      <status>unmodified</status>
      <modifiedWord/>
      <trackRevisions>false</trackRevisions>
    </reviewItem>
    <reviewItem>
      <errorID>0e7f7096-afd9-42f4-851a-1a9de3cbfada</errorID>
      <errorWord>程</errorWord>
      <group>L1_Word</group>
      <groupName>字词问题</groupName>
      <ability>L2_Typo</ability>
      <abilityName>字词错误</abilityName>
      <candidateList>
        <item>程中</item>
      </candidateList>
      <explain/>
      <paraID> 330BBA3</paraID>
      <start>15</start>
      <end>16</end>
      <status>unmodified</status>
      <modifiedWord/>
      <trackRevisions>false</trackRevisions>
    </reviewItem>
    <reviewItem>
      <errorID>bb1bb14d-6c17-4755-a4d7-1851effac0aa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56763B66</paraID>
      <start>126</start>
      <end>127</end>
      <status>unmodified</status>
      <modifiedWord/>
      <trackRevisions>false</trackRevisions>
    </reviewItem>
    <reviewItem>
      <errorID>ecac6a84-7e31-4b22-ac3e-df9e17dacd7b</errorID>
      <errorWord>)</errorWord>
      <group>L1_Format</group>
      <groupName>格式问题</groupName>
      <ability>L2_HalfPunc_CN</ability>
      <abilityName>全半角问题</abilityName>
      <candidateList>
        <item>）</item>
      </candidateList>
      <explain>文本全半角错误。</explain>
      <paraID>56763B66</paraID>
      <start>132</start>
      <end>133</end>
      <status>unmodified</status>
      <modifiedWord/>
      <trackRevisions>false</trackRevisions>
    </reviewItem>
    <reviewItem>
      <errorID>754a1047-c34a-475c-b6a4-13debf682249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56763B66</paraID>
      <start>165</start>
      <end>166</end>
      <status>unmodified</status>
      <modifiedWord/>
      <trackRevisions>false</trackRevisions>
    </reviewItem>
    <reviewItem>
      <errorID>278761d7-2c45-4a87-b41e-1372d040c18e</errorID>
      <errorWord>)</errorWord>
      <group>L1_Format</group>
      <groupName>格式问题</groupName>
      <ability>L2_HalfPunc_CN</ability>
      <abilityName>全半角问题</abilityName>
      <candidateList>
        <item>）</item>
      </candidateList>
      <explain>文本全半角错误。</explain>
      <paraID>56763B66</paraID>
      <start>172</start>
      <end>173</end>
      <status>unmodified</status>
      <modifiedWord/>
      <trackRevisions>false</trackRevisions>
    </reviewItem>
    <reviewItem>
      <errorID>a0282667-f56f-45d8-8f85-4ff80a603390</errorID>
      <errorWord>接受单位</errorWord>
      <group>L1_Word</group>
      <groupName>字词问题</groupName>
      <ability>L2_Typo</ability>
      <abilityName>字词错误</abilityName>
      <candidateList>
        <item>接收单位</item>
      </candidateList>
      <explain>存在发音相同字词的误用。</explain>
      <paraID>120B4F97</paraID>
      <start>265</start>
      <end>269</end>
      <status>unmodified</status>
      <modifiedWord/>
      <trackRevisions>false</trackRevisions>
    </reviewItem>
    <reviewItem>
      <errorID>5fa03a01-53ff-4341-b569-59aa0f634741</errorID>
      <errorWord>泄露</errorWord>
      <group>L1_Word</group>
      <groupName>字词问题</groupName>
      <ability>L2_Typo</ability>
      <abilityName>字词错误</abilityName>
      <candidateList>
        <item>泄漏</item>
      </candidateList>
      <explain>存在发音相同字词的误用。</explain>
      <paraID> DB8BA23</paraID>
      <start>59</start>
      <end>61</end>
      <status>unmodified</status>
      <modifiedWord/>
      <trackRevisions>false</trackRevisions>
    </reviewItem>
    <reviewItem>
      <errorID>65fcfeb5-d190-457a-8976-da8f19e98b34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59EBF865</paraID>
      <start>0</start>
      <end>2</end>
      <status>unmodified</status>
      <modifiedWord/>
      <trackRevisions>false</trackRevisions>
    </reviewItem>
    <reviewItem>
      <errorID>96d46b0a-45e6-4d74-9803-290df9de9043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78EF8F39</paraID>
      <start>0</start>
      <end>2</end>
      <status>unmodified</status>
      <modifiedWord/>
      <trackRevisions>false</trackRevisions>
    </reviewItem>
    <reviewItem>
      <errorID>832524aa-4eca-44ad-ae86-96a5d684e76c</errorID>
      <errorWord>、</errorWord>
      <group>L1_Punc</group>
      <groupName>标点问题</groupName>
      <ability>L2_Punc_CN</ability>
      <abilityName>标点符号问题</abilityName>
      <candidateList>
        <item>.</item>
      </candidateList>
      <explain/>
      <paraID>7BA8524F</paraID>
      <start>1</start>
      <end>2</end>
      <status>unmodified</status>
      <modifiedWord/>
      <trackRevisions>false</trackRevisions>
    </reviewItem>
    <reviewItem>
      <errorID>f4158a78-f3ec-4f7e-a836-357552baf1c4</errorID>
      <errorWord>、</errorWord>
      <group>L1_Punc</group>
      <groupName>标点问题</groupName>
      <ability>L2_Punc_CN</ability>
      <abilityName>标点符号问题</abilityName>
      <candidateList>
        <item>.</item>
      </candidateList>
      <explain/>
      <paraID> CB5F9B0</paraID>
      <start>1</start>
      <end>2</end>
      <status>unmodified</status>
      <modifiedWord/>
      <trackRevisions>false</trackRevisions>
    </reviewItem>
    <reviewItem>
      <errorID>c51461ef-6e3e-4f99-a739-2690ff1ed328</errorID>
      <errorWord>、</errorWord>
      <group>L1_Punc</group>
      <groupName>标点问题</groupName>
      <ability>L2_Punc_CN</ability>
      <abilityName>标点符号问题</abilityName>
      <candidateList>
        <item>.</item>
      </candidateList>
      <explain/>
      <paraID>35937134</paraID>
      <start>1</start>
      <end>2</end>
      <status>unmodified</status>
      <modifiedWord/>
      <trackRevisions>false</trackRevisions>
    </reviewItem>
    <reviewItem>
      <errorID>7fa1cacb-f565-4831-b600-24db2b9f45f6</errorID>
      <errorWord>通讯畅通</errorWord>
      <group>L1_Word</group>
      <groupName>字词问题</groupName>
      <ability>L2_Typo</ability>
      <abilityName>字词错误</abilityName>
      <candidateList>
        <item>通信畅通</item>
      </candidateList>
      <explain/>
      <paraID>29A9F782</paraID>
      <start>42</start>
      <end>46</end>
      <status>unmodified</status>
      <modifiedWord/>
      <trackRevisions>false</trackRevisions>
    </reviewItem>
    <reviewItem>
      <errorID>72468c9c-8702-43c1-b9c2-22211f45fa0d</errorID>
      <errorWord>、</errorWord>
      <group>L1_Punc</group>
      <groupName>标点问题</groupName>
      <ability>L2_Punc_CN</ability>
      <abilityName>标点符号问题</abilityName>
      <candidateList>
        <item>.</item>
      </candidateList>
      <explain/>
      <paraID>66939071</paraID>
      <start>1</start>
      <end>2</end>
      <status>unmodified</status>
      <modifiedWord/>
      <trackRevisions>false</trackRevisions>
    </reviewItem>
    <reviewItem>
      <errorID>66a34dda-650a-4f13-b6e3-c26b89122173</errorID>
      <errorWord>尽能</errorWord>
      <group>L1_Word</group>
      <groupName>字词问题</groupName>
      <ability>L2_Typo</ability>
      <abilityName>字词错误</abilityName>
      <candidateList>
        <item>尽</item>
      </candidateList>
      <explain/>
      <paraID>54801E8D</paraID>
      <start>30</start>
      <end>32</end>
      <status>unmodified</status>
      <modifiedWord/>
      <trackRevisions>false</trackRevisions>
    </reviewItem>
    <reviewItem>
      <errorID>3f98ba98-d11a-4cbe-aae0-1cb0bbae6d05</errorID>
      <errorWord>、</errorWord>
      <group>L1_Punc</group>
      <groupName>标点问题</groupName>
      <ability>L2_Punc_CN</ability>
      <abilityName>标点符号问题</abilityName>
      <candidateList>
        <item>.</item>
      </candidateList>
      <explain/>
      <paraID>7B18D0B7</paraID>
      <start>1</start>
      <end>2</end>
      <status>unmodified</status>
      <modifiedWord/>
      <trackRevisions>false</trackRevisions>
    </reviewItem>
    <reviewItem>
      <errorID>b1916cbd-ba88-4744-8c8e-7b4893d5318d</errorID>
      <errorWord>、</errorWord>
      <group>L1_Punc</group>
      <groupName>标点问题</groupName>
      <ability>L2_Punc_CN</ability>
      <abilityName>标点符号问题</abilityName>
      <candidateList>
        <item>.</item>
      </candidateList>
      <explain/>
      <paraID>565A074F</paraID>
      <start>1</start>
      <end>2</end>
      <status>unmodified</status>
      <modifiedWord/>
      <trackRevisions>false</trackRevisions>
    </reviewItem>
    <reviewItem>
      <errorID>838196a1-c187-48d5-9f79-a67abfdca3c4</errorID>
      <errorWord>、</errorWord>
      <group>L1_Punc</group>
      <groupName>标点问题</groupName>
      <ability>L2_Punc_CN</ability>
      <abilityName>标点符号问题</abilityName>
      <candidateList>
        <item>.</item>
      </candidateList>
      <explain/>
      <paraID>446B04CC</paraID>
      <start>1</start>
      <end>2</end>
      <status>unmodified</status>
      <modifiedWord/>
      <trackRevisions>false</trackRevisions>
    </reviewItem>
    <reviewItem>
      <errorID>b94399d6-b797-43d3-8da1-428d41aef412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72B9DD26</paraID>
      <start>0</start>
      <end>2</end>
      <status>unmodified</status>
      <modifiedWord/>
      <trackRevisions>false</trackRevisions>
    </reviewItem>
    <reviewItem>
      <errorID>e2fce000-de4d-4919-ab17-02488968576e</errorID>
      <errorWord>期</errorWord>
      <group>L1_Word</group>
      <groupName>字词问题</groupName>
      <ability>L2_Typo</ability>
      <abilityName>字词错误</abilityName>
      <candidateList>
        <item>期间</item>
      </candidateList>
      <explain/>
      <paraID>7A6D42A1</paraID>
      <start>17</start>
      <end>18</end>
      <status>unmodified</status>
      <modifiedWord/>
      <trackRevisions>false</trackRevisions>
    </reviewItem>
    <reviewItem>
      <errorID>b0312194-9ac5-4f00-8588-615eec8d6fee</errorID>
      <errorWord>法律、法规</errorWord>
      <group>L1_Word</group>
      <groupName>字词问题</groupName>
      <ability>L2_Typo</ability>
      <abilityName>字词错误</abilityName>
      <candidateList>
        <item>法律法规</item>
      </candidateList>
      <explain/>
      <paraID>7A6D42A1</paraID>
      <start>35</start>
      <end>40</end>
      <status>unmodified</status>
      <modifiedWord/>
      <trackRevisions>false</trackRevisions>
    </reviewItem>
    <reviewItem>
      <errorID>532d051d-9d0d-4437-81b4-8e2a4440b38c</errorID>
      <errorWord>法律、法规</errorWord>
      <group>L1_Word</group>
      <groupName>字词问题</groupName>
      <ability>L2_Typo</ability>
      <abilityName>字词错误</abilityName>
      <candidateList>
        <item>法律法规</item>
      </candidateList>
      <explain/>
      <paraID> DD9590C</paraID>
      <start>16</start>
      <end>21</end>
      <status>unmodified</status>
      <modifiedWord/>
      <trackRevisions>false</trackRevisions>
    </reviewItem>
    <reviewItem>
      <errorID>47903dc8-92a8-44de-9353-6a4e1da35c39</errorID>
      <errorWord>-</errorWord>
      <group>L1_Format</group>
      <groupName>格式问题</groupName>
      <ability>L2_HalfPunc_CN</ability>
      <abilityName>全半角问题</abilityName>
      <candidateList>
        <item>－</item>
      </candidateList>
      <explain>文本全半角错误。</explain>
      <paraID>1D6FB3C8</paraID>
      <start>28</start>
      <end>29</end>
      <status>unmodified</status>
      <modifiedWord/>
      <trackRevisions>false</trackRevisions>
    </reviewItem>
    <reviewItem>
      <errorID>94a9dcf9-bc31-4fa2-974e-4f3426728624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7D5D1279</paraID>
      <start>0</start>
      <end>2</end>
      <status>unmodified</status>
      <modifiedWord/>
      <trackRevisions>false</trackRevisions>
    </reviewItem>
    <reviewItem>
      <errorID>8a9bbd87-b989-465a-86e3-4ba7d3bfe135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7407B8B1</paraID>
      <start>0</start>
      <end>2</end>
      <status>unmodified</status>
      <modifiedWord/>
      <trackRevisions>false</trackRevisions>
    </reviewItem>
    <reviewItem>
      <errorID>61d94111-37ed-4ca6-830e-14777dd283a7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A6083DE</paraID>
      <start>0</start>
      <end>2</end>
      <status>unmodified</status>
      <modifiedWord/>
      <trackRevisions>false</trackRevisions>
    </reviewItem>
    <reviewItem>
      <errorID>43527c71-2a4b-4f99-9fe4-a5cad4544526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152806DB</paraID>
      <start>0</start>
      <end>2</end>
      <status>unmodified</status>
      <modifiedWord/>
      <trackRevisions>false</trackRevisions>
    </reviewItem>
    <reviewItem>
      <errorID>0231be10-cc96-4794-a3bc-5a576bb80b8f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EF195E7</paraID>
      <start>0</start>
      <end>2</end>
      <status>unmodified</status>
      <modifiedWord/>
      <trackRevisions>false</trackRevisions>
    </reviewItem>
    <reviewItem>
      <errorID>23bd5c38-cc5b-474c-a2f3-e5671ecf4351</errorID>
      <errorWord>，以</errorWord>
      <group>L1_Word</group>
      <groupName>字词问题</groupName>
      <ability>L2_Typo</ability>
      <abilityName>字词错误</abilityName>
      <candidateList>
        <item>，</item>
      </candidateList>
      <explain/>
      <paraID> EF195E7</paraID>
      <start>30</start>
      <end>32</end>
      <status>unmodified</status>
      <modifiedWord/>
      <trackRevisions>false</trackRevisions>
    </reviewItem>
    <reviewItem>
      <errorID>750f9d26-b35e-42dd-98c1-a4b7ed5b9bba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69326DFB</paraID>
      <start>0</start>
      <end>2</end>
      <status>unmodified</status>
      <modifiedWord/>
      <trackRevisions>false</trackRevisions>
    </reviewItem>
    <reviewItem>
      <errorID>36e82c59-bcf3-4645-9607-70969df6acce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4482526D</paraID>
      <start>0</start>
      <end>2</end>
      <status>unmodified</status>
      <modifiedWord/>
      <trackRevisions>false</trackRevisions>
    </reviewItem>
    <reviewItem>
      <errorID>3b98b5f5-a95a-47a7-9d43-9f0bc0a07d83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6413B927</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a09d9bf-081e-4c6e-b2ac-de184775ecaa}">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113</Pages>
  <Words>32050</Words>
  <Characters>34315</Characters>
  <Lines>1</Lines>
  <Paragraphs>1</Paragraphs>
  <TotalTime>0</TotalTime>
  <ScaleCrop>false</ScaleCrop>
  <LinksUpToDate>false</LinksUpToDate>
  <CharactersWithSpaces>34494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Murphy</cp:lastModifiedBy>
  <cp:lastPrinted>2023-08-17T03:07:00Z</cp:lastPrinted>
  <dcterms:modified xsi:type="dcterms:W3CDTF">2026-09-29T03:06:47Z</dcterms:modified>
  <dc:title>附件2</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4893CBAB727C4FFDBFC5B5D2F6302700</vt:lpwstr>
  </property>
  <property fmtid="{D5CDD505-2E9C-101B-9397-08002B2CF9AE}" pid="4" name="KSOTemplateDocerSaveRecord">
    <vt:lpwstr>eyJoZGlkIjoiZjQ5NWUyYmIzYTk3YjY5MDg5ODg1ZTdlMjIxMThkMDkiLCJ1c2VySWQiOiI0OTQ0MDcwMzEifQ==</vt:lpwstr>
  </property>
</Properties>
</file>