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E7206">
      <w:pPr>
        <w:autoSpaceDE w:val="0"/>
        <w:autoSpaceDN w:val="0"/>
        <w:adjustRightInd w:val="0"/>
        <w:spacing w:line="560" w:lineRule="exact"/>
        <w:jc w:val="left"/>
        <w:rPr>
          <w:rFonts w:ascii="黑体" w:hAnsi="Times New Roman" w:eastAsia="黑体" w:cs="黑体"/>
          <w:kern w:val="0"/>
          <w:szCs w:val="32"/>
        </w:rPr>
      </w:pPr>
      <w:bookmarkStart w:id="0" w:name="_GoBack"/>
      <w:bookmarkEnd w:id="0"/>
      <w:r>
        <w:rPr>
          <w:rFonts w:hint="eastAsia" w:ascii="黑体" w:hAnsi="Times New Roman" w:eastAsia="黑体" w:cs="黑体"/>
          <w:kern w:val="0"/>
          <w:sz w:val="32"/>
          <w:szCs w:val="32"/>
        </w:rPr>
        <w:t>附件1：</w:t>
      </w:r>
    </w:p>
    <w:p w14:paraId="2AF67263">
      <w:pPr>
        <w:autoSpaceDE w:val="0"/>
        <w:autoSpaceDN w:val="0"/>
        <w:adjustRightInd w:val="0"/>
        <w:spacing w:line="560" w:lineRule="exact"/>
        <w:jc w:val="center"/>
        <w:rPr>
          <w:rFonts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部门整体支出绩效自评报告</w:t>
      </w:r>
    </w:p>
    <w:p w14:paraId="51370DC9">
      <w:pPr>
        <w:autoSpaceDE w:val="0"/>
        <w:autoSpaceDN w:val="0"/>
        <w:adjustRightInd w:val="0"/>
        <w:spacing w:line="560" w:lineRule="exact"/>
        <w:jc w:val="center"/>
        <w:rPr>
          <w:rFonts w:ascii="楷体_GB2312" w:eastAsia="楷体_GB2312" w:cs="楷体_GB2312"/>
          <w:kern w:val="0"/>
          <w:szCs w:val="32"/>
        </w:rPr>
      </w:pPr>
      <w:r>
        <w:rPr>
          <w:rFonts w:hint="eastAsia" w:ascii="楷体_GB2312" w:hAnsi="Times New Roman" w:eastAsia="楷体_GB2312" w:cs="楷体_GB2312"/>
          <w:kern w:val="0"/>
          <w:sz w:val="32"/>
          <w:szCs w:val="32"/>
        </w:rPr>
        <w:t>（2024年度）</w:t>
      </w:r>
    </w:p>
    <w:p w14:paraId="49EE6494">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一、部门概况</w:t>
      </w:r>
    </w:p>
    <w:p w14:paraId="14C82193">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（一）部门主要职责职能，组织架构、人员及资产等基本情况。</w:t>
      </w:r>
    </w:p>
    <w:p w14:paraId="3C1AD5A0">
      <w:pPr>
        <w:ind w:firstLine="640" w:firstLineChars="200"/>
        <w:rPr>
          <w:rFonts w:hint="eastAsia" w:ascii="仿宋" w:hAnsi="仿宋" w:eastAsia="仿宋"/>
          <w:sz w:val="32"/>
          <w:szCs w:val="32"/>
        </w:rPr>
      </w:pPr>
      <w:r>
        <w:rPr>
          <w:rFonts w:hint="eastAsia" w:ascii="仿宋" w:hAnsi="仿宋" w:eastAsia="仿宋"/>
          <w:sz w:val="32"/>
          <w:szCs w:val="32"/>
        </w:rPr>
        <w:t>负责推进流通产业结构调整；承担协调规范全县市场经济秩序工作责任；促进城乡市场发展，负责制定全县商业网点规划；承担组织实施重要消费品市场调控和重要生产资料流通管理的责任；促进贸易增长方式转变，指导和协调贸易促进体系的建立；执行国家对外技术贸易、出口管制以及鼓励技术和成套设备进出口的政策，推进进出口贸易标准化工作；牵头拟订服务贸易发展规划并开展相关工作；负责涉及世贸组织规则的相关工作；负责利用外资和引进省外资金工作，负责投资环境优化措施和招商政策的草拟、协调和落实；参与区域经济合作的组织协调工作，负责全县驻外商会的相关协调服务工作，负责对口支援的组织实施工作；负责对外经济合作工作，依法推进县内企业在境外投资开办企业（金融企业除外）；负责拟订口岸发展建设规划以及口岸的具体管理办法和实施细则；完成县委、县政府交办的其他任务。</w:t>
      </w:r>
    </w:p>
    <w:p w14:paraId="1B97E30E">
      <w:pPr>
        <w:ind w:firstLine="640" w:firstLineChars="200"/>
        <w:rPr>
          <w:rFonts w:hint="eastAsia" w:ascii="仿宋" w:hAnsi="仿宋" w:eastAsia="仿宋"/>
          <w:sz w:val="32"/>
          <w:szCs w:val="32"/>
        </w:rPr>
      </w:pPr>
      <w:r>
        <w:rPr>
          <w:rFonts w:hint="eastAsia" w:ascii="仿宋" w:hAnsi="仿宋" w:eastAsia="仿宋"/>
          <w:sz w:val="32"/>
          <w:szCs w:val="32"/>
        </w:rPr>
        <w:t>安义县商务局内设4个职能股室，即办公室（人事党务股）、区域合作股、财务审计股、市场建设秩序股。</w:t>
      </w:r>
    </w:p>
    <w:p w14:paraId="560F8B60">
      <w:pPr>
        <w:ind w:firstLine="640" w:firstLineChars="200"/>
        <w:rPr>
          <w:rFonts w:ascii="仿宋" w:hAnsi="仿宋" w:eastAsia="仿宋" w:cs="仿宋_GB2312"/>
          <w:sz w:val="32"/>
          <w:szCs w:val="40"/>
        </w:rPr>
      </w:pPr>
      <w:r>
        <w:rPr>
          <w:rFonts w:hint="eastAsia" w:ascii="仿宋" w:hAnsi="仿宋" w:eastAsia="仿宋"/>
          <w:sz w:val="32"/>
          <w:szCs w:val="32"/>
        </w:rPr>
        <w:t>编制人数19人，其中：行政编制人数7人，工勤编制2人，事业编制10人；实有人数36人，其中：在职人数19人，包括行政人员8人、工勤编制2人、事业编制人员9人；退休人员17人。</w:t>
      </w:r>
    </w:p>
    <w:p w14:paraId="39FBCF14">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（二）当年部门履职总体目标、工作任务。</w:t>
      </w:r>
    </w:p>
    <w:p w14:paraId="05CF5A97">
      <w:pPr>
        <w:pStyle w:val="3"/>
        <w:ind w:firstLine="640"/>
        <w:rPr>
          <w:rFonts w:hint="eastAsia" w:ascii="仿宋" w:hAnsi="仿宋" w:eastAsia="仿宋" w:cs="Times New Roman"/>
          <w:b w:val="0"/>
        </w:rPr>
      </w:pPr>
      <w:r>
        <w:rPr>
          <w:rFonts w:hint="eastAsia" w:ascii="仿宋" w:hAnsi="仿宋" w:eastAsia="仿宋" w:cs="Times New Roman"/>
          <w:b w:val="0"/>
        </w:rPr>
        <w:t>（一）招大引强工作开展情况</w:t>
      </w:r>
    </w:p>
    <w:p w14:paraId="2671534F">
      <w:pPr>
        <w:ind w:firstLine="640" w:firstLineChars="200"/>
        <w:rPr>
          <w:rFonts w:ascii="仿宋" w:hAnsi="仿宋" w:eastAsia="仿宋"/>
          <w:sz w:val="32"/>
          <w:szCs w:val="32"/>
        </w:rPr>
      </w:pPr>
      <w:r>
        <w:rPr>
          <w:rFonts w:hint="eastAsia" w:ascii="仿宋" w:hAnsi="仿宋" w:eastAsia="仿宋"/>
          <w:sz w:val="32"/>
          <w:szCs w:val="32"/>
        </w:rPr>
        <w:t>2024年1-11月，全县新签约重大项目67个，协议投资额94.87亿元；其中，完成5亿元以上先进制造业项目5个，包括优强项目1个；完成高品质服务业项目2个。</w:t>
      </w:r>
    </w:p>
    <w:p w14:paraId="1D5EF3FF">
      <w:pPr>
        <w:ind w:firstLine="640"/>
        <w:rPr>
          <w:rFonts w:ascii="仿宋" w:hAnsi="仿宋" w:eastAsia="仿宋"/>
          <w:sz w:val="32"/>
          <w:szCs w:val="32"/>
        </w:rPr>
      </w:pPr>
      <w:r>
        <w:rPr>
          <w:rFonts w:hint="eastAsia" w:ascii="仿宋" w:hAnsi="仿宋" w:eastAsia="仿宋"/>
          <w:sz w:val="32"/>
          <w:szCs w:val="32"/>
        </w:rPr>
        <w:t>一是开展以商招商、以链招商促进延链补链。前期通过县域企业帮助招引上下游配套型企业，成功签约落户了广东南方印务胶黏剂及油墨项目和汉江药业药用辅料、原料药研制生产项目，2个项目投资方分别为安德力公司下游配套企业和派尼生物、常茂新材料上下游企业，将有效降低相关企业成本，进一步推动完善新材料产业链条。</w:t>
      </w:r>
    </w:p>
    <w:p w14:paraId="4B65C595">
      <w:pPr>
        <w:ind w:firstLine="640"/>
        <w:rPr>
          <w:rFonts w:ascii="仿宋" w:hAnsi="仿宋" w:eastAsia="仿宋"/>
          <w:sz w:val="32"/>
          <w:szCs w:val="32"/>
        </w:rPr>
      </w:pPr>
      <w:r>
        <w:rPr>
          <w:rFonts w:hint="eastAsia" w:ascii="仿宋" w:hAnsi="仿宋" w:eastAsia="仿宋"/>
          <w:sz w:val="32"/>
          <w:szCs w:val="32"/>
        </w:rPr>
        <w:t>二是开展借力招商实现有效招引。不断加强与省市机构、外埠商会、行业协会的对接交流，积极获取项目信息和落户支持。前期我县通过对接南昌物资集团成功签约落户了汽车拆解中心项目；同时，我县通过省国控、市产投对接了太湖能谷铅碳电池电芯生产线、电池回收线项目、银科新材料3000吨电子级金属粉体产业园项目等一批优质项目，有力保障了项目信息渠道。</w:t>
      </w:r>
    </w:p>
    <w:p w14:paraId="7FE7A0CD">
      <w:pPr>
        <w:ind w:firstLine="640"/>
        <w:rPr>
          <w:rFonts w:ascii="仿宋" w:hAnsi="仿宋" w:eastAsia="仿宋"/>
          <w:sz w:val="32"/>
          <w:szCs w:val="32"/>
        </w:rPr>
      </w:pPr>
      <w:r>
        <w:rPr>
          <w:rFonts w:hint="eastAsia" w:ascii="仿宋" w:hAnsi="仿宋" w:eastAsia="仿宋"/>
          <w:sz w:val="32"/>
          <w:szCs w:val="32"/>
        </w:rPr>
        <w:t>三是开展二次招商推动资源盘活。推动晶安高科锆铪分离项目和金德锂铷铯盐项目落户，通过对接亿普居年产10万平方米系统门窗生产基地项目，消化江西顺源有限公司30亩闲置用地，进一步实现对园区土地资源的充分利用，目前该项目已建成投产。</w:t>
      </w:r>
    </w:p>
    <w:p w14:paraId="39DFCA15">
      <w:pPr>
        <w:overflowPunct w:val="0"/>
        <w:autoSpaceDE w:val="0"/>
        <w:autoSpaceDN w:val="0"/>
        <w:spacing w:line="560" w:lineRule="exact"/>
        <w:ind w:firstLine="640" w:firstLineChars="200"/>
        <w:rPr>
          <w:rFonts w:ascii="仿宋" w:hAnsi="仿宋" w:eastAsia="仿宋"/>
          <w:sz w:val="32"/>
          <w:szCs w:val="32"/>
        </w:rPr>
      </w:pPr>
      <w:r>
        <w:rPr>
          <w:rFonts w:hint="eastAsia" w:ascii="仿宋" w:hAnsi="仿宋" w:eastAsia="仿宋"/>
          <w:sz w:val="32"/>
          <w:szCs w:val="32"/>
        </w:rPr>
        <w:t>（二）2024全年商务经济运行情况</w:t>
      </w:r>
    </w:p>
    <w:p w14:paraId="326F1F91">
      <w:pPr>
        <w:overflowPunct w:val="0"/>
        <w:autoSpaceDE w:val="0"/>
        <w:autoSpaceDN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社会消费品零售总额（季度）：1-12月，全县社会消费品零售总额完成37.5亿元，同比增长10.1%；高于全市平均水平6.3个百分点，增速排名全市第2。</w:t>
      </w:r>
    </w:p>
    <w:p w14:paraId="60DBB551">
      <w:pPr>
        <w:overflowPunct w:val="0"/>
        <w:autoSpaceDE w:val="0"/>
        <w:autoSpaceDN w:val="0"/>
        <w:spacing w:line="560" w:lineRule="exact"/>
        <w:ind w:firstLine="640" w:firstLineChars="200"/>
        <w:rPr>
          <w:rFonts w:ascii="仿宋" w:hAnsi="仿宋" w:eastAsia="仿宋"/>
          <w:sz w:val="32"/>
          <w:szCs w:val="32"/>
        </w:rPr>
      </w:pPr>
      <w:r>
        <w:rPr>
          <w:rFonts w:hint="eastAsia" w:ascii="仿宋" w:hAnsi="仿宋" w:eastAsia="仿宋"/>
          <w:sz w:val="32"/>
          <w:szCs w:val="32"/>
        </w:rPr>
        <w:t>限上消费品零售额：12月单月完成1.48亿元，同比增长11.2%，环比增速上升4.5%；1-12月累计完成16.07亿元，同比增长12.5%，环比增速下降0.1%，增速排名全市第3（新建区12.7%、湾里12.7%并列第一）。其中，限上批发业12月单月完成23.1亿元，同比增长30.5%，环比增速上升8.9%；1-12月累计完成199.86亿元，同比增长12.7%，环比增速上升5.3%；限上零售业12月单月完成1.1亿元，同比增长19.4%，环比增速上升8.7%；1-12月累计完成11.25亿元，同比增长14.7%，环比增速上升0.5%；限上住宿业12月单月完成188.2万元，同比增长15.2%，环比增速下将43.9%；1-12月累计完成2519.1万元，同比增长8.9%，环比增速上升0.4%；限上餐饮业12月单月完成0.37亿元，同比增长-2.7%，环比增速下降5.4%；1-12月累计完成4.56亿元，同比增长5.6%，环比增速下降0.3%。</w:t>
      </w:r>
    </w:p>
    <w:p w14:paraId="096E7886">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（三）当年部门年度整体支出绩效目标。</w:t>
      </w:r>
    </w:p>
    <w:p w14:paraId="1A171CCD">
      <w:pPr>
        <w:spacing w:line="560" w:lineRule="exact"/>
        <w:ind w:firstLine="640" w:firstLineChars="200"/>
      </w:pPr>
      <w:r>
        <w:rPr>
          <w:rFonts w:hint="eastAsia" w:ascii="仿宋" w:hAnsi="仿宋" w:eastAsia="仿宋"/>
          <w:sz w:val="32"/>
          <w:szCs w:val="32"/>
        </w:rPr>
        <w:t>确保预算资金的合理使用，提高预算执行的效率和效果。资金覆盖所有工作的各个需求方面，“三公”经费预算没有超过上年预算安排，2024年预算资金能保障单位正常运转需要，分配办法科学，分配的结果合理，能基本保证人员经费支出和单位全年各项工作任务的完成，同时确保所有工作都符合相关法律法规的要求。</w:t>
      </w:r>
    </w:p>
    <w:p w14:paraId="1F65B17A">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（四）部门预算绩效管理开展情况。</w:t>
      </w:r>
    </w:p>
    <w:p w14:paraId="51306566">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据县财政局绩效评价工作方案，我局迅速展开绩效评价工作，对绩效工作进行了安排部署，绩效评价工作主要有：</w:t>
      </w:r>
    </w:p>
    <w:p w14:paraId="4DCE551E">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1.数据核实与比较分析。推动了对2024年度部门整体支出数据的准确性和真实性的核实工作，将2024年度和2023年度部门整体支出情况进行比较分析。</w:t>
      </w:r>
    </w:p>
    <w:p w14:paraId="7AA8D304">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2.文件资料审查。查阅2024年度预算安排、预算追加、资金管理、经费支出、资产管理等相关文件资料和财务凭证。</w:t>
      </w:r>
    </w:p>
    <w:p w14:paraId="251FA622">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3.实地查看。现场查看实物资产等，以验证资产记录的准确性和资产的维护状况。</w:t>
      </w:r>
    </w:p>
    <w:p w14:paraId="0BFFB0B4">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4.对部门履行职责情况的公众满意度进行调查。</w:t>
      </w:r>
    </w:p>
    <w:p w14:paraId="0F14CF44">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5.材料归纳汇总。对提供的材料进行综合分析、归纳汇总。</w:t>
      </w:r>
    </w:p>
    <w:p w14:paraId="5ED2F575">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6.对各项评价指标进行分析讨论。</w:t>
      </w:r>
    </w:p>
    <w:p w14:paraId="30C78A1A">
      <w:pPr>
        <w:spacing w:line="560" w:lineRule="exact"/>
        <w:ind w:firstLine="640" w:firstLineChars="200"/>
      </w:pPr>
      <w:r>
        <w:rPr>
          <w:rFonts w:hint="eastAsia" w:ascii="仿宋" w:hAnsi="仿宋" w:eastAsia="仿宋"/>
          <w:sz w:val="32"/>
          <w:szCs w:val="32"/>
        </w:rPr>
        <w:t>7.形成绩效评价报告。</w:t>
      </w:r>
    </w:p>
    <w:p w14:paraId="1B6D931E">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（五）当年部门预算及执行情况。</w:t>
      </w:r>
    </w:p>
    <w:p w14:paraId="16190CCC">
      <w:pPr>
        <w:pStyle w:val="7"/>
        <w:ind w:firstLine="640"/>
      </w:pPr>
      <w:r>
        <w:rPr>
          <w:rFonts w:hint="eastAsia" w:ascii="仿宋" w:hAnsi="仿宋" w:eastAsia="仿宋"/>
          <w:sz w:val="32"/>
          <w:szCs w:val="32"/>
        </w:rPr>
        <w:t>2024年商务局全年预算数1469.28万元，全年执行数1345.85万元，执行率91.6%。</w:t>
      </w:r>
    </w:p>
    <w:p w14:paraId="5DDA7223">
      <w:pPr>
        <w:autoSpaceDE w:val="0"/>
        <w:autoSpaceDN w:val="0"/>
        <w:adjustRightInd w:val="0"/>
        <w:spacing w:line="560" w:lineRule="exact"/>
        <w:ind w:firstLine="640" w:firstLineChars="200"/>
        <w:jc w:val="left"/>
        <w:rPr>
          <w:rFonts w:hint="eastAsia" w:ascii="黑体" w:hAnsi="Times New Roman" w:eastAsia="黑体" w:cs="黑体"/>
          <w:kern w:val="0"/>
          <w:sz w:val="32"/>
          <w:szCs w:val="32"/>
        </w:rPr>
      </w:pPr>
      <w:r>
        <w:rPr>
          <w:rFonts w:hint="eastAsia" w:ascii="黑体" w:hAnsi="Times New Roman" w:eastAsia="黑体" w:cs="黑体"/>
          <w:kern w:val="0"/>
          <w:sz w:val="32"/>
          <w:szCs w:val="32"/>
        </w:rPr>
        <w:t>二、部门整体支出绩效实现情况</w:t>
      </w:r>
    </w:p>
    <w:tbl>
      <w:tblPr>
        <w:tblStyle w:val="8"/>
        <w:tblW w:w="9120" w:type="dxa"/>
        <w:tblInd w:w="93" w:type="dxa"/>
        <w:tblLayout w:type="autofit"/>
        <w:tblCellMar>
          <w:top w:w="0" w:type="dxa"/>
          <w:left w:w="108" w:type="dxa"/>
          <w:bottom w:w="0" w:type="dxa"/>
          <w:right w:w="108" w:type="dxa"/>
        </w:tblCellMar>
      </w:tblPr>
      <w:tblGrid>
        <w:gridCol w:w="1036"/>
        <w:gridCol w:w="194"/>
        <w:gridCol w:w="848"/>
        <w:gridCol w:w="1350"/>
        <w:gridCol w:w="807"/>
        <w:gridCol w:w="620"/>
        <w:gridCol w:w="856"/>
        <w:gridCol w:w="620"/>
        <w:gridCol w:w="793"/>
        <w:gridCol w:w="1210"/>
        <w:gridCol w:w="786"/>
      </w:tblGrid>
      <w:tr w14:paraId="44842E19">
        <w:tblPrEx>
          <w:tblCellMar>
            <w:top w:w="0" w:type="dxa"/>
            <w:left w:w="108" w:type="dxa"/>
            <w:bottom w:w="0" w:type="dxa"/>
            <w:right w:w="108" w:type="dxa"/>
          </w:tblCellMar>
        </w:tblPrEx>
        <w:trPr>
          <w:trHeight w:val="544" w:hRule="atLeast"/>
        </w:trPr>
        <w:tc>
          <w:tcPr>
            <w:tcW w:w="9120" w:type="dxa"/>
            <w:gridSpan w:val="11"/>
            <w:tcBorders>
              <w:top w:val="nil"/>
              <w:left w:val="nil"/>
              <w:bottom w:val="nil"/>
              <w:right w:val="nil"/>
            </w:tcBorders>
            <w:shd w:val="clear" w:color="auto" w:fill="auto"/>
            <w:vAlign w:val="center"/>
          </w:tcPr>
          <w:p w14:paraId="66C4E55D">
            <w:pPr>
              <w:widowControl/>
              <w:jc w:val="center"/>
              <w:rPr>
                <w:rFonts w:ascii="宋体" w:hAnsi="宋体" w:cs="宋体"/>
                <w:b/>
                <w:bCs/>
                <w:kern w:val="0"/>
                <w:sz w:val="42"/>
                <w:szCs w:val="42"/>
              </w:rPr>
            </w:pPr>
            <w:r>
              <w:rPr>
                <w:rFonts w:hint="eastAsia" w:ascii="宋体" w:hAnsi="宋体" w:cs="宋体"/>
                <w:b/>
                <w:bCs/>
                <w:kern w:val="0"/>
                <w:sz w:val="42"/>
                <w:szCs w:val="42"/>
              </w:rPr>
              <w:t>部门整体支出绩效自评表</w:t>
            </w:r>
          </w:p>
        </w:tc>
      </w:tr>
      <w:tr w14:paraId="620C7048">
        <w:tblPrEx>
          <w:tblCellMar>
            <w:top w:w="0" w:type="dxa"/>
            <w:left w:w="108" w:type="dxa"/>
            <w:bottom w:w="0" w:type="dxa"/>
            <w:right w:w="108" w:type="dxa"/>
          </w:tblCellMar>
        </w:tblPrEx>
        <w:trPr>
          <w:trHeight w:val="345" w:hRule="atLeast"/>
        </w:trPr>
        <w:tc>
          <w:tcPr>
            <w:tcW w:w="9120" w:type="dxa"/>
            <w:gridSpan w:val="11"/>
            <w:tcBorders>
              <w:top w:val="nil"/>
              <w:left w:val="nil"/>
              <w:bottom w:val="nil"/>
              <w:right w:val="nil"/>
            </w:tcBorders>
            <w:shd w:val="clear" w:color="auto" w:fill="auto"/>
            <w:vAlign w:val="center"/>
          </w:tcPr>
          <w:p w14:paraId="54EDC626">
            <w:pPr>
              <w:widowControl/>
              <w:jc w:val="center"/>
              <w:rPr>
                <w:rFonts w:ascii="宋体" w:hAnsi="宋体" w:cs="宋体"/>
                <w:kern w:val="0"/>
                <w:sz w:val="20"/>
                <w:szCs w:val="20"/>
              </w:rPr>
            </w:pPr>
            <w:r>
              <w:rPr>
                <w:rFonts w:hint="eastAsia" w:ascii="宋体" w:hAnsi="宋体" w:cs="宋体"/>
                <w:kern w:val="0"/>
                <w:sz w:val="20"/>
                <w:szCs w:val="20"/>
              </w:rPr>
              <w:t>（2024年度）</w:t>
            </w:r>
          </w:p>
        </w:tc>
      </w:tr>
      <w:tr w14:paraId="7C29ADE5">
        <w:tblPrEx>
          <w:tblCellMar>
            <w:top w:w="0" w:type="dxa"/>
            <w:left w:w="108" w:type="dxa"/>
            <w:bottom w:w="0" w:type="dxa"/>
            <w:right w:w="108" w:type="dxa"/>
          </w:tblCellMar>
        </w:tblPrEx>
        <w:trPr>
          <w:trHeight w:val="327" w:hRule="atLeast"/>
        </w:trPr>
        <w:tc>
          <w:tcPr>
            <w:tcW w:w="12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1DDC9">
            <w:pPr>
              <w:widowControl/>
              <w:jc w:val="center"/>
              <w:rPr>
                <w:rFonts w:ascii="宋体" w:hAnsi="宋体" w:cs="宋体"/>
                <w:kern w:val="0"/>
                <w:sz w:val="18"/>
                <w:szCs w:val="18"/>
              </w:rPr>
            </w:pPr>
            <w:r>
              <w:rPr>
                <w:rFonts w:hint="eastAsia" w:ascii="宋体" w:hAnsi="宋体" w:cs="宋体"/>
                <w:kern w:val="0"/>
                <w:sz w:val="18"/>
                <w:szCs w:val="18"/>
              </w:rPr>
              <w:t>评价部门名称</w:t>
            </w:r>
          </w:p>
        </w:tc>
        <w:tc>
          <w:tcPr>
            <w:tcW w:w="3040" w:type="dxa"/>
            <w:gridSpan w:val="3"/>
            <w:tcBorders>
              <w:top w:val="single" w:color="000000" w:sz="4" w:space="0"/>
              <w:left w:val="nil"/>
              <w:bottom w:val="single" w:color="000000" w:sz="4" w:space="0"/>
              <w:right w:val="single" w:color="000000" w:sz="4" w:space="0"/>
            </w:tcBorders>
            <w:shd w:val="clear" w:color="auto" w:fill="auto"/>
            <w:vAlign w:val="center"/>
          </w:tcPr>
          <w:p w14:paraId="3F1C0683">
            <w:pPr>
              <w:widowControl/>
              <w:jc w:val="left"/>
              <w:rPr>
                <w:rFonts w:ascii="宋体" w:hAnsi="宋体" w:cs="宋体"/>
                <w:color w:val="000000"/>
                <w:kern w:val="0"/>
                <w:sz w:val="22"/>
                <w:szCs w:val="22"/>
              </w:rPr>
            </w:pPr>
            <w:r>
              <w:rPr>
                <w:rFonts w:hint="eastAsia" w:ascii="宋体" w:hAnsi="宋体" w:cs="宋体"/>
                <w:color w:val="000000"/>
                <w:kern w:val="0"/>
                <w:sz w:val="22"/>
                <w:szCs w:val="22"/>
              </w:rPr>
              <w:t>安义县商务局(部门)</w:t>
            </w:r>
          </w:p>
        </w:tc>
        <w:tc>
          <w:tcPr>
            <w:tcW w:w="2100" w:type="dxa"/>
            <w:gridSpan w:val="3"/>
            <w:tcBorders>
              <w:top w:val="single" w:color="000000" w:sz="4" w:space="0"/>
              <w:left w:val="nil"/>
              <w:bottom w:val="single" w:color="000000" w:sz="4" w:space="0"/>
              <w:right w:val="single" w:color="000000" w:sz="4" w:space="0"/>
            </w:tcBorders>
            <w:shd w:val="clear" w:color="auto" w:fill="auto"/>
            <w:vAlign w:val="center"/>
          </w:tcPr>
          <w:p w14:paraId="15106184">
            <w:pPr>
              <w:widowControl/>
              <w:jc w:val="center"/>
              <w:rPr>
                <w:rFonts w:ascii="宋体" w:hAnsi="宋体" w:cs="宋体"/>
                <w:kern w:val="0"/>
                <w:sz w:val="18"/>
                <w:szCs w:val="18"/>
              </w:rPr>
            </w:pPr>
            <w:r>
              <w:rPr>
                <w:rFonts w:hint="eastAsia" w:ascii="宋体" w:hAnsi="宋体" w:cs="宋体"/>
                <w:kern w:val="0"/>
                <w:sz w:val="18"/>
                <w:szCs w:val="18"/>
              </w:rPr>
              <w:t>下属单位个数</w:t>
            </w:r>
          </w:p>
        </w:tc>
        <w:tc>
          <w:tcPr>
            <w:tcW w:w="2700" w:type="dxa"/>
            <w:gridSpan w:val="3"/>
            <w:tcBorders>
              <w:top w:val="single" w:color="000000" w:sz="4" w:space="0"/>
              <w:left w:val="nil"/>
              <w:bottom w:val="single" w:color="000000" w:sz="4" w:space="0"/>
              <w:right w:val="single" w:color="000000" w:sz="4" w:space="0"/>
            </w:tcBorders>
            <w:shd w:val="clear" w:color="auto" w:fill="auto"/>
            <w:vAlign w:val="center"/>
          </w:tcPr>
          <w:p w14:paraId="685655E4">
            <w:pPr>
              <w:widowControl/>
              <w:jc w:val="left"/>
              <w:rPr>
                <w:rFonts w:ascii="宋体" w:hAnsi="宋体" w:cs="宋体"/>
                <w:color w:val="000000"/>
                <w:kern w:val="0"/>
                <w:sz w:val="22"/>
                <w:szCs w:val="22"/>
              </w:rPr>
            </w:pPr>
            <w:r>
              <w:rPr>
                <w:rFonts w:hint="eastAsia" w:ascii="宋体" w:hAnsi="宋体" w:cs="宋体"/>
                <w:color w:val="000000"/>
                <w:kern w:val="0"/>
                <w:sz w:val="22"/>
                <w:szCs w:val="22"/>
              </w:rPr>
              <w:t>1</w:t>
            </w:r>
          </w:p>
        </w:tc>
      </w:tr>
      <w:tr w14:paraId="111E4111">
        <w:tblPrEx>
          <w:tblCellMar>
            <w:top w:w="0" w:type="dxa"/>
            <w:left w:w="108" w:type="dxa"/>
            <w:bottom w:w="0" w:type="dxa"/>
            <w:right w:w="108" w:type="dxa"/>
          </w:tblCellMar>
        </w:tblPrEx>
        <w:trPr>
          <w:trHeight w:val="634" w:hRule="atLeast"/>
        </w:trPr>
        <w:tc>
          <w:tcPr>
            <w:tcW w:w="12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5033B">
            <w:pPr>
              <w:widowControl/>
              <w:jc w:val="center"/>
              <w:rPr>
                <w:rFonts w:ascii="宋体" w:hAnsi="宋体" w:cs="宋体"/>
                <w:kern w:val="0"/>
                <w:sz w:val="18"/>
                <w:szCs w:val="18"/>
              </w:rPr>
            </w:pPr>
            <w:r>
              <w:rPr>
                <w:rFonts w:hint="eastAsia" w:ascii="宋体" w:hAnsi="宋体" w:cs="宋体"/>
                <w:kern w:val="0"/>
                <w:sz w:val="18"/>
                <w:szCs w:val="18"/>
              </w:rPr>
              <w:t>整体支出规模</w:t>
            </w:r>
            <w:r>
              <w:rPr>
                <w:rFonts w:hint="eastAsia" w:ascii="宋体" w:hAnsi="宋体" w:cs="宋体"/>
                <w:kern w:val="0"/>
                <w:sz w:val="18"/>
                <w:szCs w:val="18"/>
              </w:rPr>
              <w:br w:type="textWrapping"/>
            </w:r>
            <w:r>
              <w:rPr>
                <w:rFonts w:hint="eastAsia" w:ascii="宋体" w:hAnsi="宋体" w:cs="宋体"/>
                <w:kern w:val="0"/>
                <w:sz w:val="18"/>
                <w:szCs w:val="18"/>
              </w:rPr>
              <w:t>（万元）</w:t>
            </w:r>
          </w:p>
        </w:tc>
        <w:tc>
          <w:tcPr>
            <w:tcW w:w="2320" w:type="dxa"/>
            <w:gridSpan w:val="2"/>
            <w:tcBorders>
              <w:top w:val="single" w:color="000000" w:sz="4" w:space="0"/>
              <w:left w:val="nil"/>
              <w:bottom w:val="single" w:color="000000" w:sz="4" w:space="0"/>
              <w:right w:val="single" w:color="000000" w:sz="4" w:space="0"/>
            </w:tcBorders>
            <w:shd w:val="clear" w:color="auto" w:fill="auto"/>
            <w:vAlign w:val="center"/>
          </w:tcPr>
          <w:p w14:paraId="31F3F538">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340" w:type="dxa"/>
            <w:gridSpan w:val="2"/>
            <w:tcBorders>
              <w:top w:val="single" w:color="000000" w:sz="4" w:space="0"/>
              <w:left w:val="nil"/>
              <w:bottom w:val="single" w:color="000000" w:sz="4" w:space="0"/>
              <w:right w:val="single" w:color="000000" w:sz="4" w:space="0"/>
            </w:tcBorders>
            <w:shd w:val="clear" w:color="auto" w:fill="auto"/>
            <w:vAlign w:val="center"/>
          </w:tcPr>
          <w:p w14:paraId="4544C3F2">
            <w:pPr>
              <w:widowControl/>
              <w:jc w:val="center"/>
              <w:rPr>
                <w:rFonts w:ascii="宋体" w:hAnsi="宋体" w:cs="宋体"/>
                <w:kern w:val="0"/>
                <w:sz w:val="18"/>
                <w:szCs w:val="18"/>
              </w:rPr>
            </w:pPr>
            <w:r>
              <w:rPr>
                <w:rFonts w:hint="eastAsia" w:ascii="宋体" w:hAnsi="宋体" w:cs="宋体"/>
                <w:kern w:val="0"/>
                <w:sz w:val="18"/>
                <w:szCs w:val="18"/>
              </w:rPr>
              <w:t>全年预算数</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53E50E5C">
            <w:pPr>
              <w:widowControl/>
              <w:jc w:val="center"/>
              <w:rPr>
                <w:rFonts w:ascii="宋体" w:hAnsi="宋体" w:cs="宋体"/>
                <w:kern w:val="0"/>
                <w:sz w:val="18"/>
                <w:szCs w:val="18"/>
              </w:rPr>
            </w:pPr>
            <w:r>
              <w:rPr>
                <w:rFonts w:hint="eastAsia" w:ascii="宋体" w:hAnsi="宋体" w:cs="宋体"/>
                <w:kern w:val="0"/>
                <w:sz w:val="18"/>
                <w:szCs w:val="18"/>
              </w:rPr>
              <w:t>全年执行数</w:t>
            </w:r>
          </w:p>
        </w:tc>
        <w:tc>
          <w:tcPr>
            <w:tcW w:w="620" w:type="dxa"/>
            <w:tcBorders>
              <w:top w:val="nil"/>
              <w:left w:val="nil"/>
              <w:bottom w:val="single" w:color="000000" w:sz="4" w:space="0"/>
              <w:right w:val="single" w:color="000000" w:sz="4" w:space="0"/>
            </w:tcBorders>
            <w:shd w:val="clear" w:color="auto" w:fill="auto"/>
            <w:textDirection w:val="tbRlV"/>
            <w:vAlign w:val="center"/>
          </w:tcPr>
          <w:p w14:paraId="665C67D3">
            <w:pPr>
              <w:widowControl/>
              <w:jc w:val="center"/>
              <w:rPr>
                <w:rFonts w:ascii="宋体" w:hAnsi="宋体" w:cs="宋体"/>
                <w:kern w:val="0"/>
                <w:sz w:val="18"/>
                <w:szCs w:val="18"/>
              </w:rPr>
            </w:pPr>
            <w:r>
              <w:rPr>
                <w:rFonts w:hint="eastAsia" w:ascii="宋体" w:hAnsi="宋体" w:cs="宋体"/>
                <w:kern w:val="0"/>
                <w:sz w:val="18"/>
                <w:szCs w:val="18"/>
              </w:rPr>
              <w:t>分值</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03B41974">
            <w:pPr>
              <w:widowControl/>
              <w:jc w:val="center"/>
              <w:rPr>
                <w:rFonts w:ascii="宋体" w:hAnsi="宋体" w:cs="宋体"/>
                <w:kern w:val="0"/>
                <w:sz w:val="18"/>
                <w:szCs w:val="18"/>
              </w:rPr>
            </w:pPr>
            <w:r>
              <w:rPr>
                <w:rFonts w:hint="eastAsia" w:ascii="宋体" w:hAnsi="宋体" w:cs="宋体"/>
                <w:kern w:val="0"/>
                <w:sz w:val="18"/>
                <w:szCs w:val="18"/>
              </w:rPr>
              <w:t>执行率</w:t>
            </w:r>
          </w:p>
        </w:tc>
        <w:tc>
          <w:tcPr>
            <w:tcW w:w="820" w:type="dxa"/>
            <w:tcBorders>
              <w:top w:val="nil"/>
              <w:left w:val="nil"/>
              <w:bottom w:val="single" w:color="000000" w:sz="4" w:space="0"/>
              <w:right w:val="single" w:color="000000" w:sz="4" w:space="0"/>
            </w:tcBorders>
            <w:shd w:val="clear" w:color="auto" w:fill="auto"/>
            <w:vAlign w:val="center"/>
          </w:tcPr>
          <w:p w14:paraId="7E1F9505">
            <w:pPr>
              <w:widowControl/>
              <w:jc w:val="center"/>
              <w:rPr>
                <w:rFonts w:ascii="宋体" w:hAnsi="宋体" w:cs="宋体"/>
                <w:kern w:val="0"/>
                <w:sz w:val="18"/>
                <w:szCs w:val="18"/>
              </w:rPr>
            </w:pPr>
            <w:r>
              <w:rPr>
                <w:rFonts w:hint="eastAsia" w:ascii="宋体" w:hAnsi="宋体" w:cs="宋体"/>
                <w:kern w:val="0"/>
                <w:sz w:val="18"/>
                <w:szCs w:val="18"/>
              </w:rPr>
              <w:t>得分</w:t>
            </w:r>
          </w:p>
        </w:tc>
      </w:tr>
      <w:tr w14:paraId="06D0380D">
        <w:tblPrEx>
          <w:tblCellMar>
            <w:top w:w="0" w:type="dxa"/>
            <w:left w:w="108" w:type="dxa"/>
            <w:bottom w:w="0" w:type="dxa"/>
            <w:right w:w="108" w:type="dxa"/>
          </w:tblCellMar>
        </w:tblPrEx>
        <w:trPr>
          <w:trHeight w:val="327" w:hRule="atLeast"/>
        </w:trPr>
        <w:tc>
          <w:tcPr>
            <w:tcW w:w="128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9E22E53">
            <w:pPr>
              <w:widowControl/>
              <w:jc w:val="left"/>
              <w:rPr>
                <w:rFonts w:ascii="宋体" w:hAnsi="宋体" w:cs="宋体"/>
                <w:kern w:val="0"/>
                <w:sz w:val="18"/>
                <w:szCs w:val="18"/>
              </w:rPr>
            </w:pPr>
          </w:p>
        </w:tc>
        <w:tc>
          <w:tcPr>
            <w:tcW w:w="2320" w:type="dxa"/>
            <w:gridSpan w:val="2"/>
            <w:tcBorders>
              <w:top w:val="single" w:color="000000" w:sz="4" w:space="0"/>
              <w:left w:val="nil"/>
              <w:bottom w:val="single" w:color="000000" w:sz="4" w:space="0"/>
              <w:right w:val="single" w:color="000000" w:sz="4" w:space="0"/>
            </w:tcBorders>
            <w:shd w:val="clear" w:color="auto" w:fill="auto"/>
            <w:vAlign w:val="center"/>
          </w:tcPr>
          <w:p w14:paraId="1AD8C3D5">
            <w:pPr>
              <w:widowControl/>
              <w:jc w:val="center"/>
              <w:rPr>
                <w:rFonts w:ascii="宋体" w:hAnsi="宋体" w:cs="宋体"/>
                <w:kern w:val="0"/>
                <w:sz w:val="18"/>
                <w:szCs w:val="18"/>
              </w:rPr>
            </w:pPr>
            <w:r>
              <w:rPr>
                <w:rFonts w:hint="eastAsia" w:ascii="宋体" w:hAnsi="宋体" w:cs="宋体"/>
                <w:kern w:val="0"/>
                <w:sz w:val="18"/>
                <w:szCs w:val="18"/>
              </w:rPr>
              <w:t>年度资金总额</w:t>
            </w:r>
          </w:p>
        </w:tc>
        <w:tc>
          <w:tcPr>
            <w:tcW w:w="1340" w:type="dxa"/>
            <w:gridSpan w:val="2"/>
            <w:tcBorders>
              <w:top w:val="single" w:color="000000" w:sz="4" w:space="0"/>
              <w:left w:val="nil"/>
              <w:bottom w:val="single" w:color="000000" w:sz="4" w:space="0"/>
              <w:right w:val="single" w:color="000000" w:sz="4" w:space="0"/>
            </w:tcBorders>
            <w:shd w:val="clear" w:color="auto" w:fill="auto"/>
            <w:vAlign w:val="center"/>
          </w:tcPr>
          <w:p w14:paraId="20640732">
            <w:pPr>
              <w:widowControl/>
              <w:jc w:val="left"/>
              <w:rPr>
                <w:rFonts w:ascii="宋体" w:hAnsi="宋体" w:cs="宋体"/>
                <w:color w:val="000000"/>
                <w:kern w:val="0"/>
                <w:sz w:val="22"/>
                <w:szCs w:val="22"/>
              </w:rPr>
            </w:pPr>
            <w:r>
              <w:rPr>
                <w:rFonts w:hint="eastAsia" w:ascii="宋体" w:hAnsi="宋体" w:cs="宋体"/>
                <w:color w:val="000000"/>
                <w:kern w:val="0"/>
                <w:sz w:val="22"/>
                <w:szCs w:val="22"/>
              </w:rPr>
              <w:t>1,469.283</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0046CE1F">
            <w:pPr>
              <w:widowControl/>
              <w:jc w:val="left"/>
              <w:rPr>
                <w:rFonts w:ascii="宋体" w:hAnsi="宋体" w:cs="宋体"/>
                <w:color w:val="000000"/>
                <w:kern w:val="0"/>
                <w:sz w:val="22"/>
                <w:szCs w:val="22"/>
              </w:rPr>
            </w:pPr>
            <w:r>
              <w:rPr>
                <w:rFonts w:hint="eastAsia" w:ascii="宋体" w:hAnsi="宋体" w:cs="宋体"/>
                <w:color w:val="000000"/>
                <w:kern w:val="0"/>
                <w:sz w:val="22"/>
                <w:szCs w:val="22"/>
              </w:rPr>
              <w:t>1,345.851</w:t>
            </w:r>
          </w:p>
        </w:tc>
        <w:tc>
          <w:tcPr>
            <w:tcW w:w="620" w:type="dxa"/>
            <w:tcBorders>
              <w:top w:val="nil"/>
              <w:left w:val="nil"/>
              <w:bottom w:val="single" w:color="000000" w:sz="4" w:space="0"/>
              <w:right w:val="single" w:color="000000" w:sz="4" w:space="0"/>
            </w:tcBorders>
            <w:shd w:val="clear" w:color="auto" w:fill="auto"/>
            <w:vAlign w:val="center"/>
          </w:tcPr>
          <w:p w14:paraId="256FA38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2637E79A">
            <w:pPr>
              <w:widowControl/>
              <w:jc w:val="left"/>
              <w:rPr>
                <w:rFonts w:ascii="宋体" w:hAnsi="宋体" w:cs="宋体"/>
                <w:color w:val="000000"/>
                <w:kern w:val="0"/>
                <w:sz w:val="22"/>
                <w:szCs w:val="22"/>
              </w:rPr>
            </w:pPr>
            <w:r>
              <w:rPr>
                <w:rFonts w:hint="eastAsia" w:ascii="宋体" w:hAnsi="宋体" w:cs="宋体"/>
                <w:color w:val="000000"/>
                <w:kern w:val="0"/>
                <w:sz w:val="22"/>
                <w:szCs w:val="22"/>
              </w:rPr>
              <w:t>91.6</w:t>
            </w:r>
          </w:p>
        </w:tc>
        <w:tc>
          <w:tcPr>
            <w:tcW w:w="820" w:type="dxa"/>
            <w:tcBorders>
              <w:top w:val="nil"/>
              <w:left w:val="nil"/>
              <w:bottom w:val="single" w:color="000000" w:sz="4" w:space="0"/>
              <w:right w:val="single" w:color="000000" w:sz="4" w:space="0"/>
            </w:tcBorders>
            <w:shd w:val="clear" w:color="auto" w:fill="auto"/>
            <w:vAlign w:val="center"/>
          </w:tcPr>
          <w:p w14:paraId="5668A52C">
            <w:pPr>
              <w:widowControl/>
              <w:jc w:val="left"/>
              <w:rPr>
                <w:rFonts w:ascii="宋体" w:hAnsi="宋体" w:cs="宋体"/>
                <w:color w:val="000000"/>
                <w:kern w:val="0"/>
                <w:sz w:val="22"/>
                <w:szCs w:val="22"/>
              </w:rPr>
            </w:pPr>
            <w:r>
              <w:rPr>
                <w:rFonts w:hint="eastAsia" w:ascii="宋体" w:hAnsi="宋体" w:cs="宋体"/>
                <w:color w:val="000000"/>
                <w:kern w:val="0"/>
                <w:sz w:val="22"/>
                <w:szCs w:val="22"/>
              </w:rPr>
              <w:t>7</w:t>
            </w:r>
          </w:p>
        </w:tc>
      </w:tr>
      <w:tr w14:paraId="0B3A826F">
        <w:tblPrEx>
          <w:tblCellMar>
            <w:top w:w="0" w:type="dxa"/>
            <w:left w:w="108" w:type="dxa"/>
            <w:bottom w:w="0" w:type="dxa"/>
            <w:right w:w="108" w:type="dxa"/>
          </w:tblCellMar>
        </w:tblPrEx>
        <w:trPr>
          <w:trHeight w:val="300" w:hRule="atLeast"/>
        </w:trPr>
        <w:tc>
          <w:tcPr>
            <w:tcW w:w="128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4FA542B">
            <w:pPr>
              <w:widowControl/>
              <w:jc w:val="left"/>
              <w:rPr>
                <w:rFonts w:ascii="宋体" w:hAnsi="宋体" w:cs="宋体"/>
                <w:kern w:val="0"/>
                <w:sz w:val="18"/>
                <w:szCs w:val="18"/>
              </w:rPr>
            </w:pPr>
          </w:p>
        </w:tc>
        <w:tc>
          <w:tcPr>
            <w:tcW w:w="2320" w:type="dxa"/>
            <w:gridSpan w:val="2"/>
            <w:tcBorders>
              <w:top w:val="single" w:color="000000" w:sz="4" w:space="0"/>
              <w:left w:val="nil"/>
              <w:bottom w:val="single" w:color="000000" w:sz="4" w:space="0"/>
              <w:right w:val="single" w:color="000000" w:sz="4" w:space="0"/>
            </w:tcBorders>
            <w:shd w:val="clear" w:color="auto" w:fill="auto"/>
            <w:vAlign w:val="center"/>
          </w:tcPr>
          <w:p w14:paraId="30F0F2E6">
            <w:pPr>
              <w:widowControl/>
              <w:jc w:val="left"/>
              <w:rPr>
                <w:rFonts w:ascii="宋体" w:hAnsi="宋体" w:cs="宋体"/>
                <w:kern w:val="0"/>
                <w:sz w:val="18"/>
                <w:szCs w:val="18"/>
              </w:rPr>
            </w:pPr>
            <w:r>
              <w:rPr>
                <w:rFonts w:hint="eastAsia" w:ascii="宋体" w:hAnsi="宋体" w:cs="宋体"/>
                <w:kern w:val="0"/>
                <w:sz w:val="18"/>
                <w:szCs w:val="18"/>
              </w:rPr>
              <w:t>政府预算资金</w:t>
            </w:r>
          </w:p>
        </w:tc>
        <w:tc>
          <w:tcPr>
            <w:tcW w:w="1340" w:type="dxa"/>
            <w:gridSpan w:val="2"/>
            <w:tcBorders>
              <w:top w:val="single" w:color="000000" w:sz="4" w:space="0"/>
              <w:left w:val="nil"/>
              <w:bottom w:val="single" w:color="000000" w:sz="4" w:space="0"/>
              <w:right w:val="single" w:color="000000" w:sz="4" w:space="0"/>
            </w:tcBorders>
            <w:shd w:val="clear" w:color="auto" w:fill="auto"/>
            <w:vAlign w:val="center"/>
          </w:tcPr>
          <w:p w14:paraId="5CC178D5">
            <w:pPr>
              <w:widowControl/>
              <w:jc w:val="left"/>
              <w:rPr>
                <w:rFonts w:ascii="宋体" w:hAnsi="宋体" w:cs="宋体"/>
                <w:color w:val="000000"/>
                <w:kern w:val="0"/>
                <w:sz w:val="22"/>
                <w:szCs w:val="22"/>
              </w:rPr>
            </w:pPr>
            <w:r>
              <w:rPr>
                <w:rFonts w:hint="eastAsia" w:ascii="宋体" w:hAnsi="宋体" w:cs="宋体"/>
                <w:color w:val="000000"/>
                <w:kern w:val="0"/>
                <w:sz w:val="22"/>
                <w:szCs w:val="22"/>
              </w:rPr>
              <w:t>1469.283322</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32CBBE59">
            <w:pPr>
              <w:widowControl/>
              <w:jc w:val="left"/>
              <w:rPr>
                <w:rFonts w:ascii="宋体" w:hAnsi="宋体" w:cs="宋体"/>
                <w:color w:val="000000"/>
                <w:kern w:val="0"/>
                <w:sz w:val="22"/>
                <w:szCs w:val="22"/>
              </w:rPr>
            </w:pPr>
            <w:r>
              <w:rPr>
                <w:rFonts w:hint="eastAsia" w:ascii="宋体" w:hAnsi="宋体" w:cs="宋体"/>
                <w:color w:val="000000"/>
                <w:kern w:val="0"/>
                <w:sz w:val="22"/>
                <w:szCs w:val="22"/>
              </w:rPr>
              <w:t>1345.850568</w:t>
            </w:r>
          </w:p>
        </w:tc>
        <w:tc>
          <w:tcPr>
            <w:tcW w:w="620" w:type="dxa"/>
            <w:tcBorders>
              <w:top w:val="nil"/>
              <w:left w:val="nil"/>
              <w:bottom w:val="single" w:color="000000" w:sz="4" w:space="0"/>
              <w:right w:val="single" w:color="000000" w:sz="4" w:space="0"/>
            </w:tcBorders>
            <w:shd w:val="clear" w:color="auto" w:fill="auto"/>
            <w:vAlign w:val="center"/>
          </w:tcPr>
          <w:p w14:paraId="205745F0">
            <w:pPr>
              <w:widowControl/>
              <w:jc w:val="center"/>
              <w:rPr>
                <w:rFonts w:ascii="宋体" w:hAnsi="宋体" w:cs="宋体"/>
                <w:kern w:val="0"/>
                <w:sz w:val="20"/>
                <w:szCs w:val="20"/>
              </w:rPr>
            </w:pPr>
            <w:r>
              <w:rPr>
                <w:rFonts w:hint="eastAsia" w:ascii="宋体" w:hAnsi="宋体" w:cs="宋体"/>
                <w:kern w:val="0"/>
                <w:sz w:val="20"/>
                <w:szCs w:val="20"/>
              </w:rPr>
              <w:t>—</w:t>
            </w:r>
          </w:p>
        </w:tc>
        <w:tc>
          <w:tcPr>
            <w:tcW w:w="1260" w:type="dxa"/>
            <w:tcBorders>
              <w:top w:val="single" w:color="000000" w:sz="4" w:space="0"/>
              <w:left w:val="nil"/>
              <w:bottom w:val="single" w:color="000000" w:sz="4" w:space="0"/>
              <w:right w:val="single" w:color="000000" w:sz="4" w:space="0"/>
            </w:tcBorders>
            <w:shd w:val="clear" w:color="auto" w:fill="auto"/>
            <w:vAlign w:val="center"/>
          </w:tcPr>
          <w:p w14:paraId="52752113">
            <w:pPr>
              <w:widowControl/>
              <w:jc w:val="left"/>
              <w:rPr>
                <w:rFonts w:ascii="宋体" w:hAnsi="宋体" w:cs="宋体"/>
                <w:color w:val="000000"/>
                <w:kern w:val="0"/>
                <w:sz w:val="22"/>
                <w:szCs w:val="22"/>
              </w:rPr>
            </w:pPr>
            <w:r>
              <w:rPr>
                <w:rFonts w:hint="eastAsia" w:ascii="宋体" w:hAnsi="宋体" w:cs="宋体"/>
                <w:color w:val="000000"/>
                <w:kern w:val="0"/>
                <w:sz w:val="22"/>
                <w:szCs w:val="22"/>
              </w:rPr>
              <w:t>91.6</w:t>
            </w:r>
          </w:p>
        </w:tc>
        <w:tc>
          <w:tcPr>
            <w:tcW w:w="820" w:type="dxa"/>
            <w:tcBorders>
              <w:top w:val="nil"/>
              <w:left w:val="nil"/>
              <w:bottom w:val="single" w:color="000000" w:sz="4" w:space="0"/>
              <w:right w:val="single" w:color="000000" w:sz="4" w:space="0"/>
            </w:tcBorders>
            <w:shd w:val="clear" w:color="auto" w:fill="auto"/>
            <w:vAlign w:val="center"/>
          </w:tcPr>
          <w:p w14:paraId="612B421F">
            <w:pPr>
              <w:widowControl/>
              <w:jc w:val="center"/>
              <w:rPr>
                <w:rFonts w:ascii="宋体" w:hAnsi="宋体" w:cs="宋体"/>
                <w:kern w:val="0"/>
                <w:sz w:val="20"/>
                <w:szCs w:val="20"/>
              </w:rPr>
            </w:pPr>
            <w:r>
              <w:rPr>
                <w:rFonts w:hint="eastAsia" w:ascii="宋体" w:hAnsi="宋体" w:cs="宋体"/>
                <w:kern w:val="0"/>
                <w:sz w:val="20"/>
                <w:szCs w:val="20"/>
              </w:rPr>
              <w:t>—</w:t>
            </w:r>
          </w:p>
        </w:tc>
      </w:tr>
      <w:tr w14:paraId="18401EC3">
        <w:tblPrEx>
          <w:tblCellMar>
            <w:top w:w="0" w:type="dxa"/>
            <w:left w:w="108" w:type="dxa"/>
            <w:bottom w:w="0" w:type="dxa"/>
            <w:right w:w="108" w:type="dxa"/>
          </w:tblCellMar>
        </w:tblPrEx>
        <w:trPr>
          <w:trHeight w:val="612" w:hRule="atLeast"/>
        </w:trPr>
        <w:tc>
          <w:tcPr>
            <w:tcW w:w="36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F806E4">
            <w:pPr>
              <w:widowControl/>
              <w:jc w:val="center"/>
              <w:rPr>
                <w:rFonts w:ascii="宋体" w:hAnsi="宋体" w:cs="宋体"/>
                <w:kern w:val="0"/>
                <w:sz w:val="18"/>
                <w:szCs w:val="18"/>
              </w:rPr>
            </w:pPr>
            <w:r>
              <w:rPr>
                <w:rFonts w:hint="eastAsia" w:ascii="宋体" w:hAnsi="宋体" w:cs="宋体"/>
                <w:kern w:val="0"/>
                <w:sz w:val="18"/>
                <w:szCs w:val="18"/>
              </w:rPr>
              <w:t>预算执行率偏差原因分析及改进措施</w:t>
            </w:r>
          </w:p>
        </w:tc>
        <w:tc>
          <w:tcPr>
            <w:tcW w:w="5520" w:type="dxa"/>
            <w:gridSpan w:val="7"/>
            <w:tcBorders>
              <w:top w:val="single" w:color="000000" w:sz="4" w:space="0"/>
              <w:left w:val="nil"/>
              <w:bottom w:val="single" w:color="000000" w:sz="4" w:space="0"/>
              <w:right w:val="single" w:color="000000" w:sz="4" w:space="0"/>
            </w:tcBorders>
            <w:shd w:val="clear" w:color="auto" w:fill="auto"/>
            <w:vAlign w:val="center"/>
          </w:tcPr>
          <w:p w14:paraId="38298051">
            <w:pPr>
              <w:widowControl/>
              <w:jc w:val="left"/>
              <w:rPr>
                <w:rFonts w:ascii="宋体" w:hAnsi="宋体" w:cs="宋体"/>
                <w:color w:val="000000"/>
                <w:kern w:val="0"/>
                <w:sz w:val="22"/>
                <w:szCs w:val="22"/>
              </w:rPr>
            </w:pPr>
            <w:r>
              <w:rPr>
                <w:rFonts w:hint="eastAsia" w:ascii="宋体" w:hAnsi="宋体" w:cs="宋体"/>
                <w:color w:val="000000"/>
                <w:kern w:val="0"/>
                <w:sz w:val="22"/>
                <w:szCs w:val="22"/>
              </w:rPr>
              <w:t>无。</w:t>
            </w:r>
          </w:p>
        </w:tc>
      </w:tr>
      <w:tr w14:paraId="2E20DC57">
        <w:tblPrEx>
          <w:tblCellMar>
            <w:top w:w="0" w:type="dxa"/>
            <w:left w:w="108" w:type="dxa"/>
            <w:bottom w:w="0" w:type="dxa"/>
            <w:right w:w="108" w:type="dxa"/>
          </w:tblCellMar>
        </w:tblPrEx>
        <w:trPr>
          <w:trHeight w:val="387" w:hRule="atLeast"/>
        </w:trPr>
        <w:tc>
          <w:tcPr>
            <w:tcW w:w="12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C7AE4">
            <w:pPr>
              <w:widowControl/>
              <w:jc w:val="center"/>
              <w:rPr>
                <w:rFonts w:ascii="宋体" w:hAnsi="宋体" w:cs="宋体"/>
                <w:kern w:val="0"/>
                <w:sz w:val="18"/>
                <w:szCs w:val="18"/>
              </w:rPr>
            </w:pPr>
            <w:r>
              <w:rPr>
                <w:rFonts w:hint="eastAsia" w:ascii="宋体" w:hAnsi="宋体" w:cs="宋体"/>
                <w:kern w:val="0"/>
                <w:sz w:val="18"/>
                <w:szCs w:val="18"/>
              </w:rPr>
              <w:t>年度总体</w:t>
            </w:r>
            <w:r>
              <w:rPr>
                <w:rFonts w:hint="eastAsia" w:ascii="宋体" w:hAnsi="宋体" w:cs="宋体"/>
                <w:kern w:val="0"/>
                <w:sz w:val="18"/>
                <w:szCs w:val="18"/>
              </w:rPr>
              <w:br w:type="textWrapping"/>
            </w:r>
            <w:r>
              <w:rPr>
                <w:rFonts w:hint="eastAsia" w:ascii="宋体" w:hAnsi="宋体" w:cs="宋体"/>
                <w:kern w:val="0"/>
                <w:sz w:val="18"/>
                <w:szCs w:val="18"/>
              </w:rPr>
              <w:t>目标</w:t>
            </w:r>
          </w:p>
        </w:tc>
        <w:tc>
          <w:tcPr>
            <w:tcW w:w="3040" w:type="dxa"/>
            <w:gridSpan w:val="3"/>
            <w:tcBorders>
              <w:top w:val="single" w:color="000000" w:sz="4" w:space="0"/>
              <w:left w:val="nil"/>
              <w:bottom w:val="single" w:color="000000" w:sz="4" w:space="0"/>
              <w:right w:val="single" w:color="000000" w:sz="4" w:space="0"/>
            </w:tcBorders>
            <w:shd w:val="clear" w:color="auto" w:fill="auto"/>
            <w:vAlign w:val="center"/>
          </w:tcPr>
          <w:p w14:paraId="3346C17D">
            <w:pPr>
              <w:widowControl/>
              <w:jc w:val="center"/>
              <w:rPr>
                <w:rFonts w:ascii="宋体" w:hAnsi="宋体" w:cs="宋体"/>
                <w:kern w:val="0"/>
                <w:sz w:val="18"/>
                <w:szCs w:val="18"/>
              </w:rPr>
            </w:pPr>
            <w:r>
              <w:rPr>
                <w:rFonts w:hint="eastAsia" w:ascii="宋体" w:hAnsi="宋体" w:cs="宋体"/>
                <w:kern w:val="0"/>
                <w:sz w:val="18"/>
                <w:szCs w:val="18"/>
              </w:rPr>
              <w:t>预期目标</w:t>
            </w:r>
          </w:p>
        </w:tc>
        <w:tc>
          <w:tcPr>
            <w:tcW w:w="4800" w:type="dxa"/>
            <w:gridSpan w:val="6"/>
            <w:tcBorders>
              <w:top w:val="single" w:color="000000" w:sz="4" w:space="0"/>
              <w:left w:val="nil"/>
              <w:bottom w:val="single" w:color="000000" w:sz="4" w:space="0"/>
              <w:right w:val="single" w:color="000000" w:sz="4" w:space="0"/>
            </w:tcBorders>
            <w:shd w:val="clear" w:color="auto" w:fill="auto"/>
            <w:vAlign w:val="center"/>
          </w:tcPr>
          <w:p w14:paraId="6A9A63FA">
            <w:pPr>
              <w:widowControl/>
              <w:jc w:val="center"/>
              <w:rPr>
                <w:rFonts w:ascii="宋体" w:hAnsi="宋体" w:cs="宋体"/>
                <w:kern w:val="0"/>
                <w:sz w:val="18"/>
                <w:szCs w:val="18"/>
              </w:rPr>
            </w:pPr>
            <w:r>
              <w:rPr>
                <w:rFonts w:hint="eastAsia" w:ascii="宋体" w:hAnsi="宋体" w:cs="宋体"/>
                <w:kern w:val="0"/>
                <w:sz w:val="18"/>
                <w:szCs w:val="18"/>
              </w:rPr>
              <w:t>实际完成情况</w:t>
            </w:r>
          </w:p>
        </w:tc>
      </w:tr>
      <w:tr w14:paraId="3765AC57">
        <w:tblPrEx>
          <w:tblCellMar>
            <w:top w:w="0" w:type="dxa"/>
            <w:left w:w="108" w:type="dxa"/>
            <w:bottom w:w="0" w:type="dxa"/>
            <w:right w:w="108" w:type="dxa"/>
          </w:tblCellMar>
        </w:tblPrEx>
        <w:trPr>
          <w:trHeight w:val="3150" w:hRule="atLeast"/>
        </w:trPr>
        <w:tc>
          <w:tcPr>
            <w:tcW w:w="128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7BBA70A">
            <w:pPr>
              <w:widowControl/>
              <w:jc w:val="left"/>
              <w:rPr>
                <w:rFonts w:ascii="宋体" w:hAnsi="宋体" w:cs="宋体"/>
                <w:kern w:val="0"/>
                <w:sz w:val="18"/>
                <w:szCs w:val="18"/>
              </w:rPr>
            </w:pPr>
          </w:p>
        </w:tc>
        <w:tc>
          <w:tcPr>
            <w:tcW w:w="3040" w:type="dxa"/>
            <w:gridSpan w:val="3"/>
            <w:tcBorders>
              <w:top w:val="single" w:color="000000" w:sz="4" w:space="0"/>
              <w:left w:val="nil"/>
              <w:bottom w:val="single" w:color="000000" w:sz="4" w:space="0"/>
              <w:right w:val="single" w:color="000000" w:sz="4" w:space="0"/>
            </w:tcBorders>
            <w:shd w:val="clear" w:color="auto" w:fill="auto"/>
            <w:vAlign w:val="center"/>
          </w:tcPr>
          <w:p w14:paraId="0DA9E2D9">
            <w:pPr>
              <w:widowControl/>
              <w:jc w:val="left"/>
              <w:rPr>
                <w:rFonts w:ascii="宋体" w:hAnsi="宋体" w:cs="宋体"/>
                <w:color w:val="000000"/>
                <w:kern w:val="0"/>
                <w:sz w:val="22"/>
                <w:szCs w:val="22"/>
              </w:rPr>
            </w:pPr>
            <w:r>
              <w:rPr>
                <w:rFonts w:hint="eastAsia" w:ascii="宋体" w:hAnsi="宋体" w:cs="宋体"/>
                <w:color w:val="000000"/>
                <w:kern w:val="0"/>
                <w:sz w:val="22"/>
                <w:szCs w:val="22"/>
              </w:rPr>
              <w:t>在预算范围内高效完成招商引资等工作。</w:t>
            </w:r>
          </w:p>
        </w:tc>
        <w:tc>
          <w:tcPr>
            <w:tcW w:w="4800" w:type="dxa"/>
            <w:gridSpan w:val="6"/>
            <w:tcBorders>
              <w:top w:val="single" w:color="000000" w:sz="4" w:space="0"/>
              <w:left w:val="nil"/>
              <w:bottom w:val="single" w:color="000000" w:sz="4" w:space="0"/>
              <w:right w:val="single" w:color="000000" w:sz="4" w:space="0"/>
            </w:tcBorders>
            <w:shd w:val="clear" w:color="auto" w:fill="auto"/>
            <w:vAlign w:val="center"/>
          </w:tcPr>
          <w:p w14:paraId="3BF5C451">
            <w:pPr>
              <w:widowControl/>
              <w:jc w:val="left"/>
              <w:rPr>
                <w:rFonts w:ascii="宋体" w:hAnsi="宋体" w:cs="宋体"/>
                <w:color w:val="000000"/>
                <w:kern w:val="0"/>
                <w:sz w:val="16"/>
                <w:szCs w:val="16"/>
              </w:rPr>
            </w:pPr>
            <w:r>
              <w:rPr>
                <w:rFonts w:hint="eastAsia" w:ascii="宋体" w:hAnsi="宋体" w:cs="宋体"/>
                <w:color w:val="000000"/>
                <w:kern w:val="0"/>
                <w:sz w:val="16"/>
                <w:szCs w:val="16"/>
              </w:rPr>
              <w:t>一是开展以商招商、以链招商促进延链补链。前期通过县域企业帮助招引上下游配套型企业，成功签约落户了广东南方印务胶黏剂及油墨项目和汉江药业药用辅料、原料药研制生产项目，2个项目投资方分别为安德力公司下游配套企业和派尼生物、常茂新材料上下游企业，将有效降低相关企业成本，进一步推动完善新材料产业链条。二是开展借力招商实现有效招引。不断加强与省市机构、外埠商会、行业协会的对接交流，积极获取项目信息和落户支持。前期我县通过对接南昌物资集团成功签约落户了汽车拆解中心项目；同时，我县通过省国控、市产投对接了太湖能谷铅碳电池电芯生产线、电池回收线项目、银科新材料3000吨电子级金属粉体产业园项目等一批优质项目，有力保障了项目信息渠道。三是开展二次招商推动资源盘活。推动晶安高科锆铪分离项目和金德锂铷铯盐项目落户，通过对接亿普居年产10万平方米系统门窗生产基地项目，消化江西顺源有限公司30亩闲置用地，进一步实现对园区土地资源的充分利用，目前该项目已建成投产。</w:t>
            </w:r>
          </w:p>
        </w:tc>
      </w:tr>
      <w:tr w14:paraId="2EC0B6A0">
        <w:tblPrEx>
          <w:tblCellMar>
            <w:top w:w="0" w:type="dxa"/>
            <w:left w:w="108" w:type="dxa"/>
            <w:bottom w:w="0" w:type="dxa"/>
            <w:right w:w="108" w:type="dxa"/>
          </w:tblCellMar>
        </w:tblPrEx>
        <w:trPr>
          <w:trHeight w:val="634"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F6AB">
            <w:pPr>
              <w:widowControl/>
              <w:jc w:val="center"/>
              <w:rPr>
                <w:rFonts w:ascii="宋体" w:hAnsi="宋体" w:cs="宋体"/>
                <w:b/>
                <w:bCs/>
                <w:kern w:val="0"/>
                <w:sz w:val="18"/>
                <w:szCs w:val="18"/>
              </w:rPr>
            </w:pPr>
            <w:r>
              <w:rPr>
                <w:rFonts w:hint="eastAsia" w:ascii="宋体" w:hAnsi="宋体" w:cs="宋体"/>
                <w:b/>
                <w:bCs/>
                <w:kern w:val="0"/>
                <w:sz w:val="18"/>
                <w:szCs w:val="18"/>
              </w:rPr>
              <w:t>一级指标</w:t>
            </w: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485A1B35">
            <w:pPr>
              <w:widowControl/>
              <w:jc w:val="center"/>
              <w:rPr>
                <w:rFonts w:ascii="宋体" w:hAnsi="宋体" w:cs="宋体"/>
                <w:b/>
                <w:bCs/>
                <w:kern w:val="0"/>
                <w:sz w:val="18"/>
                <w:szCs w:val="18"/>
              </w:rPr>
            </w:pPr>
            <w:r>
              <w:rPr>
                <w:rFonts w:hint="eastAsia" w:ascii="宋体" w:hAnsi="宋体" w:cs="宋体"/>
                <w:b/>
                <w:bCs/>
                <w:kern w:val="0"/>
                <w:sz w:val="18"/>
                <w:szCs w:val="18"/>
              </w:rPr>
              <w:t>二级指标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40C7938B">
            <w:pPr>
              <w:widowControl/>
              <w:jc w:val="center"/>
              <w:rPr>
                <w:rFonts w:ascii="宋体" w:hAnsi="宋体" w:cs="宋体"/>
                <w:b/>
                <w:bCs/>
                <w:kern w:val="0"/>
                <w:sz w:val="18"/>
                <w:szCs w:val="18"/>
              </w:rPr>
            </w:pPr>
            <w:r>
              <w:rPr>
                <w:rFonts w:hint="eastAsia" w:ascii="宋体" w:hAnsi="宋体" w:cs="宋体"/>
                <w:b/>
                <w:bCs/>
                <w:kern w:val="0"/>
                <w:sz w:val="18"/>
                <w:szCs w:val="18"/>
              </w:rPr>
              <w:t>三级指标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D11D32A">
            <w:pPr>
              <w:widowControl/>
              <w:jc w:val="center"/>
              <w:rPr>
                <w:rFonts w:ascii="宋体" w:hAnsi="宋体" w:cs="宋体"/>
                <w:b/>
                <w:bCs/>
                <w:kern w:val="0"/>
                <w:sz w:val="18"/>
                <w:szCs w:val="18"/>
              </w:rPr>
            </w:pPr>
            <w:r>
              <w:rPr>
                <w:rFonts w:hint="eastAsia" w:ascii="宋体" w:hAnsi="宋体" w:cs="宋体"/>
                <w:b/>
                <w:bCs/>
                <w:kern w:val="0"/>
                <w:sz w:val="18"/>
                <w:szCs w:val="18"/>
              </w:rPr>
              <w:t>年度指</w:t>
            </w:r>
            <w:r>
              <w:rPr>
                <w:rFonts w:hint="eastAsia" w:ascii="宋体" w:hAnsi="宋体" w:cs="宋体"/>
                <w:b/>
                <w:bCs/>
                <w:kern w:val="0"/>
                <w:sz w:val="18"/>
                <w:szCs w:val="18"/>
              </w:rPr>
              <w:br w:type="textWrapping"/>
            </w:r>
            <w:r>
              <w:rPr>
                <w:rFonts w:hint="eastAsia" w:ascii="宋体" w:hAnsi="宋体" w:cs="宋体"/>
                <w:b/>
                <w:bCs/>
                <w:kern w:val="0"/>
                <w:sz w:val="18"/>
                <w:szCs w:val="18"/>
              </w:rPr>
              <w:t>标值</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247B72CE">
            <w:pPr>
              <w:widowControl/>
              <w:jc w:val="center"/>
              <w:rPr>
                <w:rFonts w:ascii="宋体" w:hAnsi="宋体" w:cs="宋体"/>
                <w:b/>
                <w:bCs/>
                <w:kern w:val="0"/>
                <w:sz w:val="18"/>
                <w:szCs w:val="18"/>
              </w:rPr>
            </w:pPr>
            <w:r>
              <w:rPr>
                <w:rFonts w:hint="eastAsia" w:ascii="宋体" w:hAnsi="宋体" w:cs="宋体"/>
                <w:b/>
                <w:bCs/>
                <w:kern w:val="0"/>
                <w:sz w:val="18"/>
                <w:szCs w:val="18"/>
              </w:rPr>
              <w:t>实际</w:t>
            </w:r>
            <w:r>
              <w:rPr>
                <w:rFonts w:hint="eastAsia" w:ascii="宋体" w:hAnsi="宋体" w:cs="宋体"/>
                <w:b/>
                <w:bCs/>
                <w:kern w:val="0"/>
                <w:sz w:val="18"/>
                <w:szCs w:val="18"/>
              </w:rPr>
              <w:br w:type="textWrapping"/>
            </w:r>
            <w:r>
              <w:rPr>
                <w:rFonts w:hint="eastAsia" w:ascii="宋体" w:hAnsi="宋体" w:cs="宋体"/>
                <w:b/>
                <w:bCs/>
                <w:kern w:val="0"/>
                <w:sz w:val="18"/>
                <w:szCs w:val="18"/>
              </w:rPr>
              <w:t>完成值</w:t>
            </w:r>
          </w:p>
        </w:tc>
        <w:tc>
          <w:tcPr>
            <w:tcW w:w="620" w:type="dxa"/>
            <w:tcBorders>
              <w:top w:val="nil"/>
              <w:left w:val="nil"/>
              <w:bottom w:val="single" w:color="000000" w:sz="4" w:space="0"/>
              <w:right w:val="single" w:color="000000" w:sz="4" w:space="0"/>
            </w:tcBorders>
            <w:shd w:val="clear" w:color="auto" w:fill="auto"/>
            <w:vAlign w:val="center"/>
          </w:tcPr>
          <w:p w14:paraId="7F04D010">
            <w:pPr>
              <w:widowControl/>
              <w:jc w:val="center"/>
              <w:rPr>
                <w:rFonts w:ascii="宋体" w:hAnsi="宋体" w:cs="宋体"/>
                <w:b/>
                <w:bCs/>
                <w:kern w:val="0"/>
                <w:sz w:val="18"/>
                <w:szCs w:val="18"/>
              </w:rPr>
            </w:pPr>
            <w:r>
              <w:rPr>
                <w:rFonts w:hint="eastAsia" w:ascii="宋体" w:hAnsi="宋体" w:cs="宋体"/>
                <w:b/>
                <w:bCs/>
                <w:kern w:val="0"/>
                <w:sz w:val="18"/>
                <w:szCs w:val="18"/>
              </w:rPr>
              <w:t>分值</w:t>
            </w:r>
          </w:p>
        </w:tc>
        <w:tc>
          <w:tcPr>
            <w:tcW w:w="620" w:type="dxa"/>
            <w:tcBorders>
              <w:top w:val="nil"/>
              <w:left w:val="nil"/>
              <w:bottom w:val="single" w:color="000000" w:sz="4" w:space="0"/>
              <w:right w:val="single" w:color="000000" w:sz="4" w:space="0"/>
            </w:tcBorders>
            <w:shd w:val="clear" w:color="auto" w:fill="auto"/>
            <w:vAlign w:val="center"/>
          </w:tcPr>
          <w:p w14:paraId="0C813F3B">
            <w:pPr>
              <w:widowControl/>
              <w:jc w:val="center"/>
              <w:rPr>
                <w:rFonts w:ascii="宋体" w:hAnsi="宋体" w:cs="宋体"/>
                <w:b/>
                <w:bCs/>
                <w:kern w:val="0"/>
                <w:sz w:val="18"/>
                <w:szCs w:val="18"/>
              </w:rPr>
            </w:pPr>
            <w:r>
              <w:rPr>
                <w:rFonts w:hint="eastAsia" w:ascii="宋体" w:hAnsi="宋体" w:cs="宋体"/>
                <w:b/>
                <w:bCs/>
                <w:kern w:val="0"/>
                <w:sz w:val="18"/>
                <w:szCs w:val="18"/>
              </w:rPr>
              <w:t>得分</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798AC10C">
            <w:pPr>
              <w:widowControl/>
              <w:jc w:val="center"/>
              <w:rPr>
                <w:rFonts w:ascii="宋体" w:hAnsi="宋体" w:cs="宋体"/>
                <w:b/>
                <w:bCs/>
                <w:kern w:val="0"/>
                <w:sz w:val="18"/>
                <w:szCs w:val="18"/>
              </w:rPr>
            </w:pPr>
            <w:r>
              <w:rPr>
                <w:rFonts w:hint="eastAsia" w:ascii="宋体" w:hAnsi="宋体" w:cs="宋体"/>
                <w:b/>
                <w:bCs/>
                <w:kern w:val="0"/>
                <w:sz w:val="18"/>
                <w:szCs w:val="18"/>
              </w:rPr>
              <w:t>偏差原因分析及</w:t>
            </w:r>
            <w:r>
              <w:rPr>
                <w:rFonts w:hint="eastAsia" w:ascii="宋体" w:hAnsi="宋体" w:cs="宋体"/>
                <w:b/>
                <w:bCs/>
                <w:kern w:val="0"/>
                <w:sz w:val="18"/>
                <w:szCs w:val="18"/>
              </w:rPr>
              <w:br w:type="textWrapping"/>
            </w:r>
            <w:r>
              <w:rPr>
                <w:rFonts w:hint="eastAsia" w:ascii="宋体" w:hAnsi="宋体" w:cs="宋体"/>
                <w:b/>
                <w:bCs/>
                <w:kern w:val="0"/>
                <w:sz w:val="18"/>
                <w:szCs w:val="18"/>
              </w:rPr>
              <w:t>改进措施</w:t>
            </w:r>
          </w:p>
        </w:tc>
      </w:tr>
      <w:tr w14:paraId="2BA4D653">
        <w:tblPrEx>
          <w:tblCellMar>
            <w:top w:w="0" w:type="dxa"/>
            <w:left w:w="108" w:type="dxa"/>
            <w:bottom w:w="0" w:type="dxa"/>
            <w:right w:w="108" w:type="dxa"/>
          </w:tblCellMar>
        </w:tblPrEx>
        <w:trPr>
          <w:trHeight w:val="42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12398">
            <w:pPr>
              <w:widowControl/>
              <w:jc w:val="center"/>
              <w:rPr>
                <w:rFonts w:ascii="宋体" w:hAnsi="宋体" w:cs="宋体"/>
                <w:kern w:val="0"/>
                <w:sz w:val="18"/>
                <w:szCs w:val="18"/>
              </w:rPr>
            </w:pPr>
            <w:r>
              <w:rPr>
                <w:rFonts w:hint="eastAsia" w:ascii="宋体" w:hAnsi="宋体" w:cs="宋体"/>
                <w:kern w:val="0"/>
                <w:sz w:val="18"/>
                <w:szCs w:val="18"/>
              </w:rPr>
              <w:t>产出指标</w:t>
            </w:r>
          </w:p>
        </w:tc>
        <w:tc>
          <w:tcPr>
            <w:tcW w:w="11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9A388">
            <w:pPr>
              <w:widowControl/>
              <w:jc w:val="center"/>
              <w:rPr>
                <w:rFonts w:ascii="宋体" w:hAnsi="宋体" w:cs="宋体"/>
                <w:kern w:val="0"/>
                <w:sz w:val="18"/>
                <w:szCs w:val="18"/>
              </w:rPr>
            </w:pPr>
            <w:r>
              <w:rPr>
                <w:rFonts w:hint="eastAsia" w:ascii="宋体" w:hAnsi="宋体" w:cs="宋体"/>
                <w:kern w:val="0"/>
                <w:sz w:val="18"/>
                <w:szCs w:val="18"/>
              </w:rPr>
              <w:t>数量指标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23BE203E">
            <w:pPr>
              <w:widowControl/>
              <w:jc w:val="center"/>
              <w:rPr>
                <w:rFonts w:ascii="宋体" w:hAnsi="宋体" w:cs="宋体"/>
                <w:kern w:val="0"/>
                <w:sz w:val="18"/>
                <w:szCs w:val="18"/>
              </w:rPr>
            </w:pPr>
            <w:r>
              <w:rPr>
                <w:rFonts w:hint="eastAsia" w:ascii="宋体" w:hAnsi="宋体" w:cs="宋体"/>
                <w:kern w:val="0"/>
                <w:sz w:val="18"/>
                <w:szCs w:val="18"/>
              </w:rPr>
              <w:t>引进重大产业项目</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C7D7BCC">
            <w:pPr>
              <w:widowControl/>
              <w:jc w:val="left"/>
              <w:rPr>
                <w:rFonts w:ascii="宋体" w:hAnsi="宋体" w:cs="宋体"/>
                <w:color w:val="000000"/>
                <w:kern w:val="0"/>
                <w:sz w:val="22"/>
                <w:szCs w:val="22"/>
              </w:rPr>
            </w:pPr>
            <w:r>
              <w:rPr>
                <w:rFonts w:hint="eastAsia" w:ascii="宋体" w:hAnsi="宋体" w:cs="宋体"/>
                <w:color w:val="000000"/>
                <w:kern w:val="0"/>
                <w:sz w:val="22"/>
                <w:szCs w:val="22"/>
              </w:rPr>
              <w:t>≥50个</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4857F260">
            <w:pPr>
              <w:widowControl/>
              <w:jc w:val="left"/>
              <w:rPr>
                <w:rFonts w:ascii="宋体" w:hAnsi="宋体" w:cs="宋体"/>
                <w:color w:val="000000"/>
                <w:kern w:val="0"/>
                <w:sz w:val="22"/>
                <w:szCs w:val="22"/>
              </w:rPr>
            </w:pPr>
            <w:r>
              <w:rPr>
                <w:rFonts w:hint="eastAsia" w:ascii="宋体" w:hAnsi="宋体" w:cs="宋体"/>
                <w:color w:val="000000"/>
                <w:kern w:val="0"/>
                <w:sz w:val="22"/>
                <w:szCs w:val="22"/>
              </w:rPr>
              <w:t>70</w:t>
            </w:r>
          </w:p>
        </w:tc>
        <w:tc>
          <w:tcPr>
            <w:tcW w:w="620" w:type="dxa"/>
            <w:tcBorders>
              <w:top w:val="nil"/>
              <w:left w:val="nil"/>
              <w:bottom w:val="single" w:color="000000" w:sz="4" w:space="0"/>
              <w:right w:val="single" w:color="000000" w:sz="4" w:space="0"/>
            </w:tcBorders>
            <w:shd w:val="clear" w:color="auto" w:fill="auto"/>
            <w:vAlign w:val="center"/>
          </w:tcPr>
          <w:p w14:paraId="6BF5ADF1">
            <w:pPr>
              <w:widowControl/>
              <w:jc w:val="left"/>
              <w:rPr>
                <w:rFonts w:ascii="宋体" w:hAnsi="宋体" w:cs="宋体"/>
                <w:color w:val="000000"/>
                <w:kern w:val="0"/>
                <w:sz w:val="22"/>
                <w:szCs w:val="22"/>
              </w:rPr>
            </w:pPr>
            <w:r>
              <w:rPr>
                <w:rFonts w:hint="eastAsia" w:ascii="宋体" w:hAnsi="宋体" w:cs="宋体"/>
                <w:color w:val="000000"/>
                <w:kern w:val="0"/>
                <w:sz w:val="22"/>
                <w:szCs w:val="22"/>
              </w:rPr>
              <w:t>15</w:t>
            </w:r>
          </w:p>
        </w:tc>
        <w:tc>
          <w:tcPr>
            <w:tcW w:w="620" w:type="dxa"/>
            <w:tcBorders>
              <w:top w:val="nil"/>
              <w:left w:val="nil"/>
              <w:bottom w:val="single" w:color="000000" w:sz="4" w:space="0"/>
              <w:right w:val="single" w:color="000000" w:sz="4" w:space="0"/>
            </w:tcBorders>
            <w:shd w:val="clear" w:color="auto" w:fill="auto"/>
            <w:vAlign w:val="center"/>
          </w:tcPr>
          <w:p w14:paraId="489A8FFA">
            <w:pPr>
              <w:widowControl/>
              <w:jc w:val="left"/>
              <w:rPr>
                <w:rFonts w:ascii="宋体" w:hAnsi="宋体" w:cs="宋体"/>
                <w:color w:val="000000"/>
                <w:kern w:val="0"/>
                <w:sz w:val="22"/>
                <w:szCs w:val="22"/>
              </w:rPr>
            </w:pPr>
            <w:r>
              <w:rPr>
                <w:rFonts w:hint="eastAsia" w:ascii="宋体" w:hAnsi="宋体" w:cs="宋体"/>
                <w:color w:val="000000"/>
                <w:kern w:val="0"/>
                <w:sz w:val="22"/>
                <w:szCs w:val="22"/>
              </w:rPr>
              <w:t>15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16EE63E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38F8542">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E99511D">
            <w:pPr>
              <w:widowControl/>
              <w:jc w:val="left"/>
              <w:rPr>
                <w:rFonts w:ascii="宋体" w:hAnsi="宋体" w:cs="宋体"/>
                <w:kern w:val="0"/>
                <w:sz w:val="18"/>
                <w:szCs w:val="18"/>
              </w:rPr>
            </w:pPr>
          </w:p>
        </w:tc>
        <w:tc>
          <w:tcPr>
            <w:tcW w:w="110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E2B0407">
            <w:pPr>
              <w:widowControl/>
              <w:jc w:val="left"/>
              <w:rPr>
                <w:rFonts w:ascii="宋体" w:hAnsi="宋体" w:cs="宋体"/>
                <w:kern w:val="0"/>
                <w:sz w:val="18"/>
                <w:szCs w:val="18"/>
              </w:rPr>
            </w:pP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126C824A">
            <w:pPr>
              <w:widowControl/>
              <w:jc w:val="center"/>
              <w:rPr>
                <w:rFonts w:ascii="宋体" w:hAnsi="宋体" w:cs="宋体"/>
                <w:kern w:val="0"/>
                <w:sz w:val="18"/>
                <w:szCs w:val="18"/>
              </w:rPr>
            </w:pPr>
            <w:r>
              <w:rPr>
                <w:rFonts w:hint="eastAsia" w:ascii="宋体" w:hAnsi="宋体" w:cs="宋体"/>
                <w:kern w:val="0"/>
                <w:sz w:val="18"/>
                <w:szCs w:val="18"/>
              </w:rPr>
              <w:t>引进优强项目</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67FBDE1">
            <w:pPr>
              <w:widowControl/>
              <w:jc w:val="left"/>
              <w:rPr>
                <w:rFonts w:ascii="宋体" w:hAnsi="宋体" w:cs="宋体"/>
                <w:color w:val="000000"/>
                <w:kern w:val="0"/>
                <w:sz w:val="22"/>
                <w:szCs w:val="22"/>
              </w:rPr>
            </w:pPr>
            <w:r>
              <w:rPr>
                <w:rFonts w:hint="eastAsia" w:ascii="宋体" w:hAnsi="宋体" w:cs="宋体"/>
                <w:color w:val="000000"/>
                <w:kern w:val="0"/>
                <w:sz w:val="22"/>
                <w:szCs w:val="22"/>
              </w:rPr>
              <w:t>≥4个</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2620D42B">
            <w:pPr>
              <w:widowControl/>
              <w:jc w:val="left"/>
              <w:rPr>
                <w:rFonts w:ascii="宋体" w:hAnsi="宋体" w:cs="宋体"/>
                <w:color w:val="000000"/>
                <w:kern w:val="0"/>
                <w:sz w:val="22"/>
                <w:szCs w:val="22"/>
              </w:rPr>
            </w:pPr>
            <w:r>
              <w:rPr>
                <w:rFonts w:hint="eastAsia" w:ascii="宋体" w:hAnsi="宋体" w:cs="宋体"/>
                <w:color w:val="000000"/>
                <w:kern w:val="0"/>
                <w:sz w:val="22"/>
                <w:szCs w:val="22"/>
              </w:rPr>
              <w:t>4</w:t>
            </w:r>
          </w:p>
        </w:tc>
        <w:tc>
          <w:tcPr>
            <w:tcW w:w="620" w:type="dxa"/>
            <w:tcBorders>
              <w:top w:val="nil"/>
              <w:left w:val="nil"/>
              <w:bottom w:val="single" w:color="000000" w:sz="4" w:space="0"/>
              <w:right w:val="single" w:color="000000" w:sz="4" w:space="0"/>
            </w:tcBorders>
            <w:shd w:val="clear" w:color="auto" w:fill="auto"/>
            <w:vAlign w:val="center"/>
          </w:tcPr>
          <w:p w14:paraId="2A31C369">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3BBF4B1F">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41F2A1F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4C1F672">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25FFEE8">
            <w:pPr>
              <w:widowControl/>
              <w:jc w:val="left"/>
              <w:rPr>
                <w:rFonts w:ascii="宋体" w:hAnsi="宋体" w:cs="宋体"/>
                <w:kern w:val="0"/>
                <w:sz w:val="18"/>
                <w:szCs w:val="18"/>
              </w:rPr>
            </w:pPr>
          </w:p>
        </w:tc>
        <w:tc>
          <w:tcPr>
            <w:tcW w:w="110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9580061">
            <w:pPr>
              <w:widowControl/>
              <w:jc w:val="left"/>
              <w:rPr>
                <w:rFonts w:ascii="宋体" w:hAnsi="宋体" w:cs="宋体"/>
                <w:kern w:val="0"/>
                <w:sz w:val="18"/>
                <w:szCs w:val="18"/>
              </w:rPr>
            </w:pP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275A5927">
            <w:pPr>
              <w:widowControl/>
              <w:jc w:val="center"/>
              <w:rPr>
                <w:rFonts w:ascii="宋体" w:hAnsi="宋体" w:cs="宋体"/>
                <w:kern w:val="0"/>
                <w:sz w:val="18"/>
                <w:szCs w:val="18"/>
              </w:rPr>
            </w:pPr>
            <w:r>
              <w:rPr>
                <w:rFonts w:hint="eastAsia" w:ascii="宋体" w:hAnsi="宋体" w:cs="宋体"/>
                <w:kern w:val="0"/>
                <w:sz w:val="18"/>
                <w:szCs w:val="18"/>
              </w:rPr>
              <w:t>参加省、市重大经贸合作活动</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998F3A9">
            <w:pPr>
              <w:widowControl/>
              <w:jc w:val="left"/>
              <w:rPr>
                <w:rFonts w:ascii="宋体" w:hAnsi="宋体" w:cs="宋体"/>
                <w:color w:val="000000"/>
                <w:kern w:val="0"/>
                <w:sz w:val="22"/>
                <w:szCs w:val="22"/>
              </w:rPr>
            </w:pPr>
            <w:r>
              <w:rPr>
                <w:rFonts w:hint="eastAsia" w:ascii="宋体" w:hAnsi="宋体" w:cs="宋体"/>
                <w:color w:val="000000"/>
                <w:kern w:val="0"/>
                <w:sz w:val="22"/>
                <w:szCs w:val="22"/>
              </w:rPr>
              <w:t>≥6次</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78E446FA">
            <w:pPr>
              <w:widowControl/>
              <w:jc w:val="left"/>
              <w:rPr>
                <w:rFonts w:ascii="宋体" w:hAnsi="宋体" w:cs="宋体"/>
                <w:color w:val="000000"/>
                <w:kern w:val="0"/>
                <w:sz w:val="22"/>
                <w:szCs w:val="22"/>
              </w:rPr>
            </w:pPr>
            <w:r>
              <w:rPr>
                <w:rFonts w:hint="eastAsia" w:ascii="宋体" w:hAnsi="宋体" w:cs="宋体"/>
                <w:color w:val="000000"/>
                <w:kern w:val="0"/>
                <w:sz w:val="22"/>
                <w:szCs w:val="22"/>
              </w:rPr>
              <w:t>6</w:t>
            </w:r>
          </w:p>
        </w:tc>
        <w:tc>
          <w:tcPr>
            <w:tcW w:w="620" w:type="dxa"/>
            <w:tcBorders>
              <w:top w:val="nil"/>
              <w:left w:val="nil"/>
              <w:bottom w:val="single" w:color="000000" w:sz="4" w:space="0"/>
              <w:right w:val="single" w:color="000000" w:sz="4" w:space="0"/>
            </w:tcBorders>
            <w:shd w:val="clear" w:color="auto" w:fill="auto"/>
            <w:vAlign w:val="center"/>
          </w:tcPr>
          <w:p w14:paraId="0AD8DFF5">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2FF42A31">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469A060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3BD9B07">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71506BC">
            <w:pPr>
              <w:widowControl/>
              <w:jc w:val="left"/>
              <w:rPr>
                <w:rFonts w:ascii="宋体" w:hAnsi="宋体" w:cs="宋体"/>
                <w:kern w:val="0"/>
                <w:sz w:val="18"/>
                <w:szCs w:val="18"/>
              </w:rPr>
            </w:pP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3BAFA158">
            <w:pPr>
              <w:widowControl/>
              <w:jc w:val="center"/>
              <w:rPr>
                <w:rFonts w:ascii="宋体" w:hAnsi="宋体" w:cs="宋体"/>
                <w:kern w:val="0"/>
                <w:sz w:val="18"/>
                <w:szCs w:val="18"/>
              </w:rPr>
            </w:pPr>
            <w:r>
              <w:rPr>
                <w:rFonts w:hint="eastAsia" w:ascii="宋体" w:hAnsi="宋体" w:cs="宋体"/>
                <w:kern w:val="0"/>
                <w:sz w:val="18"/>
                <w:szCs w:val="18"/>
              </w:rPr>
              <w:t>质量指标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27C0C1F0">
            <w:pPr>
              <w:widowControl/>
              <w:jc w:val="center"/>
              <w:rPr>
                <w:rFonts w:ascii="宋体" w:hAnsi="宋体" w:cs="宋体"/>
                <w:kern w:val="0"/>
                <w:sz w:val="18"/>
                <w:szCs w:val="18"/>
              </w:rPr>
            </w:pPr>
            <w:r>
              <w:rPr>
                <w:rFonts w:hint="eastAsia" w:ascii="宋体" w:hAnsi="宋体" w:cs="宋体"/>
                <w:kern w:val="0"/>
                <w:sz w:val="18"/>
                <w:szCs w:val="18"/>
              </w:rPr>
              <w:t>引进项目规模及档次达标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8D3CB5A">
            <w:pPr>
              <w:widowControl/>
              <w:jc w:val="left"/>
              <w:rPr>
                <w:rFonts w:ascii="宋体" w:hAnsi="宋体" w:cs="宋体"/>
                <w:color w:val="000000"/>
                <w:kern w:val="0"/>
                <w:sz w:val="22"/>
                <w:szCs w:val="22"/>
              </w:rPr>
            </w:pPr>
            <w:r>
              <w:rPr>
                <w:rFonts w:hint="eastAsia" w:ascii="宋体" w:hAnsi="宋体" w:cs="宋体"/>
                <w:color w:val="000000"/>
                <w:kern w:val="0"/>
                <w:sz w:val="22"/>
                <w:szCs w:val="22"/>
              </w:rPr>
              <w:t>＝100%</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5C0D275C">
            <w:pPr>
              <w:widowControl/>
              <w:jc w:val="left"/>
              <w:rPr>
                <w:rFonts w:ascii="宋体" w:hAnsi="宋体" w:cs="宋体"/>
                <w:color w:val="000000"/>
                <w:kern w:val="0"/>
                <w:sz w:val="22"/>
                <w:szCs w:val="22"/>
              </w:rPr>
            </w:pPr>
            <w:r>
              <w:rPr>
                <w:rFonts w:hint="eastAsia" w:ascii="宋体" w:hAnsi="宋体" w:cs="宋体"/>
                <w:color w:val="000000"/>
                <w:kern w:val="0"/>
                <w:sz w:val="22"/>
                <w:szCs w:val="22"/>
              </w:rPr>
              <w:t>100</w:t>
            </w:r>
          </w:p>
        </w:tc>
        <w:tc>
          <w:tcPr>
            <w:tcW w:w="620" w:type="dxa"/>
            <w:tcBorders>
              <w:top w:val="nil"/>
              <w:left w:val="nil"/>
              <w:bottom w:val="single" w:color="000000" w:sz="4" w:space="0"/>
              <w:right w:val="single" w:color="000000" w:sz="4" w:space="0"/>
            </w:tcBorders>
            <w:shd w:val="clear" w:color="auto" w:fill="auto"/>
            <w:vAlign w:val="center"/>
          </w:tcPr>
          <w:p w14:paraId="38072D72">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23C099BC">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53E49AB1">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30FA9EB">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FEFCF28">
            <w:pPr>
              <w:widowControl/>
              <w:jc w:val="left"/>
              <w:rPr>
                <w:rFonts w:ascii="宋体" w:hAnsi="宋体" w:cs="宋体"/>
                <w:kern w:val="0"/>
                <w:sz w:val="18"/>
                <w:szCs w:val="18"/>
              </w:rPr>
            </w:pP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5B009EF7">
            <w:pPr>
              <w:widowControl/>
              <w:jc w:val="center"/>
              <w:rPr>
                <w:rFonts w:ascii="宋体" w:hAnsi="宋体" w:cs="宋体"/>
                <w:kern w:val="0"/>
                <w:sz w:val="18"/>
                <w:szCs w:val="18"/>
              </w:rPr>
            </w:pPr>
            <w:r>
              <w:rPr>
                <w:rFonts w:hint="eastAsia" w:ascii="宋体" w:hAnsi="宋体" w:cs="宋体"/>
                <w:kern w:val="0"/>
                <w:sz w:val="18"/>
                <w:szCs w:val="18"/>
              </w:rPr>
              <w:t>时效指标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43C511F8">
            <w:pPr>
              <w:widowControl/>
              <w:jc w:val="center"/>
              <w:rPr>
                <w:rFonts w:ascii="宋体" w:hAnsi="宋体" w:cs="宋体"/>
                <w:kern w:val="0"/>
                <w:sz w:val="18"/>
                <w:szCs w:val="18"/>
              </w:rPr>
            </w:pPr>
            <w:r>
              <w:rPr>
                <w:rFonts w:hint="eastAsia" w:ascii="宋体" w:hAnsi="宋体" w:cs="宋体"/>
                <w:kern w:val="0"/>
                <w:sz w:val="18"/>
                <w:szCs w:val="18"/>
              </w:rPr>
              <w:t>全年各类项目计划完成及时率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051F2209">
            <w:pPr>
              <w:widowControl/>
              <w:jc w:val="left"/>
              <w:rPr>
                <w:rFonts w:ascii="宋体" w:hAnsi="宋体" w:cs="宋体"/>
                <w:color w:val="000000"/>
                <w:kern w:val="0"/>
                <w:sz w:val="22"/>
                <w:szCs w:val="22"/>
              </w:rPr>
            </w:pPr>
            <w:r>
              <w:rPr>
                <w:rFonts w:hint="eastAsia" w:ascii="宋体" w:hAnsi="宋体" w:cs="宋体"/>
                <w:color w:val="000000"/>
                <w:kern w:val="0"/>
                <w:sz w:val="22"/>
                <w:szCs w:val="22"/>
              </w:rPr>
              <w:t>＝100%</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534C2C4F">
            <w:pPr>
              <w:widowControl/>
              <w:jc w:val="left"/>
              <w:rPr>
                <w:rFonts w:ascii="宋体" w:hAnsi="宋体" w:cs="宋体"/>
                <w:color w:val="000000"/>
                <w:kern w:val="0"/>
                <w:sz w:val="22"/>
                <w:szCs w:val="22"/>
              </w:rPr>
            </w:pPr>
            <w:r>
              <w:rPr>
                <w:rFonts w:hint="eastAsia" w:ascii="宋体" w:hAnsi="宋体" w:cs="宋体"/>
                <w:color w:val="000000"/>
                <w:kern w:val="0"/>
                <w:sz w:val="22"/>
                <w:szCs w:val="22"/>
              </w:rPr>
              <w:t>100</w:t>
            </w:r>
          </w:p>
        </w:tc>
        <w:tc>
          <w:tcPr>
            <w:tcW w:w="620" w:type="dxa"/>
            <w:tcBorders>
              <w:top w:val="nil"/>
              <w:left w:val="nil"/>
              <w:bottom w:val="single" w:color="000000" w:sz="4" w:space="0"/>
              <w:right w:val="single" w:color="000000" w:sz="4" w:space="0"/>
            </w:tcBorders>
            <w:shd w:val="clear" w:color="auto" w:fill="auto"/>
            <w:vAlign w:val="center"/>
          </w:tcPr>
          <w:p w14:paraId="5FFB1CC2">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4C9F6987">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5402931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1F33B48">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161C9E1">
            <w:pPr>
              <w:widowControl/>
              <w:jc w:val="left"/>
              <w:rPr>
                <w:rFonts w:ascii="宋体" w:hAnsi="宋体" w:cs="宋体"/>
                <w:kern w:val="0"/>
                <w:sz w:val="18"/>
                <w:szCs w:val="18"/>
              </w:rPr>
            </w:pP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65FE8B7D">
            <w:pPr>
              <w:widowControl/>
              <w:jc w:val="center"/>
              <w:rPr>
                <w:rFonts w:ascii="宋体" w:hAnsi="宋体" w:cs="宋体"/>
                <w:kern w:val="0"/>
                <w:sz w:val="18"/>
                <w:szCs w:val="18"/>
              </w:rPr>
            </w:pPr>
            <w:r>
              <w:rPr>
                <w:rFonts w:hint="eastAsia" w:ascii="宋体" w:hAnsi="宋体" w:cs="宋体"/>
                <w:kern w:val="0"/>
                <w:sz w:val="18"/>
                <w:szCs w:val="18"/>
              </w:rPr>
              <w:t>成本指标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47D655C5">
            <w:pPr>
              <w:widowControl/>
              <w:jc w:val="center"/>
              <w:rPr>
                <w:rFonts w:ascii="宋体" w:hAnsi="宋体" w:cs="宋体"/>
                <w:kern w:val="0"/>
                <w:sz w:val="18"/>
                <w:szCs w:val="18"/>
              </w:rPr>
            </w:pPr>
            <w:r>
              <w:rPr>
                <w:rFonts w:hint="eastAsia" w:ascii="宋体" w:hAnsi="宋体" w:cs="宋体"/>
                <w:kern w:val="0"/>
                <w:sz w:val="18"/>
                <w:szCs w:val="18"/>
              </w:rPr>
              <w:t>成本超标率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28E1AE9">
            <w:pPr>
              <w:widowControl/>
              <w:jc w:val="left"/>
              <w:rPr>
                <w:rFonts w:ascii="宋体" w:hAnsi="宋体" w:cs="宋体"/>
                <w:color w:val="000000"/>
                <w:kern w:val="0"/>
                <w:sz w:val="22"/>
                <w:szCs w:val="22"/>
              </w:rPr>
            </w:pPr>
            <w:r>
              <w:rPr>
                <w:rFonts w:hint="eastAsia" w:ascii="宋体" w:hAnsi="宋体" w:cs="宋体"/>
                <w:color w:val="000000"/>
                <w:kern w:val="0"/>
                <w:sz w:val="22"/>
                <w:szCs w:val="22"/>
              </w:rPr>
              <w:t>≤0%</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4D5D715E">
            <w:pPr>
              <w:widowControl/>
              <w:jc w:val="left"/>
              <w:rPr>
                <w:rFonts w:ascii="宋体" w:hAnsi="宋体" w:cs="宋体"/>
                <w:color w:val="000000"/>
                <w:kern w:val="0"/>
                <w:sz w:val="22"/>
                <w:szCs w:val="22"/>
              </w:rPr>
            </w:pPr>
            <w:r>
              <w:rPr>
                <w:rFonts w:hint="eastAsia" w:ascii="宋体" w:hAnsi="宋体" w:cs="宋体"/>
                <w:color w:val="000000"/>
                <w:kern w:val="0"/>
                <w:sz w:val="22"/>
                <w:szCs w:val="22"/>
              </w:rPr>
              <w:t>0</w:t>
            </w:r>
          </w:p>
        </w:tc>
        <w:tc>
          <w:tcPr>
            <w:tcW w:w="620" w:type="dxa"/>
            <w:tcBorders>
              <w:top w:val="nil"/>
              <w:left w:val="nil"/>
              <w:bottom w:val="single" w:color="000000" w:sz="4" w:space="0"/>
              <w:right w:val="single" w:color="000000" w:sz="4" w:space="0"/>
            </w:tcBorders>
            <w:shd w:val="clear" w:color="auto" w:fill="auto"/>
            <w:vAlign w:val="center"/>
          </w:tcPr>
          <w:p w14:paraId="27A25CA6">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370BA435">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76DDFB2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685D056">
        <w:tblPrEx>
          <w:tblCellMar>
            <w:top w:w="0" w:type="dxa"/>
            <w:left w:w="108" w:type="dxa"/>
            <w:bottom w:w="0" w:type="dxa"/>
            <w:right w:w="108" w:type="dxa"/>
          </w:tblCellMar>
        </w:tblPrEx>
        <w:trPr>
          <w:trHeight w:val="42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A56A4">
            <w:pPr>
              <w:widowControl/>
              <w:jc w:val="center"/>
              <w:rPr>
                <w:rFonts w:ascii="宋体" w:hAnsi="宋体" w:cs="宋体"/>
                <w:kern w:val="0"/>
                <w:sz w:val="18"/>
                <w:szCs w:val="18"/>
              </w:rPr>
            </w:pPr>
            <w:r>
              <w:rPr>
                <w:rFonts w:hint="eastAsia" w:ascii="宋体" w:hAnsi="宋体" w:cs="宋体"/>
                <w:kern w:val="0"/>
                <w:sz w:val="18"/>
                <w:szCs w:val="18"/>
              </w:rPr>
              <w:t>效益指标</w:t>
            </w: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5163F642">
            <w:pPr>
              <w:widowControl/>
              <w:jc w:val="center"/>
              <w:rPr>
                <w:rFonts w:ascii="宋体" w:hAnsi="宋体" w:cs="宋体"/>
                <w:kern w:val="0"/>
                <w:sz w:val="18"/>
                <w:szCs w:val="18"/>
              </w:rPr>
            </w:pPr>
            <w:r>
              <w:rPr>
                <w:rFonts w:hint="eastAsia" w:ascii="宋体" w:hAnsi="宋体" w:cs="宋体"/>
                <w:kern w:val="0"/>
                <w:sz w:val="18"/>
                <w:szCs w:val="18"/>
              </w:rPr>
              <w:t>经济效益指标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44D585FE">
            <w:pPr>
              <w:widowControl/>
              <w:jc w:val="center"/>
              <w:rPr>
                <w:rFonts w:ascii="宋体" w:hAnsi="宋体" w:cs="宋体"/>
                <w:kern w:val="0"/>
                <w:sz w:val="18"/>
                <w:szCs w:val="18"/>
              </w:rPr>
            </w:pPr>
            <w:r>
              <w:rPr>
                <w:rFonts w:hint="eastAsia" w:ascii="宋体" w:hAnsi="宋体" w:cs="宋体"/>
                <w:kern w:val="0"/>
                <w:sz w:val="18"/>
                <w:szCs w:val="18"/>
              </w:rPr>
              <w:t>社会消费品零售总额增长率</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25933CCB">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1176E206">
            <w:pPr>
              <w:widowControl/>
              <w:jc w:val="left"/>
              <w:rPr>
                <w:rFonts w:ascii="宋体" w:hAnsi="宋体" w:cs="宋体"/>
                <w:color w:val="000000"/>
                <w:kern w:val="0"/>
                <w:sz w:val="22"/>
                <w:szCs w:val="22"/>
              </w:rPr>
            </w:pPr>
            <w:r>
              <w:rPr>
                <w:rFonts w:hint="eastAsia" w:ascii="宋体" w:hAnsi="宋体" w:cs="宋体"/>
                <w:color w:val="000000"/>
                <w:kern w:val="0"/>
                <w:sz w:val="22"/>
                <w:szCs w:val="22"/>
              </w:rPr>
              <w:t>10.1</w:t>
            </w:r>
          </w:p>
        </w:tc>
        <w:tc>
          <w:tcPr>
            <w:tcW w:w="620" w:type="dxa"/>
            <w:tcBorders>
              <w:top w:val="nil"/>
              <w:left w:val="nil"/>
              <w:bottom w:val="single" w:color="000000" w:sz="4" w:space="0"/>
              <w:right w:val="single" w:color="000000" w:sz="4" w:space="0"/>
            </w:tcBorders>
            <w:shd w:val="clear" w:color="auto" w:fill="auto"/>
            <w:vAlign w:val="center"/>
          </w:tcPr>
          <w:p w14:paraId="2EC23B94">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620" w:type="dxa"/>
            <w:tcBorders>
              <w:top w:val="nil"/>
              <w:left w:val="nil"/>
              <w:bottom w:val="single" w:color="000000" w:sz="4" w:space="0"/>
              <w:right w:val="single" w:color="000000" w:sz="4" w:space="0"/>
            </w:tcBorders>
            <w:shd w:val="clear" w:color="auto" w:fill="auto"/>
            <w:vAlign w:val="center"/>
          </w:tcPr>
          <w:p w14:paraId="26E19198">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51DA2EA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01DC68C0">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11AD5122">
            <w:pPr>
              <w:widowControl/>
              <w:jc w:val="left"/>
              <w:rPr>
                <w:rFonts w:ascii="宋体" w:hAnsi="宋体" w:cs="宋体"/>
                <w:kern w:val="0"/>
                <w:sz w:val="18"/>
                <w:szCs w:val="18"/>
              </w:rPr>
            </w:pPr>
          </w:p>
        </w:tc>
        <w:tc>
          <w:tcPr>
            <w:tcW w:w="11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D6089">
            <w:pPr>
              <w:widowControl/>
              <w:jc w:val="center"/>
              <w:rPr>
                <w:rFonts w:ascii="宋体" w:hAnsi="宋体" w:cs="宋体"/>
                <w:kern w:val="0"/>
                <w:sz w:val="18"/>
                <w:szCs w:val="18"/>
              </w:rPr>
            </w:pPr>
            <w:r>
              <w:rPr>
                <w:rFonts w:hint="eastAsia" w:ascii="宋体" w:hAnsi="宋体" w:cs="宋体"/>
                <w:kern w:val="0"/>
                <w:sz w:val="18"/>
                <w:szCs w:val="18"/>
              </w:rPr>
              <w:t>社会效益指标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6382EB88">
            <w:pPr>
              <w:widowControl/>
              <w:jc w:val="center"/>
              <w:rPr>
                <w:rFonts w:ascii="宋体" w:hAnsi="宋体" w:cs="宋体"/>
                <w:kern w:val="0"/>
                <w:sz w:val="18"/>
                <w:szCs w:val="18"/>
              </w:rPr>
            </w:pPr>
            <w:r>
              <w:rPr>
                <w:rFonts w:hint="eastAsia" w:ascii="宋体" w:hAnsi="宋体" w:cs="宋体"/>
                <w:kern w:val="0"/>
                <w:sz w:val="18"/>
                <w:szCs w:val="18"/>
              </w:rPr>
              <w:t>促进消费市场建设情况</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168CF44E">
            <w:pPr>
              <w:widowControl/>
              <w:jc w:val="left"/>
              <w:rPr>
                <w:rFonts w:ascii="宋体" w:hAnsi="宋体" w:cs="宋体"/>
                <w:color w:val="000000"/>
                <w:kern w:val="0"/>
                <w:sz w:val="22"/>
                <w:szCs w:val="22"/>
              </w:rPr>
            </w:pPr>
            <w:r>
              <w:rPr>
                <w:rFonts w:hint="eastAsia" w:ascii="宋体" w:hAnsi="宋体" w:cs="宋体"/>
                <w:color w:val="000000"/>
                <w:kern w:val="0"/>
                <w:sz w:val="22"/>
                <w:szCs w:val="22"/>
              </w:rPr>
              <w:t>提质扩容</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7502E740">
            <w:pPr>
              <w:widowControl/>
              <w:jc w:val="left"/>
              <w:rPr>
                <w:rFonts w:ascii="宋体" w:hAnsi="宋体" w:cs="宋体"/>
                <w:color w:val="000000"/>
                <w:kern w:val="0"/>
                <w:sz w:val="22"/>
                <w:szCs w:val="22"/>
              </w:rPr>
            </w:pPr>
            <w:r>
              <w:rPr>
                <w:rFonts w:hint="eastAsia" w:ascii="宋体" w:hAnsi="宋体" w:cs="宋体"/>
                <w:color w:val="000000"/>
                <w:kern w:val="0"/>
                <w:sz w:val="22"/>
                <w:szCs w:val="22"/>
              </w:rPr>
              <w:t>基本达成目标</w:t>
            </w:r>
          </w:p>
        </w:tc>
        <w:tc>
          <w:tcPr>
            <w:tcW w:w="620" w:type="dxa"/>
            <w:tcBorders>
              <w:top w:val="nil"/>
              <w:left w:val="nil"/>
              <w:bottom w:val="single" w:color="000000" w:sz="4" w:space="0"/>
              <w:right w:val="single" w:color="000000" w:sz="4" w:space="0"/>
            </w:tcBorders>
            <w:shd w:val="clear" w:color="auto" w:fill="auto"/>
            <w:vAlign w:val="center"/>
          </w:tcPr>
          <w:p w14:paraId="04435F92">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620" w:type="dxa"/>
            <w:tcBorders>
              <w:top w:val="nil"/>
              <w:left w:val="nil"/>
              <w:bottom w:val="single" w:color="000000" w:sz="4" w:space="0"/>
              <w:right w:val="single" w:color="000000" w:sz="4" w:space="0"/>
            </w:tcBorders>
            <w:shd w:val="clear" w:color="auto" w:fill="auto"/>
            <w:vAlign w:val="center"/>
          </w:tcPr>
          <w:p w14:paraId="3C67591A">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5C649B03">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1125EA20">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B85C15B">
            <w:pPr>
              <w:widowControl/>
              <w:jc w:val="left"/>
              <w:rPr>
                <w:rFonts w:ascii="宋体" w:hAnsi="宋体" w:cs="宋体"/>
                <w:kern w:val="0"/>
                <w:sz w:val="18"/>
                <w:szCs w:val="18"/>
              </w:rPr>
            </w:pPr>
          </w:p>
        </w:tc>
        <w:tc>
          <w:tcPr>
            <w:tcW w:w="110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8B8A4D4">
            <w:pPr>
              <w:widowControl/>
              <w:jc w:val="left"/>
              <w:rPr>
                <w:rFonts w:ascii="宋体" w:hAnsi="宋体" w:cs="宋体"/>
                <w:kern w:val="0"/>
                <w:sz w:val="18"/>
                <w:szCs w:val="18"/>
              </w:rPr>
            </w:pP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5B37F28C">
            <w:pPr>
              <w:widowControl/>
              <w:jc w:val="center"/>
              <w:rPr>
                <w:rFonts w:ascii="宋体" w:hAnsi="宋体" w:cs="宋体"/>
                <w:kern w:val="0"/>
                <w:sz w:val="18"/>
                <w:szCs w:val="18"/>
              </w:rPr>
            </w:pPr>
            <w:r>
              <w:rPr>
                <w:rFonts w:hint="eastAsia" w:ascii="宋体" w:hAnsi="宋体" w:cs="宋体"/>
                <w:kern w:val="0"/>
                <w:sz w:val="18"/>
                <w:szCs w:val="18"/>
              </w:rPr>
              <w:t>全县外贸发展情况</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50E9C95D">
            <w:pPr>
              <w:widowControl/>
              <w:jc w:val="left"/>
              <w:rPr>
                <w:rFonts w:ascii="宋体" w:hAnsi="宋体" w:cs="宋体"/>
                <w:color w:val="000000"/>
                <w:kern w:val="0"/>
                <w:sz w:val="22"/>
                <w:szCs w:val="22"/>
              </w:rPr>
            </w:pPr>
            <w:r>
              <w:rPr>
                <w:rFonts w:hint="eastAsia" w:ascii="宋体" w:hAnsi="宋体" w:cs="宋体"/>
                <w:color w:val="000000"/>
                <w:kern w:val="0"/>
                <w:sz w:val="22"/>
                <w:szCs w:val="22"/>
              </w:rPr>
              <w:t>促稳提质</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435EEF48">
            <w:pPr>
              <w:widowControl/>
              <w:jc w:val="left"/>
              <w:rPr>
                <w:rFonts w:ascii="宋体" w:hAnsi="宋体" w:cs="宋体"/>
                <w:color w:val="000000"/>
                <w:kern w:val="0"/>
                <w:sz w:val="22"/>
                <w:szCs w:val="22"/>
              </w:rPr>
            </w:pPr>
            <w:r>
              <w:rPr>
                <w:rFonts w:hint="eastAsia" w:ascii="宋体" w:hAnsi="宋体" w:cs="宋体"/>
                <w:color w:val="000000"/>
                <w:kern w:val="0"/>
                <w:sz w:val="22"/>
                <w:szCs w:val="22"/>
              </w:rPr>
              <w:t>基本达成目标</w:t>
            </w:r>
          </w:p>
        </w:tc>
        <w:tc>
          <w:tcPr>
            <w:tcW w:w="620" w:type="dxa"/>
            <w:tcBorders>
              <w:top w:val="nil"/>
              <w:left w:val="nil"/>
              <w:bottom w:val="single" w:color="000000" w:sz="4" w:space="0"/>
              <w:right w:val="single" w:color="000000" w:sz="4" w:space="0"/>
            </w:tcBorders>
            <w:shd w:val="clear" w:color="auto" w:fill="auto"/>
            <w:vAlign w:val="center"/>
          </w:tcPr>
          <w:p w14:paraId="25FBAF74">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620" w:type="dxa"/>
            <w:tcBorders>
              <w:top w:val="nil"/>
              <w:left w:val="nil"/>
              <w:bottom w:val="single" w:color="000000" w:sz="4" w:space="0"/>
              <w:right w:val="single" w:color="000000" w:sz="4" w:space="0"/>
            </w:tcBorders>
            <w:shd w:val="clear" w:color="auto" w:fill="auto"/>
            <w:vAlign w:val="center"/>
          </w:tcPr>
          <w:p w14:paraId="410FECAE">
            <w:pPr>
              <w:widowControl/>
              <w:jc w:val="left"/>
              <w:rPr>
                <w:rFonts w:ascii="宋体" w:hAnsi="宋体" w:cs="宋体"/>
                <w:color w:val="000000"/>
                <w:kern w:val="0"/>
                <w:sz w:val="22"/>
                <w:szCs w:val="22"/>
              </w:rPr>
            </w:pPr>
            <w:r>
              <w:rPr>
                <w:rFonts w:hint="eastAsia" w:ascii="宋体" w:hAnsi="宋体" w:cs="宋体"/>
                <w:color w:val="000000"/>
                <w:kern w:val="0"/>
                <w:sz w:val="22"/>
                <w:szCs w:val="22"/>
              </w:rPr>
              <w:t>10</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2BAD9D96">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7488428">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709F9E2A">
            <w:pPr>
              <w:widowControl/>
              <w:jc w:val="left"/>
              <w:rPr>
                <w:rFonts w:ascii="宋体" w:hAnsi="宋体" w:cs="宋体"/>
                <w:kern w:val="0"/>
                <w:sz w:val="18"/>
                <w:szCs w:val="18"/>
              </w:rPr>
            </w:pPr>
          </w:p>
        </w:tc>
        <w:tc>
          <w:tcPr>
            <w:tcW w:w="110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F01832">
            <w:pPr>
              <w:widowControl/>
              <w:jc w:val="left"/>
              <w:rPr>
                <w:rFonts w:ascii="宋体" w:hAnsi="宋体" w:cs="宋体"/>
                <w:kern w:val="0"/>
                <w:sz w:val="18"/>
                <w:szCs w:val="18"/>
              </w:rPr>
            </w:pP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53341EA1">
            <w:pPr>
              <w:widowControl/>
              <w:jc w:val="center"/>
              <w:rPr>
                <w:rFonts w:ascii="宋体" w:hAnsi="宋体" w:cs="宋体"/>
                <w:kern w:val="0"/>
                <w:sz w:val="18"/>
                <w:szCs w:val="18"/>
              </w:rPr>
            </w:pPr>
            <w:r>
              <w:rPr>
                <w:rFonts w:hint="eastAsia" w:ascii="宋体" w:hAnsi="宋体" w:cs="宋体"/>
                <w:kern w:val="0"/>
                <w:sz w:val="18"/>
                <w:szCs w:val="18"/>
              </w:rPr>
              <w:t>全县商务领域营商环境提升情况</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5831AA4">
            <w:pPr>
              <w:widowControl/>
              <w:jc w:val="left"/>
              <w:rPr>
                <w:rFonts w:ascii="宋体" w:hAnsi="宋体" w:cs="宋体"/>
                <w:color w:val="000000"/>
                <w:kern w:val="0"/>
                <w:sz w:val="22"/>
                <w:szCs w:val="22"/>
              </w:rPr>
            </w:pPr>
            <w:r>
              <w:rPr>
                <w:rFonts w:hint="eastAsia" w:ascii="宋体" w:hAnsi="宋体" w:cs="宋体"/>
                <w:color w:val="000000"/>
                <w:kern w:val="0"/>
                <w:sz w:val="22"/>
                <w:szCs w:val="22"/>
              </w:rPr>
              <w:t>提升</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18F261BD">
            <w:pPr>
              <w:widowControl/>
              <w:jc w:val="left"/>
              <w:rPr>
                <w:rFonts w:ascii="宋体" w:hAnsi="宋体" w:cs="宋体"/>
                <w:color w:val="000000"/>
                <w:kern w:val="0"/>
                <w:sz w:val="22"/>
                <w:szCs w:val="22"/>
              </w:rPr>
            </w:pPr>
            <w:r>
              <w:rPr>
                <w:rFonts w:hint="eastAsia" w:ascii="宋体" w:hAnsi="宋体" w:cs="宋体"/>
                <w:color w:val="000000"/>
                <w:kern w:val="0"/>
                <w:sz w:val="22"/>
                <w:szCs w:val="22"/>
              </w:rPr>
              <w:t>基本达成目标</w:t>
            </w:r>
          </w:p>
        </w:tc>
        <w:tc>
          <w:tcPr>
            <w:tcW w:w="620" w:type="dxa"/>
            <w:tcBorders>
              <w:top w:val="nil"/>
              <w:left w:val="nil"/>
              <w:bottom w:val="single" w:color="000000" w:sz="4" w:space="0"/>
              <w:right w:val="single" w:color="000000" w:sz="4" w:space="0"/>
            </w:tcBorders>
            <w:shd w:val="clear" w:color="auto" w:fill="auto"/>
            <w:vAlign w:val="center"/>
          </w:tcPr>
          <w:p w14:paraId="743A2093">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2469815F">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2D397A67">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41B20B76">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261F5EE2">
            <w:pPr>
              <w:widowControl/>
              <w:jc w:val="left"/>
              <w:rPr>
                <w:rFonts w:ascii="宋体" w:hAnsi="宋体" w:cs="宋体"/>
                <w:kern w:val="0"/>
                <w:sz w:val="18"/>
                <w:szCs w:val="18"/>
              </w:rPr>
            </w:pP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1D6F2719">
            <w:pPr>
              <w:widowControl/>
              <w:jc w:val="center"/>
              <w:rPr>
                <w:rFonts w:ascii="宋体" w:hAnsi="宋体" w:cs="宋体"/>
                <w:kern w:val="0"/>
                <w:sz w:val="18"/>
                <w:szCs w:val="18"/>
              </w:rPr>
            </w:pPr>
            <w:r>
              <w:rPr>
                <w:rFonts w:hint="eastAsia" w:ascii="宋体" w:hAnsi="宋体" w:cs="宋体"/>
                <w:kern w:val="0"/>
                <w:sz w:val="18"/>
                <w:szCs w:val="18"/>
              </w:rPr>
              <w:t>生态效益指标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37E31C10">
            <w:pPr>
              <w:widowControl/>
              <w:jc w:val="center"/>
              <w:rPr>
                <w:rFonts w:ascii="宋体" w:hAnsi="宋体" w:cs="宋体"/>
                <w:kern w:val="0"/>
                <w:sz w:val="18"/>
                <w:szCs w:val="18"/>
              </w:rPr>
            </w:pPr>
            <w:r>
              <w:rPr>
                <w:rFonts w:hint="eastAsia" w:ascii="宋体" w:hAnsi="宋体" w:cs="宋体"/>
                <w:kern w:val="0"/>
                <w:sz w:val="18"/>
                <w:szCs w:val="18"/>
              </w:rPr>
              <w:t>　</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44A751D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3A8F34D9">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620" w:type="dxa"/>
            <w:tcBorders>
              <w:top w:val="nil"/>
              <w:left w:val="nil"/>
              <w:bottom w:val="single" w:color="000000" w:sz="4" w:space="0"/>
              <w:right w:val="single" w:color="000000" w:sz="4" w:space="0"/>
            </w:tcBorders>
            <w:shd w:val="clear" w:color="auto" w:fill="auto"/>
            <w:vAlign w:val="center"/>
          </w:tcPr>
          <w:p w14:paraId="19377E8A">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620" w:type="dxa"/>
            <w:tcBorders>
              <w:top w:val="nil"/>
              <w:left w:val="nil"/>
              <w:bottom w:val="single" w:color="000000" w:sz="4" w:space="0"/>
              <w:right w:val="single" w:color="000000" w:sz="4" w:space="0"/>
            </w:tcBorders>
            <w:shd w:val="clear" w:color="auto" w:fill="auto"/>
            <w:vAlign w:val="center"/>
          </w:tcPr>
          <w:p w14:paraId="35EDC4E4">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205A031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7CB298E2">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C0343FD">
            <w:pPr>
              <w:widowControl/>
              <w:jc w:val="left"/>
              <w:rPr>
                <w:rFonts w:ascii="宋体" w:hAnsi="宋体" w:cs="宋体"/>
                <w:kern w:val="0"/>
                <w:sz w:val="18"/>
                <w:szCs w:val="18"/>
              </w:rPr>
            </w:pPr>
          </w:p>
        </w:tc>
        <w:tc>
          <w:tcPr>
            <w:tcW w:w="1100" w:type="dxa"/>
            <w:gridSpan w:val="2"/>
            <w:tcBorders>
              <w:top w:val="single" w:color="000000" w:sz="4" w:space="0"/>
              <w:left w:val="nil"/>
              <w:bottom w:val="single" w:color="000000" w:sz="4" w:space="0"/>
              <w:right w:val="single" w:color="000000" w:sz="4" w:space="0"/>
            </w:tcBorders>
            <w:shd w:val="clear" w:color="auto" w:fill="auto"/>
            <w:vAlign w:val="center"/>
          </w:tcPr>
          <w:p w14:paraId="2850DF10">
            <w:pPr>
              <w:widowControl/>
              <w:jc w:val="center"/>
              <w:rPr>
                <w:rFonts w:ascii="宋体" w:hAnsi="宋体" w:cs="宋体"/>
                <w:kern w:val="0"/>
                <w:sz w:val="18"/>
                <w:szCs w:val="18"/>
              </w:rPr>
            </w:pPr>
            <w:r>
              <w:rPr>
                <w:rFonts w:hint="eastAsia" w:ascii="宋体" w:hAnsi="宋体" w:cs="宋体"/>
                <w:kern w:val="0"/>
                <w:sz w:val="18"/>
                <w:szCs w:val="18"/>
              </w:rPr>
              <w:t>可持续影响指标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62F990B5">
            <w:pPr>
              <w:widowControl/>
              <w:jc w:val="center"/>
              <w:rPr>
                <w:rFonts w:ascii="宋体" w:hAnsi="宋体" w:cs="宋体"/>
                <w:kern w:val="0"/>
                <w:sz w:val="18"/>
                <w:szCs w:val="18"/>
              </w:rPr>
            </w:pPr>
            <w:r>
              <w:rPr>
                <w:rFonts w:hint="eastAsia" w:ascii="宋体" w:hAnsi="宋体" w:cs="宋体"/>
                <w:kern w:val="0"/>
                <w:sz w:val="18"/>
                <w:szCs w:val="18"/>
              </w:rPr>
              <w:t>影响可持续性</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3E22E765">
            <w:pPr>
              <w:widowControl/>
              <w:jc w:val="left"/>
              <w:rPr>
                <w:rFonts w:ascii="宋体" w:hAnsi="宋体" w:cs="宋体"/>
                <w:color w:val="000000"/>
                <w:kern w:val="0"/>
                <w:sz w:val="22"/>
                <w:szCs w:val="22"/>
              </w:rPr>
            </w:pPr>
            <w:r>
              <w:rPr>
                <w:rFonts w:hint="eastAsia" w:ascii="宋体" w:hAnsi="宋体" w:cs="宋体"/>
                <w:color w:val="000000"/>
                <w:kern w:val="0"/>
                <w:sz w:val="22"/>
                <w:szCs w:val="22"/>
              </w:rPr>
              <w:t>持续影响</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571DCFDA">
            <w:pPr>
              <w:widowControl/>
              <w:jc w:val="left"/>
              <w:rPr>
                <w:rFonts w:ascii="宋体" w:hAnsi="宋体" w:cs="宋体"/>
                <w:color w:val="000000"/>
                <w:kern w:val="0"/>
                <w:sz w:val="22"/>
                <w:szCs w:val="22"/>
              </w:rPr>
            </w:pPr>
            <w:r>
              <w:rPr>
                <w:rFonts w:hint="eastAsia" w:ascii="宋体" w:hAnsi="宋体" w:cs="宋体"/>
                <w:color w:val="000000"/>
                <w:kern w:val="0"/>
                <w:sz w:val="22"/>
                <w:szCs w:val="22"/>
              </w:rPr>
              <w:t>基本达成目标</w:t>
            </w:r>
          </w:p>
        </w:tc>
        <w:tc>
          <w:tcPr>
            <w:tcW w:w="620" w:type="dxa"/>
            <w:tcBorders>
              <w:top w:val="nil"/>
              <w:left w:val="nil"/>
              <w:bottom w:val="single" w:color="000000" w:sz="4" w:space="0"/>
              <w:right w:val="single" w:color="000000" w:sz="4" w:space="0"/>
            </w:tcBorders>
            <w:shd w:val="clear" w:color="auto" w:fill="auto"/>
            <w:vAlign w:val="center"/>
          </w:tcPr>
          <w:p w14:paraId="5AB3F55B">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1C107CDE">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70099FB2">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55532E81">
        <w:tblPrEx>
          <w:tblCellMar>
            <w:top w:w="0" w:type="dxa"/>
            <w:left w:w="108" w:type="dxa"/>
            <w:bottom w:w="0" w:type="dxa"/>
            <w:right w:w="108" w:type="dxa"/>
          </w:tblCellMar>
        </w:tblPrEx>
        <w:trPr>
          <w:trHeight w:val="42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1904C">
            <w:pPr>
              <w:widowControl/>
              <w:jc w:val="center"/>
              <w:rPr>
                <w:rFonts w:ascii="宋体" w:hAnsi="宋体" w:cs="宋体"/>
                <w:kern w:val="0"/>
                <w:sz w:val="18"/>
                <w:szCs w:val="18"/>
              </w:rPr>
            </w:pPr>
            <w:r>
              <w:rPr>
                <w:rFonts w:hint="eastAsia" w:ascii="宋体" w:hAnsi="宋体" w:cs="宋体"/>
                <w:kern w:val="0"/>
                <w:sz w:val="18"/>
                <w:szCs w:val="18"/>
              </w:rPr>
              <w:t>满意度指标</w:t>
            </w:r>
          </w:p>
        </w:tc>
        <w:tc>
          <w:tcPr>
            <w:tcW w:w="11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96237">
            <w:pPr>
              <w:widowControl/>
              <w:jc w:val="center"/>
              <w:rPr>
                <w:rFonts w:ascii="宋体" w:hAnsi="宋体" w:cs="宋体"/>
                <w:kern w:val="0"/>
                <w:sz w:val="18"/>
                <w:szCs w:val="18"/>
              </w:rPr>
            </w:pPr>
            <w:r>
              <w:rPr>
                <w:rFonts w:hint="eastAsia" w:ascii="宋体" w:hAnsi="宋体" w:cs="宋体"/>
                <w:kern w:val="0"/>
                <w:sz w:val="18"/>
                <w:szCs w:val="18"/>
              </w:rPr>
              <w:t>服务对象满意度指标</w:t>
            </w: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08C1599D">
            <w:pPr>
              <w:widowControl/>
              <w:jc w:val="center"/>
              <w:rPr>
                <w:rFonts w:ascii="宋体" w:hAnsi="宋体" w:cs="宋体"/>
                <w:kern w:val="0"/>
                <w:sz w:val="18"/>
                <w:szCs w:val="18"/>
              </w:rPr>
            </w:pPr>
            <w:r>
              <w:rPr>
                <w:rFonts w:hint="eastAsia" w:ascii="宋体" w:hAnsi="宋体" w:cs="宋体"/>
                <w:kern w:val="0"/>
                <w:sz w:val="18"/>
                <w:szCs w:val="18"/>
              </w:rPr>
              <w:t>服务对象满意度</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DBFFBDB">
            <w:pPr>
              <w:widowControl/>
              <w:jc w:val="left"/>
              <w:rPr>
                <w:rFonts w:ascii="宋体" w:hAnsi="宋体" w:cs="宋体"/>
                <w:color w:val="000000"/>
                <w:kern w:val="0"/>
                <w:sz w:val="22"/>
                <w:szCs w:val="22"/>
              </w:rPr>
            </w:pPr>
            <w:r>
              <w:rPr>
                <w:rFonts w:hint="eastAsia" w:ascii="宋体" w:hAnsi="宋体" w:cs="宋体"/>
                <w:color w:val="000000"/>
                <w:kern w:val="0"/>
                <w:sz w:val="22"/>
                <w:szCs w:val="22"/>
              </w:rPr>
              <w:t>≥90%</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3DE7EFA2">
            <w:pPr>
              <w:widowControl/>
              <w:jc w:val="left"/>
              <w:rPr>
                <w:rFonts w:ascii="宋体" w:hAnsi="宋体" w:cs="宋体"/>
                <w:color w:val="000000"/>
                <w:kern w:val="0"/>
                <w:sz w:val="22"/>
                <w:szCs w:val="22"/>
              </w:rPr>
            </w:pPr>
            <w:r>
              <w:rPr>
                <w:rFonts w:hint="eastAsia" w:ascii="宋体" w:hAnsi="宋体" w:cs="宋体"/>
                <w:color w:val="000000"/>
                <w:kern w:val="0"/>
                <w:sz w:val="22"/>
                <w:szCs w:val="22"/>
              </w:rPr>
              <w:t>90</w:t>
            </w:r>
          </w:p>
        </w:tc>
        <w:tc>
          <w:tcPr>
            <w:tcW w:w="620" w:type="dxa"/>
            <w:tcBorders>
              <w:top w:val="nil"/>
              <w:left w:val="nil"/>
              <w:bottom w:val="single" w:color="000000" w:sz="4" w:space="0"/>
              <w:right w:val="single" w:color="000000" w:sz="4" w:space="0"/>
            </w:tcBorders>
            <w:shd w:val="clear" w:color="auto" w:fill="auto"/>
            <w:vAlign w:val="center"/>
          </w:tcPr>
          <w:p w14:paraId="389534C9">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24218B7B">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43B39D1D">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6AF1150A">
        <w:tblPrEx>
          <w:tblCellMar>
            <w:top w:w="0" w:type="dxa"/>
            <w:left w:w="108" w:type="dxa"/>
            <w:bottom w:w="0" w:type="dxa"/>
            <w:right w:w="108" w:type="dxa"/>
          </w:tblCellMar>
        </w:tblPrEx>
        <w:trPr>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09F96889">
            <w:pPr>
              <w:widowControl/>
              <w:jc w:val="left"/>
              <w:rPr>
                <w:rFonts w:ascii="宋体" w:hAnsi="宋体" w:cs="宋体"/>
                <w:kern w:val="0"/>
                <w:sz w:val="18"/>
                <w:szCs w:val="18"/>
              </w:rPr>
            </w:pPr>
          </w:p>
        </w:tc>
        <w:tc>
          <w:tcPr>
            <w:tcW w:w="110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93A8EE6">
            <w:pPr>
              <w:widowControl/>
              <w:jc w:val="left"/>
              <w:rPr>
                <w:rFonts w:ascii="宋体" w:hAnsi="宋体" w:cs="宋体"/>
                <w:kern w:val="0"/>
                <w:sz w:val="18"/>
                <w:szCs w:val="18"/>
              </w:rPr>
            </w:pPr>
          </w:p>
        </w:tc>
        <w:tc>
          <w:tcPr>
            <w:tcW w:w="1420" w:type="dxa"/>
            <w:tcBorders>
              <w:top w:val="single" w:color="000000" w:sz="4" w:space="0"/>
              <w:left w:val="nil"/>
              <w:bottom w:val="single" w:color="000000" w:sz="4" w:space="0"/>
              <w:right w:val="single" w:color="000000" w:sz="4" w:space="0"/>
            </w:tcBorders>
            <w:shd w:val="clear" w:color="auto" w:fill="auto"/>
            <w:vAlign w:val="center"/>
          </w:tcPr>
          <w:p w14:paraId="7561FF13">
            <w:pPr>
              <w:widowControl/>
              <w:jc w:val="center"/>
              <w:rPr>
                <w:rFonts w:ascii="宋体" w:hAnsi="宋体" w:cs="宋体"/>
                <w:kern w:val="0"/>
                <w:sz w:val="18"/>
                <w:szCs w:val="18"/>
              </w:rPr>
            </w:pPr>
            <w:r>
              <w:rPr>
                <w:rFonts w:hint="eastAsia" w:ascii="宋体" w:hAnsi="宋体" w:cs="宋体"/>
                <w:kern w:val="0"/>
                <w:sz w:val="18"/>
                <w:szCs w:val="18"/>
              </w:rPr>
              <w:t>干部职工对商务工作的满意程度</w:t>
            </w:r>
          </w:p>
        </w:tc>
        <w:tc>
          <w:tcPr>
            <w:tcW w:w="720" w:type="dxa"/>
            <w:tcBorders>
              <w:top w:val="single" w:color="000000" w:sz="4" w:space="0"/>
              <w:left w:val="nil"/>
              <w:bottom w:val="single" w:color="000000" w:sz="4" w:space="0"/>
              <w:right w:val="single" w:color="000000" w:sz="4" w:space="0"/>
            </w:tcBorders>
            <w:shd w:val="clear" w:color="auto" w:fill="auto"/>
            <w:vAlign w:val="center"/>
          </w:tcPr>
          <w:p w14:paraId="65D0BE31">
            <w:pPr>
              <w:widowControl/>
              <w:jc w:val="left"/>
              <w:rPr>
                <w:rFonts w:ascii="宋体" w:hAnsi="宋体" w:cs="宋体"/>
                <w:color w:val="000000"/>
                <w:kern w:val="0"/>
                <w:sz w:val="22"/>
                <w:szCs w:val="22"/>
              </w:rPr>
            </w:pPr>
            <w:r>
              <w:rPr>
                <w:rFonts w:hint="eastAsia" w:ascii="宋体" w:hAnsi="宋体" w:cs="宋体"/>
                <w:color w:val="000000"/>
                <w:kern w:val="0"/>
                <w:sz w:val="22"/>
                <w:szCs w:val="22"/>
              </w:rPr>
              <w:t>≥90%</w:t>
            </w:r>
          </w:p>
        </w:tc>
        <w:tc>
          <w:tcPr>
            <w:tcW w:w="1480" w:type="dxa"/>
            <w:gridSpan w:val="2"/>
            <w:tcBorders>
              <w:top w:val="single" w:color="000000" w:sz="4" w:space="0"/>
              <w:left w:val="nil"/>
              <w:bottom w:val="single" w:color="000000" w:sz="4" w:space="0"/>
              <w:right w:val="single" w:color="000000" w:sz="4" w:space="0"/>
            </w:tcBorders>
            <w:shd w:val="clear" w:color="auto" w:fill="auto"/>
            <w:vAlign w:val="center"/>
          </w:tcPr>
          <w:p w14:paraId="23320BE5">
            <w:pPr>
              <w:widowControl/>
              <w:jc w:val="left"/>
              <w:rPr>
                <w:rFonts w:ascii="宋体" w:hAnsi="宋体" w:cs="宋体"/>
                <w:color w:val="000000"/>
                <w:kern w:val="0"/>
                <w:sz w:val="22"/>
                <w:szCs w:val="22"/>
              </w:rPr>
            </w:pPr>
            <w:r>
              <w:rPr>
                <w:rFonts w:hint="eastAsia" w:ascii="宋体" w:hAnsi="宋体" w:cs="宋体"/>
                <w:color w:val="000000"/>
                <w:kern w:val="0"/>
                <w:sz w:val="22"/>
                <w:szCs w:val="22"/>
              </w:rPr>
              <w:t>90</w:t>
            </w:r>
          </w:p>
        </w:tc>
        <w:tc>
          <w:tcPr>
            <w:tcW w:w="620" w:type="dxa"/>
            <w:tcBorders>
              <w:top w:val="nil"/>
              <w:left w:val="nil"/>
              <w:bottom w:val="single" w:color="000000" w:sz="4" w:space="0"/>
              <w:right w:val="single" w:color="000000" w:sz="4" w:space="0"/>
            </w:tcBorders>
            <w:shd w:val="clear" w:color="auto" w:fill="auto"/>
            <w:vAlign w:val="center"/>
          </w:tcPr>
          <w:p w14:paraId="67AA088B">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620" w:type="dxa"/>
            <w:tcBorders>
              <w:top w:val="nil"/>
              <w:left w:val="nil"/>
              <w:bottom w:val="single" w:color="000000" w:sz="4" w:space="0"/>
              <w:right w:val="single" w:color="000000" w:sz="4" w:space="0"/>
            </w:tcBorders>
            <w:shd w:val="clear" w:color="auto" w:fill="auto"/>
            <w:vAlign w:val="center"/>
          </w:tcPr>
          <w:p w14:paraId="43920C94">
            <w:pPr>
              <w:widowControl/>
              <w:jc w:val="left"/>
              <w:rPr>
                <w:rFonts w:ascii="宋体" w:hAnsi="宋体" w:cs="宋体"/>
                <w:color w:val="000000"/>
                <w:kern w:val="0"/>
                <w:sz w:val="22"/>
                <w:szCs w:val="22"/>
              </w:rPr>
            </w:pPr>
            <w:r>
              <w:rPr>
                <w:rFonts w:hint="eastAsia" w:ascii="宋体" w:hAnsi="宋体" w:cs="宋体"/>
                <w:color w:val="000000"/>
                <w:kern w:val="0"/>
                <w:sz w:val="22"/>
                <w:szCs w:val="22"/>
              </w:rPr>
              <w:t>5</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534A161B">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2ED012AE">
        <w:tblPrEx>
          <w:tblCellMar>
            <w:top w:w="0" w:type="dxa"/>
            <w:left w:w="108" w:type="dxa"/>
            <w:bottom w:w="0" w:type="dxa"/>
            <w:right w:w="108" w:type="dxa"/>
          </w:tblCellMar>
        </w:tblPrEx>
        <w:trPr>
          <w:trHeight w:val="327" w:hRule="atLeast"/>
        </w:trPr>
        <w:tc>
          <w:tcPr>
            <w:tcW w:w="580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1916E4">
            <w:pPr>
              <w:widowControl/>
              <w:jc w:val="center"/>
              <w:rPr>
                <w:rFonts w:ascii="宋体" w:hAnsi="宋体" w:cs="宋体"/>
                <w:kern w:val="0"/>
                <w:sz w:val="18"/>
                <w:szCs w:val="18"/>
              </w:rPr>
            </w:pPr>
            <w:r>
              <w:rPr>
                <w:rFonts w:hint="eastAsia" w:ascii="宋体" w:hAnsi="宋体" w:cs="宋体"/>
                <w:kern w:val="0"/>
                <w:sz w:val="18"/>
                <w:szCs w:val="18"/>
              </w:rPr>
              <w:t>总分</w:t>
            </w:r>
          </w:p>
        </w:tc>
        <w:tc>
          <w:tcPr>
            <w:tcW w:w="620" w:type="dxa"/>
            <w:tcBorders>
              <w:top w:val="nil"/>
              <w:left w:val="nil"/>
              <w:bottom w:val="single" w:color="000000" w:sz="4" w:space="0"/>
              <w:right w:val="single" w:color="000000" w:sz="4" w:space="0"/>
            </w:tcBorders>
            <w:shd w:val="clear" w:color="auto" w:fill="auto"/>
            <w:vAlign w:val="center"/>
          </w:tcPr>
          <w:p w14:paraId="605ADEB0">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620" w:type="dxa"/>
            <w:tcBorders>
              <w:top w:val="nil"/>
              <w:left w:val="nil"/>
              <w:bottom w:val="single" w:color="000000" w:sz="4" w:space="0"/>
              <w:right w:val="single" w:color="000000" w:sz="4" w:space="0"/>
            </w:tcBorders>
            <w:shd w:val="clear" w:color="auto" w:fill="auto"/>
            <w:vAlign w:val="center"/>
          </w:tcPr>
          <w:p w14:paraId="1DA8BE28">
            <w:pPr>
              <w:widowControl/>
              <w:jc w:val="left"/>
              <w:rPr>
                <w:rFonts w:ascii="宋体" w:hAnsi="宋体" w:cs="宋体"/>
                <w:color w:val="000000"/>
                <w:kern w:val="0"/>
                <w:sz w:val="22"/>
                <w:szCs w:val="22"/>
              </w:rPr>
            </w:pPr>
            <w:r>
              <w:rPr>
                <w:rFonts w:hint="eastAsia" w:ascii="宋体" w:hAnsi="宋体" w:cs="宋体"/>
                <w:color w:val="000000"/>
                <w:kern w:val="0"/>
                <w:sz w:val="22"/>
                <w:szCs w:val="22"/>
              </w:rPr>
              <w:t>97</w:t>
            </w:r>
          </w:p>
        </w:tc>
        <w:tc>
          <w:tcPr>
            <w:tcW w:w="2080" w:type="dxa"/>
            <w:gridSpan w:val="2"/>
            <w:tcBorders>
              <w:top w:val="single" w:color="000000" w:sz="4" w:space="0"/>
              <w:left w:val="nil"/>
              <w:bottom w:val="single" w:color="000000" w:sz="4" w:space="0"/>
              <w:right w:val="single" w:color="000000" w:sz="4" w:space="0"/>
            </w:tcBorders>
            <w:shd w:val="clear" w:color="auto" w:fill="auto"/>
            <w:vAlign w:val="center"/>
          </w:tcPr>
          <w:p w14:paraId="705BF13F">
            <w:pPr>
              <w:widowControl/>
              <w:jc w:val="left"/>
              <w:rPr>
                <w:rFonts w:ascii="宋体" w:hAnsi="宋体" w:cs="宋体"/>
                <w:color w:val="000000"/>
                <w:kern w:val="0"/>
                <w:sz w:val="22"/>
                <w:szCs w:val="22"/>
              </w:rPr>
            </w:pPr>
            <w:r>
              <w:rPr>
                <w:rFonts w:hint="eastAsia" w:ascii="宋体" w:hAnsi="宋体" w:cs="宋体"/>
                <w:color w:val="000000"/>
                <w:kern w:val="0"/>
                <w:sz w:val="22"/>
                <w:szCs w:val="22"/>
              </w:rPr>
              <w:t>　</w:t>
            </w:r>
          </w:p>
        </w:tc>
      </w:tr>
      <w:tr w14:paraId="3222753D">
        <w:tblPrEx>
          <w:tblCellMar>
            <w:top w:w="0" w:type="dxa"/>
            <w:left w:w="108" w:type="dxa"/>
            <w:bottom w:w="0" w:type="dxa"/>
            <w:right w:w="108" w:type="dxa"/>
          </w:tblCellMar>
        </w:tblPrEx>
        <w:trPr>
          <w:trHeight w:val="252" w:hRule="atLeast"/>
        </w:trPr>
        <w:tc>
          <w:tcPr>
            <w:tcW w:w="9120" w:type="dxa"/>
            <w:gridSpan w:val="11"/>
            <w:tcBorders>
              <w:top w:val="single" w:color="000000" w:sz="4" w:space="0"/>
              <w:left w:val="nil"/>
              <w:bottom w:val="nil"/>
              <w:right w:val="nil"/>
            </w:tcBorders>
            <w:shd w:val="clear" w:color="auto" w:fill="auto"/>
            <w:vAlign w:val="center"/>
          </w:tcPr>
          <w:p w14:paraId="73633C35">
            <w:pPr>
              <w:widowControl/>
              <w:jc w:val="left"/>
              <w:rPr>
                <w:rFonts w:ascii="宋体" w:hAnsi="宋体" w:cs="宋体"/>
                <w:kern w:val="0"/>
                <w:sz w:val="18"/>
                <w:szCs w:val="18"/>
              </w:rPr>
            </w:pPr>
            <w:r>
              <w:rPr>
                <w:rFonts w:hint="eastAsia" w:ascii="宋体" w:hAnsi="宋体" w:cs="宋体"/>
                <w:kern w:val="0"/>
                <w:sz w:val="18"/>
                <w:szCs w:val="18"/>
              </w:rPr>
              <w:t>说明：自评指标为各部门年初申报的部门整体支出绩效目标申报表的各项指标</w:t>
            </w:r>
          </w:p>
        </w:tc>
      </w:tr>
    </w:tbl>
    <w:p w14:paraId="58452B05">
      <w:pPr>
        <w:autoSpaceDE w:val="0"/>
        <w:autoSpaceDN w:val="0"/>
        <w:adjustRightInd w:val="0"/>
        <w:spacing w:line="560" w:lineRule="exact"/>
        <w:ind w:firstLine="640" w:firstLineChars="200"/>
        <w:jc w:val="left"/>
        <w:rPr>
          <w:rFonts w:ascii="黑体" w:hAnsi="Times New Roman" w:eastAsia="黑体" w:cs="黑体"/>
          <w:kern w:val="0"/>
          <w:szCs w:val="32"/>
        </w:rPr>
      </w:pPr>
      <w:r>
        <w:rPr>
          <w:rFonts w:hint="eastAsia" w:ascii="黑体" w:hAnsi="Times New Roman" w:eastAsia="黑体" w:cs="黑体"/>
          <w:kern w:val="0"/>
          <w:sz w:val="32"/>
          <w:szCs w:val="32"/>
        </w:rPr>
        <w:t>三、部门整体支出绩效中存在问题及改进措施</w:t>
      </w:r>
    </w:p>
    <w:p w14:paraId="6CDFC2C6">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（一）主要问题及原因分析。</w:t>
      </w:r>
    </w:p>
    <w:p w14:paraId="5FEB9A89">
      <w:pPr>
        <w:pStyle w:val="2"/>
        <w:rPr>
          <w:rFonts w:ascii="仿宋" w:hAnsi="仿宋" w:eastAsia="仿宋"/>
          <w:sz w:val="32"/>
          <w:szCs w:val="32"/>
        </w:rPr>
      </w:pPr>
      <w:r>
        <w:rPr>
          <w:rFonts w:hint="eastAsia" w:ascii="仿宋" w:hAnsi="仿宋" w:eastAsia="仿宋"/>
          <w:sz w:val="32"/>
          <w:szCs w:val="32"/>
        </w:rPr>
        <w:t>无。</w:t>
      </w:r>
    </w:p>
    <w:p w14:paraId="7ABD3BCA">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（二）改进的方向和具体措施。</w:t>
      </w:r>
    </w:p>
    <w:p w14:paraId="68621B2C">
      <w:pPr>
        <w:pStyle w:val="2"/>
        <w:rPr>
          <w:rFonts w:ascii="仿宋" w:hAnsi="仿宋" w:eastAsia="仿宋"/>
          <w:sz w:val="32"/>
          <w:szCs w:val="32"/>
        </w:rPr>
      </w:pPr>
      <w:r>
        <w:rPr>
          <w:rFonts w:hint="eastAsia" w:ascii="仿宋" w:hAnsi="仿宋" w:eastAsia="仿宋"/>
          <w:sz w:val="32"/>
          <w:szCs w:val="32"/>
        </w:rPr>
        <w:t>无。</w:t>
      </w:r>
    </w:p>
    <w:p w14:paraId="6C3B0FA5">
      <w:pPr>
        <w:spacing w:line="560" w:lineRule="exact"/>
        <w:ind w:firstLine="640" w:firstLineChars="200"/>
        <w:rPr>
          <w:rFonts w:ascii="黑体" w:hAnsi="Times New Roman" w:eastAsia="黑体" w:cs="黑体"/>
          <w:kern w:val="0"/>
          <w:szCs w:val="32"/>
        </w:rPr>
      </w:pPr>
      <w:r>
        <w:rPr>
          <w:rFonts w:hint="eastAsia" w:ascii="黑体" w:hAnsi="Times New Roman" w:eastAsia="黑体" w:cs="黑体"/>
          <w:kern w:val="0"/>
          <w:sz w:val="32"/>
          <w:szCs w:val="32"/>
        </w:rPr>
        <w:t>四、绩效自评结果拟应用和公开情况</w:t>
      </w:r>
    </w:p>
    <w:p w14:paraId="2CC959BE">
      <w:pPr>
        <w:spacing w:line="560" w:lineRule="exact"/>
        <w:ind w:firstLine="420" w:firstLineChars="200"/>
        <w:rPr>
          <w:rFonts w:ascii="黑体" w:hAnsi="Times New Roman" w:eastAsia="黑体" w:cs="黑体"/>
          <w:kern w:val="0"/>
          <w:szCs w:val="32"/>
        </w:rPr>
      </w:pPr>
    </w:p>
    <w:p w14:paraId="3B1C1D4C"/>
    <w:sectPr>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84"/>
    <w:rsid w:val="000B33C0"/>
    <w:rsid w:val="000B691E"/>
    <w:rsid w:val="000C0B44"/>
    <w:rsid w:val="00126ED9"/>
    <w:rsid w:val="001D310A"/>
    <w:rsid w:val="00375D46"/>
    <w:rsid w:val="00382984"/>
    <w:rsid w:val="00396310"/>
    <w:rsid w:val="003B65A3"/>
    <w:rsid w:val="0042153F"/>
    <w:rsid w:val="0052795B"/>
    <w:rsid w:val="00662EAD"/>
    <w:rsid w:val="007359BB"/>
    <w:rsid w:val="0092664C"/>
    <w:rsid w:val="00A64D57"/>
    <w:rsid w:val="00A823F8"/>
    <w:rsid w:val="00AC5AEF"/>
    <w:rsid w:val="00B3247A"/>
    <w:rsid w:val="00C76EDD"/>
    <w:rsid w:val="00C8174E"/>
    <w:rsid w:val="00D237F2"/>
    <w:rsid w:val="00DC32BF"/>
    <w:rsid w:val="00DD564C"/>
    <w:rsid w:val="00DF1DA4"/>
    <w:rsid w:val="00E30C6E"/>
    <w:rsid w:val="00EC1784"/>
    <w:rsid w:val="00EE1EE3"/>
    <w:rsid w:val="00F145E9"/>
    <w:rsid w:val="00F31D47"/>
    <w:rsid w:val="00F656EE"/>
    <w:rsid w:val="00F86BA8"/>
    <w:rsid w:val="0ABB440A"/>
    <w:rsid w:val="0DB34406"/>
    <w:rsid w:val="71FD4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link w:val="15"/>
    <w:unhideWhenUsed/>
    <w:qFormat/>
    <w:uiPriority w:val="0"/>
    <w:pPr>
      <w:spacing w:line="560" w:lineRule="exact"/>
      <w:ind w:firstLine="200" w:firstLineChars="200"/>
      <w:outlineLvl w:val="1"/>
    </w:pPr>
    <w:rPr>
      <w:rFonts w:ascii="楷体_GB2312" w:hAnsi="楷体_GB2312" w:eastAsia="楷体_GB2312" w:cs="仿宋_GB2312"/>
      <w:b/>
      <w:sz w:val="32"/>
      <w:szCs w:val="32"/>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1"/>
    </w:rPr>
  </w:style>
  <w:style w:type="paragraph" w:styleId="4">
    <w:name w:val="Body Text Indent"/>
    <w:basedOn w:val="1"/>
    <w:link w:val="16"/>
    <w:uiPriority w:val="0"/>
    <w:pPr>
      <w:spacing w:after="120"/>
      <w:ind w:left="420" w:leftChars="200"/>
    </w:pPr>
  </w:style>
  <w:style w:type="paragraph" w:styleId="5">
    <w:name w:val="footer"/>
    <w:basedOn w:val="1"/>
    <w:link w:val="13"/>
    <w:qFormat/>
    <w:uiPriority w:val="0"/>
    <w:pPr>
      <w:tabs>
        <w:tab w:val="center" w:pos="4153"/>
        <w:tab w:val="right" w:pos="8306"/>
      </w:tabs>
      <w:snapToGrid w:val="0"/>
      <w:jc w:val="left"/>
    </w:pPr>
    <w:rPr>
      <w:sz w:val="18"/>
    </w:rPr>
  </w:style>
  <w:style w:type="paragraph" w:styleId="6">
    <w:name w:val="header"/>
    <w:basedOn w:val="1"/>
    <w:link w:val="12"/>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4"/>
    <w:link w:val="17"/>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customStyle="1" w:styleId="12">
    <w:name w:val="页眉 Char"/>
    <w:basedOn w:val="10"/>
    <w:link w:val="6"/>
    <w:qFormat/>
    <w:uiPriority w:val="0"/>
    <w:rPr>
      <w:rFonts w:hint="default" w:ascii="Calibri" w:hAnsi="Calibri" w:cs="Calibri"/>
      <w:kern w:val="2"/>
      <w:sz w:val="18"/>
      <w:szCs w:val="18"/>
    </w:rPr>
  </w:style>
  <w:style w:type="character" w:customStyle="1" w:styleId="13">
    <w:name w:val="页脚 Char"/>
    <w:basedOn w:val="10"/>
    <w:link w:val="5"/>
    <w:qFormat/>
    <w:uiPriority w:val="0"/>
    <w:rPr>
      <w:rFonts w:hint="default" w:ascii="Calibri" w:hAnsi="Calibri" w:cs="Calibri"/>
      <w:kern w:val="2"/>
      <w:sz w:val="18"/>
      <w:szCs w:val="18"/>
    </w:rPr>
  </w:style>
  <w:style w:type="paragraph" w:customStyle="1" w:styleId="14">
    <w:name w:val="msolistparagraph"/>
    <w:basedOn w:val="1"/>
    <w:uiPriority w:val="0"/>
    <w:pPr>
      <w:ind w:firstLine="420" w:firstLineChars="200"/>
    </w:pPr>
    <w:rPr>
      <w:szCs w:val="22"/>
    </w:rPr>
  </w:style>
  <w:style w:type="character" w:customStyle="1" w:styleId="15">
    <w:name w:val="标题 2 Char"/>
    <w:basedOn w:val="10"/>
    <w:link w:val="3"/>
    <w:qFormat/>
    <w:uiPriority w:val="0"/>
    <w:rPr>
      <w:rFonts w:ascii="楷体_GB2312" w:hAnsi="楷体_GB2312" w:eastAsia="楷体_GB2312" w:cs="仿宋_GB2312"/>
      <w:b/>
      <w:kern w:val="2"/>
      <w:sz w:val="32"/>
      <w:szCs w:val="32"/>
    </w:rPr>
  </w:style>
  <w:style w:type="character" w:customStyle="1" w:styleId="16">
    <w:name w:val="正文文本缩进 Char"/>
    <w:basedOn w:val="10"/>
    <w:link w:val="4"/>
    <w:qFormat/>
    <w:uiPriority w:val="0"/>
    <w:rPr>
      <w:rFonts w:ascii="Calibri" w:hAnsi="Calibri"/>
      <w:kern w:val="2"/>
      <w:sz w:val="21"/>
      <w:szCs w:val="24"/>
    </w:rPr>
  </w:style>
  <w:style w:type="character" w:customStyle="1" w:styleId="17">
    <w:name w:val="正文首行缩进 2 Char"/>
    <w:basedOn w:val="16"/>
    <w:link w:val="7"/>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1956</Words>
  <Characters>2172</Characters>
  <Lines>4</Lines>
  <Paragraphs>6</Paragraphs>
  <TotalTime>8</TotalTime>
  <ScaleCrop>false</ScaleCrop>
  <LinksUpToDate>false</LinksUpToDate>
  <CharactersWithSpaces>2172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2025-02-07T03:28:00Z</dcterms:created>
  <dc:creator>Administrator</dc:creator>
  <cp:lastModifiedBy>宇智波带土</cp:lastModifiedBy>
  <dcterms:modified xsi:type="dcterms:W3CDTF">2025-04-28T01:45:45Z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84445E3447CF42DC8B0404C258418BFD_12</vt:lpwstr>
  </property>
</Properties>
</file>