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 w:line="560" w:lineRule="exact"/>
        <w:jc w:val="center"/>
        <w:rPr>
          <w:rFonts w:hint="eastAsia" w:ascii="方正小标宋简体" w:hAnsi="方正小标宋简体" w:eastAsia="方正小标宋简体"/>
          <w:kern w:val="0"/>
          <w:sz w:val="32"/>
        </w:rPr>
      </w:pPr>
      <w:r>
        <w:rPr>
          <w:rFonts w:hint="eastAsia" w:ascii="方正小标宋简体" w:hAnsi="方正小标宋简体" w:eastAsia="方正小标宋简体"/>
          <w:kern w:val="0"/>
          <w:sz w:val="32"/>
          <w:lang w:val="en-US" w:eastAsia="zh-CN"/>
        </w:rPr>
        <w:t>第五次全国经济普查县级资金</w:t>
      </w:r>
      <w:r>
        <w:rPr>
          <w:rFonts w:hint="eastAsia" w:ascii="方正小标宋简体" w:hAnsi="方正小标宋简体" w:eastAsia="方正小标宋简体"/>
          <w:kern w:val="0"/>
          <w:sz w:val="32"/>
        </w:rPr>
        <w:t>项目支出部门评价报告（</w:t>
      </w:r>
      <w:r>
        <w:rPr>
          <w:rFonts w:hint="eastAsia" w:ascii="方正小标宋简体" w:hAnsi="方正小标宋简体" w:eastAsia="方正小标宋简体"/>
          <w:kern w:val="0"/>
          <w:sz w:val="32"/>
          <w:lang w:val="en-US" w:eastAsia="zh-CN"/>
        </w:rPr>
        <w:t>2023</w:t>
      </w:r>
      <w:r>
        <w:rPr>
          <w:rFonts w:hint="eastAsia" w:ascii="方正小标宋简体" w:hAnsi="方正小标宋简体" w:eastAsia="方正小标宋简体"/>
          <w:kern w:val="0"/>
          <w:sz w:val="32"/>
        </w:rPr>
        <w:t>年度）</w:t>
      </w:r>
    </w:p>
    <w:p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宋体" w:eastAsia="黑体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一、基本情况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360" w:lineRule="auto"/>
        <w:ind w:left="0" w:leftChars="0" w:firstLine="640" w:firstLineChars="200"/>
        <w:jc w:val="lef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（一）项目概况。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为摸清我县经济社会发展“家底”、全面了解新时期经济运行状况和经济社会发展新变化、新特征，根据国务院颁布的《全国经济普查条例》规定，于2023年进行第五次全国经济普查。</w:t>
      </w:r>
      <w:bookmarkStart w:id="0" w:name="_GoBack"/>
      <w:bookmarkEnd w:id="0"/>
    </w:p>
    <w:p>
      <w:pPr>
        <w:pStyle w:val="2"/>
        <w:pageBreakBefore w:val="0"/>
        <w:kinsoku/>
        <w:overflowPunct/>
        <w:topLinePunct w:val="0"/>
        <w:autoSpaceDE/>
        <w:autoSpaceDN/>
        <w:bidi w:val="0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（二）项目绩效目标。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全面掌握我国第二产业、第三产业的发展规模、结构和效益等情况，建立健全基本单位名录库及其数据库系统，为研究制定国民经济和社会发展规划，提高决策和管理水平奠定基础。</w:t>
      </w:r>
    </w:p>
    <w:p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二、绩效评价工作开展情况</w:t>
      </w:r>
    </w:p>
    <w:p>
      <w:pPr>
        <w:ind w:firstLine="640" w:firstLineChars="200"/>
        <w:jc w:val="left"/>
        <w:rPr>
          <w:rFonts w:hint="eastAsia"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为深入贯彻落实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财政部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《项目支出绩效评价管理办法》（财预〔2020〕10号）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中共南昌市委、南昌市人民政府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关于全面实施预算绩效管理的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z w:val="32"/>
          <w:szCs w:val="32"/>
        </w:rPr>
        <w:t>意见》（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洪发</w:t>
      </w:r>
      <w:r>
        <w:rPr>
          <w:rFonts w:hint="eastAsia" w:ascii="仿宋_GB2312" w:hAnsi="仿宋_GB2312" w:eastAsia="仿宋_GB2312" w:cs="仿宋_GB2312"/>
          <w:sz w:val="32"/>
          <w:szCs w:val="32"/>
        </w:rPr>
        <w:t>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〕1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宋体" w:eastAsia="仿宋_GB2312" w:cs="仿宋_GB2312"/>
          <w:sz w:val="32"/>
          <w:szCs w:val="32"/>
        </w:rPr>
        <w:t>文件精神，强化预算支出责任，提高财政资源配置效率和使用效益，决定开展住户调查及劳动力调查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作经费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项目支出</w:t>
      </w:r>
      <w:r>
        <w:rPr>
          <w:rFonts w:hint="eastAsia" w:ascii="仿宋_GB2312" w:hAnsi="宋体" w:eastAsia="仿宋_GB2312" w:cs="仿宋_GB2312"/>
          <w:sz w:val="32"/>
          <w:szCs w:val="32"/>
        </w:rPr>
        <w:t>评价工作。</w:t>
      </w:r>
    </w:p>
    <w:p>
      <w:pPr>
        <w:spacing w:line="620" w:lineRule="exact"/>
        <w:ind w:firstLine="640" w:firstLineChars="200"/>
        <w:rPr>
          <w:rFonts w:hint="eastAsia"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仿宋_GB2312"/>
          <w:sz w:val="32"/>
          <w:szCs w:val="32"/>
        </w:rPr>
        <w:t>评价范围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（1）绩效目标与战略发展规划的适应性；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（2）财政资金使用情况、财务管理状况；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（3）为加强管理所制定的相关制度、采取的措施等；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（4）绩效目标的实现程度，包括是否达到预定产出和效果等；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（5）需要评价的其他内容。</w:t>
      </w:r>
    </w:p>
    <w:p>
      <w:pPr>
        <w:numPr>
          <w:ilvl w:val="0"/>
          <w:numId w:val="1"/>
        </w:numPr>
        <w:spacing w:line="620" w:lineRule="exact"/>
        <w:ind w:firstLine="640" w:firstLineChars="200"/>
        <w:rPr>
          <w:rFonts w:hint="eastAsia" w:ascii="仿宋_GB2312" w:hAnsi="宋体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评价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方式</w:t>
      </w:r>
    </w:p>
    <w:p>
      <w:pPr>
        <w:numPr>
          <w:ilvl w:val="0"/>
          <w:numId w:val="0"/>
        </w:numPr>
        <w:spacing w:line="620" w:lineRule="exact"/>
        <w:rPr>
          <w:rFonts w:hint="default" w:ascii="仿宋_GB2312" w:hAnsi="宋体" w:cs="仿宋_GB2312"/>
          <w:sz w:val="32"/>
          <w:szCs w:val="32"/>
          <w:lang w:val="en-US" w:eastAsia="zh-CN"/>
        </w:rPr>
      </w:pPr>
      <w:r>
        <w:rPr>
          <w:rFonts w:hint="eastAsia" w:ascii="仿宋_GB2312" w:hAnsi="宋体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 xml:space="preserve"> 对项目资金收支情况进行核查，对各项工作进行绩效评价。</w:t>
      </w:r>
    </w:p>
    <w:p>
      <w:pPr>
        <w:numPr>
          <w:ilvl w:val="0"/>
          <w:numId w:val="2"/>
        </w:num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宋体" w:eastAsia="黑体"/>
          <w:kern w:val="0"/>
          <w:sz w:val="32"/>
        </w:rPr>
      </w:pPr>
      <w:r>
        <w:rPr>
          <w:rFonts w:hint="eastAsia" w:ascii="黑体" w:hAnsi="宋体" w:eastAsia="黑体"/>
          <w:kern w:val="0"/>
          <w:sz w:val="32"/>
        </w:rPr>
        <w:t>综合评价情况及评价结论（附项目支出部门评价表）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项目支出绩效评价结果为“优”。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根据《项目支出绩效评价指标》评分，得分90.0分。</w:t>
      </w:r>
    </w:p>
    <w:tbl>
      <w:tblPr>
        <w:tblW w:w="99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577"/>
        <w:gridCol w:w="602"/>
        <w:gridCol w:w="1619"/>
        <w:gridCol w:w="1381"/>
        <w:gridCol w:w="614"/>
        <w:gridCol w:w="849"/>
        <w:gridCol w:w="1142"/>
        <w:gridCol w:w="554"/>
        <w:gridCol w:w="620"/>
        <w:gridCol w:w="666"/>
        <w:gridCol w:w="6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9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2"/>
                <w:szCs w:val="4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2"/>
                <w:szCs w:val="42"/>
                <w:u w:val="none"/>
                <w:bdr w:val="none" w:color="auto" w:sz="0" w:space="0"/>
                <w:lang w:val="en-US" w:eastAsia="zh-CN" w:bidi="ar"/>
              </w:rPr>
              <w:t>项目支出绩效自评表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9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867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第五次全国经济普查县级经费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51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安义县统计局(部门)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8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安义县统计局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2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全年预算数A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全年执行数B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年度资金总额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145.479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39.32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政府预算资金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145.479103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39.32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目标</w:t>
            </w:r>
          </w:p>
        </w:tc>
        <w:tc>
          <w:tcPr>
            <w:tcW w:w="5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3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通过清查摸清我县各类单位的基本情况及个体户情况，掌握我县第二产业和第三产业的发展规模及布局，开展投入产出调查。</w:t>
            </w:r>
          </w:p>
        </w:tc>
        <w:tc>
          <w:tcPr>
            <w:tcW w:w="3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全年目标已基本完成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三级指标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完成值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偏差原因分析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经费使用节约率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＝100%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项目支出必要性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＝100%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调查表格电子化率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≥50%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1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开展工作会议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≥10场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印刷文件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≥18000份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18500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文件印刷合格率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≥99%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会议培训人员合格率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筹备工作按时完成率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＝100%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聘用人员工作完成率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＞95%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对全县经济指标进行统计、监控和分析研究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基本达成目标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有利于掌握我县第二、三产业发展状况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基本达成目标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各类文件电子化率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≥30%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调查对象满意度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752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numPr>
          <w:numId w:val="0"/>
        </w:num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黑体" w:hAnsi="宋体" w:eastAsia="黑体"/>
          <w:kern w:val="0"/>
          <w:sz w:val="32"/>
        </w:rPr>
      </w:pPr>
    </w:p>
    <w:p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eastAsia="仿宋_GB2312"/>
          <w:kern w:val="0"/>
          <w:sz w:val="21"/>
        </w:rPr>
      </w:pPr>
      <w:r>
        <w:rPr>
          <w:rFonts w:hint="eastAsia" w:ascii="黑体" w:hAnsi="宋体" w:eastAsia="黑体"/>
          <w:kern w:val="0"/>
          <w:sz w:val="32"/>
        </w:rPr>
        <w:t>四、绩效评价指标分析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、产出数量指标情况分析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本年完成数据调查开发、发布，两员经费拨付到位。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2、产出质量指标情况分析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（1）按照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五经</w:t>
      </w:r>
      <w:r>
        <w:rPr>
          <w:rFonts w:hint="eastAsia" w:ascii="仿宋" w:hAnsi="仿宋" w:eastAsia="仿宋" w:cs="仿宋"/>
          <w:sz w:val="32"/>
          <w:szCs w:val="32"/>
        </w:rPr>
        <w:t>普工作流程，对全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普查所需设备采取“统谈分签”形式集中采购，确保质量过硬。（2）对选聘的指导员和普查员进行了业务培训，确保全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各级普查人员熟悉普查业务、熟练普查流程，熟知普查法规。（3）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对拨付的两员经费确保了及时全面到位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综上所述，产出质量指标完成情况较好。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3、产出时效指标情况分析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（1）在时效性指标方面，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经费拨付均按时完成</w:t>
      </w:r>
      <w:r>
        <w:rPr>
          <w:rFonts w:hint="eastAsia" w:ascii="仿宋" w:hAnsi="仿宋" w:eastAsia="仿宋" w:cs="仿宋"/>
          <w:sz w:val="32"/>
          <w:szCs w:val="32"/>
        </w:rPr>
        <w:t>（2）及时印制普查资料，并发放至各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乡镇</w:t>
      </w:r>
      <w:r>
        <w:rPr>
          <w:rFonts w:hint="eastAsia" w:ascii="仿宋" w:hAnsi="仿宋" w:eastAsia="仿宋" w:cs="仿宋"/>
          <w:sz w:val="32"/>
          <w:szCs w:val="32"/>
        </w:rPr>
        <w:t>，确保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普查数据及时得到使用</w:t>
      </w:r>
      <w:r>
        <w:rPr>
          <w:rFonts w:hint="eastAsia" w:ascii="仿宋" w:hAnsi="仿宋" w:eastAsia="仿宋" w:cs="仿宋"/>
          <w:sz w:val="32"/>
          <w:szCs w:val="32"/>
        </w:rPr>
        <w:t>，产出时效指标完成情况较好。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4、产出成本指标情况分析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经济</w:t>
      </w:r>
      <w:r>
        <w:rPr>
          <w:rFonts w:hint="eastAsia" w:ascii="仿宋" w:hAnsi="仿宋" w:eastAsia="仿宋" w:cs="仿宋"/>
          <w:sz w:val="32"/>
          <w:szCs w:val="32"/>
        </w:rPr>
        <w:t>普查支出符合国家或相关部门支出标准，普普查资料发放成本控制率、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两员经费拨付成本</w:t>
      </w:r>
      <w:r>
        <w:rPr>
          <w:rFonts w:hint="eastAsia" w:ascii="仿宋" w:hAnsi="仿宋" w:eastAsia="仿宋" w:cs="仿宋"/>
          <w:sz w:val="32"/>
          <w:szCs w:val="32"/>
        </w:rPr>
        <w:t>控制率≤100%，各项支出都控制在年初预算内。</w:t>
      </w:r>
    </w:p>
    <w:p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600" w:lineRule="atLeast"/>
        <w:ind w:left="560" w:leftChars="0" w:right="0" w:firstLine="0" w:firstLineChars="0"/>
        <w:jc w:val="both"/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sz w:val="32"/>
          <w:szCs w:val="32"/>
        </w:rPr>
        <w:t>项目效益情况。</w:t>
      </w:r>
    </w:p>
    <w:p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560" w:leftChars="0" w:right="0" w:rightChars="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、社会效益指标情况分析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县经</w:t>
      </w:r>
      <w:r>
        <w:rPr>
          <w:rFonts w:hint="eastAsia" w:ascii="仿宋" w:hAnsi="仿宋" w:eastAsia="仿宋" w:cs="仿宋"/>
          <w:sz w:val="32"/>
          <w:szCs w:val="32"/>
        </w:rPr>
        <w:t>普办按照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政府的部署要求，主动谋划、周密安排、积极推进、狠抓落实，始终坚持依法普查、科学普查、创新普查，有力保障了全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县经济</w:t>
      </w:r>
      <w:r>
        <w:rPr>
          <w:rFonts w:hint="eastAsia" w:ascii="仿宋" w:hAnsi="仿宋" w:eastAsia="仿宋" w:cs="仿宋"/>
          <w:sz w:val="32"/>
          <w:szCs w:val="32"/>
        </w:rPr>
        <w:t>普查工作顺利有序进行，推进经济社会高质量发展提供优质统计保障夯实基础。通过多维度、全方位、立体式的向全体市民宣传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经济</w:t>
      </w:r>
      <w:r>
        <w:rPr>
          <w:rFonts w:hint="eastAsia" w:ascii="仿宋" w:hAnsi="仿宋" w:eastAsia="仿宋" w:cs="仿宋"/>
          <w:sz w:val="32"/>
          <w:szCs w:val="32"/>
        </w:rPr>
        <w:t>普查有关工作，消除了普查对象思想顾虑，提高了普查对象积极配合意识，营造了“家喻户晓、人人支持”的良好氛围。产出社会效益指标完成情况较好。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2、可持续影响指标情况分析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本年度全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县经济</w:t>
      </w:r>
      <w:r>
        <w:rPr>
          <w:rFonts w:hint="eastAsia" w:ascii="仿宋" w:hAnsi="仿宋" w:eastAsia="仿宋" w:cs="仿宋"/>
          <w:sz w:val="32"/>
          <w:szCs w:val="32"/>
        </w:rPr>
        <w:t>普查各项工作均达到了预期设定目标。对于后续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经济</w:t>
      </w:r>
      <w:r>
        <w:rPr>
          <w:rFonts w:hint="eastAsia" w:ascii="仿宋" w:hAnsi="仿宋" w:eastAsia="仿宋" w:cs="仿宋"/>
          <w:sz w:val="32"/>
          <w:szCs w:val="32"/>
        </w:rPr>
        <w:t>普查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数据发布使用具有重要作用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600" w:lineRule="exact"/>
        <w:ind w:firstLine="640" w:firstLineChars="200"/>
        <w:outlineLvl w:val="0"/>
        <w:rPr>
          <w:rFonts w:hint="default" w:ascii="仿宋_GB2312" w:hAnsi="仿宋_GB2312" w:eastAsia="仿宋_GB2312" w:cs="仿宋_GB2312"/>
          <w:color w:val="333333"/>
          <w:sz w:val="32"/>
          <w:szCs w:val="32"/>
          <w:u w:val="none"/>
          <w:lang w:val="en-US" w:eastAsia="zh-CN"/>
        </w:rPr>
      </w:pPr>
    </w:p>
    <w:p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宋体" w:eastAsia="黑体"/>
          <w:kern w:val="0"/>
          <w:sz w:val="32"/>
        </w:rPr>
      </w:pPr>
      <w:r>
        <w:rPr>
          <w:rFonts w:hint="eastAsia" w:ascii="黑体" w:hAnsi="宋体" w:eastAsia="黑体"/>
          <w:kern w:val="0"/>
          <w:sz w:val="32"/>
        </w:rPr>
        <w:t>五、主要经验及做法、存在的问题及原因分析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、主要经验及做法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（1）高位推动、广泛动员，形成各方合力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（2）科学谋划、做足准备，夯实工作基础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（3）落实资金、稳定队伍，强化工作保障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2、存在的问题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次全国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经济</w:t>
      </w:r>
      <w:r>
        <w:rPr>
          <w:rFonts w:hint="eastAsia" w:ascii="仿宋" w:hAnsi="仿宋" w:eastAsia="仿宋" w:cs="仿宋"/>
          <w:sz w:val="32"/>
          <w:szCs w:val="32"/>
        </w:rPr>
        <w:t>普查项目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经费拨付进度稍低于预期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3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3、原因分析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牢固树立了“过紧日子”的思想。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乡镇换届人员变动导致各项工作对接出现延迟，影响了经费拨付的进度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宋体" w:eastAsia="黑体" w:cs="黑体"/>
          <w:sz w:val="32"/>
          <w:szCs w:val="32"/>
        </w:rPr>
        <w:t>、其他需要说明的问题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无。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仿宋" w:hAnsi="仿宋" w:eastAsia="仿宋" w:cs="仿宋"/>
          <w:sz w:val="32"/>
          <w:szCs w:val="32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75" w:afterAutospacing="0" w:line="23" w:lineRule="atLeast"/>
        <w:ind w:left="0" w:right="0" w:firstLine="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85345"/>
    <w:multiLevelType w:val="singleLevel"/>
    <w:tmpl w:val="9D58534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53B034"/>
    <w:multiLevelType w:val="singleLevel"/>
    <w:tmpl w:val="A753B034"/>
    <w:lvl w:ilvl="0" w:tentative="0">
      <w:start w:val="1"/>
      <w:numFmt w:val="chineseCounting"/>
      <w:suff w:val="nothing"/>
      <w:lvlText w:val="（%1）"/>
      <w:lvlJc w:val="left"/>
      <w:pPr>
        <w:ind w:left="560" w:firstLine="0"/>
      </w:pPr>
      <w:rPr>
        <w:rFonts w:hint="eastAsia"/>
      </w:rPr>
    </w:lvl>
  </w:abstractNum>
  <w:abstractNum w:abstractNumId="2">
    <w:nsid w:val="FDE62FD5"/>
    <w:multiLevelType w:val="singleLevel"/>
    <w:tmpl w:val="FDE62FD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MGViY2MxNTEzODY2ZmNiYzkxNGRjYWE0OGE4ZDcifQ=="/>
  </w:docVars>
  <w:rsids>
    <w:rsidRoot w:val="00172A27"/>
    <w:rsid w:val="01505F15"/>
    <w:rsid w:val="25B830CE"/>
    <w:rsid w:val="282F2D5B"/>
    <w:rsid w:val="2C921E2C"/>
    <w:rsid w:val="6DF2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theme="minorBidi"/>
      <w:kern w:val="2"/>
      <w:sz w:val="21"/>
      <w:lang w:val="en-US" w:eastAsia="zh-CN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default"/>
      <w:sz w:val="21"/>
    </w:rPr>
  </w:style>
  <w:style w:type="paragraph" w:customStyle="1" w:styleId="3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styleId="4">
    <w:name w:val="Body Text Indent"/>
    <w:basedOn w:val="1"/>
    <w:next w:val="1"/>
    <w:qFormat/>
    <w:uiPriority w:val="99"/>
    <w:pPr>
      <w:adjustRightInd w:val="0"/>
      <w:spacing w:line="360" w:lineRule="atLeast"/>
      <w:ind w:firstLine="600"/>
      <w:textAlignment w:val="baseline"/>
    </w:pPr>
    <w:rPr>
      <w:kern w:val="0"/>
      <w:sz w:val="30"/>
      <w:szCs w:val="20"/>
    </w:rPr>
  </w:style>
  <w:style w:type="paragraph" w:styleId="5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next w:val="1"/>
    <w:qFormat/>
    <w:uiPriority w:val="0"/>
    <w:pPr>
      <w:widowControl w:val="0"/>
      <w:spacing w:after="120" w:afterLines="0"/>
      <w:ind w:left="200" w:leftChars="200"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1855</Words>
  <Characters>1965</Characters>
  <Lines>0</Lines>
  <Paragraphs>0</Paragraphs>
  <TotalTime>0</TotalTime>
  <ScaleCrop>false</ScaleCrop>
  <LinksUpToDate>false</LinksUpToDate>
  <CharactersWithSpaces>1973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2024-04-23T05:58:00Z</dcterms:created>
  <dc:creator>ASUS</dc:creator>
  <cp:lastModifiedBy>叶上初阳干宿雨</cp:lastModifiedBy>
  <dcterms:modified xsi:type="dcterms:W3CDTF">2024-05-07T12:52:28Z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7DDD5703D0B54452A55326D5B32F7B3E_13</vt:lpwstr>
  </property>
</Properties>
</file>