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2AF081">
      <w:pPr>
        <w:autoSpaceDE w:val="0"/>
        <w:autoSpaceDN w:val="0"/>
        <w:adjustRightInd w:val="0"/>
        <w:spacing w:beforeLines="0" w:afterLines="0" w:line="560" w:lineRule="exact"/>
        <w:jc w:val="center"/>
        <w:rPr>
          <w:rFonts w:hint="eastAsia" w:ascii="方正小标宋简体" w:hAnsi="方正小标宋简体" w:eastAsia="方正小标宋简体"/>
          <w:kern w:val="0"/>
          <w:sz w:val="32"/>
        </w:rPr>
      </w:pPr>
      <w:r>
        <w:rPr>
          <w:rFonts w:hint="eastAsia" w:ascii="方正小标宋简体" w:hAnsi="方正小标宋简体" w:eastAsia="方正小标宋简体"/>
          <w:kern w:val="0"/>
          <w:sz w:val="32"/>
        </w:rPr>
        <w:t>统计</w:t>
      </w:r>
      <w:r>
        <w:rPr>
          <w:rFonts w:hint="eastAsia" w:ascii="方正小标宋简体" w:hAnsi="方正小标宋简体" w:eastAsia="方正小标宋简体"/>
          <w:kern w:val="0"/>
          <w:sz w:val="32"/>
          <w:lang w:val="en-US" w:eastAsia="zh-CN"/>
        </w:rPr>
        <w:t>相关</w:t>
      </w:r>
      <w:r>
        <w:rPr>
          <w:rFonts w:hint="eastAsia" w:ascii="方正小标宋简体" w:hAnsi="方正小标宋简体" w:eastAsia="方正小标宋简体"/>
          <w:kern w:val="0"/>
          <w:sz w:val="32"/>
        </w:rPr>
        <w:t>工作经费项目支出部门评价报告</w:t>
      </w:r>
    </w:p>
    <w:p w14:paraId="4F00AC73">
      <w:pPr>
        <w:autoSpaceDE w:val="0"/>
        <w:autoSpaceDN w:val="0"/>
        <w:adjustRightInd w:val="0"/>
        <w:spacing w:beforeLines="0" w:afterLines="0" w:line="560" w:lineRule="exact"/>
        <w:jc w:val="center"/>
        <w:rPr>
          <w:rFonts w:hint="eastAsia" w:ascii="方正小标宋简体" w:hAnsi="方正小标宋简体" w:eastAsia="方正小标宋简体"/>
          <w:kern w:val="0"/>
          <w:sz w:val="32"/>
        </w:rPr>
      </w:pPr>
      <w:r>
        <w:rPr>
          <w:rFonts w:hint="eastAsia" w:ascii="方正小标宋简体" w:hAnsi="方正小标宋简体" w:eastAsia="方正小标宋简体"/>
          <w:kern w:val="0"/>
          <w:sz w:val="32"/>
        </w:rPr>
        <w:t>（</w:t>
      </w:r>
      <w:r>
        <w:rPr>
          <w:rFonts w:hint="eastAsia" w:ascii="方正小标宋简体" w:hAnsi="方正小标宋简体" w:eastAsia="方正小标宋简体"/>
          <w:kern w:val="0"/>
          <w:sz w:val="32"/>
          <w:lang w:val="en-US" w:eastAsia="zh-CN"/>
        </w:rPr>
        <w:t>2024</w:t>
      </w:r>
      <w:r>
        <w:rPr>
          <w:rFonts w:hint="eastAsia" w:ascii="方正小标宋简体" w:hAnsi="方正小标宋简体" w:eastAsia="方正小标宋简体"/>
          <w:kern w:val="0"/>
          <w:sz w:val="32"/>
        </w:rPr>
        <w:t>年度）</w:t>
      </w:r>
    </w:p>
    <w:p w14:paraId="090A5741">
      <w:pPr>
        <w:autoSpaceDE w:val="0"/>
        <w:autoSpaceDN w:val="0"/>
        <w:adjustRightInd w:val="0"/>
        <w:spacing w:beforeLines="0" w:afterLines="0" w:line="560" w:lineRule="exact"/>
        <w:ind w:firstLine="640" w:firstLineChars="200"/>
        <w:jc w:val="left"/>
        <w:rPr>
          <w:rFonts w:hint="eastAsia" w:ascii="黑体" w:hAnsi="宋体" w:eastAsia="黑体"/>
          <w:kern w:val="0"/>
          <w:sz w:val="21"/>
        </w:rPr>
      </w:pPr>
      <w:r>
        <w:rPr>
          <w:rFonts w:hint="eastAsia" w:ascii="黑体" w:hAnsi="宋体" w:eastAsia="黑体"/>
          <w:kern w:val="0"/>
          <w:sz w:val="32"/>
        </w:rPr>
        <w:t>一、基本情况</w:t>
      </w:r>
    </w:p>
    <w:p w14:paraId="1FB7584C">
      <w:pPr>
        <w:pStyle w:val="4"/>
        <w:keepNext w:val="0"/>
        <w:keepLines w:val="0"/>
        <w:widowControl/>
        <w:suppressLineNumbers w:val="0"/>
        <w:spacing w:after="105" w:afterAutospacing="0" w:line="30" w:lineRule="atLeast"/>
        <w:ind w:left="0" w:firstLine="42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项目概况。根据《安义县人民政府关于进一步加强统计工作的意见》（安府字〔2019〕1号）文件精神，由县财政每年拨付统计工作经费，用于发放调查对象统计人员补贴，全县“五上”企业统计人员实行交通、通信费用补贴制度，按每人每月200元实行交通、通信补贴。根据《江西省统计局转发国家统计局关于进一步做好年度人口抽样调查工作的通知》(赣统发〔2021〕63号)文件要求，切实做好人口抽样调查工作，根据统一安排，我县2024年人口抽样调查工作根据全市统一安排已正式启动，各项工作正在有序推进，根据工作需要，切实做好人口抽样调查保障工作，做好人力、物力、财力保障支持，落实“两员”工作补贴和其它必要的调查经费，为顺利开展调查提供必要经费保障。</w:t>
      </w:r>
    </w:p>
    <w:p w14:paraId="5DDD4DA3">
      <w:pPr>
        <w:spacing w:line="600" w:lineRule="exact"/>
        <w:ind w:firstLine="640" w:firstLineChars="200"/>
        <w:rPr>
          <w:rFonts w:hint="eastAsia" w:ascii="仿宋_GB2312" w:hAnsi="仿宋_GB2312" w:eastAsia="仿宋_GB2312" w:cs="仿宋_GB2312"/>
          <w:i w:val="0"/>
          <w:caps w:val="0"/>
          <w:color w:val="333333"/>
          <w:spacing w:val="0"/>
          <w:kern w:val="0"/>
          <w:sz w:val="32"/>
          <w:szCs w:val="32"/>
          <w:shd w:val="clear" w:color="auto" w:fill="FFFFFF"/>
          <w:lang w:val="en-US" w:eastAsia="zh-CN" w:bidi="ar"/>
        </w:rPr>
      </w:pPr>
      <w:r>
        <w:rPr>
          <w:rFonts w:hint="eastAsia" w:ascii="仿宋_GB2312" w:hAnsi="仿宋_GB2312" w:eastAsia="仿宋_GB2312" w:cs="仿宋_GB2312"/>
          <w:i w:val="0"/>
          <w:caps w:val="0"/>
          <w:color w:val="333333"/>
          <w:spacing w:val="0"/>
          <w:kern w:val="0"/>
          <w:sz w:val="32"/>
          <w:szCs w:val="32"/>
          <w:shd w:val="clear" w:color="auto" w:fill="FFFFFF"/>
          <w:lang w:val="en-US" w:eastAsia="zh-CN" w:bidi="ar"/>
        </w:rPr>
        <w:t>（二）项目绩效目标。</w:t>
      </w:r>
      <w:r>
        <w:rPr>
          <w:rFonts w:hint="eastAsia" w:ascii="仿宋_GB2312" w:hAnsi="仿宋_GB2312" w:eastAsia="仿宋_GB2312" w:cs="仿宋_GB2312"/>
          <w:color w:val="333333"/>
          <w:sz w:val="32"/>
          <w:szCs w:val="32"/>
          <w:u w:val="none"/>
        </w:rPr>
        <w:t>为更好地发挥统计职能作用，着力提高统计能力、统计数据质量和政府统计公信力，提升统计工作科学化、现代化、规范化、法治化水平</w:t>
      </w:r>
      <w:r>
        <w:rPr>
          <w:rFonts w:hint="eastAsia" w:ascii="仿宋_GB2312" w:hAnsi="仿宋_GB2312" w:eastAsia="仿宋_GB2312" w:cs="仿宋_GB2312"/>
          <w:color w:val="333333"/>
          <w:sz w:val="32"/>
          <w:szCs w:val="32"/>
          <w:u w:val="none"/>
          <w:lang w:eastAsia="zh-CN"/>
        </w:rPr>
        <w:t>。</w:t>
      </w:r>
    </w:p>
    <w:p w14:paraId="2A60FB85">
      <w:pPr>
        <w:autoSpaceDE w:val="0"/>
        <w:autoSpaceDN w:val="0"/>
        <w:adjustRightInd w:val="0"/>
        <w:spacing w:beforeLines="0" w:afterLines="0" w:line="560" w:lineRule="exact"/>
        <w:ind w:firstLine="640" w:firstLineChars="200"/>
        <w:jc w:val="left"/>
        <w:rPr>
          <w:rFonts w:hint="eastAsia" w:ascii="仿宋_GB2312" w:eastAsia="仿宋_GB2312"/>
          <w:kern w:val="0"/>
          <w:sz w:val="21"/>
        </w:rPr>
      </w:pPr>
      <w:r>
        <w:rPr>
          <w:rFonts w:hint="eastAsia" w:ascii="黑体" w:hAnsi="宋体" w:eastAsia="黑体"/>
          <w:kern w:val="0"/>
          <w:sz w:val="32"/>
        </w:rPr>
        <w:t>二、绩效评价工作开展情况</w:t>
      </w:r>
    </w:p>
    <w:p w14:paraId="51ABF3AE">
      <w:pPr>
        <w:autoSpaceDE w:val="0"/>
        <w:autoSpaceDN w:val="0"/>
        <w:adjustRightInd w:val="0"/>
        <w:spacing w:line="560" w:lineRule="exact"/>
        <w:ind w:firstLine="640" w:firstLineChars="200"/>
        <w:jc w:val="left"/>
        <w:rPr>
          <w:rFonts w:hint="eastAsia" w:ascii="仿宋_GB2312" w:hAnsi="Times New Roman" w:eastAsia="仿宋_GB2312" w:cs="仿宋_GB2312"/>
          <w:kern w:val="0"/>
          <w:sz w:val="32"/>
          <w:szCs w:val="32"/>
        </w:rPr>
      </w:pPr>
      <w:r>
        <w:rPr>
          <w:rFonts w:hint="eastAsia" w:ascii="仿宋_GB2312" w:hAnsi="Times New Roman" w:eastAsia="仿宋_GB2312" w:cs="仿宋_GB2312"/>
          <w:kern w:val="0"/>
          <w:sz w:val="32"/>
          <w:szCs w:val="32"/>
        </w:rPr>
        <w:t>（一）绩效评价目的、对象和范围。</w:t>
      </w:r>
    </w:p>
    <w:p w14:paraId="57ACE183">
      <w:pPr>
        <w:ind w:firstLine="640" w:firstLineChars="200"/>
        <w:jc w:val="left"/>
        <w:rPr>
          <w:rFonts w:hint="eastAsia" w:ascii="仿宋_GB2312" w:hAnsi="仿宋_GB2312" w:eastAsia="仿宋_GB2312" w:cs="仿宋_GB2312"/>
          <w:b w:val="0"/>
          <w:bCs w:val="0"/>
          <w:sz w:val="32"/>
          <w:szCs w:val="32"/>
          <w:u w:val="none"/>
          <w:lang w:val="en-US" w:eastAsia="zh-CN"/>
        </w:rPr>
      </w:pPr>
      <w:r>
        <w:rPr>
          <w:rFonts w:hint="eastAsia" w:ascii="仿宋_GB2312" w:hAnsi="宋体" w:eastAsia="仿宋_GB2312" w:cs="仿宋_GB2312"/>
          <w:sz w:val="32"/>
          <w:szCs w:val="32"/>
        </w:rPr>
        <w:t>为更好地发挥统计职能作用，着力提高统计能力、统计数据质量和政府统计公信力，提升统计工作科学化、现代化、规范化、法治化水平，进一步加强我县统计工作，拟申请解决相关统计工作经费。评价范围</w:t>
      </w:r>
      <w:r>
        <w:rPr>
          <w:rFonts w:hint="eastAsia" w:ascii="仿宋_GB2312" w:hAnsi="宋体" w:eastAsia="仿宋_GB2312" w:cs="仿宋_GB2312"/>
          <w:sz w:val="32"/>
          <w:szCs w:val="32"/>
          <w:lang w:eastAsia="zh-CN"/>
        </w:rPr>
        <w:t>：</w:t>
      </w:r>
      <w:r>
        <w:rPr>
          <w:rFonts w:hint="eastAsia" w:ascii="仿宋_GB2312" w:hAnsi="仿宋_GB2312" w:eastAsia="仿宋_GB2312" w:cs="仿宋_GB2312"/>
          <w:b w:val="0"/>
          <w:bCs w:val="0"/>
          <w:color w:val="auto"/>
          <w:sz w:val="32"/>
          <w:szCs w:val="32"/>
          <w:highlight w:val="none"/>
          <w:lang w:val="en-US" w:eastAsia="zh-CN"/>
        </w:rPr>
        <w:t>统计基层基础规范化建设。</w:t>
      </w:r>
    </w:p>
    <w:p w14:paraId="78AF858E">
      <w:pPr>
        <w:autoSpaceDE w:val="0"/>
        <w:autoSpaceDN w:val="0"/>
        <w:adjustRightInd w:val="0"/>
        <w:spacing w:line="560" w:lineRule="exact"/>
        <w:ind w:firstLine="640" w:firstLineChars="200"/>
        <w:jc w:val="left"/>
        <w:rPr>
          <w:rFonts w:hint="eastAsia" w:ascii="仿宋_GB2312" w:hAnsi="Times New Roman" w:eastAsia="仿宋_GB2312" w:cs="仿宋_GB2312"/>
          <w:kern w:val="0"/>
          <w:sz w:val="32"/>
          <w:szCs w:val="32"/>
        </w:rPr>
      </w:pPr>
      <w:r>
        <w:rPr>
          <w:rFonts w:hint="eastAsia" w:ascii="仿宋_GB2312" w:hAnsi="Times New Roman" w:eastAsia="仿宋_GB2312" w:cs="仿宋_GB2312"/>
          <w:kern w:val="0"/>
          <w:sz w:val="32"/>
          <w:szCs w:val="32"/>
        </w:rPr>
        <w:t>（二）绩效评价原则、评价指标体系、评价方法、评价标准等。</w:t>
      </w:r>
    </w:p>
    <w:p w14:paraId="6A79DCA3">
      <w:pPr>
        <w:autoSpaceDE w:val="0"/>
        <w:autoSpaceDN w:val="0"/>
        <w:adjustRightInd w:val="0"/>
        <w:spacing w:line="560" w:lineRule="exact"/>
        <w:ind w:firstLine="640" w:firstLineChars="200"/>
        <w:jc w:val="left"/>
        <w:rPr>
          <w:rFonts w:hint="eastAsia" w:ascii="仿宋_GB2312" w:hAnsi="Times New Roman" w:eastAsia="仿宋_GB2312" w:cs="仿宋_GB2312"/>
          <w:kern w:val="0"/>
          <w:sz w:val="32"/>
          <w:szCs w:val="32"/>
        </w:rPr>
      </w:pPr>
      <w:r>
        <w:rPr>
          <w:rFonts w:hint="default" w:ascii="仿宋_GB2312" w:hAnsi="Times New Roman" w:eastAsia="仿宋_GB2312" w:cs="仿宋_GB2312"/>
          <w:kern w:val="0"/>
          <w:sz w:val="32"/>
          <w:szCs w:val="32"/>
        </w:rPr>
        <w:t>一、绩效评价原则</w:t>
      </w:r>
    </w:p>
    <w:p w14:paraId="48307695">
      <w:pPr>
        <w:autoSpaceDE w:val="0"/>
        <w:autoSpaceDN w:val="0"/>
        <w:adjustRightInd w:val="0"/>
        <w:spacing w:line="560" w:lineRule="exact"/>
        <w:ind w:firstLine="640" w:firstLineChars="200"/>
        <w:jc w:val="left"/>
        <w:rPr>
          <w:rFonts w:hint="eastAsia" w:ascii="仿宋_GB2312" w:hAnsi="Times New Roman" w:eastAsia="仿宋_GB2312" w:cs="仿宋_GB2312"/>
          <w:kern w:val="0"/>
          <w:sz w:val="32"/>
          <w:szCs w:val="32"/>
        </w:rPr>
      </w:pPr>
      <w:r>
        <w:rPr>
          <w:rFonts w:hint="default" w:ascii="仿宋_GB2312" w:hAnsi="Times New Roman" w:eastAsia="仿宋_GB2312" w:cs="仿宋_GB2312"/>
          <w:kern w:val="0"/>
          <w:sz w:val="32"/>
          <w:szCs w:val="32"/>
        </w:rPr>
        <w:t>科学规范原则：基于《财政支出绩效评价管理暂行办法》等文件要求，确保评价过程符合统计和财政管理的科学规范。</w:t>
      </w:r>
    </w:p>
    <w:p w14:paraId="6A6F3F1D">
      <w:pPr>
        <w:autoSpaceDE w:val="0"/>
        <w:autoSpaceDN w:val="0"/>
        <w:adjustRightInd w:val="0"/>
        <w:spacing w:line="560" w:lineRule="exact"/>
        <w:ind w:firstLine="640" w:firstLineChars="200"/>
        <w:jc w:val="left"/>
        <w:rPr>
          <w:rFonts w:hint="eastAsia" w:ascii="仿宋_GB2312" w:hAnsi="Times New Roman" w:eastAsia="仿宋_GB2312" w:cs="仿宋_GB2312"/>
          <w:kern w:val="0"/>
          <w:sz w:val="32"/>
          <w:szCs w:val="32"/>
        </w:rPr>
      </w:pPr>
      <w:r>
        <w:rPr>
          <w:rFonts w:hint="default" w:ascii="仿宋_GB2312" w:hAnsi="Times New Roman" w:eastAsia="仿宋_GB2312" w:cs="仿宋_GB2312"/>
          <w:kern w:val="0"/>
          <w:sz w:val="32"/>
          <w:szCs w:val="32"/>
        </w:rPr>
        <w:t>公正公开原则：评价过程需透明公正，接受监督，确保结果客观。</w:t>
      </w:r>
    </w:p>
    <w:p w14:paraId="627F9F0D">
      <w:pPr>
        <w:autoSpaceDE w:val="0"/>
        <w:autoSpaceDN w:val="0"/>
        <w:adjustRightInd w:val="0"/>
        <w:spacing w:line="560" w:lineRule="exact"/>
        <w:ind w:firstLine="640" w:firstLineChars="200"/>
        <w:jc w:val="left"/>
        <w:rPr>
          <w:rFonts w:hint="eastAsia" w:ascii="仿宋_GB2312" w:hAnsi="Times New Roman" w:eastAsia="仿宋_GB2312" w:cs="仿宋_GB2312"/>
          <w:kern w:val="0"/>
          <w:sz w:val="32"/>
          <w:szCs w:val="32"/>
        </w:rPr>
      </w:pPr>
      <w:r>
        <w:rPr>
          <w:rFonts w:hint="default" w:ascii="仿宋_GB2312" w:hAnsi="Times New Roman" w:eastAsia="仿宋_GB2312" w:cs="仿宋_GB2312"/>
          <w:kern w:val="0"/>
          <w:sz w:val="32"/>
          <w:szCs w:val="32"/>
        </w:rPr>
        <w:t>绩效相关原则：评价内容与项目目标直接关联，重点分析投入产出比及效益实现情况。</w:t>
      </w:r>
    </w:p>
    <w:p w14:paraId="6632E963">
      <w:pPr>
        <w:autoSpaceDE w:val="0"/>
        <w:autoSpaceDN w:val="0"/>
        <w:adjustRightInd w:val="0"/>
        <w:spacing w:line="560" w:lineRule="exact"/>
        <w:ind w:firstLine="640" w:firstLineChars="200"/>
        <w:jc w:val="left"/>
        <w:rPr>
          <w:rFonts w:hint="default" w:ascii="仿宋_GB2312" w:hAnsi="Times New Roman" w:eastAsia="仿宋_GB2312" w:cs="仿宋_GB2312"/>
          <w:kern w:val="0"/>
          <w:sz w:val="32"/>
          <w:szCs w:val="32"/>
        </w:rPr>
      </w:pPr>
      <w:r>
        <w:rPr>
          <w:rFonts w:hint="default" w:ascii="仿宋_GB2312" w:hAnsi="Times New Roman" w:eastAsia="仿宋_GB2312" w:cs="仿宋_GB2312"/>
          <w:kern w:val="0"/>
          <w:sz w:val="32"/>
          <w:szCs w:val="32"/>
        </w:rPr>
        <w:t>二、评价指标体系</w:t>
      </w:r>
    </w:p>
    <w:p w14:paraId="249D812D">
      <w:pPr>
        <w:autoSpaceDE w:val="0"/>
        <w:autoSpaceDN w:val="0"/>
        <w:adjustRightInd w:val="0"/>
        <w:spacing w:line="560" w:lineRule="exact"/>
        <w:ind w:firstLine="640" w:firstLineChars="200"/>
        <w:jc w:val="left"/>
        <w:rPr>
          <w:rFonts w:hint="eastAsia" w:ascii="仿宋_GB2312" w:hAnsi="Times New Roman" w:eastAsia="仿宋_GB2312" w:cs="仿宋_GB2312"/>
          <w:kern w:val="0"/>
          <w:sz w:val="32"/>
          <w:szCs w:val="32"/>
        </w:rPr>
      </w:pPr>
      <w:r>
        <w:rPr>
          <w:rFonts w:hint="eastAsia" w:ascii="仿宋_GB2312" w:hAnsi="Times New Roman" w:eastAsia="仿宋_GB2312" w:cs="仿宋_GB2312"/>
          <w:kern w:val="0"/>
          <w:sz w:val="32"/>
          <w:szCs w:val="32"/>
          <w:lang w:eastAsia="zh-CN"/>
        </w:rPr>
        <w:t>（</w:t>
      </w:r>
      <w:r>
        <w:rPr>
          <w:rFonts w:hint="eastAsia" w:ascii="仿宋_GB2312" w:hAnsi="Times New Roman" w:eastAsia="仿宋_GB2312" w:cs="仿宋_GB2312"/>
          <w:kern w:val="0"/>
          <w:sz w:val="32"/>
          <w:szCs w:val="32"/>
          <w:lang w:val="en-US" w:eastAsia="zh-CN"/>
        </w:rPr>
        <w:t>1</w:t>
      </w:r>
      <w:r>
        <w:rPr>
          <w:rFonts w:hint="eastAsia" w:ascii="仿宋_GB2312" w:hAnsi="Times New Roman" w:eastAsia="仿宋_GB2312" w:cs="仿宋_GB2312"/>
          <w:kern w:val="0"/>
          <w:sz w:val="32"/>
          <w:szCs w:val="32"/>
          <w:lang w:eastAsia="zh-CN"/>
        </w:rPr>
        <w:t>）</w:t>
      </w:r>
      <w:r>
        <w:rPr>
          <w:rFonts w:hint="default" w:ascii="仿宋_GB2312" w:hAnsi="Times New Roman" w:eastAsia="仿宋_GB2312" w:cs="仿宋_GB2312"/>
          <w:kern w:val="0"/>
          <w:sz w:val="32"/>
          <w:szCs w:val="32"/>
        </w:rPr>
        <w:t>项目决策指标：</w:t>
      </w:r>
    </w:p>
    <w:p w14:paraId="507A6827">
      <w:pPr>
        <w:numPr>
          <w:ilvl w:val="0"/>
          <w:numId w:val="1"/>
        </w:numPr>
        <w:autoSpaceDE w:val="0"/>
        <w:autoSpaceDN w:val="0"/>
        <w:adjustRightInd w:val="0"/>
        <w:spacing w:line="560" w:lineRule="exact"/>
        <w:ind w:firstLine="640" w:firstLineChars="200"/>
        <w:jc w:val="left"/>
        <w:rPr>
          <w:rFonts w:hint="default" w:ascii="仿宋_GB2312" w:hAnsi="Times New Roman" w:eastAsia="仿宋_GB2312" w:cs="仿宋_GB2312"/>
          <w:kern w:val="0"/>
          <w:sz w:val="32"/>
          <w:szCs w:val="32"/>
        </w:rPr>
      </w:pPr>
      <w:r>
        <w:rPr>
          <w:rFonts w:hint="default" w:ascii="仿宋_GB2312" w:hAnsi="Times New Roman" w:eastAsia="仿宋_GB2312" w:cs="仿宋_GB2312"/>
          <w:kern w:val="0"/>
          <w:sz w:val="32"/>
          <w:szCs w:val="32"/>
        </w:rPr>
        <w:t>目标合理性资金分配规范性</w:t>
      </w:r>
    </w:p>
    <w:p w14:paraId="3A10E3DA">
      <w:pPr>
        <w:numPr>
          <w:ilvl w:val="0"/>
          <w:numId w:val="1"/>
        </w:numPr>
        <w:autoSpaceDE w:val="0"/>
        <w:autoSpaceDN w:val="0"/>
        <w:adjustRightInd w:val="0"/>
        <w:spacing w:line="560" w:lineRule="exact"/>
        <w:ind w:firstLine="640" w:firstLineChars="200"/>
        <w:jc w:val="left"/>
        <w:rPr>
          <w:rFonts w:hint="eastAsia" w:ascii="仿宋_GB2312" w:hAnsi="Times New Roman" w:eastAsia="仿宋_GB2312" w:cs="仿宋_GB2312"/>
          <w:kern w:val="0"/>
          <w:sz w:val="32"/>
          <w:szCs w:val="32"/>
        </w:rPr>
      </w:pPr>
      <w:r>
        <w:rPr>
          <w:rFonts w:hint="default" w:ascii="仿宋_GB2312" w:hAnsi="Times New Roman" w:eastAsia="仿宋_GB2312" w:cs="仿宋_GB2312"/>
          <w:kern w:val="0"/>
          <w:sz w:val="32"/>
          <w:szCs w:val="32"/>
        </w:rPr>
        <w:t>预算编制是否科学</w:t>
      </w:r>
    </w:p>
    <w:p w14:paraId="54678F20">
      <w:pPr>
        <w:numPr>
          <w:ilvl w:val="0"/>
          <w:numId w:val="1"/>
        </w:numPr>
        <w:autoSpaceDE w:val="0"/>
        <w:autoSpaceDN w:val="0"/>
        <w:adjustRightInd w:val="0"/>
        <w:spacing w:line="560" w:lineRule="exact"/>
        <w:ind w:left="0" w:leftChars="0" w:firstLine="640" w:firstLineChars="200"/>
        <w:jc w:val="left"/>
        <w:rPr>
          <w:rFonts w:hint="default" w:ascii="仿宋_GB2312" w:hAnsi="Times New Roman" w:eastAsia="仿宋_GB2312" w:cs="仿宋_GB2312"/>
          <w:kern w:val="0"/>
          <w:sz w:val="32"/>
          <w:szCs w:val="32"/>
        </w:rPr>
      </w:pPr>
      <w:r>
        <w:rPr>
          <w:rFonts w:hint="default" w:ascii="仿宋_GB2312" w:hAnsi="Times New Roman" w:eastAsia="仿宋_GB2312" w:cs="仿宋_GB2312"/>
          <w:kern w:val="0"/>
          <w:sz w:val="32"/>
          <w:szCs w:val="32"/>
        </w:rPr>
        <w:t>资金执行率</w:t>
      </w:r>
    </w:p>
    <w:p w14:paraId="2024D0C4">
      <w:pPr>
        <w:numPr>
          <w:ilvl w:val="0"/>
          <w:numId w:val="1"/>
        </w:numPr>
        <w:autoSpaceDE w:val="0"/>
        <w:autoSpaceDN w:val="0"/>
        <w:adjustRightInd w:val="0"/>
        <w:spacing w:line="560" w:lineRule="exact"/>
        <w:ind w:left="0" w:leftChars="0" w:firstLine="640" w:firstLineChars="200"/>
        <w:jc w:val="left"/>
        <w:rPr>
          <w:rFonts w:hint="eastAsia" w:ascii="仿宋_GB2312" w:hAnsi="Times New Roman" w:eastAsia="仿宋_GB2312" w:cs="仿宋_GB2312"/>
          <w:kern w:val="0"/>
          <w:sz w:val="32"/>
          <w:szCs w:val="32"/>
        </w:rPr>
      </w:pPr>
      <w:r>
        <w:rPr>
          <w:rFonts w:hint="default" w:ascii="仿宋_GB2312" w:hAnsi="Times New Roman" w:eastAsia="仿宋_GB2312" w:cs="仿宋_GB2312"/>
          <w:kern w:val="0"/>
          <w:sz w:val="32"/>
          <w:szCs w:val="32"/>
        </w:rPr>
        <w:t>预算资金到位率及使用合规性</w:t>
      </w:r>
    </w:p>
    <w:p w14:paraId="7EB0F3F4">
      <w:pPr>
        <w:autoSpaceDE w:val="0"/>
        <w:autoSpaceDN w:val="0"/>
        <w:adjustRightInd w:val="0"/>
        <w:spacing w:line="560" w:lineRule="exact"/>
        <w:ind w:firstLine="640" w:firstLineChars="200"/>
        <w:jc w:val="left"/>
        <w:rPr>
          <w:rFonts w:hint="eastAsia" w:ascii="仿宋_GB2312" w:hAnsi="Times New Roman" w:eastAsia="仿宋_GB2312" w:cs="仿宋_GB2312"/>
          <w:kern w:val="0"/>
          <w:sz w:val="32"/>
          <w:szCs w:val="32"/>
        </w:rPr>
      </w:pPr>
      <w:r>
        <w:rPr>
          <w:rFonts w:hint="eastAsia" w:ascii="仿宋_GB2312" w:hAnsi="Times New Roman" w:eastAsia="仿宋_GB2312" w:cs="仿宋_GB2312"/>
          <w:kern w:val="0"/>
          <w:sz w:val="32"/>
          <w:szCs w:val="32"/>
          <w:lang w:eastAsia="zh-CN"/>
        </w:rPr>
        <w:t>（</w:t>
      </w:r>
      <w:r>
        <w:rPr>
          <w:rFonts w:hint="eastAsia" w:ascii="仿宋_GB2312" w:hAnsi="Times New Roman" w:eastAsia="仿宋_GB2312" w:cs="仿宋_GB2312"/>
          <w:kern w:val="0"/>
          <w:sz w:val="32"/>
          <w:szCs w:val="32"/>
          <w:lang w:val="en-US" w:eastAsia="zh-CN"/>
        </w:rPr>
        <w:t>2</w:t>
      </w:r>
      <w:r>
        <w:rPr>
          <w:rFonts w:hint="eastAsia" w:ascii="仿宋_GB2312" w:hAnsi="Times New Roman" w:eastAsia="仿宋_GB2312" w:cs="仿宋_GB2312"/>
          <w:kern w:val="0"/>
          <w:sz w:val="32"/>
          <w:szCs w:val="32"/>
          <w:lang w:eastAsia="zh-CN"/>
        </w:rPr>
        <w:t>）</w:t>
      </w:r>
      <w:r>
        <w:rPr>
          <w:rFonts w:hint="default" w:ascii="仿宋_GB2312" w:hAnsi="Times New Roman" w:eastAsia="仿宋_GB2312" w:cs="仿宋_GB2312"/>
          <w:kern w:val="0"/>
          <w:sz w:val="32"/>
          <w:szCs w:val="32"/>
        </w:rPr>
        <w:t>项目产出指标：</w:t>
      </w:r>
    </w:p>
    <w:p w14:paraId="370D6AEC">
      <w:pPr>
        <w:numPr>
          <w:ilvl w:val="0"/>
          <w:numId w:val="2"/>
        </w:numPr>
        <w:autoSpaceDE w:val="0"/>
        <w:autoSpaceDN w:val="0"/>
        <w:adjustRightInd w:val="0"/>
        <w:spacing w:line="560" w:lineRule="exact"/>
        <w:ind w:firstLine="640" w:firstLineChars="200"/>
        <w:jc w:val="left"/>
        <w:rPr>
          <w:rFonts w:hint="eastAsia" w:ascii="仿宋_GB2312" w:hAnsi="Times New Roman" w:eastAsia="仿宋_GB2312" w:cs="仿宋_GB2312"/>
          <w:kern w:val="0"/>
          <w:sz w:val="32"/>
          <w:szCs w:val="32"/>
        </w:rPr>
      </w:pPr>
      <w:r>
        <w:rPr>
          <w:rFonts w:hint="default" w:ascii="仿宋_GB2312" w:hAnsi="Times New Roman" w:eastAsia="仿宋_GB2312" w:cs="仿宋_GB2312"/>
          <w:kern w:val="0"/>
          <w:sz w:val="32"/>
          <w:szCs w:val="32"/>
        </w:rPr>
        <w:t>数量目标</w:t>
      </w:r>
    </w:p>
    <w:p w14:paraId="76A29084">
      <w:pPr>
        <w:numPr>
          <w:ilvl w:val="0"/>
          <w:numId w:val="2"/>
        </w:numPr>
        <w:autoSpaceDE w:val="0"/>
        <w:autoSpaceDN w:val="0"/>
        <w:adjustRightInd w:val="0"/>
        <w:spacing w:line="560" w:lineRule="exact"/>
        <w:ind w:firstLine="640" w:firstLineChars="200"/>
        <w:jc w:val="left"/>
        <w:rPr>
          <w:rFonts w:hint="eastAsia" w:ascii="仿宋_GB2312" w:hAnsi="Times New Roman" w:eastAsia="仿宋_GB2312" w:cs="仿宋_GB2312"/>
          <w:kern w:val="0"/>
          <w:sz w:val="32"/>
          <w:szCs w:val="32"/>
        </w:rPr>
      </w:pPr>
      <w:r>
        <w:rPr>
          <w:rFonts w:hint="default" w:ascii="仿宋_GB2312" w:hAnsi="Times New Roman" w:eastAsia="仿宋_GB2312" w:cs="仿宋_GB2312"/>
          <w:kern w:val="0"/>
          <w:sz w:val="32"/>
          <w:szCs w:val="32"/>
        </w:rPr>
        <w:t>质量目标</w:t>
      </w:r>
    </w:p>
    <w:p w14:paraId="7154FA40">
      <w:pPr>
        <w:numPr>
          <w:ilvl w:val="0"/>
          <w:numId w:val="2"/>
        </w:numPr>
        <w:autoSpaceDE w:val="0"/>
        <w:autoSpaceDN w:val="0"/>
        <w:adjustRightInd w:val="0"/>
        <w:spacing w:line="560" w:lineRule="exact"/>
        <w:ind w:left="0" w:leftChars="0" w:firstLine="640" w:firstLineChars="200"/>
        <w:jc w:val="left"/>
        <w:rPr>
          <w:rFonts w:hint="default" w:ascii="仿宋_GB2312" w:hAnsi="Times New Roman" w:eastAsia="仿宋_GB2312" w:cs="仿宋_GB2312"/>
          <w:kern w:val="0"/>
          <w:sz w:val="32"/>
          <w:szCs w:val="32"/>
        </w:rPr>
      </w:pPr>
      <w:r>
        <w:rPr>
          <w:rFonts w:hint="default" w:ascii="仿宋_GB2312" w:hAnsi="Times New Roman" w:eastAsia="仿宋_GB2312" w:cs="仿宋_GB2312"/>
          <w:kern w:val="0"/>
          <w:sz w:val="32"/>
          <w:szCs w:val="32"/>
        </w:rPr>
        <w:t>时效目标</w:t>
      </w:r>
    </w:p>
    <w:p w14:paraId="5D10D2AA">
      <w:pPr>
        <w:numPr>
          <w:ilvl w:val="0"/>
          <w:numId w:val="0"/>
        </w:numPr>
        <w:autoSpaceDE w:val="0"/>
        <w:autoSpaceDN w:val="0"/>
        <w:adjustRightInd w:val="0"/>
        <w:spacing w:line="560" w:lineRule="exact"/>
        <w:ind w:leftChars="200" w:firstLine="320" w:firstLineChars="100"/>
        <w:jc w:val="left"/>
        <w:rPr>
          <w:rFonts w:hint="eastAsia" w:ascii="仿宋_GB2312" w:hAnsi="Times New Roman" w:eastAsia="仿宋_GB2312" w:cs="仿宋_GB2312"/>
          <w:kern w:val="0"/>
          <w:sz w:val="32"/>
          <w:szCs w:val="32"/>
        </w:rPr>
      </w:pPr>
      <w:r>
        <w:rPr>
          <w:rFonts w:hint="eastAsia" w:ascii="仿宋_GB2312" w:hAnsi="Times New Roman" w:eastAsia="仿宋_GB2312" w:cs="仿宋_GB2312"/>
          <w:kern w:val="0"/>
          <w:sz w:val="32"/>
          <w:szCs w:val="32"/>
          <w:lang w:eastAsia="zh-CN"/>
        </w:rPr>
        <w:t>（</w:t>
      </w:r>
      <w:r>
        <w:rPr>
          <w:rFonts w:hint="eastAsia" w:ascii="仿宋_GB2312" w:hAnsi="Times New Roman" w:eastAsia="仿宋_GB2312" w:cs="仿宋_GB2312"/>
          <w:kern w:val="0"/>
          <w:sz w:val="32"/>
          <w:szCs w:val="32"/>
          <w:lang w:val="en-US" w:eastAsia="zh-CN"/>
        </w:rPr>
        <w:t>3</w:t>
      </w:r>
      <w:r>
        <w:rPr>
          <w:rFonts w:hint="eastAsia" w:ascii="仿宋_GB2312" w:hAnsi="Times New Roman" w:eastAsia="仿宋_GB2312" w:cs="仿宋_GB2312"/>
          <w:kern w:val="0"/>
          <w:sz w:val="32"/>
          <w:szCs w:val="32"/>
          <w:lang w:eastAsia="zh-CN"/>
        </w:rPr>
        <w:t>）</w:t>
      </w:r>
      <w:r>
        <w:rPr>
          <w:rFonts w:hint="default" w:ascii="仿宋_GB2312" w:hAnsi="Times New Roman" w:eastAsia="仿宋_GB2312" w:cs="仿宋_GB2312"/>
          <w:kern w:val="0"/>
          <w:sz w:val="32"/>
          <w:szCs w:val="32"/>
        </w:rPr>
        <w:t>效益影响指标</w:t>
      </w:r>
    </w:p>
    <w:p w14:paraId="5287E7C2">
      <w:pPr>
        <w:numPr>
          <w:ilvl w:val="0"/>
          <w:numId w:val="0"/>
        </w:numPr>
        <w:autoSpaceDE w:val="0"/>
        <w:autoSpaceDN w:val="0"/>
        <w:adjustRightInd w:val="0"/>
        <w:spacing w:line="560" w:lineRule="exact"/>
        <w:ind w:leftChars="200" w:firstLine="320" w:firstLineChars="100"/>
        <w:jc w:val="left"/>
        <w:rPr>
          <w:rFonts w:hint="default" w:ascii="仿宋_GB2312" w:hAnsi="Times New Roman" w:eastAsia="仿宋_GB2312" w:cs="仿宋_GB2312"/>
          <w:kern w:val="0"/>
          <w:sz w:val="32"/>
          <w:szCs w:val="32"/>
          <w:lang w:eastAsia="zh-CN"/>
        </w:rPr>
      </w:pPr>
      <w:r>
        <w:rPr>
          <w:rFonts w:hint="eastAsia" w:ascii="仿宋_GB2312" w:hAnsi="Times New Roman" w:eastAsia="仿宋_GB2312" w:cs="仿宋_GB2312"/>
          <w:kern w:val="0"/>
          <w:sz w:val="32"/>
          <w:szCs w:val="32"/>
          <w:lang w:eastAsia="zh-CN"/>
        </w:rPr>
        <w:t>（</w:t>
      </w:r>
      <w:r>
        <w:rPr>
          <w:rFonts w:hint="eastAsia" w:ascii="仿宋_GB2312" w:hAnsi="Times New Roman" w:eastAsia="仿宋_GB2312" w:cs="仿宋_GB2312"/>
          <w:kern w:val="0"/>
          <w:sz w:val="32"/>
          <w:szCs w:val="32"/>
          <w:lang w:val="en-US" w:eastAsia="zh-CN"/>
        </w:rPr>
        <w:t>4</w:t>
      </w:r>
      <w:r>
        <w:rPr>
          <w:rFonts w:hint="eastAsia" w:ascii="仿宋_GB2312" w:hAnsi="Times New Roman" w:eastAsia="仿宋_GB2312" w:cs="仿宋_GB2312"/>
          <w:kern w:val="0"/>
          <w:sz w:val="32"/>
          <w:szCs w:val="32"/>
          <w:lang w:eastAsia="zh-CN"/>
        </w:rPr>
        <w:t>）</w:t>
      </w:r>
      <w:r>
        <w:rPr>
          <w:rFonts w:hint="default" w:ascii="仿宋_GB2312" w:hAnsi="Times New Roman" w:eastAsia="仿宋_GB2312" w:cs="仿宋_GB2312"/>
          <w:kern w:val="0"/>
          <w:sz w:val="32"/>
          <w:szCs w:val="32"/>
          <w:lang w:eastAsia="zh-CN"/>
        </w:rPr>
        <w:t>社会效益</w:t>
      </w:r>
    </w:p>
    <w:p w14:paraId="42F37B81">
      <w:pPr>
        <w:numPr>
          <w:ilvl w:val="0"/>
          <w:numId w:val="0"/>
        </w:numPr>
        <w:autoSpaceDE w:val="0"/>
        <w:autoSpaceDN w:val="0"/>
        <w:adjustRightInd w:val="0"/>
        <w:spacing w:line="560" w:lineRule="exact"/>
        <w:ind w:leftChars="200" w:firstLine="320" w:firstLineChars="100"/>
        <w:jc w:val="left"/>
        <w:rPr>
          <w:rFonts w:hint="default" w:ascii="仿宋_GB2312" w:hAnsi="Times New Roman" w:eastAsia="仿宋_GB2312" w:cs="仿宋_GB2312"/>
          <w:kern w:val="0"/>
          <w:sz w:val="32"/>
          <w:szCs w:val="32"/>
          <w:lang w:eastAsia="zh-CN"/>
        </w:rPr>
      </w:pPr>
      <w:r>
        <w:rPr>
          <w:rFonts w:hint="eastAsia" w:ascii="仿宋_GB2312" w:hAnsi="Times New Roman" w:eastAsia="仿宋_GB2312" w:cs="仿宋_GB2312"/>
          <w:kern w:val="0"/>
          <w:sz w:val="32"/>
          <w:szCs w:val="32"/>
          <w:lang w:eastAsia="zh-CN"/>
        </w:rPr>
        <w:t>（</w:t>
      </w:r>
      <w:r>
        <w:rPr>
          <w:rFonts w:hint="eastAsia" w:ascii="仿宋_GB2312" w:hAnsi="Times New Roman" w:eastAsia="仿宋_GB2312" w:cs="仿宋_GB2312"/>
          <w:kern w:val="0"/>
          <w:sz w:val="32"/>
          <w:szCs w:val="32"/>
          <w:lang w:val="en-US" w:eastAsia="zh-CN"/>
        </w:rPr>
        <w:t>5</w:t>
      </w:r>
      <w:r>
        <w:rPr>
          <w:rFonts w:hint="eastAsia" w:ascii="仿宋_GB2312" w:hAnsi="Times New Roman" w:eastAsia="仿宋_GB2312" w:cs="仿宋_GB2312"/>
          <w:kern w:val="0"/>
          <w:sz w:val="32"/>
          <w:szCs w:val="32"/>
          <w:lang w:eastAsia="zh-CN"/>
        </w:rPr>
        <w:t>）</w:t>
      </w:r>
      <w:r>
        <w:rPr>
          <w:rFonts w:hint="default" w:ascii="仿宋_GB2312" w:hAnsi="Times New Roman" w:eastAsia="仿宋_GB2312" w:cs="仿宋_GB2312"/>
          <w:kern w:val="0"/>
          <w:sz w:val="32"/>
          <w:szCs w:val="32"/>
          <w:lang w:eastAsia="zh-CN"/>
        </w:rPr>
        <w:t>满意度</w:t>
      </w:r>
    </w:p>
    <w:p w14:paraId="1F1C8277">
      <w:pPr>
        <w:autoSpaceDE w:val="0"/>
        <w:autoSpaceDN w:val="0"/>
        <w:adjustRightInd w:val="0"/>
        <w:spacing w:line="560" w:lineRule="exact"/>
        <w:ind w:firstLine="640" w:firstLineChars="200"/>
        <w:jc w:val="left"/>
        <w:rPr>
          <w:rFonts w:hint="default" w:ascii="仿宋_GB2312" w:hAnsi="Times New Roman" w:eastAsia="仿宋_GB2312" w:cs="仿宋_GB2312"/>
          <w:kern w:val="0"/>
          <w:sz w:val="32"/>
          <w:szCs w:val="32"/>
        </w:rPr>
      </w:pPr>
      <w:r>
        <w:rPr>
          <w:rFonts w:hint="default" w:ascii="仿宋_GB2312" w:hAnsi="Times New Roman" w:eastAsia="仿宋_GB2312" w:cs="仿宋_GB2312"/>
          <w:kern w:val="0"/>
          <w:sz w:val="32"/>
          <w:szCs w:val="32"/>
        </w:rPr>
        <w:t>三、评价方法</w:t>
      </w:r>
    </w:p>
    <w:p w14:paraId="5C29567E">
      <w:pPr>
        <w:autoSpaceDE w:val="0"/>
        <w:autoSpaceDN w:val="0"/>
        <w:adjustRightInd w:val="0"/>
        <w:spacing w:line="560" w:lineRule="exact"/>
        <w:ind w:firstLine="640" w:firstLineChars="200"/>
        <w:jc w:val="left"/>
        <w:rPr>
          <w:rFonts w:hint="eastAsia" w:ascii="仿宋_GB2312" w:hAnsi="Times New Roman" w:eastAsia="仿宋_GB2312" w:cs="仿宋_GB2312"/>
          <w:kern w:val="0"/>
          <w:sz w:val="32"/>
          <w:szCs w:val="32"/>
        </w:rPr>
      </w:pPr>
      <w:r>
        <w:rPr>
          <w:rFonts w:hint="default" w:ascii="仿宋_GB2312" w:hAnsi="Times New Roman" w:eastAsia="仿宋_GB2312" w:cs="仿宋_GB2312"/>
          <w:kern w:val="0"/>
          <w:sz w:val="32"/>
          <w:szCs w:val="32"/>
        </w:rPr>
        <w:t>比较法：将实际绩效与计划目标、历史数据（如第四次经济普查结果）或行业标准对比。</w:t>
      </w:r>
    </w:p>
    <w:p w14:paraId="27A1DC6F">
      <w:pPr>
        <w:autoSpaceDE w:val="0"/>
        <w:autoSpaceDN w:val="0"/>
        <w:adjustRightInd w:val="0"/>
        <w:spacing w:line="560" w:lineRule="exact"/>
        <w:ind w:firstLine="640" w:firstLineChars="200"/>
        <w:jc w:val="left"/>
        <w:rPr>
          <w:rFonts w:hint="eastAsia" w:ascii="仿宋_GB2312" w:hAnsi="Times New Roman" w:eastAsia="仿宋_GB2312" w:cs="仿宋_GB2312"/>
          <w:kern w:val="0"/>
          <w:sz w:val="32"/>
          <w:szCs w:val="32"/>
        </w:rPr>
      </w:pPr>
      <w:r>
        <w:rPr>
          <w:rFonts w:hint="default" w:ascii="仿宋_GB2312" w:hAnsi="Times New Roman" w:eastAsia="仿宋_GB2312" w:cs="仿宋_GB2312"/>
          <w:kern w:val="0"/>
          <w:sz w:val="32"/>
          <w:szCs w:val="32"/>
        </w:rPr>
        <w:t>因素分析法：分析影响绩效目标实现的内外部因素（如政策执行力度、资金到位时效等）。</w:t>
      </w:r>
    </w:p>
    <w:p w14:paraId="2BFC7633">
      <w:pPr>
        <w:autoSpaceDE w:val="0"/>
        <w:autoSpaceDN w:val="0"/>
        <w:adjustRightInd w:val="0"/>
        <w:spacing w:line="560" w:lineRule="exact"/>
        <w:ind w:firstLine="640" w:firstLineChars="200"/>
        <w:jc w:val="left"/>
        <w:rPr>
          <w:rFonts w:hint="default" w:ascii="仿宋_GB2312" w:hAnsi="Times New Roman" w:eastAsia="仿宋_GB2312" w:cs="仿宋_GB2312"/>
          <w:kern w:val="0"/>
          <w:sz w:val="32"/>
          <w:szCs w:val="32"/>
        </w:rPr>
      </w:pPr>
      <w:r>
        <w:rPr>
          <w:rFonts w:hint="default" w:ascii="仿宋_GB2312" w:hAnsi="Times New Roman" w:eastAsia="仿宋_GB2312" w:cs="仿宋_GB2312"/>
          <w:kern w:val="0"/>
          <w:sz w:val="32"/>
          <w:szCs w:val="32"/>
        </w:rPr>
        <w:t>四、评价标准</w:t>
      </w:r>
    </w:p>
    <w:p w14:paraId="6383D961">
      <w:pPr>
        <w:autoSpaceDE w:val="0"/>
        <w:autoSpaceDN w:val="0"/>
        <w:adjustRightInd w:val="0"/>
        <w:spacing w:line="560" w:lineRule="exact"/>
        <w:ind w:firstLine="640" w:firstLineChars="200"/>
        <w:jc w:val="left"/>
        <w:rPr>
          <w:rFonts w:hint="default" w:ascii="仿宋_GB2312" w:hAnsi="Times New Roman" w:eastAsia="仿宋_GB2312" w:cs="仿宋_GB2312"/>
          <w:kern w:val="0"/>
          <w:sz w:val="32"/>
          <w:szCs w:val="32"/>
        </w:rPr>
      </w:pPr>
      <w:r>
        <w:rPr>
          <w:rFonts w:hint="default" w:ascii="仿宋_GB2312" w:hAnsi="Times New Roman" w:eastAsia="仿宋_GB2312" w:cs="仿宋_GB2312"/>
          <w:kern w:val="0"/>
          <w:sz w:val="32"/>
          <w:szCs w:val="32"/>
        </w:rPr>
        <w:t>计划标准：以项目申报时设定的绩效目标（如数量、时效、成本）为基准。</w:t>
      </w:r>
    </w:p>
    <w:p w14:paraId="4CDD6344">
      <w:pPr>
        <w:autoSpaceDE w:val="0"/>
        <w:autoSpaceDN w:val="0"/>
        <w:adjustRightInd w:val="0"/>
        <w:spacing w:line="560" w:lineRule="exact"/>
        <w:ind w:firstLine="640" w:firstLineChars="200"/>
        <w:jc w:val="left"/>
        <w:rPr>
          <w:rFonts w:hint="default" w:ascii="仿宋_GB2312" w:hAnsi="Times New Roman" w:eastAsia="仿宋_GB2312" w:cs="仿宋_GB2312"/>
          <w:kern w:val="0"/>
          <w:sz w:val="32"/>
          <w:szCs w:val="32"/>
        </w:rPr>
      </w:pPr>
      <w:r>
        <w:rPr>
          <w:rFonts w:hint="default" w:ascii="仿宋_GB2312" w:hAnsi="Times New Roman" w:eastAsia="仿宋_GB2312" w:cs="仿宋_GB2312"/>
          <w:kern w:val="0"/>
          <w:sz w:val="32"/>
          <w:szCs w:val="32"/>
        </w:rPr>
        <w:t>量化阈值：如资金发放率100%、数据审核通过率≥95%、满意度≥90%等硬性指标。</w:t>
      </w:r>
    </w:p>
    <w:p w14:paraId="1C86531A">
      <w:pPr>
        <w:autoSpaceDE w:val="0"/>
        <w:autoSpaceDN w:val="0"/>
        <w:adjustRightInd w:val="0"/>
        <w:spacing w:line="560" w:lineRule="exact"/>
        <w:ind w:firstLine="640" w:firstLineChars="200"/>
        <w:jc w:val="left"/>
        <w:rPr>
          <w:rFonts w:ascii="仿宋_GB2312" w:eastAsia="仿宋_GB2312" w:cs="仿宋_GB2312"/>
          <w:kern w:val="0"/>
          <w:szCs w:val="32"/>
        </w:rPr>
      </w:pPr>
      <w:r>
        <w:rPr>
          <w:rFonts w:hint="eastAsia" w:ascii="仿宋_GB2312" w:hAnsi="Times New Roman" w:eastAsia="仿宋_GB2312" w:cs="仿宋_GB2312"/>
          <w:kern w:val="0"/>
          <w:sz w:val="32"/>
          <w:szCs w:val="32"/>
        </w:rPr>
        <w:t>（三）绩效评价工作过程。</w:t>
      </w:r>
    </w:p>
    <w:p w14:paraId="56A704F1">
      <w:pPr>
        <w:numPr>
          <w:ilvl w:val="0"/>
          <w:numId w:val="0"/>
        </w:numPr>
        <w:spacing w:line="620" w:lineRule="exact"/>
        <w:rPr>
          <w:rFonts w:hint="default" w:ascii="仿宋_GB2312" w:hAnsi="宋体" w:cs="仿宋_GB2312"/>
          <w:sz w:val="32"/>
          <w:szCs w:val="32"/>
          <w:lang w:val="en-US" w:eastAsia="zh-CN"/>
        </w:rPr>
      </w:pPr>
      <w:r>
        <w:rPr>
          <w:rFonts w:hint="eastAsia" w:ascii="仿宋_GB2312" w:hAnsi="宋体" w:cs="仿宋_GB2312"/>
          <w:sz w:val="32"/>
          <w:szCs w:val="32"/>
          <w:lang w:val="en-US" w:eastAsia="zh-CN"/>
        </w:rPr>
        <w:t xml:space="preserve">   </w:t>
      </w:r>
      <w:r>
        <w:rPr>
          <w:rFonts w:hint="eastAsia" w:ascii="仿宋_GB2312" w:hAnsi="仿宋_GB2312" w:eastAsia="仿宋_GB2312" w:cs="仿宋_GB2312"/>
          <w:b w:val="0"/>
          <w:bCs w:val="0"/>
          <w:sz w:val="32"/>
          <w:szCs w:val="32"/>
          <w:u w:val="none"/>
          <w:lang w:val="en-US" w:eastAsia="zh-CN"/>
        </w:rPr>
        <w:t xml:space="preserve"> 对项目资金收支情况进行核查，对各项工作进行绩效评价。</w:t>
      </w:r>
    </w:p>
    <w:p w14:paraId="4E77047D">
      <w:pPr>
        <w:autoSpaceDE w:val="0"/>
        <w:autoSpaceDN w:val="0"/>
        <w:adjustRightInd w:val="0"/>
        <w:spacing w:line="560" w:lineRule="exact"/>
        <w:ind w:firstLine="640" w:firstLineChars="200"/>
        <w:jc w:val="left"/>
        <w:rPr>
          <w:rFonts w:hint="eastAsia" w:ascii="仿宋_GB2312" w:hAnsi="Times New Roman" w:eastAsia="仿宋_GB2312" w:cs="仿宋_GB2312"/>
          <w:kern w:val="0"/>
          <w:sz w:val="32"/>
          <w:szCs w:val="32"/>
          <w:lang w:val="en-US" w:eastAsia="zh-CN"/>
        </w:rPr>
      </w:pPr>
      <w:r>
        <w:rPr>
          <w:rFonts w:hint="eastAsia" w:ascii="仿宋_GB2312" w:hAnsi="Times New Roman" w:eastAsia="仿宋_GB2312" w:cs="仿宋_GB2312"/>
          <w:kern w:val="0"/>
          <w:sz w:val="32"/>
          <w:szCs w:val="32"/>
          <w:lang w:eastAsia="zh-CN"/>
        </w:rPr>
        <w:t>（</w:t>
      </w:r>
      <w:r>
        <w:rPr>
          <w:rFonts w:hint="eastAsia" w:ascii="仿宋_GB2312" w:hAnsi="Times New Roman" w:eastAsia="仿宋_GB2312" w:cs="仿宋_GB2312"/>
          <w:kern w:val="0"/>
          <w:sz w:val="32"/>
          <w:szCs w:val="32"/>
          <w:lang w:val="en-US" w:eastAsia="zh-CN"/>
        </w:rPr>
        <w:t>四</w:t>
      </w:r>
      <w:r>
        <w:rPr>
          <w:rFonts w:hint="eastAsia" w:ascii="仿宋_GB2312" w:hAnsi="Times New Roman" w:eastAsia="仿宋_GB2312" w:cs="仿宋_GB2312"/>
          <w:kern w:val="0"/>
          <w:sz w:val="32"/>
          <w:szCs w:val="32"/>
          <w:lang w:eastAsia="zh-CN"/>
        </w:rPr>
        <w:t>）</w:t>
      </w:r>
      <w:r>
        <w:rPr>
          <w:rFonts w:hint="eastAsia" w:ascii="仿宋_GB2312" w:hAnsi="Times New Roman" w:eastAsia="仿宋_GB2312" w:cs="仿宋_GB2312"/>
          <w:kern w:val="0"/>
          <w:sz w:val="32"/>
          <w:szCs w:val="32"/>
        </w:rPr>
        <w:t>评价</w:t>
      </w:r>
      <w:r>
        <w:rPr>
          <w:rFonts w:hint="eastAsia" w:ascii="仿宋_GB2312" w:hAnsi="Times New Roman" w:eastAsia="仿宋_GB2312" w:cs="仿宋_GB2312"/>
          <w:kern w:val="0"/>
          <w:sz w:val="32"/>
          <w:szCs w:val="32"/>
          <w:lang w:val="en-US" w:eastAsia="zh-CN"/>
        </w:rPr>
        <w:t>方式</w:t>
      </w:r>
    </w:p>
    <w:p w14:paraId="221E9A90">
      <w:pPr>
        <w:numPr>
          <w:ilvl w:val="0"/>
          <w:numId w:val="0"/>
        </w:numPr>
        <w:spacing w:line="620" w:lineRule="exact"/>
        <w:rPr>
          <w:rFonts w:hint="default" w:ascii="仿宋_GB2312" w:hAnsi="宋体" w:cs="仿宋_GB2312"/>
          <w:sz w:val="32"/>
          <w:szCs w:val="32"/>
          <w:lang w:val="en-US" w:eastAsia="zh-CN"/>
        </w:rPr>
      </w:pPr>
      <w:r>
        <w:rPr>
          <w:rFonts w:hint="eastAsia" w:ascii="仿宋_GB2312" w:hAnsi="仿宋_GB2312" w:eastAsia="仿宋_GB2312" w:cs="仿宋_GB2312"/>
          <w:b w:val="0"/>
          <w:bCs w:val="0"/>
          <w:sz w:val="32"/>
          <w:szCs w:val="32"/>
          <w:u w:val="none"/>
          <w:lang w:val="en-US" w:eastAsia="zh-CN"/>
        </w:rPr>
        <w:t>成立安义县乡镇、工业园区、规上企业统计工作经费项目支出绩效评价工作小组，对项目资金收支情况进行核查，对各项工作进行绩效评价。</w:t>
      </w:r>
    </w:p>
    <w:p w14:paraId="611E8F21">
      <w:pPr>
        <w:numPr>
          <w:ilvl w:val="0"/>
          <w:numId w:val="3"/>
        </w:numPr>
        <w:autoSpaceDE w:val="0"/>
        <w:autoSpaceDN w:val="0"/>
        <w:adjustRightInd w:val="0"/>
        <w:spacing w:beforeLines="0" w:afterLines="0" w:line="560" w:lineRule="exact"/>
        <w:ind w:firstLine="640" w:firstLineChars="200"/>
        <w:jc w:val="left"/>
        <w:rPr>
          <w:rFonts w:hint="eastAsia" w:ascii="黑体" w:hAnsi="宋体" w:eastAsia="黑体"/>
          <w:kern w:val="0"/>
          <w:sz w:val="32"/>
        </w:rPr>
      </w:pPr>
      <w:r>
        <w:rPr>
          <w:rFonts w:hint="eastAsia" w:ascii="黑体" w:hAnsi="宋体" w:eastAsia="黑体"/>
          <w:kern w:val="0"/>
          <w:sz w:val="32"/>
        </w:rPr>
        <w:t>综合评价情况及评价结论</w:t>
      </w:r>
    </w:p>
    <w:p w14:paraId="2376DE3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根据《安义县人民政府关于进一步加强统计工作的意见》（安府字[2019]1号）和《江西省统计局转发国家统计局关于进一步做好年度人口抽样调查工作的通知》(赣统发〔2021〕63号)全面完成2024年统计工作经费拨付。同时加强项目预算收支的管理，建立健全内部管理制度，严格内部管理流程。根据《项目支出绩效评价指标》评分，得分95.0分。</w:t>
      </w:r>
    </w:p>
    <w:p w14:paraId="2728DAC5">
      <w:pPr>
        <w:autoSpaceDE w:val="0"/>
        <w:autoSpaceDN w:val="0"/>
        <w:adjustRightInd w:val="0"/>
        <w:spacing w:beforeLines="0" w:afterLines="0" w:line="560" w:lineRule="exact"/>
        <w:ind w:firstLine="640" w:firstLineChars="200"/>
        <w:jc w:val="left"/>
        <w:rPr>
          <w:rFonts w:hint="eastAsia" w:ascii="仿宋_GB2312" w:eastAsia="仿宋_GB2312"/>
          <w:kern w:val="0"/>
          <w:sz w:val="21"/>
        </w:rPr>
      </w:pPr>
      <w:r>
        <w:rPr>
          <w:rFonts w:hint="eastAsia" w:ascii="黑体" w:hAnsi="宋体" w:eastAsia="黑体"/>
          <w:kern w:val="0"/>
          <w:sz w:val="32"/>
        </w:rPr>
        <w:t>四、绩效评价指标分析</w:t>
      </w:r>
    </w:p>
    <w:p w14:paraId="43C3DBE5">
      <w:pPr>
        <w:spacing w:line="600" w:lineRule="exact"/>
        <w:ind w:firstLine="640" w:firstLineChars="200"/>
        <w:outlineLvl w:val="0"/>
        <w:rPr>
          <w:rFonts w:hint="default" w:ascii="仿宋_GB2312" w:eastAsia="仿宋"/>
          <w:lang w:val="en-US" w:eastAsia="zh-CN"/>
        </w:rPr>
      </w:pPr>
      <w:r>
        <w:rPr>
          <w:rFonts w:hint="eastAsia" w:ascii="仿宋_GB2312" w:hAnsi="仿宋_GB2312" w:eastAsia="仿宋_GB2312" w:cs="仿宋_GB2312"/>
          <w:sz w:val="32"/>
          <w:szCs w:val="32"/>
        </w:rPr>
        <w:t>（一）项目决策情况。</w:t>
      </w:r>
      <w:r>
        <w:rPr>
          <w:rFonts w:hint="eastAsia" w:ascii="仿宋_GB2312" w:hAnsi="仿宋_GB2312" w:eastAsia="仿宋_GB2312" w:cs="仿宋_GB2312"/>
          <w:color w:val="333333"/>
          <w:sz w:val="32"/>
          <w:szCs w:val="32"/>
          <w:u w:val="none"/>
        </w:rPr>
        <w:t>成立县统计工作协调领导小组，各乡镇政府、县发改委、县财政局、县工信</w:t>
      </w:r>
      <w:r>
        <w:rPr>
          <w:rFonts w:hint="eastAsia" w:ascii="仿宋_GB2312" w:hAnsi="仿宋_GB2312" w:eastAsia="仿宋_GB2312" w:cs="仿宋_GB2312"/>
          <w:color w:val="333333"/>
          <w:sz w:val="32"/>
          <w:szCs w:val="32"/>
          <w:u w:val="none"/>
          <w:lang w:val="en-US" w:eastAsia="zh-CN"/>
        </w:rPr>
        <w:t>局</w:t>
      </w:r>
      <w:r>
        <w:rPr>
          <w:rFonts w:hint="eastAsia" w:ascii="仿宋_GB2312" w:hAnsi="仿宋_GB2312" w:eastAsia="仿宋_GB2312" w:cs="仿宋_GB2312"/>
          <w:color w:val="333333"/>
          <w:sz w:val="32"/>
          <w:szCs w:val="32"/>
          <w:u w:val="none"/>
        </w:rPr>
        <w:t>、县商务局、县住建局（县房管局）、工业园区管委会、县税务局、县</w:t>
      </w:r>
      <w:r>
        <w:rPr>
          <w:rFonts w:hint="eastAsia" w:ascii="仿宋_GB2312" w:hAnsi="仿宋_GB2312" w:eastAsia="仿宋_GB2312" w:cs="仿宋_GB2312"/>
          <w:color w:val="333333"/>
          <w:sz w:val="32"/>
          <w:szCs w:val="32"/>
          <w:u w:val="none"/>
          <w:lang w:val="en-US" w:eastAsia="zh-CN"/>
        </w:rPr>
        <w:t>委</w:t>
      </w:r>
      <w:r>
        <w:rPr>
          <w:rFonts w:hint="eastAsia" w:ascii="仿宋_GB2312" w:hAnsi="仿宋_GB2312" w:eastAsia="仿宋_GB2312" w:cs="仿宋_GB2312"/>
          <w:color w:val="333333"/>
          <w:sz w:val="32"/>
          <w:szCs w:val="32"/>
          <w:u w:val="none"/>
        </w:rPr>
        <w:t>编办、县公安局等部门为成员单位，其主要职责是为统计部门抓基层、抓源头提供有力支持，协助和配合统计部门做好“企业一套表”改革工作。企业享受有关政策性奖励和补贴，参与星级企业评定、企业资质评定、名牌产品以及各种荣誉申报，涉及统计数据的，必须以上报统计部门的数据为依据。县</w:t>
      </w:r>
      <w:bookmarkStart w:id="0" w:name="_GoBack"/>
      <w:bookmarkEnd w:id="0"/>
      <w:r>
        <w:rPr>
          <w:rFonts w:hint="eastAsia" w:ascii="仿宋_GB2312" w:hAnsi="仿宋_GB2312" w:eastAsia="仿宋_GB2312" w:cs="仿宋_GB2312"/>
          <w:color w:val="333333"/>
          <w:sz w:val="32"/>
          <w:szCs w:val="32"/>
          <w:u w:val="none"/>
        </w:rPr>
        <w:t>税务局、县财政局、县公安局等部门，要及时向统计部门提供本部门行政记录，协助统计部门定期做好调查单位名录库更新、维护和确认工作，确保所有单位及时进入基本单位名录库，符合条件的企业全面纳入统计范围。各有关部门要在人员配备、经费保障、信息化建设等方面，为统计工作及“企业一套表”改革提供有利条件，并将此纳入对各单位的年度考核，明确分值，依据统计法律法规对统计工作进行定期考核，建立奖惩机制。</w:t>
      </w:r>
    </w:p>
    <w:p w14:paraId="71DB8BE5">
      <w:pPr>
        <w:spacing w:line="600" w:lineRule="exact"/>
        <w:ind w:firstLine="640" w:firstLineChars="200"/>
        <w:outlineLvl w:val="0"/>
        <w:rPr>
          <w:rFonts w:hint="eastAsia" w:ascii="仿宋_GB2312" w:hAnsi="仿宋_GB2312" w:eastAsia="仿宋_GB2312" w:cs="仿宋_GB2312"/>
          <w:color w:val="333333"/>
          <w:sz w:val="32"/>
          <w:szCs w:val="32"/>
          <w:u w:val="none"/>
        </w:rPr>
      </w:pPr>
      <w:r>
        <w:rPr>
          <w:rFonts w:hint="eastAsia" w:ascii="仿宋_GB2312" w:hAnsi="仿宋_GB2312" w:eastAsia="仿宋_GB2312" w:cs="仿宋_GB2312"/>
          <w:sz w:val="32"/>
          <w:szCs w:val="32"/>
        </w:rPr>
        <w:t>（二）</w:t>
      </w:r>
      <w:r>
        <w:rPr>
          <w:rFonts w:hint="eastAsia" w:ascii="仿宋_GB2312" w:hAnsi="仿宋_GB2312" w:eastAsia="仿宋_GB2312" w:cs="仿宋_GB2312"/>
          <w:color w:val="333333"/>
          <w:sz w:val="32"/>
          <w:szCs w:val="32"/>
          <w:u w:val="none"/>
        </w:rPr>
        <w:t>项目过程情况。县统计局工作经费列入县财政预算，按时拨付，确保到位。根据工作需要，切实做好人口抽样调查保障工作，做好人力、物力、财力保障支持，落实“两员”工作补贴和其它必要的调查经费，为顺利开展调查提供必要经费保障。</w:t>
      </w:r>
    </w:p>
    <w:p w14:paraId="513405A7">
      <w:pPr>
        <w:spacing w:line="600" w:lineRule="exact"/>
        <w:ind w:firstLine="640" w:firstLineChars="200"/>
        <w:outlineLvl w:val="0"/>
        <w:rPr>
          <w:rFonts w:hint="eastAsia" w:ascii="仿宋_GB2312" w:hAnsi="仿宋_GB2312" w:eastAsia="仿宋_GB2312" w:cs="仿宋_GB2312"/>
          <w:color w:val="333333"/>
          <w:sz w:val="32"/>
          <w:szCs w:val="32"/>
          <w:u w:val="none"/>
        </w:rPr>
      </w:pPr>
      <w:r>
        <w:rPr>
          <w:rFonts w:hint="eastAsia" w:ascii="仿宋_GB2312" w:hAnsi="仿宋_GB2312" w:eastAsia="仿宋_GB2312" w:cs="仿宋_GB2312"/>
          <w:color w:val="333333"/>
          <w:sz w:val="32"/>
          <w:szCs w:val="32"/>
          <w:u w:val="none"/>
        </w:rPr>
        <w:t>（三）项目产出情况。“五上”527户，每户企业，每个季度150元，用于五上企业统计从业人员、各乡镇（处）、园区相关人员业务培训。</w:t>
      </w:r>
    </w:p>
    <w:p w14:paraId="41A16F62">
      <w:pPr>
        <w:spacing w:line="600" w:lineRule="exact"/>
        <w:ind w:firstLine="640" w:firstLineChars="200"/>
        <w:outlineLvl w:val="0"/>
        <w:rPr>
          <w:rFonts w:hint="default" w:ascii="仿宋_GB2312" w:hAnsi="仿宋_GB2312" w:eastAsia="仿宋_GB2312" w:cs="仿宋_GB2312"/>
          <w:color w:val="333333"/>
          <w:sz w:val="32"/>
          <w:szCs w:val="32"/>
          <w:u w:val="none"/>
          <w:lang w:val="en-US" w:eastAsia="zh-CN"/>
        </w:rPr>
      </w:pPr>
      <w:r>
        <w:rPr>
          <w:rFonts w:hint="eastAsia" w:ascii="仿宋_GB2312" w:hAnsi="仿宋_GB2312" w:eastAsia="仿宋_GB2312" w:cs="仿宋_GB2312"/>
          <w:sz w:val="32"/>
          <w:szCs w:val="32"/>
        </w:rPr>
        <w:t>（四）</w:t>
      </w:r>
      <w:r>
        <w:rPr>
          <w:rFonts w:hint="eastAsia" w:ascii="仿宋_GB2312" w:hAnsi="仿宋_GB2312" w:eastAsia="仿宋_GB2312" w:cs="仿宋_GB2312"/>
          <w:color w:val="333333"/>
          <w:sz w:val="32"/>
          <w:szCs w:val="32"/>
          <w:u w:val="none"/>
        </w:rPr>
        <w:t>项目效益情况。</w:t>
      </w:r>
      <w:r>
        <w:rPr>
          <w:rFonts w:hint="eastAsia" w:ascii="仿宋_GB2312" w:hAnsi="仿宋_GB2312" w:eastAsia="仿宋_GB2312" w:cs="仿宋_GB2312"/>
          <w:color w:val="333333"/>
          <w:sz w:val="32"/>
          <w:szCs w:val="32"/>
          <w:u w:val="none"/>
          <w:lang w:val="en-US" w:eastAsia="zh-CN"/>
        </w:rPr>
        <w:t>各乡镇（农垦办）、园区管委会统计基础建设得到加强；企业配合程度大幅提高，统计数据真实性、及时性、准确性得到有效保障，统计人员业务素质不断提高。</w:t>
      </w:r>
    </w:p>
    <w:p w14:paraId="3681CD3F">
      <w:pPr>
        <w:autoSpaceDE w:val="0"/>
        <w:autoSpaceDN w:val="0"/>
        <w:adjustRightInd w:val="0"/>
        <w:spacing w:beforeLines="0" w:afterLines="0" w:line="560" w:lineRule="exact"/>
        <w:ind w:firstLine="640" w:firstLineChars="200"/>
        <w:jc w:val="left"/>
        <w:rPr>
          <w:rFonts w:hint="eastAsia" w:ascii="黑体" w:hAnsi="宋体" w:eastAsia="黑体"/>
          <w:kern w:val="0"/>
          <w:sz w:val="32"/>
        </w:rPr>
      </w:pPr>
      <w:r>
        <w:rPr>
          <w:rFonts w:hint="eastAsia" w:ascii="黑体" w:hAnsi="宋体" w:eastAsia="黑体"/>
          <w:kern w:val="0"/>
          <w:sz w:val="32"/>
        </w:rPr>
        <w:t>五、主要经验及做法、存在的问题及原因分析</w:t>
      </w:r>
    </w:p>
    <w:p w14:paraId="42EEDB7B">
      <w:pPr>
        <w:spacing w:line="600" w:lineRule="exact"/>
        <w:ind w:firstLine="640" w:firstLineChars="200"/>
        <w:outlineLvl w:val="0"/>
        <w:rPr>
          <w:rFonts w:hint="default" w:ascii="仿宋_GB2312" w:hAnsi="仿宋_GB2312" w:eastAsia="仿宋_GB2312" w:cs="仿宋_GB2312"/>
          <w:color w:val="333333"/>
          <w:sz w:val="32"/>
          <w:szCs w:val="32"/>
          <w:u w:val="none"/>
          <w:lang w:val="en-US" w:eastAsia="zh-CN"/>
        </w:rPr>
      </w:pPr>
      <w:r>
        <w:rPr>
          <w:rFonts w:hint="eastAsia" w:ascii="仿宋_GB2312" w:hAnsi="仿宋_GB2312" w:eastAsia="仿宋_GB2312" w:cs="仿宋_GB2312"/>
          <w:color w:val="333333"/>
          <w:sz w:val="32"/>
          <w:szCs w:val="32"/>
          <w:u w:val="none"/>
          <w:lang w:val="en-US" w:eastAsia="zh-CN"/>
        </w:rPr>
        <w:t>一是严格按照和执行资金使用管理的相关规定；二是根据实际情况进行费用结算，保证财政资金使用效率；三是提高工作质量、效益，确保专款专用，资金及时拨付到位。</w:t>
      </w:r>
    </w:p>
    <w:p w14:paraId="11D10AA1">
      <w:pPr>
        <w:numPr>
          <w:ilvl w:val="0"/>
          <w:numId w:val="4"/>
        </w:numPr>
        <w:autoSpaceDE w:val="0"/>
        <w:autoSpaceDN w:val="0"/>
        <w:adjustRightInd w:val="0"/>
        <w:spacing w:line="560" w:lineRule="exact"/>
        <w:ind w:firstLine="640" w:firstLineChars="200"/>
        <w:jc w:val="left"/>
        <w:rPr>
          <w:rFonts w:hint="eastAsia" w:ascii="黑体" w:hAnsi="宋体" w:eastAsia="黑体" w:cs="仿宋_GB2312"/>
          <w:kern w:val="0"/>
          <w:sz w:val="32"/>
          <w:szCs w:val="32"/>
        </w:rPr>
      </w:pPr>
      <w:r>
        <w:rPr>
          <w:rFonts w:hint="eastAsia" w:ascii="黑体" w:hAnsi="宋体" w:eastAsia="黑体" w:cs="仿宋_GB2312"/>
          <w:kern w:val="0"/>
          <w:sz w:val="32"/>
          <w:szCs w:val="32"/>
        </w:rPr>
        <w:t>有关建议</w:t>
      </w:r>
    </w:p>
    <w:p w14:paraId="6140E58C">
      <w:pPr>
        <w:pStyle w:val="2"/>
        <w:numPr>
          <w:ilvl w:val="0"/>
          <w:numId w:val="0"/>
        </w:numPr>
        <w:ind w:firstLine="640" w:firstLineChars="200"/>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无</w:t>
      </w:r>
    </w:p>
    <w:p w14:paraId="1B39B64F">
      <w:pPr>
        <w:numPr>
          <w:ilvl w:val="0"/>
          <w:numId w:val="4"/>
        </w:numPr>
        <w:autoSpaceDE w:val="0"/>
        <w:autoSpaceDN w:val="0"/>
        <w:adjustRightInd w:val="0"/>
        <w:spacing w:line="560" w:lineRule="exact"/>
        <w:ind w:left="0" w:leftChars="0" w:firstLine="640" w:firstLineChars="200"/>
        <w:jc w:val="left"/>
        <w:rPr>
          <w:rFonts w:hint="eastAsia" w:ascii="黑体" w:hAnsi="宋体" w:eastAsia="黑体" w:cs="仿宋_GB2312"/>
          <w:kern w:val="0"/>
          <w:sz w:val="32"/>
          <w:szCs w:val="32"/>
        </w:rPr>
      </w:pPr>
      <w:r>
        <w:rPr>
          <w:rFonts w:hint="eastAsia" w:ascii="黑体" w:hAnsi="宋体" w:eastAsia="黑体" w:cs="仿宋_GB2312"/>
          <w:kern w:val="0"/>
          <w:sz w:val="32"/>
          <w:szCs w:val="32"/>
        </w:rPr>
        <w:t>其他需要说明的问题</w:t>
      </w:r>
    </w:p>
    <w:p w14:paraId="51FBD175">
      <w:pPr>
        <w:pStyle w:val="2"/>
        <w:numPr>
          <w:ilvl w:val="0"/>
          <w:numId w:val="0"/>
        </w:numPr>
        <w:ind w:firstLine="640" w:firstLineChars="200"/>
      </w:pPr>
      <w:r>
        <w:rPr>
          <w:rFonts w:hint="eastAsia" w:ascii="仿宋" w:hAnsi="仿宋" w:eastAsia="仿宋" w:cs="仿宋"/>
          <w:kern w:val="0"/>
          <w:sz w:val="32"/>
          <w:szCs w:val="32"/>
          <w:lang w:val="en-US" w:eastAsia="zh-CN" w:bidi="ar"/>
        </w:rPr>
        <w:t>无</w:t>
      </w:r>
    </w:p>
    <w:p w14:paraId="6DF687C3">
      <w:pPr>
        <w:pStyle w:val="2"/>
        <w:ind w:firstLine="640" w:firstLineChars="200"/>
        <w:rPr>
          <w:rFonts w:ascii="黑体" w:hAnsi="宋体" w:eastAsia="黑体" w:cs="仿宋_GB2312"/>
          <w:kern w:val="0"/>
          <w:sz w:val="32"/>
          <w:szCs w:val="32"/>
        </w:rPr>
      </w:pPr>
      <w:r>
        <w:rPr>
          <w:rFonts w:hint="eastAsia" w:ascii="黑体" w:hAnsi="宋体" w:eastAsia="黑体" w:cs="仿宋_GB2312"/>
          <w:kern w:val="0"/>
          <w:sz w:val="32"/>
          <w:szCs w:val="32"/>
        </w:rPr>
        <w:t>八、项目支出绩效评价指标评分表</w:t>
      </w:r>
    </w:p>
    <w:p w14:paraId="3CB5FE28">
      <w:r>
        <w:drawing>
          <wp:inline distT="0" distB="0" distL="114300" distR="114300">
            <wp:extent cx="5485130" cy="5468620"/>
            <wp:effectExtent l="0" t="0" r="1270" b="1778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5"/>
                    <a:stretch>
                      <a:fillRect/>
                    </a:stretch>
                  </pic:blipFill>
                  <pic:spPr>
                    <a:xfrm>
                      <a:off x="0" y="0"/>
                      <a:ext cx="5485130" cy="5468620"/>
                    </a:xfrm>
                    <a:prstGeom prst="rect">
                      <a:avLst/>
                    </a:prstGeom>
                    <a:noFill/>
                    <a:ln>
                      <a:noFill/>
                    </a:ln>
                  </pic:spPr>
                </pic:pic>
              </a:graphicData>
            </a:graphic>
          </wp:inline>
        </w:drawing>
      </w:r>
    </w:p>
    <w:sectPr>
      <w:pgSz w:w="12240" w:h="15840"/>
      <w:pgMar w:top="1440" w:right="1800" w:bottom="1440" w:left="1800" w:header="720" w:footer="720" w:gutter="0"/>
      <w:lnNumType w:countBy="0" w:distance="36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简体">
    <w:altName w:val="黑体"/>
    <w:panose1 w:val="03000509000000000000"/>
    <w:charset w:val="86"/>
    <w:family w:val="auto"/>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E8A31D"/>
    <w:multiLevelType w:val="singleLevel"/>
    <w:tmpl w:val="86E8A31D"/>
    <w:lvl w:ilvl="0" w:tentative="0">
      <w:start w:val="6"/>
      <w:numFmt w:val="chineseCounting"/>
      <w:suff w:val="nothing"/>
      <w:lvlText w:val="%1、"/>
      <w:lvlJc w:val="left"/>
      <w:rPr>
        <w:rFonts w:hint="eastAsia"/>
      </w:rPr>
    </w:lvl>
  </w:abstractNum>
  <w:abstractNum w:abstractNumId="1">
    <w:nsid w:val="9D585345"/>
    <w:multiLevelType w:val="singleLevel"/>
    <w:tmpl w:val="9D585345"/>
    <w:lvl w:ilvl="0" w:tentative="0">
      <w:start w:val="3"/>
      <w:numFmt w:val="chineseCounting"/>
      <w:suff w:val="nothing"/>
      <w:lvlText w:val="%1、"/>
      <w:lvlJc w:val="left"/>
      <w:rPr>
        <w:rFonts w:hint="eastAsia"/>
      </w:rPr>
    </w:lvl>
  </w:abstractNum>
  <w:abstractNum w:abstractNumId="2">
    <w:nsid w:val="9F3BCA86"/>
    <w:multiLevelType w:val="singleLevel"/>
    <w:tmpl w:val="9F3BCA86"/>
    <w:lvl w:ilvl="0" w:tentative="0">
      <w:start w:val="1"/>
      <w:numFmt w:val="decimal"/>
      <w:suff w:val="nothing"/>
      <w:lvlText w:val="%1、"/>
      <w:lvlJc w:val="left"/>
    </w:lvl>
  </w:abstractNum>
  <w:abstractNum w:abstractNumId="3">
    <w:nsid w:val="E2CB6708"/>
    <w:multiLevelType w:val="singleLevel"/>
    <w:tmpl w:val="E2CB6708"/>
    <w:lvl w:ilvl="0" w:tentative="0">
      <w:start w:val="1"/>
      <w:numFmt w:val="decimal"/>
      <w:suff w:val="nothing"/>
      <w:lvlText w:val="%1、"/>
      <w:lvlJc w:val="left"/>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IzMGViY2MxNTEzODY2ZmNiYzkxNGRjYWE0OGE4ZDcifQ=="/>
  </w:docVars>
  <w:rsids>
    <w:rsidRoot w:val="00172A27"/>
    <w:rsid w:val="22272617"/>
    <w:rsid w:val="25B830CE"/>
    <w:rsid w:val="282F2D5B"/>
    <w:rsid w:val="313553C8"/>
    <w:rsid w:val="587F43BC"/>
    <w:rsid w:val="63C822AA"/>
    <w:rsid w:val="6DF21471"/>
    <w:rsid w:val="6E7907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unhideWhenUsed/>
    <w:qFormat/>
    <w:uiPriority w:val="0"/>
    <w:pPr>
      <w:widowControl w:val="0"/>
      <w:spacing w:beforeLines="0" w:afterLines="0"/>
      <w:jc w:val="both"/>
    </w:pPr>
    <w:rPr>
      <w:rFonts w:hint="default" w:ascii="Calibri" w:hAnsi="Calibri" w:eastAsia="宋体" w:cstheme="minorBidi"/>
      <w:kern w:val="2"/>
      <w:sz w:val="21"/>
      <w:lang w:val="en-US" w:eastAsia="zh-CN"/>
    </w:rPr>
  </w:style>
  <w:style w:type="character" w:default="1" w:styleId="6">
    <w:name w:val="Default Paragraph Font"/>
    <w:autoRedefine/>
    <w:semiHidden/>
    <w:qFormat/>
    <w:uiPriority w:val="0"/>
  </w:style>
  <w:style w:type="table" w:default="1" w:styleId="5">
    <w:name w:val="Normal Table"/>
    <w:autoRedefine/>
    <w:semiHidden/>
    <w:qFormat/>
    <w:uiPriority w:val="0"/>
    <w:tblPr>
      <w:tblCellMar>
        <w:top w:w="0" w:type="dxa"/>
        <w:left w:w="108" w:type="dxa"/>
        <w:bottom w:w="0" w:type="dxa"/>
        <w:right w:w="108" w:type="dxa"/>
      </w:tblCellMar>
    </w:tblPr>
  </w:style>
  <w:style w:type="paragraph" w:styleId="2">
    <w:name w:val="Body Text"/>
    <w:basedOn w:val="1"/>
    <w:next w:val="1"/>
    <w:autoRedefine/>
    <w:unhideWhenUsed/>
    <w:qFormat/>
    <w:uiPriority w:val="0"/>
    <w:pPr>
      <w:spacing w:beforeLines="0" w:after="120" w:afterLines="0"/>
    </w:pPr>
    <w:rPr>
      <w:rFonts w:hint="default"/>
      <w:sz w:val="21"/>
    </w:rPr>
  </w:style>
  <w:style w:type="paragraph" w:styleId="3">
    <w:name w:val="footer"/>
    <w:basedOn w:val="1"/>
    <w:autoRedefine/>
    <w:unhideWhenUsed/>
    <w:qFormat/>
    <w:uiPriority w:val="0"/>
    <w:pPr>
      <w:tabs>
        <w:tab w:val="center" w:pos="4153"/>
        <w:tab w:val="right" w:pos="8306"/>
      </w:tabs>
      <w:snapToGrid w:val="0"/>
      <w:spacing w:beforeLines="0" w:afterLines="0"/>
      <w:jc w:val="left"/>
    </w:pPr>
    <w:rPr>
      <w:rFonts w:hint="default"/>
      <w:sz w:val="18"/>
    </w:rPr>
  </w:style>
  <w:style w:type="paragraph" w:styleId="4">
    <w:name w:val="Normal (Web)"/>
    <w:basedOn w:val="1"/>
    <w:unhideWhenUsed/>
    <w:uiPriority w:val="99"/>
    <w:pPr>
      <w:spacing w:before="100" w:beforeAutospacing="1" w:after="10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image" Target="media/image1.emf"/><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2010</Words>
  <Characters>2054</Characters>
  <Lines>0</Lines>
  <Paragraphs>0</Paragraphs>
  <TotalTime>10</TotalTime>
  <ScaleCrop>false</ScaleCrop>
  <LinksUpToDate>false</LinksUpToDate>
  <CharactersWithSpaces>2058</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2024-04-23T05:58:00Z</dcterms:created>
  <dc:creator>ASUS</dc:creator>
  <cp:lastModifiedBy>叶上初阳干宿雨</cp:lastModifiedBy>
  <dcterms:modified xsi:type="dcterms:W3CDTF">2025-04-24T08:01:06Z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CF3739A2DE8E4AC78B4FF52E083CED8D_13</vt:lpwstr>
  </property>
  <property fmtid="{D5CDD505-2E9C-101B-9397-08002B2CF9AE}" pid="4" name="KSOTemplateDocerSaveRecord">
    <vt:lpwstr>eyJoZGlkIjoiNjdhMGFmZGY3NTJkZGRiYmE0ZWVmZGUzZDgyM2I4MzkiLCJ1c2VySWQiOiI0MTY4MDk4NDUifQ==</vt:lpwstr>
  </property>
</Properties>
</file>