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7446E2">
      <w:pPr>
        <w:spacing w:before="97" w:line="218" w:lineRule="auto"/>
        <w:ind w:firstLine="791" w:firstLineChars="200"/>
        <w:rPr>
          <w:rFonts w:ascii="宋体" w:hAnsi="宋体" w:eastAsia="宋体" w:cs="宋体"/>
          <w:sz w:val="36"/>
          <w:szCs w:val="36"/>
        </w:rPr>
      </w:pPr>
      <w:r>
        <w:rPr>
          <w:rFonts w:hint="eastAsia" w:ascii="宋体" w:hAnsi="宋体" w:eastAsia="宋体" w:cs="宋体"/>
          <w:b/>
          <w:bCs/>
          <w:spacing w:val="17"/>
          <w:sz w:val="36"/>
          <w:szCs w:val="36"/>
          <w:lang w:val="en-US" w:eastAsia="zh-CN"/>
        </w:rPr>
        <w:t>安义县融媒体中心</w:t>
      </w:r>
      <w:r>
        <w:rPr>
          <w:rFonts w:ascii="宋体" w:hAnsi="宋体" w:eastAsia="宋体" w:cs="宋体"/>
          <w:b/>
          <w:bCs/>
          <w:spacing w:val="17"/>
          <w:sz w:val="36"/>
          <w:szCs w:val="36"/>
        </w:rPr>
        <w:t>项目支出部门评价报告</w:t>
      </w:r>
    </w:p>
    <w:p w14:paraId="4B2FC86A">
      <w:pPr>
        <w:spacing w:before="177" w:line="225" w:lineRule="auto"/>
        <w:ind w:firstLine="3280" w:firstLineChars="1000"/>
        <w:rPr>
          <w:rFonts w:ascii="楷体" w:hAnsi="楷体" w:eastAsia="楷体" w:cs="楷体"/>
          <w:sz w:val="31"/>
          <w:szCs w:val="31"/>
        </w:rPr>
      </w:pPr>
      <w:r>
        <w:rPr>
          <w:rFonts w:ascii="楷体" w:hAnsi="楷体" w:eastAsia="楷体" w:cs="楷体"/>
          <w:spacing w:val="9"/>
          <w:sz w:val="31"/>
          <w:szCs w:val="31"/>
        </w:rPr>
        <w:t>(</w:t>
      </w:r>
      <w:r>
        <w:rPr>
          <w:rFonts w:hint="eastAsia" w:ascii="楷体" w:hAnsi="楷体" w:eastAsia="楷体" w:cs="楷体"/>
          <w:spacing w:val="43"/>
          <w:sz w:val="31"/>
          <w:szCs w:val="31"/>
          <w:lang w:val="en-US" w:eastAsia="zh-CN"/>
        </w:rPr>
        <w:t>2024</w:t>
      </w:r>
      <w:r>
        <w:rPr>
          <w:rFonts w:ascii="楷体" w:hAnsi="楷体" w:eastAsia="楷体" w:cs="楷体"/>
          <w:spacing w:val="9"/>
          <w:sz w:val="31"/>
          <w:szCs w:val="31"/>
        </w:rPr>
        <w:t>年度)</w:t>
      </w:r>
    </w:p>
    <w:p w14:paraId="53BDDC1D">
      <w:pPr>
        <w:spacing w:before="242" w:line="223" w:lineRule="auto"/>
        <w:ind w:left="684"/>
        <w:outlineLvl w:val="0"/>
        <w:rPr>
          <w:rFonts w:ascii="黑体" w:hAnsi="黑体" w:eastAsia="黑体" w:cs="黑体"/>
          <w:sz w:val="31"/>
          <w:szCs w:val="31"/>
        </w:rPr>
      </w:pPr>
      <w:r>
        <w:rPr>
          <w:rFonts w:ascii="黑体" w:hAnsi="黑体" w:eastAsia="黑体" w:cs="黑体"/>
          <w:b/>
          <w:bCs/>
          <w:spacing w:val="-2"/>
          <w:sz w:val="31"/>
          <w:szCs w:val="31"/>
        </w:rPr>
        <w:t>一、基本情况</w:t>
      </w:r>
      <w:bookmarkStart w:id="0" w:name="_GoBack"/>
      <w:bookmarkEnd w:id="0"/>
    </w:p>
    <w:p w14:paraId="360685F7">
      <w:pPr>
        <w:pStyle w:val="2"/>
        <w:spacing w:before="126" w:line="284" w:lineRule="auto"/>
        <w:ind w:firstLine="739"/>
        <w:rPr>
          <w:spacing w:val="-2"/>
          <w:sz w:val="31"/>
          <w:szCs w:val="31"/>
        </w:rPr>
      </w:pPr>
      <w:r>
        <w:rPr>
          <w:spacing w:val="10"/>
          <w:sz w:val="31"/>
          <w:szCs w:val="31"/>
        </w:rPr>
        <w:t>(一)项目概况。包括项目背景、主要内容及实施情况、资</w:t>
      </w:r>
      <w:r>
        <w:rPr>
          <w:spacing w:val="-2"/>
          <w:sz w:val="31"/>
          <w:szCs w:val="31"/>
        </w:rPr>
        <w:t>金投入和使用情况等。</w:t>
      </w:r>
    </w:p>
    <w:p w14:paraId="265EBC3C">
      <w:pPr>
        <w:widowControl/>
        <w:kinsoku w:val="0"/>
        <w:autoSpaceDE w:val="0"/>
        <w:autoSpaceDN w:val="0"/>
        <w:adjustRightInd w:val="0"/>
        <w:snapToGrid w:val="0"/>
        <w:spacing w:before="101" w:beforeLines="-2147483648" w:afterLines="-2147483648" w:line="372" w:lineRule="auto"/>
        <w:ind w:firstLine="668" w:firstLineChars="200"/>
        <w:jc w:val="left"/>
        <w:textAlignment w:val="baseline"/>
        <w:rPr>
          <w:rFonts w:hint="eastAsia" w:ascii="仿宋" w:hAnsi="仿宋" w:eastAsia="仿宋" w:cs="仿宋"/>
          <w:snapToGrid w:val="0"/>
          <w:color w:val="000000"/>
          <w:spacing w:val="12"/>
          <w:kern w:val="0"/>
          <w:sz w:val="31"/>
          <w:szCs w:val="31"/>
          <w:lang w:val="en-US" w:eastAsia="zh-CN" w:bidi="ar-SA"/>
        </w:rPr>
      </w:pPr>
      <w:r>
        <w:rPr>
          <w:rFonts w:hint="eastAsia" w:ascii="仿宋" w:hAnsi="仿宋" w:eastAsia="仿宋" w:cs="仿宋"/>
          <w:snapToGrid w:val="0"/>
          <w:color w:val="000000"/>
          <w:spacing w:val="12"/>
          <w:kern w:val="0"/>
          <w:sz w:val="31"/>
          <w:szCs w:val="31"/>
          <w:lang w:val="en-US" w:eastAsia="en-US" w:bidi="ar-SA"/>
        </w:rPr>
        <w:t>根据</w:t>
      </w:r>
      <w:r>
        <w:rPr>
          <w:rFonts w:hint="eastAsia" w:ascii="仿宋" w:hAnsi="仿宋" w:eastAsia="仿宋" w:cs="仿宋"/>
          <w:snapToGrid w:val="0"/>
          <w:color w:val="000000"/>
          <w:spacing w:val="12"/>
          <w:kern w:val="0"/>
          <w:sz w:val="31"/>
          <w:szCs w:val="31"/>
          <w:lang w:val="en-US" w:eastAsia="zh-CN" w:bidi="ar-SA"/>
        </w:rPr>
        <w:t>南昌市财政局、南昌市文化广电新闻出版旅游局《南昌市财政局南昌市文化广电新闻出版旅游局关于下达2024年中央支持地方公共文化服务体系建设补助资金资金（广电项目）的通知》</w:t>
      </w:r>
      <w:r>
        <w:rPr>
          <w:rFonts w:hint="eastAsia" w:ascii="仿宋" w:hAnsi="仿宋" w:eastAsia="仿宋" w:cs="仿宋"/>
          <w:snapToGrid w:val="0"/>
          <w:color w:val="000000"/>
          <w:spacing w:val="12"/>
          <w:kern w:val="0"/>
          <w:sz w:val="31"/>
          <w:szCs w:val="31"/>
          <w:lang w:val="en-US" w:eastAsia="en-US" w:bidi="ar-SA"/>
        </w:rPr>
        <w:t>（洪财教指〔20</w:t>
      </w:r>
      <w:r>
        <w:rPr>
          <w:rFonts w:hint="eastAsia" w:ascii="仿宋" w:hAnsi="仿宋" w:eastAsia="仿宋" w:cs="仿宋"/>
          <w:snapToGrid w:val="0"/>
          <w:color w:val="000000"/>
          <w:spacing w:val="12"/>
          <w:kern w:val="0"/>
          <w:sz w:val="31"/>
          <w:szCs w:val="31"/>
          <w:lang w:val="en-US" w:eastAsia="zh-CN" w:bidi="ar-SA"/>
        </w:rPr>
        <w:t>24</w:t>
      </w:r>
      <w:r>
        <w:rPr>
          <w:rFonts w:hint="eastAsia" w:ascii="仿宋" w:hAnsi="仿宋" w:eastAsia="仿宋" w:cs="仿宋"/>
          <w:snapToGrid w:val="0"/>
          <w:color w:val="000000"/>
          <w:spacing w:val="12"/>
          <w:kern w:val="0"/>
          <w:sz w:val="31"/>
          <w:szCs w:val="31"/>
          <w:lang w:val="en-US" w:eastAsia="en-US" w:bidi="ar-SA"/>
        </w:rPr>
        <w:t>〕</w:t>
      </w:r>
      <w:r>
        <w:rPr>
          <w:rFonts w:hint="eastAsia" w:ascii="仿宋" w:hAnsi="仿宋" w:eastAsia="仿宋" w:cs="仿宋"/>
          <w:snapToGrid w:val="0"/>
          <w:color w:val="000000"/>
          <w:spacing w:val="12"/>
          <w:kern w:val="0"/>
          <w:sz w:val="31"/>
          <w:szCs w:val="31"/>
          <w:lang w:val="en-US" w:eastAsia="zh-CN" w:bidi="ar-SA"/>
        </w:rPr>
        <w:t>11</w:t>
      </w:r>
      <w:r>
        <w:rPr>
          <w:rFonts w:hint="eastAsia" w:ascii="仿宋" w:hAnsi="仿宋" w:eastAsia="仿宋" w:cs="仿宋"/>
          <w:snapToGrid w:val="0"/>
          <w:color w:val="000000"/>
          <w:spacing w:val="12"/>
          <w:kern w:val="0"/>
          <w:sz w:val="31"/>
          <w:szCs w:val="31"/>
          <w:lang w:val="en-US" w:eastAsia="en-US" w:bidi="ar-SA"/>
        </w:rPr>
        <w:t>号）</w:t>
      </w:r>
      <w:r>
        <w:rPr>
          <w:rFonts w:hint="eastAsia" w:ascii="仿宋" w:hAnsi="仿宋" w:eastAsia="仿宋" w:cs="仿宋"/>
          <w:snapToGrid w:val="0"/>
          <w:color w:val="000000"/>
          <w:spacing w:val="12"/>
          <w:kern w:val="0"/>
          <w:sz w:val="31"/>
          <w:szCs w:val="31"/>
          <w:lang w:val="en-US" w:eastAsia="zh-CN" w:bidi="ar-SA"/>
        </w:rPr>
        <w:t>和南昌市财政局、南昌市文化广电新闻出版旅游局《南昌市财政局南昌市文化广电新闻出版旅游局关于下达2023年中央支持地方公共文化服务体系建设专项资金（重点项目）的通知》</w:t>
      </w:r>
      <w:r>
        <w:rPr>
          <w:rFonts w:hint="eastAsia" w:ascii="仿宋" w:hAnsi="仿宋" w:eastAsia="仿宋" w:cs="仿宋"/>
          <w:snapToGrid w:val="0"/>
          <w:color w:val="000000"/>
          <w:spacing w:val="12"/>
          <w:kern w:val="0"/>
          <w:sz w:val="31"/>
          <w:szCs w:val="31"/>
          <w:lang w:val="en-US" w:eastAsia="en-US" w:bidi="ar-SA"/>
        </w:rPr>
        <w:t>（洪财教指〔20</w:t>
      </w:r>
      <w:r>
        <w:rPr>
          <w:rFonts w:hint="eastAsia" w:ascii="仿宋" w:hAnsi="仿宋" w:eastAsia="仿宋" w:cs="仿宋"/>
          <w:snapToGrid w:val="0"/>
          <w:color w:val="000000"/>
          <w:spacing w:val="12"/>
          <w:kern w:val="0"/>
          <w:sz w:val="31"/>
          <w:szCs w:val="31"/>
          <w:lang w:val="en-US" w:eastAsia="zh-CN" w:bidi="ar-SA"/>
        </w:rPr>
        <w:t>23</w:t>
      </w:r>
      <w:r>
        <w:rPr>
          <w:rFonts w:hint="eastAsia" w:ascii="仿宋" w:hAnsi="仿宋" w:eastAsia="仿宋" w:cs="仿宋"/>
          <w:snapToGrid w:val="0"/>
          <w:color w:val="000000"/>
          <w:spacing w:val="12"/>
          <w:kern w:val="0"/>
          <w:sz w:val="31"/>
          <w:szCs w:val="31"/>
          <w:lang w:val="en-US" w:eastAsia="en-US" w:bidi="ar-SA"/>
        </w:rPr>
        <w:t>〕</w:t>
      </w:r>
      <w:r>
        <w:rPr>
          <w:rFonts w:hint="eastAsia" w:ascii="仿宋" w:hAnsi="仿宋" w:eastAsia="仿宋" w:cs="仿宋"/>
          <w:snapToGrid w:val="0"/>
          <w:color w:val="000000"/>
          <w:spacing w:val="12"/>
          <w:kern w:val="0"/>
          <w:sz w:val="31"/>
          <w:szCs w:val="31"/>
          <w:lang w:val="en-US" w:eastAsia="zh-CN" w:bidi="ar-SA"/>
        </w:rPr>
        <w:t>15</w:t>
      </w:r>
      <w:r>
        <w:rPr>
          <w:rFonts w:hint="eastAsia" w:ascii="仿宋" w:hAnsi="仿宋" w:eastAsia="仿宋" w:cs="仿宋"/>
          <w:snapToGrid w:val="0"/>
          <w:color w:val="000000"/>
          <w:spacing w:val="12"/>
          <w:kern w:val="0"/>
          <w:sz w:val="31"/>
          <w:szCs w:val="31"/>
          <w:lang w:val="en-US" w:eastAsia="en-US" w:bidi="ar-SA"/>
        </w:rPr>
        <w:t>号）</w:t>
      </w:r>
      <w:r>
        <w:rPr>
          <w:rFonts w:hint="eastAsia" w:ascii="仿宋" w:hAnsi="仿宋" w:eastAsia="仿宋" w:cs="仿宋"/>
          <w:snapToGrid w:val="0"/>
          <w:color w:val="000000"/>
          <w:spacing w:val="12"/>
          <w:kern w:val="0"/>
          <w:sz w:val="31"/>
          <w:szCs w:val="31"/>
          <w:lang w:val="en-US" w:eastAsia="zh-CN" w:bidi="ar-SA"/>
        </w:rPr>
        <w:t>文件精神，2023年、</w:t>
      </w:r>
      <w:r>
        <w:rPr>
          <w:rFonts w:hint="eastAsia" w:ascii="仿宋" w:hAnsi="仿宋" w:eastAsia="仿宋" w:cs="仿宋"/>
          <w:snapToGrid w:val="0"/>
          <w:color w:val="000000"/>
          <w:spacing w:val="12"/>
          <w:kern w:val="0"/>
          <w:sz w:val="31"/>
          <w:szCs w:val="31"/>
          <w:lang w:val="en-US" w:eastAsia="en-US" w:bidi="ar-SA"/>
        </w:rPr>
        <w:t>202</w:t>
      </w:r>
      <w:r>
        <w:rPr>
          <w:rFonts w:hint="eastAsia" w:ascii="仿宋" w:hAnsi="仿宋" w:eastAsia="仿宋" w:cs="仿宋"/>
          <w:snapToGrid w:val="0"/>
          <w:color w:val="000000"/>
          <w:spacing w:val="12"/>
          <w:kern w:val="0"/>
          <w:sz w:val="31"/>
          <w:szCs w:val="31"/>
          <w:lang w:val="en-US" w:eastAsia="zh-CN" w:bidi="ar-SA"/>
        </w:rPr>
        <w:t>4</w:t>
      </w:r>
      <w:r>
        <w:rPr>
          <w:rFonts w:hint="eastAsia" w:ascii="仿宋" w:hAnsi="仿宋" w:eastAsia="仿宋" w:cs="仿宋"/>
          <w:snapToGrid w:val="0"/>
          <w:color w:val="000000"/>
          <w:spacing w:val="12"/>
          <w:kern w:val="0"/>
          <w:sz w:val="31"/>
          <w:szCs w:val="31"/>
          <w:lang w:val="en-US" w:eastAsia="en-US" w:bidi="ar-SA"/>
        </w:rPr>
        <w:t>年</w:t>
      </w:r>
      <w:r>
        <w:rPr>
          <w:rFonts w:hint="eastAsia" w:ascii="仿宋" w:hAnsi="仿宋" w:eastAsia="仿宋" w:cs="仿宋"/>
          <w:snapToGrid w:val="0"/>
          <w:color w:val="000000"/>
          <w:spacing w:val="12"/>
          <w:kern w:val="0"/>
          <w:sz w:val="31"/>
          <w:szCs w:val="31"/>
          <w:lang w:val="en-US" w:eastAsia="zh-CN" w:bidi="ar-SA"/>
        </w:rPr>
        <w:t>市</w:t>
      </w:r>
      <w:r>
        <w:rPr>
          <w:rFonts w:hint="eastAsia" w:ascii="仿宋" w:hAnsi="仿宋" w:eastAsia="仿宋" w:cs="仿宋"/>
          <w:snapToGrid w:val="0"/>
          <w:color w:val="000000"/>
          <w:spacing w:val="12"/>
          <w:kern w:val="0"/>
          <w:sz w:val="31"/>
          <w:szCs w:val="31"/>
          <w:lang w:val="en-US" w:eastAsia="en-US" w:bidi="ar-SA"/>
        </w:rPr>
        <w:t>财政下达给我</w:t>
      </w:r>
      <w:r>
        <w:rPr>
          <w:rFonts w:hint="eastAsia" w:ascii="仿宋" w:hAnsi="仿宋" w:eastAsia="仿宋" w:cs="仿宋"/>
          <w:snapToGrid w:val="0"/>
          <w:color w:val="000000"/>
          <w:spacing w:val="12"/>
          <w:kern w:val="0"/>
          <w:sz w:val="31"/>
          <w:szCs w:val="31"/>
          <w:lang w:val="en-US" w:eastAsia="zh-CN" w:bidi="ar-SA"/>
        </w:rPr>
        <w:t>县2023年和2024年中央支持地方公共文化服务体系建设补助资金共计60</w:t>
      </w:r>
      <w:r>
        <w:rPr>
          <w:rFonts w:hint="eastAsia" w:ascii="仿宋" w:hAnsi="仿宋" w:eastAsia="仿宋" w:cs="仿宋"/>
          <w:snapToGrid w:val="0"/>
          <w:color w:val="000000"/>
          <w:spacing w:val="12"/>
          <w:kern w:val="0"/>
          <w:sz w:val="31"/>
          <w:szCs w:val="31"/>
          <w:lang w:val="en-US" w:eastAsia="en-US" w:bidi="ar-SA"/>
        </w:rPr>
        <w:t>万元。我</w:t>
      </w:r>
      <w:r>
        <w:rPr>
          <w:rFonts w:hint="eastAsia" w:ascii="仿宋" w:hAnsi="仿宋" w:eastAsia="仿宋" w:cs="仿宋"/>
          <w:snapToGrid w:val="0"/>
          <w:color w:val="000000"/>
          <w:spacing w:val="12"/>
          <w:kern w:val="0"/>
          <w:sz w:val="31"/>
          <w:szCs w:val="31"/>
          <w:lang w:val="en-US" w:eastAsia="zh-CN" w:bidi="ar-SA"/>
        </w:rPr>
        <w:t>中心</w:t>
      </w:r>
      <w:r>
        <w:rPr>
          <w:rFonts w:hint="eastAsia" w:ascii="仿宋" w:hAnsi="仿宋" w:eastAsia="仿宋" w:cs="仿宋"/>
          <w:snapToGrid w:val="0"/>
          <w:color w:val="000000"/>
          <w:spacing w:val="12"/>
          <w:kern w:val="0"/>
          <w:sz w:val="31"/>
          <w:szCs w:val="31"/>
          <w:lang w:val="en-US" w:eastAsia="en-US" w:bidi="ar-SA"/>
        </w:rPr>
        <w:t>依据项目法和我</w:t>
      </w:r>
      <w:r>
        <w:rPr>
          <w:rFonts w:hint="eastAsia" w:ascii="仿宋" w:hAnsi="仿宋" w:eastAsia="仿宋" w:cs="仿宋"/>
          <w:snapToGrid w:val="0"/>
          <w:color w:val="000000"/>
          <w:spacing w:val="12"/>
          <w:kern w:val="0"/>
          <w:sz w:val="31"/>
          <w:szCs w:val="31"/>
          <w:lang w:val="en-US" w:eastAsia="zh-CN" w:bidi="ar-SA"/>
        </w:rPr>
        <w:t>中心</w:t>
      </w:r>
      <w:r>
        <w:rPr>
          <w:rFonts w:hint="eastAsia" w:ascii="仿宋" w:hAnsi="仿宋" w:eastAsia="仿宋" w:cs="仿宋"/>
          <w:snapToGrid w:val="0"/>
          <w:color w:val="000000"/>
          <w:spacing w:val="12"/>
          <w:kern w:val="0"/>
          <w:sz w:val="31"/>
          <w:szCs w:val="31"/>
          <w:lang w:val="en-US" w:eastAsia="en-US" w:bidi="ar-SA"/>
        </w:rPr>
        <w:t>项目管理的管理制度组织和运作，资金使用严格文件精神，严格按照项目申请使用，安排好资金，保质保量完成</w:t>
      </w:r>
      <w:r>
        <w:rPr>
          <w:rFonts w:hint="eastAsia" w:ascii="仿宋" w:hAnsi="仿宋" w:eastAsia="仿宋" w:cs="仿宋"/>
          <w:snapToGrid w:val="0"/>
          <w:color w:val="000000"/>
          <w:spacing w:val="12"/>
          <w:kern w:val="0"/>
          <w:sz w:val="31"/>
          <w:szCs w:val="31"/>
          <w:lang w:val="en-US" w:eastAsia="zh-CN" w:bidi="ar-SA"/>
        </w:rPr>
        <w:t>了</w:t>
      </w:r>
      <w:r>
        <w:rPr>
          <w:rFonts w:hint="eastAsia" w:ascii="仿宋" w:hAnsi="仿宋" w:eastAsia="仿宋" w:cs="仿宋"/>
          <w:snapToGrid w:val="0"/>
          <w:color w:val="000000"/>
          <w:spacing w:val="12"/>
          <w:kern w:val="0"/>
          <w:sz w:val="31"/>
          <w:szCs w:val="31"/>
          <w:lang w:val="en-US" w:eastAsia="en-US" w:bidi="ar-SA"/>
        </w:rPr>
        <w:t>项目</w:t>
      </w:r>
      <w:r>
        <w:rPr>
          <w:rFonts w:hint="eastAsia" w:ascii="仿宋" w:hAnsi="仿宋" w:eastAsia="仿宋" w:cs="仿宋"/>
          <w:snapToGrid w:val="0"/>
          <w:color w:val="000000"/>
          <w:spacing w:val="12"/>
          <w:kern w:val="0"/>
          <w:sz w:val="31"/>
          <w:szCs w:val="31"/>
          <w:lang w:val="en-US" w:eastAsia="zh-CN" w:bidi="ar-SA"/>
        </w:rPr>
        <w:t>。</w:t>
      </w:r>
    </w:p>
    <w:p w14:paraId="7CDA1D4A">
      <w:pPr>
        <w:widowControl/>
        <w:kinsoku w:val="0"/>
        <w:autoSpaceDE w:val="0"/>
        <w:autoSpaceDN w:val="0"/>
        <w:adjustRightInd w:val="0"/>
        <w:snapToGrid w:val="0"/>
        <w:spacing w:before="101" w:beforeLines="-2147483648" w:afterLines="-2147483648" w:line="372" w:lineRule="auto"/>
        <w:ind w:firstLine="668" w:firstLineChars="200"/>
        <w:jc w:val="left"/>
        <w:textAlignment w:val="baseline"/>
        <w:rPr>
          <w:rFonts w:hint="eastAsia" w:ascii="仿宋" w:hAnsi="仿宋" w:eastAsia="仿宋" w:cs="仿宋"/>
          <w:snapToGrid w:val="0"/>
          <w:color w:val="000000"/>
          <w:spacing w:val="12"/>
          <w:kern w:val="0"/>
          <w:sz w:val="31"/>
          <w:szCs w:val="31"/>
          <w:lang w:val="en-US" w:eastAsia="en-US" w:bidi="ar-SA"/>
        </w:rPr>
      </w:pPr>
      <w:r>
        <w:rPr>
          <w:rFonts w:hint="eastAsia" w:ascii="仿宋" w:hAnsi="仿宋" w:eastAsia="仿宋" w:cs="仿宋"/>
          <w:snapToGrid w:val="0"/>
          <w:color w:val="000000"/>
          <w:spacing w:val="12"/>
          <w:kern w:val="0"/>
          <w:sz w:val="31"/>
          <w:szCs w:val="31"/>
          <w:lang w:val="en-US" w:eastAsia="zh-CN" w:bidi="ar-SA"/>
        </w:rPr>
        <w:t>（二）</w:t>
      </w:r>
      <w:r>
        <w:rPr>
          <w:rFonts w:hint="eastAsia" w:ascii="仿宋" w:hAnsi="仿宋" w:eastAsia="仿宋" w:cs="仿宋"/>
          <w:snapToGrid w:val="0"/>
          <w:color w:val="000000"/>
          <w:spacing w:val="12"/>
          <w:kern w:val="0"/>
          <w:sz w:val="31"/>
          <w:szCs w:val="31"/>
          <w:lang w:val="en-US" w:eastAsia="en-US" w:bidi="ar-SA"/>
        </w:rPr>
        <w:t>项目绩效目标。包括总体目标和阶段性目标。</w:t>
      </w:r>
    </w:p>
    <w:p w14:paraId="1CB0C738">
      <w:pPr>
        <w:widowControl/>
        <w:kinsoku w:val="0"/>
        <w:autoSpaceDE w:val="0"/>
        <w:autoSpaceDN w:val="0"/>
        <w:adjustRightInd w:val="0"/>
        <w:snapToGrid w:val="0"/>
        <w:spacing w:before="101" w:beforeLines="-2147483648" w:afterLines="-2147483648" w:line="372" w:lineRule="auto"/>
        <w:ind w:firstLine="668" w:firstLineChars="200"/>
        <w:jc w:val="left"/>
        <w:textAlignment w:val="baseline"/>
        <w:rPr>
          <w:rFonts w:hint="eastAsia" w:ascii="仿宋" w:hAnsi="仿宋" w:eastAsia="仿宋" w:cs="仿宋"/>
          <w:snapToGrid w:val="0"/>
          <w:color w:val="000000"/>
          <w:spacing w:val="12"/>
          <w:kern w:val="0"/>
          <w:sz w:val="31"/>
          <w:szCs w:val="31"/>
          <w:lang w:val="en-US" w:eastAsia="zh-CN" w:bidi="ar-SA"/>
        </w:rPr>
      </w:pPr>
      <w:r>
        <w:rPr>
          <w:rFonts w:hint="eastAsia" w:ascii="仿宋" w:hAnsi="仿宋" w:eastAsia="仿宋" w:cs="仿宋"/>
          <w:snapToGrid w:val="0"/>
          <w:color w:val="000000"/>
          <w:spacing w:val="12"/>
          <w:kern w:val="0"/>
          <w:sz w:val="31"/>
          <w:szCs w:val="31"/>
          <w:lang w:val="en-US" w:eastAsia="zh-CN" w:bidi="ar-SA"/>
        </w:rPr>
        <w:t>完成2部数字发射机的运行维护工作，确保发射机“三满”播出，完成数字中央无线广播节目和电视节目的传输覆盖任务，保障人民群众免费收听收看中央广播电视节目的基本文化权益。</w:t>
      </w:r>
    </w:p>
    <w:p w14:paraId="0D46567E">
      <w:pPr>
        <w:spacing w:before="179" w:line="221" w:lineRule="auto"/>
        <w:ind w:left="724"/>
        <w:outlineLvl w:val="0"/>
        <w:rPr>
          <w:rFonts w:ascii="黑体" w:hAnsi="黑体" w:eastAsia="黑体" w:cs="黑体"/>
          <w:sz w:val="31"/>
          <w:szCs w:val="31"/>
        </w:rPr>
      </w:pPr>
      <w:r>
        <w:rPr>
          <w:rFonts w:ascii="黑体" w:hAnsi="黑体" w:eastAsia="黑体" w:cs="黑体"/>
          <w:b/>
          <w:bCs/>
          <w:spacing w:val="-1"/>
          <w:sz w:val="31"/>
          <w:szCs w:val="31"/>
        </w:rPr>
        <w:t>二、绩效评价工作开展情况</w:t>
      </w:r>
    </w:p>
    <w:p w14:paraId="60303F61">
      <w:pPr>
        <w:pStyle w:val="2"/>
        <w:spacing w:before="204" w:line="222" w:lineRule="auto"/>
        <w:ind w:left="739"/>
        <w:rPr>
          <w:spacing w:val="12"/>
          <w:sz w:val="31"/>
          <w:szCs w:val="31"/>
        </w:rPr>
      </w:pPr>
      <w:r>
        <w:rPr>
          <w:spacing w:val="12"/>
          <w:sz w:val="31"/>
          <w:szCs w:val="31"/>
        </w:rPr>
        <w:t>(一)绩效评价目的、对象和范围。</w:t>
      </w:r>
    </w:p>
    <w:p w14:paraId="125B71EB">
      <w:pPr>
        <w:widowControl/>
        <w:kinsoku w:val="0"/>
        <w:autoSpaceDE w:val="0"/>
        <w:autoSpaceDN w:val="0"/>
        <w:adjustRightInd w:val="0"/>
        <w:snapToGrid w:val="0"/>
        <w:spacing w:before="101" w:beforeLines="-2147483648" w:afterLines="-2147483648" w:line="372" w:lineRule="auto"/>
        <w:ind w:firstLine="668" w:firstLineChars="200"/>
        <w:jc w:val="left"/>
        <w:textAlignment w:val="baseline"/>
        <w:rPr>
          <w:rFonts w:hint="eastAsia" w:ascii="仿宋" w:hAnsi="仿宋" w:eastAsia="仿宋" w:cs="仿宋"/>
          <w:snapToGrid w:val="0"/>
          <w:color w:val="000000"/>
          <w:spacing w:val="12"/>
          <w:kern w:val="0"/>
          <w:sz w:val="31"/>
          <w:szCs w:val="31"/>
          <w:lang w:val="en-US" w:eastAsia="en-US" w:bidi="ar-SA"/>
        </w:rPr>
      </w:pPr>
      <w:r>
        <w:rPr>
          <w:rFonts w:hint="eastAsia" w:ascii="仿宋" w:hAnsi="仿宋" w:eastAsia="仿宋" w:cs="仿宋"/>
          <w:snapToGrid w:val="0"/>
          <w:color w:val="000000"/>
          <w:spacing w:val="12"/>
          <w:kern w:val="0"/>
          <w:sz w:val="31"/>
          <w:szCs w:val="31"/>
          <w:lang w:val="en-US" w:eastAsia="en-US" w:bidi="ar-SA"/>
        </w:rPr>
        <w:t>通过绩效评价全面分析该项目资金使用、管理和项目实施情况，进一步规范项目实施、验收等程序，完善</w:t>
      </w:r>
      <w:r>
        <w:rPr>
          <w:rFonts w:hint="eastAsia" w:ascii="仿宋" w:hAnsi="仿宋" w:eastAsia="仿宋" w:cs="仿宋"/>
          <w:snapToGrid w:val="0"/>
          <w:color w:val="000000"/>
          <w:spacing w:val="12"/>
          <w:kern w:val="0"/>
          <w:sz w:val="31"/>
          <w:szCs w:val="31"/>
          <w:lang w:val="en-US" w:eastAsia="zh-CN" w:bidi="ar-SA"/>
        </w:rPr>
        <w:t>资金分</w:t>
      </w:r>
      <w:r>
        <w:rPr>
          <w:rFonts w:hint="eastAsia" w:ascii="仿宋" w:hAnsi="仿宋" w:eastAsia="仿宋" w:cs="仿宋"/>
          <w:snapToGrid w:val="0"/>
          <w:color w:val="000000"/>
          <w:spacing w:val="12"/>
          <w:kern w:val="0"/>
          <w:sz w:val="31"/>
          <w:szCs w:val="31"/>
          <w:lang w:val="en-US" w:eastAsia="en-US" w:bidi="ar-SA"/>
        </w:rPr>
        <w:t>配、使用及管理等制度，切实提高财政资金使用效益。</w:t>
      </w:r>
    </w:p>
    <w:p w14:paraId="1551A8C3">
      <w:pPr>
        <w:pStyle w:val="2"/>
        <w:numPr>
          <w:ilvl w:val="0"/>
          <w:numId w:val="0"/>
        </w:numPr>
        <w:spacing w:before="157" w:line="285" w:lineRule="auto"/>
        <w:ind w:right="13" w:rightChars="0" w:firstLine="330" w:firstLineChars="100"/>
        <w:rPr>
          <w:spacing w:val="-12"/>
          <w:sz w:val="31"/>
          <w:szCs w:val="31"/>
        </w:rPr>
      </w:pPr>
      <w:r>
        <w:rPr>
          <w:rFonts w:hint="eastAsia"/>
          <w:spacing w:val="10"/>
          <w:sz w:val="31"/>
          <w:szCs w:val="31"/>
          <w:lang w:eastAsia="zh-CN"/>
        </w:rPr>
        <w:t>（</w:t>
      </w:r>
      <w:r>
        <w:rPr>
          <w:rFonts w:hint="eastAsia"/>
          <w:spacing w:val="10"/>
          <w:sz w:val="31"/>
          <w:szCs w:val="31"/>
          <w:lang w:val="en-US" w:eastAsia="zh-CN"/>
        </w:rPr>
        <w:t>二</w:t>
      </w:r>
      <w:r>
        <w:rPr>
          <w:rFonts w:hint="eastAsia"/>
          <w:spacing w:val="10"/>
          <w:sz w:val="31"/>
          <w:szCs w:val="31"/>
          <w:lang w:eastAsia="zh-CN"/>
        </w:rPr>
        <w:t>）</w:t>
      </w:r>
      <w:r>
        <w:rPr>
          <w:spacing w:val="10"/>
          <w:sz w:val="31"/>
          <w:szCs w:val="31"/>
        </w:rPr>
        <w:t>绩效评价原则、评价指标体系、评价方法、评价</w:t>
      </w:r>
      <w:r>
        <w:rPr>
          <w:spacing w:val="9"/>
          <w:sz w:val="31"/>
          <w:szCs w:val="31"/>
        </w:rPr>
        <w:t>标准</w:t>
      </w:r>
      <w:r>
        <w:rPr>
          <w:sz w:val="31"/>
          <w:szCs w:val="31"/>
        </w:rPr>
        <w:t xml:space="preserve"> </w:t>
      </w:r>
      <w:r>
        <w:rPr>
          <w:spacing w:val="-12"/>
          <w:sz w:val="31"/>
          <w:szCs w:val="31"/>
        </w:rPr>
        <w:t>等。</w:t>
      </w:r>
    </w:p>
    <w:p w14:paraId="1AC44DCF">
      <w:pPr>
        <w:widowControl/>
        <w:kinsoku w:val="0"/>
        <w:autoSpaceDE w:val="0"/>
        <w:autoSpaceDN w:val="0"/>
        <w:adjustRightInd w:val="0"/>
        <w:snapToGrid w:val="0"/>
        <w:spacing w:before="101" w:beforeLines="-2147483648" w:afterLines="-2147483648" w:line="372" w:lineRule="auto"/>
        <w:ind w:firstLine="668" w:firstLineChars="200"/>
        <w:jc w:val="left"/>
        <w:textAlignment w:val="baseline"/>
        <w:rPr>
          <w:rFonts w:hint="eastAsia" w:ascii="仿宋" w:hAnsi="仿宋" w:eastAsia="仿宋" w:cs="仿宋"/>
          <w:snapToGrid w:val="0"/>
          <w:color w:val="000000"/>
          <w:spacing w:val="12"/>
          <w:kern w:val="0"/>
          <w:sz w:val="31"/>
          <w:szCs w:val="31"/>
          <w:lang w:val="en-US" w:eastAsia="en-US" w:bidi="ar-SA"/>
        </w:rPr>
      </w:pPr>
      <w:r>
        <w:rPr>
          <w:rFonts w:hint="eastAsia" w:ascii="仿宋" w:hAnsi="仿宋" w:eastAsia="仿宋" w:cs="仿宋"/>
          <w:snapToGrid w:val="0"/>
          <w:color w:val="000000"/>
          <w:spacing w:val="12"/>
          <w:kern w:val="0"/>
          <w:sz w:val="31"/>
          <w:szCs w:val="31"/>
          <w:lang w:val="en-US" w:eastAsia="en-US" w:bidi="ar-SA"/>
        </w:rPr>
        <w:t>①科学规范。绩效评价注重财政支出的经济性、效率性和有效性，严格执行规定的程序，采用定量与定性分析相结合的方法。</w:t>
      </w:r>
    </w:p>
    <w:p w14:paraId="074181E6">
      <w:pPr>
        <w:widowControl/>
        <w:kinsoku w:val="0"/>
        <w:autoSpaceDE w:val="0"/>
        <w:autoSpaceDN w:val="0"/>
        <w:adjustRightInd w:val="0"/>
        <w:snapToGrid w:val="0"/>
        <w:spacing w:before="101" w:beforeLines="-2147483648" w:afterLines="-2147483648" w:line="372" w:lineRule="auto"/>
        <w:ind w:firstLine="668" w:firstLineChars="200"/>
        <w:jc w:val="left"/>
        <w:textAlignment w:val="baseline"/>
        <w:rPr>
          <w:rFonts w:hint="eastAsia" w:ascii="仿宋" w:hAnsi="仿宋" w:eastAsia="仿宋" w:cs="仿宋"/>
          <w:snapToGrid w:val="0"/>
          <w:color w:val="000000"/>
          <w:spacing w:val="12"/>
          <w:kern w:val="0"/>
          <w:sz w:val="31"/>
          <w:szCs w:val="31"/>
          <w:lang w:val="en-US" w:eastAsia="en-US" w:bidi="ar-SA"/>
        </w:rPr>
      </w:pPr>
      <w:r>
        <w:rPr>
          <w:rFonts w:hint="eastAsia" w:ascii="仿宋" w:hAnsi="仿宋" w:eastAsia="仿宋" w:cs="仿宋"/>
          <w:snapToGrid w:val="0"/>
          <w:color w:val="000000"/>
          <w:spacing w:val="12"/>
          <w:kern w:val="0"/>
          <w:sz w:val="31"/>
          <w:szCs w:val="31"/>
          <w:lang w:val="en-US" w:eastAsia="en-US" w:bidi="ar-SA"/>
        </w:rPr>
        <w:t>②公正公开。绩效评价客观、公正、标准、统一、资料可靠，依法公开并接受监督。</w:t>
      </w:r>
    </w:p>
    <w:p w14:paraId="4A13C80F">
      <w:pPr>
        <w:widowControl/>
        <w:kinsoku w:val="0"/>
        <w:autoSpaceDE w:val="0"/>
        <w:autoSpaceDN w:val="0"/>
        <w:adjustRightInd w:val="0"/>
        <w:snapToGrid w:val="0"/>
        <w:spacing w:before="101" w:beforeLines="-2147483648" w:afterLines="-2147483648" w:line="372" w:lineRule="auto"/>
        <w:ind w:firstLine="668" w:firstLineChars="200"/>
        <w:jc w:val="left"/>
        <w:textAlignment w:val="baseline"/>
        <w:rPr>
          <w:rFonts w:hint="eastAsia" w:ascii="仿宋" w:hAnsi="仿宋" w:eastAsia="仿宋" w:cs="仿宋"/>
          <w:snapToGrid w:val="0"/>
          <w:color w:val="000000"/>
          <w:spacing w:val="12"/>
          <w:kern w:val="0"/>
          <w:sz w:val="31"/>
          <w:szCs w:val="31"/>
          <w:lang w:val="en-US" w:eastAsia="en-US" w:bidi="ar-SA"/>
        </w:rPr>
      </w:pPr>
      <w:r>
        <w:rPr>
          <w:rFonts w:hint="eastAsia" w:ascii="仿宋" w:hAnsi="仿宋" w:eastAsia="仿宋" w:cs="仿宋"/>
          <w:snapToGrid w:val="0"/>
          <w:color w:val="000000"/>
          <w:spacing w:val="12"/>
          <w:kern w:val="0"/>
          <w:sz w:val="31"/>
          <w:szCs w:val="31"/>
          <w:lang w:val="en-US" w:eastAsia="en-US" w:bidi="ar-SA"/>
        </w:rPr>
        <w:t>③分级分类。绩效评价由各级财政部门、部门（单位）根据评价对象的特点，分类组织实施。</w:t>
      </w:r>
    </w:p>
    <w:p w14:paraId="64185038">
      <w:pPr>
        <w:widowControl/>
        <w:kinsoku w:val="0"/>
        <w:autoSpaceDE w:val="0"/>
        <w:autoSpaceDN w:val="0"/>
        <w:adjustRightInd w:val="0"/>
        <w:snapToGrid w:val="0"/>
        <w:spacing w:before="101" w:beforeLines="-2147483648" w:afterLines="-2147483648" w:line="372" w:lineRule="auto"/>
        <w:ind w:firstLine="668" w:firstLineChars="200"/>
        <w:jc w:val="left"/>
        <w:textAlignment w:val="baseline"/>
        <w:rPr>
          <w:rFonts w:hint="eastAsia" w:ascii="仿宋" w:hAnsi="仿宋" w:eastAsia="仿宋" w:cs="仿宋"/>
          <w:snapToGrid w:val="0"/>
          <w:color w:val="000000"/>
          <w:spacing w:val="12"/>
          <w:kern w:val="0"/>
          <w:sz w:val="31"/>
          <w:szCs w:val="31"/>
          <w:lang w:val="en-US" w:eastAsia="en-US" w:bidi="ar-SA"/>
        </w:rPr>
      </w:pPr>
      <w:r>
        <w:rPr>
          <w:rFonts w:hint="eastAsia" w:ascii="仿宋" w:hAnsi="仿宋" w:eastAsia="仿宋" w:cs="仿宋"/>
          <w:snapToGrid w:val="0"/>
          <w:color w:val="000000"/>
          <w:spacing w:val="12"/>
          <w:kern w:val="0"/>
          <w:sz w:val="31"/>
          <w:szCs w:val="31"/>
          <w:lang w:val="en-US" w:eastAsia="en-US" w:bidi="ar-SA"/>
        </w:rPr>
        <w:t>④绩效相关。绩效评价针对具体支出及其产出绩效进行，评价结果清晰反映支出和产出绩效之间的紧密对应关系。</w:t>
      </w:r>
    </w:p>
    <w:p w14:paraId="26B7724A">
      <w:pPr>
        <w:pStyle w:val="2"/>
        <w:numPr>
          <w:ilvl w:val="0"/>
          <w:numId w:val="0"/>
        </w:numPr>
        <w:spacing w:before="198" w:line="220" w:lineRule="auto"/>
        <w:ind w:firstLine="338" w:firstLineChars="100"/>
        <w:rPr>
          <w:spacing w:val="14"/>
          <w:sz w:val="31"/>
          <w:szCs w:val="31"/>
        </w:rPr>
      </w:pPr>
      <w:r>
        <w:rPr>
          <w:rFonts w:hint="eastAsia"/>
          <w:spacing w:val="14"/>
          <w:sz w:val="31"/>
          <w:szCs w:val="31"/>
          <w:lang w:eastAsia="zh-CN"/>
        </w:rPr>
        <w:t>（</w:t>
      </w:r>
      <w:r>
        <w:rPr>
          <w:rFonts w:hint="eastAsia"/>
          <w:spacing w:val="14"/>
          <w:sz w:val="31"/>
          <w:szCs w:val="31"/>
          <w:lang w:val="en-US" w:eastAsia="zh-CN"/>
        </w:rPr>
        <w:t>三</w:t>
      </w:r>
      <w:r>
        <w:rPr>
          <w:rFonts w:hint="eastAsia"/>
          <w:spacing w:val="14"/>
          <w:sz w:val="31"/>
          <w:szCs w:val="31"/>
          <w:lang w:eastAsia="zh-CN"/>
        </w:rPr>
        <w:t>）</w:t>
      </w:r>
      <w:r>
        <w:rPr>
          <w:spacing w:val="14"/>
          <w:sz w:val="31"/>
          <w:szCs w:val="31"/>
        </w:rPr>
        <w:t>绩效评价工作过程。</w:t>
      </w:r>
    </w:p>
    <w:p w14:paraId="33C09B72">
      <w:pPr>
        <w:widowControl/>
        <w:kinsoku w:val="0"/>
        <w:autoSpaceDE w:val="0"/>
        <w:autoSpaceDN w:val="0"/>
        <w:adjustRightInd w:val="0"/>
        <w:snapToGrid w:val="0"/>
        <w:spacing w:before="101" w:beforeLines="-2147483648" w:afterLines="-2147483648" w:line="372" w:lineRule="auto"/>
        <w:ind w:firstLine="668" w:firstLineChars="200"/>
        <w:jc w:val="left"/>
        <w:textAlignment w:val="baseline"/>
        <w:rPr>
          <w:rFonts w:hint="eastAsia" w:ascii="仿宋" w:hAnsi="仿宋" w:eastAsia="仿宋" w:cs="仿宋"/>
          <w:snapToGrid w:val="0"/>
          <w:color w:val="000000"/>
          <w:spacing w:val="12"/>
          <w:kern w:val="0"/>
          <w:sz w:val="31"/>
          <w:szCs w:val="31"/>
          <w:lang w:val="en-US" w:eastAsia="en-US" w:bidi="ar-SA"/>
        </w:rPr>
      </w:pPr>
      <w:r>
        <w:rPr>
          <w:rFonts w:hint="eastAsia" w:ascii="仿宋" w:hAnsi="仿宋" w:eastAsia="仿宋" w:cs="仿宋"/>
          <w:snapToGrid w:val="0"/>
          <w:color w:val="000000"/>
          <w:spacing w:val="12"/>
          <w:kern w:val="0"/>
          <w:sz w:val="31"/>
          <w:szCs w:val="31"/>
          <w:lang w:val="en-US" w:eastAsia="zh-CN" w:bidi="ar-SA"/>
        </w:rPr>
        <w:t>对</w:t>
      </w:r>
      <w:r>
        <w:rPr>
          <w:rFonts w:hint="eastAsia" w:ascii="仿宋" w:hAnsi="仿宋" w:eastAsia="仿宋" w:cs="仿宋"/>
          <w:snapToGrid w:val="0"/>
          <w:color w:val="000000"/>
          <w:spacing w:val="12"/>
          <w:kern w:val="0"/>
          <w:sz w:val="31"/>
          <w:szCs w:val="31"/>
          <w:lang w:val="en-US" w:eastAsia="en-US" w:bidi="ar-SA"/>
        </w:rPr>
        <w:t>绩效评价工作过程</w:t>
      </w:r>
      <w:r>
        <w:rPr>
          <w:rFonts w:hint="eastAsia" w:ascii="仿宋" w:hAnsi="仿宋" w:eastAsia="仿宋" w:cs="仿宋"/>
          <w:snapToGrid w:val="0"/>
          <w:color w:val="000000"/>
          <w:spacing w:val="12"/>
          <w:kern w:val="0"/>
          <w:sz w:val="31"/>
          <w:szCs w:val="31"/>
          <w:lang w:val="en-US" w:eastAsia="zh-CN" w:bidi="ar-SA"/>
        </w:rPr>
        <w:t>应建立绩效运行台账以便备查、跟踪进度，及时纠偏，确保绩效评价工作效益最大化。</w:t>
      </w:r>
    </w:p>
    <w:p w14:paraId="33BF1EA1">
      <w:pPr>
        <w:numPr>
          <w:ilvl w:val="0"/>
          <w:numId w:val="0"/>
        </w:numPr>
        <w:spacing w:before="205" w:line="222" w:lineRule="auto"/>
        <w:ind w:firstLine="632" w:firstLineChars="200"/>
        <w:rPr>
          <w:rFonts w:ascii="黑体" w:hAnsi="黑体" w:eastAsia="黑体" w:cs="黑体"/>
          <w:spacing w:val="3"/>
          <w:sz w:val="31"/>
          <w:szCs w:val="31"/>
        </w:rPr>
      </w:pPr>
      <w:r>
        <w:rPr>
          <w:rFonts w:hint="eastAsia" w:ascii="黑体" w:hAnsi="黑体" w:eastAsia="黑体" w:cs="黑体"/>
          <w:spacing w:val="3"/>
          <w:sz w:val="31"/>
          <w:szCs w:val="31"/>
          <w:lang w:val="en-US" w:eastAsia="zh-CN"/>
        </w:rPr>
        <w:t>三、</w:t>
      </w:r>
      <w:r>
        <w:rPr>
          <w:rFonts w:ascii="黑体" w:hAnsi="黑体" w:eastAsia="黑体" w:cs="黑体"/>
          <w:spacing w:val="3"/>
          <w:sz w:val="31"/>
          <w:szCs w:val="31"/>
        </w:rPr>
        <w:t>综合评价情况及评价结论</w:t>
      </w:r>
    </w:p>
    <w:p w14:paraId="3C7DDC42">
      <w:pPr>
        <w:widowControl/>
        <w:kinsoku w:val="0"/>
        <w:autoSpaceDE w:val="0"/>
        <w:autoSpaceDN w:val="0"/>
        <w:adjustRightInd w:val="0"/>
        <w:snapToGrid w:val="0"/>
        <w:spacing w:before="101" w:beforeLines="-2147483648" w:afterLines="-2147483648" w:line="372" w:lineRule="auto"/>
        <w:ind w:firstLine="668" w:firstLineChars="200"/>
        <w:jc w:val="left"/>
        <w:textAlignment w:val="baseline"/>
        <w:rPr>
          <w:rFonts w:hint="eastAsia" w:ascii="仿宋" w:hAnsi="仿宋" w:eastAsia="仿宋" w:cs="仿宋"/>
          <w:snapToGrid w:val="0"/>
          <w:color w:val="000000"/>
          <w:spacing w:val="12"/>
          <w:kern w:val="0"/>
          <w:sz w:val="31"/>
          <w:szCs w:val="31"/>
          <w:lang w:val="en-US" w:eastAsia="en-US" w:bidi="ar-SA"/>
        </w:rPr>
      </w:pPr>
      <w:r>
        <w:rPr>
          <w:rFonts w:hint="eastAsia" w:ascii="仿宋" w:hAnsi="仿宋" w:eastAsia="仿宋" w:cs="仿宋"/>
          <w:snapToGrid w:val="0"/>
          <w:color w:val="000000"/>
          <w:spacing w:val="12"/>
          <w:kern w:val="0"/>
          <w:sz w:val="31"/>
          <w:szCs w:val="31"/>
          <w:lang w:val="en-US" w:eastAsia="en-US" w:bidi="ar-SA"/>
        </w:rPr>
        <w:t>通过对融媒体中心</w:t>
      </w:r>
      <w:r>
        <w:rPr>
          <w:rFonts w:hint="eastAsia" w:ascii="仿宋" w:hAnsi="仿宋" w:eastAsia="仿宋" w:cs="仿宋"/>
          <w:snapToGrid w:val="0"/>
          <w:color w:val="000000"/>
          <w:spacing w:val="12"/>
          <w:kern w:val="0"/>
          <w:sz w:val="31"/>
          <w:szCs w:val="31"/>
          <w:lang w:val="en-US" w:eastAsia="zh-CN" w:bidi="ar-SA"/>
        </w:rPr>
        <w:t>项目资金综合</w:t>
      </w:r>
      <w:r>
        <w:rPr>
          <w:rFonts w:hint="eastAsia" w:ascii="仿宋" w:hAnsi="仿宋" w:eastAsia="仿宋" w:cs="仿宋"/>
          <w:snapToGrid w:val="0"/>
          <w:color w:val="000000"/>
          <w:spacing w:val="12"/>
          <w:kern w:val="0"/>
          <w:sz w:val="31"/>
          <w:szCs w:val="31"/>
          <w:lang w:val="en-US" w:eastAsia="en-US" w:bidi="ar-SA"/>
        </w:rPr>
        <w:t>评价，我们认为融媒体中心在预算管理、资金使用、资产管理、社会效益与经济效益创造以及可持续发展能力等方面取得了一定的成绩，但也存在一些需要改进的问题。综合各项评价指标得分情况，融媒体中心项目支出部门评价结果为</w:t>
      </w:r>
      <w:r>
        <w:rPr>
          <w:rFonts w:hint="eastAsia" w:ascii="仿宋" w:hAnsi="仿宋" w:eastAsia="仿宋" w:cs="仿宋"/>
          <w:snapToGrid w:val="0"/>
          <w:color w:val="000000"/>
          <w:spacing w:val="12"/>
          <w:kern w:val="0"/>
          <w:sz w:val="31"/>
          <w:szCs w:val="31"/>
          <w:lang w:val="en-US" w:eastAsia="zh-CN" w:bidi="ar-SA"/>
        </w:rPr>
        <w:t>优</w:t>
      </w:r>
      <w:r>
        <w:rPr>
          <w:rFonts w:hint="eastAsia" w:ascii="仿宋" w:hAnsi="仿宋" w:eastAsia="仿宋" w:cs="仿宋"/>
          <w:snapToGrid w:val="0"/>
          <w:color w:val="000000"/>
          <w:spacing w:val="12"/>
          <w:kern w:val="0"/>
          <w:sz w:val="31"/>
          <w:szCs w:val="31"/>
          <w:lang w:val="en-US" w:eastAsia="en-US" w:bidi="ar-SA"/>
        </w:rPr>
        <w:t>等。希望融媒体中心在今后的工作中，能够针对存在的问题，采取有效措施加以改进，不断提升整体支出管理水平和资金使用效益，为推动融媒体事业高质量发展做出更大贡献。</w:t>
      </w:r>
    </w:p>
    <w:p w14:paraId="51B98FE1">
      <w:pPr>
        <w:widowControl/>
        <w:kinsoku w:val="0"/>
        <w:autoSpaceDE w:val="0"/>
        <w:autoSpaceDN w:val="0"/>
        <w:adjustRightInd w:val="0"/>
        <w:snapToGrid w:val="0"/>
        <w:spacing w:before="101" w:beforeLines="-2147483648" w:afterLines="-2147483648" w:line="372" w:lineRule="auto"/>
        <w:ind w:firstLine="942" w:firstLineChars="300"/>
        <w:jc w:val="left"/>
        <w:textAlignment w:val="baseline"/>
        <w:rPr>
          <w:rFonts w:ascii="黑体" w:hAnsi="黑体" w:eastAsia="黑体" w:cs="黑体"/>
          <w:sz w:val="31"/>
          <w:szCs w:val="31"/>
        </w:rPr>
      </w:pPr>
      <w:r>
        <w:rPr>
          <w:rFonts w:ascii="黑体" w:hAnsi="黑体" w:eastAsia="黑体" w:cs="黑体"/>
          <w:spacing w:val="2"/>
          <w:sz w:val="31"/>
          <w:szCs w:val="31"/>
        </w:rPr>
        <w:t>四、绩效评价指标分析</w:t>
      </w:r>
    </w:p>
    <w:p w14:paraId="6FB55412">
      <w:pPr>
        <w:widowControl/>
        <w:kinsoku w:val="0"/>
        <w:autoSpaceDE w:val="0"/>
        <w:autoSpaceDN w:val="0"/>
        <w:adjustRightInd w:val="0"/>
        <w:snapToGrid w:val="0"/>
        <w:spacing w:before="101" w:beforeLines="-2147483648" w:afterLines="-2147483648" w:line="372" w:lineRule="auto"/>
        <w:ind w:firstLine="668" w:firstLineChars="200"/>
        <w:jc w:val="left"/>
        <w:textAlignment w:val="baseline"/>
        <w:rPr>
          <w:rFonts w:hint="eastAsia" w:ascii="仿宋" w:hAnsi="仿宋" w:eastAsia="仿宋" w:cs="仿宋"/>
          <w:snapToGrid w:val="0"/>
          <w:color w:val="000000"/>
          <w:spacing w:val="12"/>
          <w:kern w:val="0"/>
          <w:sz w:val="31"/>
          <w:szCs w:val="31"/>
          <w:lang w:val="en-US" w:eastAsia="en-US" w:bidi="ar-SA"/>
        </w:rPr>
      </w:pPr>
      <w:r>
        <w:rPr>
          <w:rFonts w:hint="eastAsia" w:ascii="仿宋" w:hAnsi="仿宋" w:eastAsia="仿宋" w:cs="仿宋"/>
          <w:snapToGrid w:val="0"/>
          <w:color w:val="000000"/>
          <w:spacing w:val="12"/>
          <w:kern w:val="0"/>
          <w:sz w:val="31"/>
          <w:szCs w:val="31"/>
          <w:lang w:val="en-US" w:eastAsia="en-US" w:bidi="ar-SA"/>
        </w:rPr>
        <w:t>（一）项目决策情况。</w:t>
      </w:r>
    </w:p>
    <w:p w14:paraId="0D864F4D">
      <w:pPr>
        <w:widowControl/>
        <w:kinsoku w:val="0"/>
        <w:autoSpaceDE w:val="0"/>
        <w:autoSpaceDN w:val="0"/>
        <w:adjustRightInd w:val="0"/>
        <w:snapToGrid w:val="0"/>
        <w:spacing w:before="101" w:beforeLines="-2147483648" w:afterLines="-2147483648" w:line="372" w:lineRule="auto"/>
        <w:ind w:firstLine="668" w:firstLineChars="200"/>
        <w:jc w:val="left"/>
        <w:textAlignment w:val="baseline"/>
        <w:rPr>
          <w:rFonts w:hint="default" w:ascii="仿宋" w:hAnsi="仿宋" w:eastAsia="仿宋" w:cs="仿宋"/>
          <w:snapToGrid w:val="0"/>
          <w:color w:val="000000"/>
          <w:spacing w:val="12"/>
          <w:kern w:val="0"/>
          <w:sz w:val="31"/>
          <w:szCs w:val="31"/>
          <w:lang w:val="en-US" w:eastAsia="zh-CN" w:bidi="ar-SA"/>
        </w:rPr>
      </w:pPr>
      <w:r>
        <w:rPr>
          <w:rFonts w:hint="eastAsia" w:ascii="仿宋" w:hAnsi="仿宋" w:eastAsia="仿宋" w:cs="仿宋"/>
          <w:snapToGrid w:val="0"/>
          <w:color w:val="000000"/>
          <w:spacing w:val="12"/>
          <w:kern w:val="0"/>
          <w:sz w:val="31"/>
          <w:szCs w:val="31"/>
          <w:lang w:val="en-US" w:eastAsia="zh-CN" w:bidi="ar-SA"/>
        </w:rPr>
        <w:t>每年根据上级财政下达的指标决策常规工作。</w:t>
      </w:r>
    </w:p>
    <w:p w14:paraId="2F0127D2">
      <w:pPr>
        <w:widowControl/>
        <w:kinsoku w:val="0"/>
        <w:autoSpaceDE w:val="0"/>
        <w:autoSpaceDN w:val="0"/>
        <w:adjustRightInd w:val="0"/>
        <w:snapToGrid w:val="0"/>
        <w:spacing w:before="101" w:beforeLines="-2147483648" w:afterLines="-2147483648" w:line="372" w:lineRule="auto"/>
        <w:ind w:firstLine="668" w:firstLineChars="200"/>
        <w:jc w:val="left"/>
        <w:textAlignment w:val="baseline"/>
        <w:rPr>
          <w:rFonts w:hint="eastAsia" w:ascii="仿宋" w:hAnsi="仿宋" w:eastAsia="仿宋" w:cs="仿宋"/>
          <w:snapToGrid w:val="0"/>
          <w:color w:val="000000"/>
          <w:spacing w:val="12"/>
          <w:kern w:val="0"/>
          <w:sz w:val="31"/>
          <w:szCs w:val="31"/>
          <w:lang w:val="en-US" w:eastAsia="en-US" w:bidi="ar-SA"/>
        </w:rPr>
      </w:pPr>
      <w:r>
        <w:rPr>
          <w:rFonts w:hint="eastAsia" w:ascii="仿宋" w:hAnsi="仿宋" w:eastAsia="仿宋" w:cs="仿宋"/>
          <w:snapToGrid w:val="0"/>
          <w:color w:val="000000"/>
          <w:spacing w:val="12"/>
          <w:kern w:val="0"/>
          <w:sz w:val="31"/>
          <w:szCs w:val="31"/>
          <w:lang w:val="en-US" w:eastAsia="en-US" w:bidi="ar-SA"/>
        </w:rPr>
        <w:t>（二）项目过程情况。</w:t>
      </w:r>
    </w:p>
    <w:p w14:paraId="551D8380">
      <w:pPr>
        <w:widowControl/>
        <w:kinsoku w:val="0"/>
        <w:autoSpaceDE w:val="0"/>
        <w:autoSpaceDN w:val="0"/>
        <w:adjustRightInd w:val="0"/>
        <w:snapToGrid w:val="0"/>
        <w:spacing w:before="101" w:beforeLines="-2147483648" w:afterLines="-2147483648" w:line="372" w:lineRule="auto"/>
        <w:ind w:firstLine="668" w:firstLineChars="200"/>
        <w:jc w:val="left"/>
        <w:textAlignment w:val="baseline"/>
        <w:rPr>
          <w:rFonts w:hint="eastAsia" w:ascii="仿宋" w:hAnsi="仿宋" w:eastAsia="仿宋" w:cs="仿宋"/>
          <w:snapToGrid w:val="0"/>
          <w:color w:val="000000"/>
          <w:spacing w:val="12"/>
          <w:kern w:val="0"/>
          <w:sz w:val="31"/>
          <w:szCs w:val="31"/>
          <w:lang w:val="en-US" w:eastAsia="en-US" w:bidi="ar-SA"/>
        </w:rPr>
      </w:pPr>
      <w:r>
        <w:rPr>
          <w:rFonts w:hint="eastAsia" w:ascii="仿宋" w:hAnsi="仿宋" w:eastAsia="仿宋" w:cs="仿宋"/>
          <w:snapToGrid w:val="0"/>
          <w:color w:val="000000"/>
          <w:spacing w:val="12"/>
          <w:kern w:val="0"/>
          <w:sz w:val="31"/>
          <w:szCs w:val="31"/>
          <w:lang w:val="en-US" w:eastAsia="zh-CN" w:bidi="ar-SA"/>
        </w:rPr>
        <w:t>中心</w:t>
      </w:r>
      <w:r>
        <w:rPr>
          <w:rFonts w:hint="eastAsia" w:ascii="仿宋" w:hAnsi="仿宋" w:eastAsia="仿宋" w:cs="仿宋"/>
          <w:snapToGrid w:val="0"/>
          <w:color w:val="000000"/>
          <w:spacing w:val="12"/>
          <w:kern w:val="0"/>
          <w:sz w:val="31"/>
          <w:szCs w:val="31"/>
          <w:lang w:val="en-US" w:eastAsia="en-US" w:bidi="ar-SA"/>
        </w:rPr>
        <w:t>领导高度重视，按年度工作计划和财政要求完成。</w:t>
      </w:r>
    </w:p>
    <w:p w14:paraId="1F344F14">
      <w:pPr>
        <w:widowControl/>
        <w:kinsoku w:val="0"/>
        <w:autoSpaceDE w:val="0"/>
        <w:autoSpaceDN w:val="0"/>
        <w:adjustRightInd w:val="0"/>
        <w:snapToGrid w:val="0"/>
        <w:spacing w:before="101" w:beforeLines="-2147483648" w:afterLines="-2147483648" w:line="372" w:lineRule="auto"/>
        <w:ind w:firstLine="668" w:firstLineChars="200"/>
        <w:jc w:val="left"/>
        <w:textAlignment w:val="baseline"/>
        <w:rPr>
          <w:rFonts w:hint="default" w:ascii="仿宋" w:hAnsi="仿宋" w:eastAsia="仿宋" w:cs="仿宋"/>
          <w:snapToGrid w:val="0"/>
          <w:color w:val="000000"/>
          <w:spacing w:val="12"/>
          <w:kern w:val="0"/>
          <w:sz w:val="31"/>
          <w:szCs w:val="31"/>
          <w:lang w:val="en-US" w:eastAsia="zh-CN" w:bidi="ar-SA"/>
        </w:rPr>
      </w:pPr>
      <w:r>
        <w:rPr>
          <w:rFonts w:hint="eastAsia" w:ascii="仿宋" w:hAnsi="仿宋" w:eastAsia="仿宋" w:cs="仿宋"/>
          <w:snapToGrid w:val="0"/>
          <w:color w:val="000000"/>
          <w:spacing w:val="12"/>
          <w:kern w:val="0"/>
          <w:sz w:val="31"/>
          <w:szCs w:val="31"/>
          <w:lang w:val="en-US" w:eastAsia="en-US" w:bidi="ar-SA"/>
        </w:rPr>
        <w:t>（三）项目产出情况。</w:t>
      </w:r>
    </w:p>
    <w:p w14:paraId="70F9595A">
      <w:pPr>
        <w:widowControl/>
        <w:kinsoku w:val="0"/>
        <w:autoSpaceDE w:val="0"/>
        <w:autoSpaceDN w:val="0"/>
        <w:adjustRightInd w:val="0"/>
        <w:snapToGrid w:val="0"/>
        <w:spacing w:before="101" w:beforeLines="-2147483648" w:afterLines="-2147483648" w:line="372" w:lineRule="auto"/>
        <w:ind w:firstLine="668" w:firstLineChars="200"/>
        <w:jc w:val="left"/>
        <w:textAlignment w:val="baseline"/>
        <w:rPr>
          <w:rFonts w:hint="eastAsia" w:ascii="仿宋" w:hAnsi="仿宋" w:eastAsia="仿宋" w:cs="仿宋"/>
          <w:snapToGrid w:val="0"/>
          <w:color w:val="000000"/>
          <w:spacing w:val="12"/>
          <w:kern w:val="0"/>
          <w:sz w:val="31"/>
          <w:szCs w:val="31"/>
          <w:lang w:val="en-US" w:eastAsia="zh-CN" w:bidi="ar-SA"/>
        </w:rPr>
      </w:pPr>
      <w:r>
        <w:rPr>
          <w:rFonts w:hint="eastAsia" w:ascii="仿宋" w:hAnsi="仿宋" w:eastAsia="仿宋" w:cs="仿宋"/>
          <w:snapToGrid w:val="0"/>
          <w:color w:val="000000"/>
          <w:spacing w:val="12"/>
          <w:kern w:val="0"/>
          <w:sz w:val="31"/>
          <w:szCs w:val="31"/>
          <w:lang w:val="en-US" w:eastAsia="zh-CN" w:bidi="ar-SA"/>
        </w:rPr>
        <w:t>数字发射机运行维护数量2部；</w:t>
      </w:r>
    </w:p>
    <w:p w14:paraId="2A04C904">
      <w:pPr>
        <w:widowControl/>
        <w:kinsoku w:val="0"/>
        <w:autoSpaceDE w:val="0"/>
        <w:autoSpaceDN w:val="0"/>
        <w:adjustRightInd w:val="0"/>
        <w:snapToGrid w:val="0"/>
        <w:spacing w:before="101" w:beforeLines="-2147483648" w:afterLines="-2147483648" w:line="372" w:lineRule="auto"/>
        <w:ind w:firstLine="668" w:firstLineChars="200"/>
        <w:jc w:val="left"/>
        <w:textAlignment w:val="baseline"/>
        <w:rPr>
          <w:rFonts w:hint="eastAsia" w:ascii="仿宋" w:hAnsi="仿宋" w:eastAsia="仿宋" w:cs="仿宋"/>
          <w:snapToGrid w:val="0"/>
          <w:color w:val="000000"/>
          <w:spacing w:val="12"/>
          <w:kern w:val="0"/>
          <w:sz w:val="31"/>
          <w:szCs w:val="31"/>
          <w:lang w:val="en-US" w:eastAsia="en-US" w:bidi="ar-SA"/>
        </w:rPr>
      </w:pPr>
      <w:r>
        <w:rPr>
          <w:rFonts w:hint="eastAsia" w:ascii="仿宋" w:hAnsi="仿宋" w:eastAsia="仿宋" w:cs="仿宋"/>
          <w:snapToGrid w:val="0"/>
          <w:color w:val="000000"/>
          <w:spacing w:val="12"/>
          <w:kern w:val="0"/>
          <w:sz w:val="31"/>
          <w:szCs w:val="31"/>
          <w:lang w:val="en-US" w:eastAsia="zh-CN" w:bidi="ar-SA"/>
        </w:rPr>
        <w:t>数字发射机满功率、满时间、满调制度播出率100%</w:t>
      </w:r>
      <w:r>
        <w:rPr>
          <w:rFonts w:hint="eastAsia" w:ascii="仿宋" w:hAnsi="仿宋" w:eastAsia="仿宋" w:cs="仿宋"/>
          <w:snapToGrid w:val="0"/>
          <w:color w:val="000000"/>
          <w:spacing w:val="12"/>
          <w:kern w:val="0"/>
          <w:sz w:val="31"/>
          <w:szCs w:val="31"/>
          <w:lang w:val="en-US" w:eastAsia="en-US" w:bidi="ar-SA"/>
        </w:rPr>
        <w:t>；</w:t>
      </w:r>
    </w:p>
    <w:p w14:paraId="17792701">
      <w:pPr>
        <w:widowControl/>
        <w:kinsoku w:val="0"/>
        <w:autoSpaceDE w:val="0"/>
        <w:autoSpaceDN w:val="0"/>
        <w:adjustRightInd w:val="0"/>
        <w:snapToGrid w:val="0"/>
        <w:spacing w:before="101" w:beforeLines="-2147483648" w:afterLines="-2147483648" w:line="372" w:lineRule="auto"/>
        <w:ind w:firstLine="668" w:firstLineChars="200"/>
        <w:jc w:val="left"/>
        <w:textAlignment w:val="baseline"/>
        <w:rPr>
          <w:rFonts w:hint="eastAsia" w:ascii="仿宋" w:hAnsi="仿宋" w:eastAsia="仿宋" w:cs="仿宋"/>
          <w:snapToGrid w:val="0"/>
          <w:color w:val="000000"/>
          <w:spacing w:val="12"/>
          <w:kern w:val="0"/>
          <w:sz w:val="31"/>
          <w:szCs w:val="31"/>
          <w:lang w:val="en-US" w:eastAsia="zh-CN" w:bidi="ar-SA"/>
        </w:rPr>
      </w:pPr>
      <w:r>
        <w:rPr>
          <w:rFonts w:hint="eastAsia" w:ascii="仿宋" w:hAnsi="仿宋" w:eastAsia="仿宋" w:cs="仿宋"/>
          <w:snapToGrid w:val="0"/>
          <w:color w:val="000000"/>
          <w:spacing w:val="12"/>
          <w:kern w:val="0"/>
          <w:sz w:val="31"/>
          <w:szCs w:val="31"/>
          <w:lang w:val="en-US" w:eastAsia="zh-CN" w:bidi="ar-SA"/>
        </w:rPr>
        <w:t>专项资金到位率100%；</w:t>
      </w:r>
    </w:p>
    <w:p w14:paraId="5DCDDBBA">
      <w:pPr>
        <w:widowControl/>
        <w:kinsoku w:val="0"/>
        <w:autoSpaceDE w:val="0"/>
        <w:autoSpaceDN w:val="0"/>
        <w:adjustRightInd w:val="0"/>
        <w:snapToGrid w:val="0"/>
        <w:spacing w:before="101" w:beforeLines="-2147483648" w:afterLines="-2147483648" w:line="372" w:lineRule="auto"/>
        <w:ind w:firstLine="668" w:firstLineChars="200"/>
        <w:jc w:val="left"/>
        <w:textAlignment w:val="baseline"/>
        <w:rPr>
          <w:rFonts w:hint="eastAsia" w:ascii="仿宋" w:hAnsi="仿宋" w:eastAsia="仿宋" w:cs="仿宋"/>
          <w:snapToGrid w:val="0"/>
          <w:color w:val="000000"/>
          <w:spacing w:val="12"/>
          <w:kern w:val="0"/>
          <w:sz w:val="31"/>
          <w:szCs w:val="31"/>
          <w:lang w:val="en-US" w:eastAsia="en-US" w:bidi="ar-SA"/>
        </w:rPr>
      </w:pPr>
      <w:r>
        <w:rPr>
          <w:rFonts w:hint="eastAsia" w:ascii="仿宋" w:hAnsi="仿宋" w:eastAsia="仿宋" w:cs="仿宋"/>
          <w:snapToGrid w:val="0"/>
          <w:color w:val="000000"/>
          <w:spacing w:val="12"/>
          <w:kern w:val="0"/>
          <w:sz w:val="31"/>
          <w:szCs w:val="31"/>
          <w:lang w:val="en-US" w:eastAsia="zh-CN" w:bidi="ar-SA"/>
        </w:rPr>
        <w:t>中央数字广播电视节目播出任务完成率100%</w:t>
      </w:r>
      <w:r>
        <w:rPr>
          <w:rFonts w:hint="eastAsia" w:ascii="仿宋" w:hAnsi="仿宋" w:eastAsia="仿宋" w:cs="仿宋"/>
          <w:snapToGrid w:val="0"/>
          <w:color w:val="000000"/>
          <w:spacing w:val="12"/>
          <w:kern w:val="0"/>
          <w:sz w:val="31"/>
          <w:szCs w:val="31"/>
          <w:lang w:val="en-US" w:eastAsia="en-US" w:bidi="ar-SA"/>
        </w:rPr>
        <w:t>；</w:t>
      </w:r>
    </w:p>
    <w:p w14:paraId="1592DE1C">
      <w:pPr>
        <w:autoSpaceDE w:val="0"/>
        <w:autoSpaceDN w:val="0"/>
        <w:adjustRightInd w:val="0"/>
        <w:spacing w:beforeLines="0" w:afterLines="0" w:line="560" w:lineRule="exact"/>
        <w:ind w:firstLine="640" w:firstLineChars="200"/>
        <w:jc w:val="left"/>
        <w:rPr>
          <w:rFonts w:hint="eastAsia" w:ascii="仿宋_GB2312" w:eastAsia="仿宋_GB2312"/>
          <w:kern w:val="0"/>
          <w:sz w:val="21"/>
        </w:rPr>
      </w:pPr>
      <w:r>
        <w:rPr>
          <w:rFonts w:hint="eastAsia" w:ascii="仿宋_GB2312" w:hAnsi="Times New Roman" w:eastAsia="仿宋_GB2312"/>
          <w:kern w:val="0"/>
          <w:sz w:val="32"/>
        </w:rPr>
        <w:t>（四）项目效益情况。</w:t>
      </w:r>
    </w:p>
    <w:p w14:paraId="725E8C24">
      <w:pPr>
        <w:widowControl/>
        <w:kinsoku w:val="0"/>
        <w:autoSpaceDE w:val="0"/>
        <w:autoSpaceDN w:val="0"/>
        <w:adjustRightInd w:val="0"/>
        <w:snapToGrid w:val="0"/>
        <w:spacing w:before="101" w:beforeLines="-2147483648" w:afterLines="-2147483648" w:line="372" w:lineRule="auto"/>
        <w:ind w:firstLine="668" w:firstLineChars="200"/>
        <w:jc w:val="left"/>
        <w:textAlignment w:val="baseline"/>
        <w:rPr>
          <w:rFonts w:hint="eastAsia" w:ascii="仿宋" w:hAnsi="仿宋" w:eastAsia="仿宋" w:cs="仿宋"/>
          <w:snapToGrid w:val="0"/>
          <w:color w:val="000000"/>
          <w:spacing w:val="12"/>
          <w:kern w:val="0"/>
          <w:sz w:val="31"/>
          <w:szCs w:val="31"/>
          <w:lang w:val="en-US" w:eastAsia="zh-CN" w:bidi="ar-SA"/>
        </w:rPr>
      </w:pPr>
      <w:r>
        <w:rPr>
          <w:rFonts w:hint="eastAsia" w:ascii="仿宋" w:hAnsi="仿宋" w:eastAsia="仿宋" w:cs="仿宋"/>
          <w:snapToGrid w:val="0"/>
          <w:color w:val="000000"/>
          <w:spacing w:val="12"/>
          <w:kern w:val="0"/>
          <w:sz w:val="31"/>
          <w:szCs w:val="31"/>
          <w:lang w:val="en-US" w:eastAsia="zh-CN" w:bidi="ar-SA"/>
        </w:rPr>
        <w:t>我县广播电视节目综合人口覆盖率100%，基本公共文化服务体系稳步提升。</w:t>
      </w:r>
    </w:p>
    <w:p w14:paraId="04706C12">
      <w:pPr>
        <w:numPr>
          <w:ilvl w:val="0"/>
          <w:numId w:val="0"/>
        </w:numPr>
        <w:spacing w:before="162" w:line="222" w:lineRule="auto"/>
        <w:ind w:firstLine="626" w:firstLineChars="200"/>
        <w:outlineLvl w:val="0"/>
        <w:rPr>
          <w:rFonts w:ascii="黑体" w:hAnsi="黑体" w:eastAsia="黑体" w:cs="黑体"/>
          <w:b/>
          <w:bCs/>
          <w:spacing w:val="1"/>
          <w:sz w:val="31"/>
          <w:szCs w:val="31"/>
        </w:rPr>
      </w:pPr>
      <w:r>
        <w:rPr>
          <w:rFonts w:hint="eastAsia" w:ascii="黑体" w:hAnsi="黑体" w:eastAsia="黑体" w:cs="黑体"/>
          <w:b/>
          <w:bCs/>
          <w:spacing w:val="1"/>
          <w:sz w:val="31"/>
          <w:szCs w:val="31"/>
          <w:lang w:val="en-US" w:eastAsia="zh-CN"/>
        </w:rPr>
        <w:t>五、</w:t>
      </w:r>
      <w:r>
        <w:rPr>
          <w:rFonts w:ascii="黑体" w:hAnsi="黑体" w:eastAsia="黑体" w:cs="黑体"/>
          <w:b/>
          <w:bCs/>
          <w:spacing w:val="1"/>
          <w:sz w:val="31"/>
          <w:szCs w:val="31"/>
        </w:rPr>
        <w:t>主要经验及做法、存在的问题及原因分析</w:t>
      </w:r>
    </w:p>
    <w:p w14:paraId="61007FE1">
      <w:pPr>
        <w:widowControl/>
        <w:kinsoku w:val="0"/>
        <w:autoSpaceDE w:val="0"/>
        <w:autoSpaceDN w:val="0"/>
        <w:adjustRightInd w:val="0"/>
        <w:snapToGrid w:val="0"/>
        <w:spacing w:before="101" w:beforeLines="-2147483648" w:afterLines="-2147483648" w:line="372" w:lineRule="auto"/>
        <w:ind w:firstLine="668" w:firstLineChars="200"/>
        <w:jc w:val="left"/>
        <w:textAlignment w:val="baseline"/>
        <w:rPr>
          <w:rFonts w:hint="eastAsia" w:ascii="仿宋" w:hAnsi="仿宋" w:eastAsia="仿宋" w:cs="仿宋"/>
          <w:snapToGrid w:val="0"/>
          <w:color w:val="000000"/>
          <w:spacing w:val="12"/>
          <w:kern w:val="0"/>
          <w:sz w:val="31"/>
          <w:szCs w:val="31"/>
          <w:lang w:val="en-US" w:eastAsia="en-US" w:bidi="ar-SA"/>
        </w:rPr>
      </w:pPr>
      <w:r>
        <w:rPr>
          <w:rFonts w:hint="eastAsia" w:ascii="仿宋" w:hAnsi="仿宋" w:eastAsia="仿宋" w:cs="仿宋"/>
          <w:snapToGrid w:val="0"/>
          <w:color w:val="000000"/>
          <w:spacing w:val="12"/>
          <w:kern w:val="0"/>
          <w:sz w:val="31"/>
          <w:szCs w:val="31"/>
          <w:lang w:val="en-US" w:eastAsia="en-US" w:bidi="ar-SA"/>
        </w:rPr>
        <w:t>一是加强绩效评价的结果应用，针对202</w:t>
      </w:r>
      <w:r>
        <w:rPr>
          <w:rFonts w:hint="eastAsia" w:ascii="仿宋" w:hAnsi="仿宋" w:eastAsia="仿宋" w:cs="仿宋"/>
          <w:snapToGrid w:val="0"/>
          <w:color w:val="000000"/>
          <w:spacing w:val="12"/>
          <w:kern w:val="0"/>
          <w:sz w:val="31"/>
          <w:szCs w:val="31"/>
          <w:lang w:val="en-US" w:eastAsia="zh-CN" w:bidi="ar-SA"/>
        </w:rPr>
        <w:t>4</w:t>
      </w:r>
      <w:r>
        <w:rPr>
          <w:rFonts w:hint="eastAsia" w:ascii="仿宋" w:hAnsi="仿宋" w:eastAsia="仿宋" w:cs="仿宋"/>
          <w:snapToGrid w:val="0"/>
          <w:color w:val="000000"/>
          <w:spacing w:val="12"/>
          <w:kern w:val="0"/>
          <w:sz w:val="31"/>
          <w:szCs w:val="31"/>
          <w:lang w:val="en-US" w:eastAsia="en-US" w:bidi="ar-SA"/>
        </w:rPr>
        <w:t>年的实际工作完成情</w:t>
      </w:r>
      <w:r>
        <w:rPr>
          <w:rFonts w:hint="eastAsia" w:ascii="仿宋" w:hAnsi="仿宋" w:eastAsia="仿宋" w:cs="仿宋"/>
          <w:snapToGrid w:val="0"/>
          <w:color w:val="000000"/>
          <w:spacing w:val="12"/>
          <w:kern w:val="0"/>
          <w:sz w:val="31"/>
          <w:szCs w:val="31"/>
          <w:lang w:val="en-US" w:eastAsia="zh-CN" w:bidi="ar-SA"/>
        </w:rPr>
        <w:t>况，科学的制订2025年的项目绩效目标，提高项目预算的精准度；二是提高项目绩效的重视程度，做到事事有计划，事事有落实，事事有监督；继续加强事前做好资金预算的申请，实施好资金使用方法，清晰资金使用范围、流程，加强资金使用过程中的监控，加强对资金的监督检查，根据绩效管理要求，加强绩效目标管理，充分利用有利时机，抓紧实施相关活动，努力提前达到规定指标，完成目标任务。</w:t>
      </w:r>
    </w:p>
    <w:p w14:paraId="731CC07B">
      <w:pPr>
        <w:numPr>
          <w:ilvl w:val="0"/>
          <w:numId w:val="0"/>
        </w:numPr>
        <w:spacing w:before="198" w:line="222" w:lineRule="auto"/>
        <w:ind w:firstLine="598" w:firstLineChars="200"/>
        <w:outlineLvl w:val="0"/>
        <w:rPr>
          <w:rFonts w:ascii="黑体" w:hAnsi="黑体" w:eastAsia="黑体" w:cs="黑体"/>
          <w:b/>
          <w:bCs/>
          <w:spacing w:val="-6"/>
          <w:sz w:val="31"/>
          <w:szCs w:val="31"/>
        </w:rPr>
      </w:pPr>
      <w:r>
        <w:rPr>
          <w:rFonts w:hint="eastAsia" w:ascii="黑体" w:hAnsi="黑体" w:eastAsia="黑体" w:cs="黑体"/>
          <w:b/>
          <w:bCs/>
          <w:spacing w:val="-6"/>
          <w:sz w:val="31"/>
          <w:szCs w:val="31"/>
          <w:lang w:val="en-US" w:eastAsia="zh-CN"/>
        </w:rPr>
        <w:t>六、</w:t>
      </w:r>
      <w:r>
        <w:rPr>
          <w:rFonts w:ascii="黑体" w:hAnsi="黑体" w:eastAsia="黑体" w:cs="黑体"/>
          <w:b/>
          <w:bCs/>
          <w:spacing w:val="-6"/>
          <w:sz w:val="31"/>
          <w:szCs w:val="31"/>
        </w:rPr>
        <w:t>有关建议</w:t>
      </w:r>
    </w:p>
    <w:p w14:paraId="5D71209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暂无</w:t>
      </w:r>
    </w:p>
    <w:p w14:paraId="5EC318BA">
      <w:pPr>
        <w:numPr>
          <w:ilvl w:val="0"/>
          <w:numId w:val="0"/>
        </w:numPr>
        <w:spacing w:before="186" w:line="221" w:lineRule="auto"/>
        <w:ind w:firstLine="618" w:firstLineChars="200"/>
        <w:outlineLvl w:val="0"/>
        <w:rPr>
          <w:rFonts w:ascii="黑体" w:hAnsi="黑体" w:eastAsia="黑体" w:cs="黑体"/>
          <w:b/>
          <w:bCs/>
          <w:spacing w:val="-1"/>
          <w:sz w:val="31"/>
          <w:szCs w:val="31"/>
        </w:rPr>
      </w:pPr>
      <w:r>
        <w:rPr>
          <w:rFonts w:hint="eastAsia" w:ascii="黑体" w:hAnsi="黑体" w:eastAsia="黑体" w:cs="黑体"/>
          <w:b/>
          <w:bCs/>
          <w:spacing w:val="-1"/>
          <w:sz w:val="31"/>
          <w:szCs w:val="31"/>
          <w:lang w:val="en-US" w:eastAsia="zh-CN"/>
        </w:rPr>
        <w:t>七、</w:t>
      </w:r>
      <w:r>
        <w:rPr>
          <w:rFonts w:ascii="黑体" w:hAnsi="黑体" w:eastAsia="黑体" w:cs="黑体"/>
          <w:b/>
          <w:bCs/>
          <w:spacing w:val="-1"/>
          <w:sz w:val="31"/>
          <w:szCs w:val="31"/>
        </w:rPr>
        <w:t>其他需要说明的问题</w:t>
      </w:r>
    </w:p>
    <w:p w14:paraId="67E1AF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暂无</w:t>
      </w:r>
    </w:p>
    <w:p w14:paraId="785FAD3A">
      <w:pPr>
        <w:pStyle w:val="2"/>
        <w:numPr>
          <w:ilvl w:val="0"/>
          <w:numId w:val="1"/>
        </w:numPr>
        <w:spacing w:before="100" w:line="225" w:lineRule="auto"/>
        <w:ind w:firstLine="622" w:firstLineChars="200"/>
        <w:rPr>
          <w:rFonts w:ascii="黑体" w:hAnsi="黑体" w:eastAsia="黑体" w:cs="黑体"/>
          <w:b/>
          <w:bCs/>
          <w:sz w:val="31"/>
          <w:szCs w:val="31"/>
        </w:rPr>
      </w:pPr>
      <w:r>
        <w:rPr>
          <w:rFonts w:ascii="黑体" w:hAnsi="黑体" w:eastAsia="黑体" w:cs="黑体"/>
          <w:b/>
          <w:bCs/>
          <w:sz w:val="31"/>
          <w:szCs w:val="31"/>
        </w:rPr>
        <w:t>项目支出绩效评价指标评分表</w:t>
      </w:r>
    </w:p>
    <w:p w14:paraId="6F1A3971">
      <w:pPr>
        <w:pStyle w:val="3"/>
        <w:numPr>
          <w:ilvl w:val="0"/>
          <w:numId w:val="0"/>
        </w:numPr>
        <w:ind w:right="864" w:rightChars="0"/>
        <w:jc w:val="both"/>
      </w:pPr>
    </w:p>
    <w:p w14:paraId="72E3C177">
      <w:pPr>
        <w:pStyle w:val="2"/>
        <w:numPr>
          <w:ilvl w:val="0"/>
          <w:numId w:val="0"/>
        </w:numPr>
        <w:spacing w:before="100" w:line="225" w:lineRule="auto"/>
        <w:ind w:firstLine="3006" w:firstLineChars="900"/>
        <w:rPr>
          <w:rFonts w:hint="eastAsia" w:ascii="仿宋" w:hAnsi="仿宋" w:eastAsia="仿宋" w:cs="仿宋"/>
          <w:snapToGrid w:val="0"/>
          <w:color w:val="000000"/>
          <w:spacing w:val="12"/>
          <w:kern w:val="0"/>
          <w:sz w:val="31"/>
          <w:szCs w:val="31"/>
          <w:lang w:val="en-US" w:eastAsia="zh-CN" w:bidi="ar-SA"/>
        </w:rPr>
      </w:pPr>
      <w:r>
        <w:rPr>
          <w:rFonts w:hint="eastAsia" w:ascii="仿宋" w:hAnsi="仿宋" w:eastAsia="仿宋" w:cs="仿宋"/>
          <w:snapToGrid w:val="0"/>
          <w:color w:val="000000"/>
          <w:spacing w:val="12"/>
          <w:kern w:val="0"/>
          <w:sz w:val="31"/>
          <w:szCs w:val="31"/>
          <w:lang w:val="en-US" w:eastAsia="zh-CN" w:bidi="ar-SA"/>
        </w:rPr>
        <w:t>项目支出绩效评分表</w:t>
      </w:r>
    </w:p>
    <w:p w14:paraId="1F4F2A7A">
      <w:pPr>
        <w:spacing w:line="89" w:lineRule="auto"/>
        <w:rPr>
          <w:rFonts w:ascii="Arial"/>
          <w:sz w:val="2"/>
        </w:rPr>
      </w:pPr>
    </w:p>
    <w:tbl>
      <w:tblPr>
        <w:tblStyle w:val="7"/>
        <w:tblW w:w="953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45"/>
        <w:gridCol w:w="388"/>
        <w:gridCol w:w="972"/>
        <w:gridCol w:w="596"/>
        <w:gridCol w:w="1962"/>
        <w:gridCol w:w="706"/>
        <w:gridCol w:w="2650"/>
        <w:gridCol w:w="1111"/>
      </w:tblGrid>
      <w:tr w14:paraId="2C9121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145" w:type="dxa"/>
            <w:vAlign w:val="top"/>
          </w:tcPr>
          <w:p w14:paraId="08A1F827">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一级</w:t>
            </w:r>
          </w:p>
          <w:p w14:paraId="7268DAEF">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指标</w:t>
            </w:r>
          </w:p>
        </w:tc>
        <w:tc>
          <w:tcPr>
            <w:tcW w:w="1360" w:type="dxa"/>
            <w:gridSpan w:val="2"/>
            <w:vAlign w:val="top"/>
          </w:tcPr>
          <w:p w14:paraId="30C36AB0">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二级指标</w:t>
            </w:r>
          </w:p>
        </w:tc>
        <w:tc>
          <w:tcPr>
            <w:tcW w:w="596" w:type="dxa"/>
            <w:textDirection w:val="tbRlV"/>
            <w:vAlign w:val="top"/>
          </w:tcPr>
          <w:p w14:paraId="45A722DC">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分 值</w:t>
            </w:r>
          </w:p>
        </w:tc>
        <w:tc>
          <w:tcPr>
            <w:tcW w:w="1962" w:type="dxa"/>
            <w:vAlign w:val="top"/>
          </w:tcPr>
          <w:p w14:paraId="687BBBAD">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三级指标</w:t>
            </w:r>
          </w:p>
        </w:tc>
        <w:tc>
          <w:tcPr>
            <w:tcW w:w="706" w:type="dxa"/>
            <w:vAlign w:val="top"/>
          </w:tcPr>
          <w:p w14:paraId="05C9396C">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分值</w:t>
            </w:r>
          </w:p>
        </w:tc>
        <w:tc>
          <w:tcPr>
            <w:tcW w:w="2650" w:type="dxa"/>
            <w:vAlign w:val="top"/>
          </w:tcPr>
          <w:p w14:paraId="3BC157D5">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评分标准</w:t>
            </w:r>
          </w:p>
        </w:tc>
        <w:tc>
          <w:tcPr>
            <w:tcW w:w="1111" w:type="dxa"/>
            <w:vAlign w:val="top"/>
          </w:tcPr>
          <w:p w14:paraId="2B7D8887">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评价</w:t>
            </w:r>
          </w:p>
          <w:p w14:paraId="3CAB8128">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得分</w:t>
            </w:r>
          </w:p>
        </w:tc>
      </w:tr>
      <w:tr w14:paraId="2856ED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145" w:type="dxa"/>
            <w:vMerge w:val="restart"/>
            <w:tcBorders>
              <w:bottom w:val="nil"/>
            </w:tcBorders>
            <w:vAlign w:val="top"/>
          </w:tcPr>
          <w:p w14:paraId="2D5926C2">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p w14:paraId="5810F33F">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p w14:paraId="4B5A943E">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p w14:paraId="7500E029">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决策</w:t>
            </w:r>
          </w:p>
          <w:p w14:paraId="6E0FD7B5">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（15 分）</w:t>
            </w:r>
          </w:p>
        </w:tc>
        <w:tc>
          <w:tcPr>
            <w:tcW w:w="1360" w:type="dxa"/>
            <w:gridSpan w:val="2"/>
            <w:vMerge w:val="restart"/>
            <w:tcBorders>
              <w:bottom w:val="nil"/>
            </w:tcBorders>
            <w:vAlign w:val="top"/>
          </w:tcPr>
          <w:p w14:paraId="11B9BD7C">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p w14:paraId="390F3EC7">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项目立项</w:t>
            </w:r>
          </w:p>
        </w:tc>
        <w:tc>
          <w:tcPr>
            <w:tcW w:w="596" w:type="dxa"/>
            <w:vMerge w:val="restart"/>
            <w:tcBorders>
              <w:bottom w:val="nil"/>
            </w:tcBorders>
            <w:vAlign w:val="top"/>
          </w:tcPr>
          <w:p w14:paraId="3FF1323D">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p w14:paraId="28D3BB07">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5</w:t>
            </w:r>
          </w:p>
        </w:tc>
        <w:tc>
          <w:tcPr>
            <w:tcW w:w="1962" w:type="dxa"/>
            <w:vAlign w:val="top"/>
          </w:tcPr>
          <w:p w14:paraId="1164B89F">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立项依据充分性</w:t>
            </w:r>
          </w:p>
        </w:tc>
        <w:tc>
          <w:tcPr>
            <w:tcW w:w="706" w:type="dxa"/>
            <w:vAlign w:val="top"/>
          </w:tcPr>
          <w:p w14:paraId="56624132">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2.5</w:t>
            </w:r>
          </w:p>
        </w:tc>
        <w:tc>
          <w:tcPr>
            <w:tcW w:w="2650" w:type="dxa"/>
            <w:vAlign w:val="top"/>
          </w:tcPr>
          <w:p w14:paraId="50AF7ECD">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符合要求</w:t>
            </w:r>
          </w:p>
        </w:tc>
        <w:tc>
          <w:tcPr>
            <w:tcW w:w="1111" w:type="dxa"/>
            <w:vAlign w:val="top"/>
          </w:tcPr>
          <w:p w14:paraId="4FA530BC">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2.5</w:t>
            </w:r>
          </w:p>
        </w:tc>
      </w:tr>
      <w:tr w14:paraId="1416B9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1145" w:type="dxa"/>
            <w:vMerge w:val="continue"/>
            <w:tcBorders>
              <w:top w:val="nil"/>
              <w:bottom w:val="nil"/>
            </w:tcBorders>
            <w:vAlign w:val="top"/>
          </w:tcPr>
          <w:p w14:paraId="5EAFE4DF">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tc>
        <w:tc>
          <w:tcPr>
            <w:tcW w:w="1360" w:type="dxa"/>
            <w:gridSpan w:val="2"/>
            <w:vMerge w:val="continue"/>
            <w:tcBorders>
              <w:top w:val="nil"/>
            </w:tcBorders>
            <w:vAlign w:val="top"/>
          </w:tcPr>
          <w:p w14:paraId="62AA4EB0">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tc>
        <w:tc>
          <w:tcPr>
            <w:tcW w:w="596" w:type="dxa"/>
            <w:vMerge w:val="continue"/>
            <w:tcBorders>
              <w:top w:val="nil"/>
            </w:tcBorders>
            <w:vAlign w:val="top"/>
          </w:tcPr>
          <w:p w14:paraId="47B5449C">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tc>
        <w:tc>
          <w:tcPr>
            <w:tcW w:w="1962" w:type="dxa"/>
            <w:vAlign w:val="top"/>
          </w:tcPr>
          <w:p w14:paraId="78D9827B">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立项程序规范性</w:t>
            </w:r>
          </w:p>
        </w:tc>
        <w:tc>
          <w:tcPr>
            <w:tcW w:w="706" w:type="dxa"/>
            <w:vAlign w:val="top"/>
          </w:tcPr>
          <w:p w14:paraId="605D1803">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2.5</w:t>
            </w:r>
          </w:p>
        </w:tc>
        <w:tc>
          <w:tcPr>
            <w:tcW w:w="2650" w:type="dxa"/>
            <w:vAlign w:val="top"/>
          </w:tcPr>
          <w:p w14:paraId="16C4CBAA">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项目的申请、设立过程符合 要求。</w:t>
            </w:r>
          </w:p>
        </w:tc>
        <w:tc>
          <w:tcPr>
            <w:tcW w:w="1111" w:type="dxa"/>
            <w:vAlign w:val="top"/>
          </w:tcPr>
          <w:p w14:paraId="6E822697">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2.5</w:t>
            </w:r>
          </w:p>
        </w:tc>
      </w:tr>
      <w:tr w14:paraId="4E1839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1145" w:type="dxa"/>
            <w:vMerge w:val="continue"/>
            <w:tcBorders>
              <w:top w:val="nil"/>
              <w:bottom w:val="nil"/>
            </w:tcBorders>
            <w:vAlign w:val="top"/>
          </w:tcPr>
          <w:p w14:paraId="3F802501">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tc>
        <w:tc>
          <w:tcPr>
            <w:tcW w:w="1360" w:type="dxa"/>
            <w:gridSpan w:val="2"/>
            <w:vMerge w:val="restart"/>
            <w:tcBorders>
              <w:bottom w:val="nil"/>
            </w:tcBorders>
            <w:vAlign w:val="top"/>
          </w:tcPr>
          <w:p w14:paraId="707CEEF7">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p w14:paraId="67EDCC01">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绩效目标</w:t>
            </w:r>
          </w:p>
        </w:tc>
        <w:tc>
          <w:tcPr>
            <w:tcW w:w="596" w:type="dxa"/>
            <w:vMerge w:val="restart"/>
            <w:tcBorders>
              <w:bottom w:val="nil"/>
            </w:tcBorders>
            <w:vAlign w:val="top"/>
          </w:tcPr>
          <w:p w14:paraId="3D81C399">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p w14:paraId="7EC8032D">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5</w:t>
            </w:r>
          </w:p>
        </w:tc>
        <w:tc>
          <w:tcPr>
            <w:tcW w:w="1962" w:type="dxa"/>
            <w:vAlign w:val="top"/>
          </w:tcPr>
          <w:p w14:paraId="43EB2603">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绩效目标合理性</w:t>
            </w:r>
          </w:p>
        </w:tc>
        <w:tc>
          <w:tcPr>
            <w:tcW w:w="706" w:type="dxa"/>
            <w:vAlign w:val="top"/>
          </w:tcPr>
          <w:p w14:paraId="0A1F585F">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2.5</w:t>
            </w:r>
          </w:p>
        </w:tc>
        <w:tc>
          <w:tcPr>
            <w:tcW w:w="2650" w:type="dxa"/>
            <w:vAlign w:val="top"/>
          </w:tcPr>
          <w:p w14:paraId="0B92C772">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合理</w:t>
            </w:r>
          </w:p>
        </w:tc>
        <w:tc>
          <w:tcPr>
            <w:tcW w:w="1111" w:type="dxa"/>
            <w:vAlign w:val="top"/>
          </w:tcPr>
          <w:p w14:paraId="3CDD41E4">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2.5</w:t>
            </w:r>
          </w:p>
        </w:tc>
      </w:tr>
      <w:tr w14:paraId="1DCAE6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1145" w:type="dxa"/>
            <w:vMerge w:val="continue"/>
            <w:tcBorders>
              <w:top w:val="nil"/>
              <w:bottom w:val="nil"/>
            </w:tcBorders>
            <w:vAlign w:val="top"/>
          </w:tcPr>
          <w:p w14:paraId="3A5A95AC">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tc>
        <w:tc>
          <w:tcPr>
            <w:tcW w:w="1360" w:type="dxa"/>
            <w:gridSpan w:val="2"/>
            <w:vMerge w:val="continue"/>
            <w:tcBorders>
              <w:top w:val="nil"/>
            </w:tcBorders>
            <w:vAlign w:val="top"/>
          </w:tcPr>
          <w:p w14:paraId="1EC29BA7">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tc>
        <w:tc>
          <w:tcPr>
            <w:tcW w:w="596" w:type="dxa"/>
            <w:vMerge w:val="continue"/>
            <w:tcBorders>
              <w:top w:val="nil"/>
            </w:tcBorders>
            <w:vAlign w:val="top"/>
          </w:tcPr>
          <w:p w14:paraId="14729CEA">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tc>
        <w:tc>
          <w:tcPr>
            <w:tcW w:w="1962" w:type="dxa"/>
            <w:vAlign w:val="top"/>
          </w:tcPr>
          <w:p w14:paraId="2317E5AF">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绩效指标明确性</w:t>
            </w:r>
          </w:p>
        </w:tc>
        <w:tc>
          <w:tcPr>
            <w:tcW w:w="706" w:type="dxa"/>
            <w:vAlign w:val="top"/>
          </w:tcPr>
          <w:p w14:paraId="036158D7">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2.5</w:t>
            </w:r>
          </w:p>
        </w:tc>
        <w:tc>
          <w:tcPr>
            <w:tcW w:w="2650" w:type="dxa"/>
            <w:vAlign w:val="top"/>
          </w:tcPr>
          <w:p w14:paraId="306A305A">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明确</w:t>
            </w:r>
          </w:p>
        </w:tc>
        <w:tc>
          <w:tcPr>
            <w:tcW w:w="1111" w:type="dxa"/>
            <w:vAlign w:val="top"/>
          </w:tcPr>
          <w:p w14:paraId="202DBB54">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2.5</w:t>
            </w:r>
          </w:p>
        </w:tc>
      </w:tr>
      <w:tr w14:paraId="016B0F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145" w:type="dxa"/>
            <w:vMerge w:val="continue"/>
            <w:tcBorders>
              <w:top w:val="nil"/>
              <w:bottom w:val="nil"/>
            </w:tcBorders>
            <w:vAlign w:val="top"/>
          </w:tcPr>
          <w:p w14:paraId="614991D7">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tc>
        <w:tc>
          <w:tcPr>
            <w:tcW w:w="1360" w:type="dxa"/>
            <w:gridSpan w:val="2"/>
            <w:vMerge w:val="restart"/>
            <w:tcBorders>
              <w:bottom w:val="nil"/>
            </w:tcBorders>
            <w:vAlign w:val="top"/>
          </w:tcPr>
          <w:p w14:paraId="64F37BC7">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p w14:paraId="5FBDACB2">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资金投入</w:t>
            </w:r>
          </w:p>
        </w:tc>
        <w:tc>
          <w:tcPr>
            <w:tcW w:w="596" w:type="dxa"/>
            <w:vMerge w:val="restart"/>
            <w:tcBorders>
              <w:bottom w:val="nil"/>
            </w:tcBorders>
            <w:vAlign w:val="top"/>
          </w:tcPr>
          <w:p w14:paraId="359EC4A7">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p w14:paraId="675CD792">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5</w:t>
            </w:r>
          </w:p>
        </w:tc>
        <w:tc>
          <w:tcPr>
            <w:tcW w:w="1962" w:type="dxa"/>
            <w:vAlign w:val="top"/>
          </w:tcPr>
          <w:p w14:paraId="20F05040">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预算编制科学性</w:t>
            </w:r>
          </w:p>
        </w:tc>
        <w:tc>
          <w:tcPr>
            <w:tcW w:w="706" w:type="dxa"/>
            <w:vAlign w:val="top"/>
          </w:tcPr>
          <w:p w14:paraId="31F008FE">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2.5</w:t>
            </w:r>
          </w:p>
        </w:tc>
        <w:tc>
          <w:tcPr>
            <w:tcW w:w="2650" w:type="dxa"/>
            <w:vAlign w:val="top"/>
          </w:tcPr>
          <w:p w14:paraId="2283B8E8">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科学</w:t>
            </w:r>
          </w:p>
        </w:tc>
        <w:tc>
          <w:tcPr>
            <w:tcW w:w="1111" w:type="dxa"/>
            <w:vAlign w:val="top"/>
          </w:tcPr>
          <w:p w14:paraId="5398B8DE">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2.5</w:t>
            </w:r>
          </w:p>
        </w:tc>
      </w:tr>
      <w:tr w14:paraId="4E3745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1145" w:type="dxa"/>
            <w:vMerge w:val="continue"/>
            <w:tcBorders>
              <w:top w:val="nil"/>
            </w:tcBorders>
            <w:vAlign w:val="top"/>
          </w:tcPr>
          <w:p w14:paraId="50F8230B">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tc>
        <w:tc>
          <w:tcPr>
            <w:tcW w:w="1360" w:type="dxa"/>
            <w:gridSpan w:val="2"/>
            <w:vMerge w:val="continue"/>
            <w:tcBorders>
              <w:top w:val="nil"/>
            </w:tcBorders>
            <w:vAlign w:val="top"/>
          </w:tcPr>
          <w:p w14:paraId="62C0DF6B">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tc>
        <w:tc>
          <w:tcPr>
            <w:tcW w:w="596" w:type="dxa"/>
            <w:vMerge w:val="continue"/>
            <w:tcBorders>
              <w:top w:val="nil"/>
            </w:tcBorders>
            <w:vAlign w:val="top"/>
          </w:tcPr>
          <w:p w14:paraId="713A7F92">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tc>
        <w:tc>
          <w:tcPr>
            <w:tcW w:w="1962" w:type="dxa"/>
            <w:vAlign w:val="top"/>
          </w:tcPr>
          <w:p w14:paraId="24F9202C">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资金分配合理性</w:t>
            </w:r>
          </w:p>
        </w:tc>
        <w:tc>
          <w:tcPr>
            <w:tcW w:w="706" w:type="dxa"/>
            <w:vAlign w:val="top"/>
          </w:tcPr>
          <w:p w14:paraId="598ABB32">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2.5</w:t>
            </w:r>
          </w:p>
        </w:tc>
        <w:tc>
          <w:tcPr>
            <w:tcW w:w="2650" w:type="dxa"/>
            <w:vAlign w:val="top"/>
          </w:tcPr>
          <w:p w14:paraId="5C86DD4A">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资金合理</w:t>
            </w:r>
          </w:p>
        </w:tc>
        <w:tc>
          <w:tcPr>
            <w:tcW w:w="1111" w:type="dxa"/>
            <w:vAlign w:val="top"/>
          </w:tcPr>
          <w:p w14:paraId="42C19733">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2.5</w:t>
            </w:r>
          </w:p>
        </w:tc>
      </w:tr>
      <w:tr w14:paraId="7D5292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1145" w:type="dxa"/>
            <w:vMerge w:val="restart"/>
            <w:tcBorders>
              <w:bottom w:val="nil"/>
            </w:tcBorders>
            <w:vAlign w:val="top"/>
          </w:tcPr>
          <w:p w14:paraId="4266A508">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p w14:paraId="7C202F99">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p w14:paraId="29D543F0">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过程   （15 分）</w:t>
            </w:r>
          </w:p>
        </w:tc>
        <w:tc>
          <w:tcPr>
            <w:tcW w:w="1360" w:type="dxa"/>
            <w:gridSpan w:val="2"/>
            <w:vMerge w:val="restart"/>
            <w:tcBorders>
              <w:bottom w:val="nil"/>
            </w:tcBorders>
            <w:vAlign w:val="top"/>
          </w:tcPr>
          <w:p w14:paraId="2D7A0EB8">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p w14:paraId="1D32168C">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资金管理</w:t>
            </w:r>
          </w:p>
        </w:tc>
        <w:tc>
          <w:tcPr>
            <w:tcW w:w="596" w:type="dxa"/>
            <w:vMerge w:val="restart"/>
            <w:tcBorders>
              <w:bottom w:val="nil"/>
            </w:tcBorders>
            <w:vAlign w:val="top"/>
          </w:tcPr>
          <w:p w14:paraId="0D7D6FDB">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p w14:paraId="7A7899DC">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8</w:t>
            </w:r>
          </w:p>
        </w:tc>
        <w:tc>
          <w:tcPr>
            <w:tcW w:w="1962" w:type="dxa"/>
            <w:vAlign w:val="top"/>
          </w:tcPr>
          <w:p w14:paraId="1D33E8D5">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资金到位率</w:t>
            </w:r>
          </w:p>
        </w:tc>
        <w:tc>
          <w:tcPr>
            <w:tcW w:w="706" w:type="dxa"/>
            <w:vMerge w:val="restart"/>
            <w:tcBorders>
              <w:bottom w:val="nil"/>
            </w:tcBorders>
            <w:vAlign w:val="top"/>
          </w:tcPr>
          <w:p w14:paraId="29689CB8">
            <w:pPr>
              <w:pStyle w:val="8"/>
              <w:widowControl w:val="0"/>
              <w:kinsoku/>
              <w:autoSpaceDE/>
              <w:autoSpaceDN/>
              <w:adjustRightInd/>
              <w:snapToGrid/>
              <w:spacing w:before="65" w:beforeLines="0" w:afterLines="0" w:line="230" w:lineRule="auto"/>
              <w:ind w:left="272"/>
              <w:jc w:val="both"/>
              <w:textAlignment w:val="auto"/>
              <w:rPr>
                <w:rFonts w:hint="eastAsia" w:ascii="黑体" w:hAnsi="黑体" w:eastAsia="黑体" w:cs="黑体"/>
                <w:snapToGrid/>
                <w:spacing w:val="5"/>
                <w:kern w:val="2"/>
                <w:sz w:val="20"/>
                <w:szCs w:val="20"/>
                <w:lang w:val="en-US" w:eastAsia="zh-CN"/>
              </w:rPr>
            </w:pPr>
          </w:p>
          <w:p w14:paraId="6E0F37EA">
            <w:pPr>
              <w:pStyle w:val="8"/>
              <w:widowControl w:val="0"/>
              <w:kinsoku/>
              <w:autoSpaceDE/>
              <w:autoSpaceDN/>
              <w:adjustRightInd/>
              <w:snapToGrid/>
              <w:spacing w:before="65" w:beforeLines="0" w:afterLines="0" w:line="230" w:lineRule="auto"/>
              <w:ind w:left="272"/>
              <w:jc w:val="both"/>
              <w:textAlignment w:val="auto"/>
              <w:rPr>
                <w:rFonts w:hint="eastAsia" w:ascii="黑体" w:hAnsi="黑体" w:eastAsia="黑体" w:cs="黑体"/>
                <w:snapToGrid/>
                <w:spacing w:val="5"/>
                <w:kern w:val="2"/>
                <w:sz w:val="20"/>
                <w:szCs w:val="20"/>
                <w:lang w:val="en-US" w:eastAsia="zh-CN"/>
              </w:rPr>
            </w:pPr>
          </w:p>
          <w:p w14:paraId="2796FA47">
            <w:pPr>
              <w:pStyle w:val="8"/>
              <w:widowControl w:val="0"/>
              <w:kinsoku/>
              <w:autoSpaceDE/>
              <w:autoSpaceDN/>
              <w:adjustRightInd/>
              <w:snapToGrid/>
              <w:spacing w:before="65" w:beforeLines="0" w:afterLines="0" w:line="230" w:lineRule="auto"/>
              <w:ind w:left="272"/>
              <w:jc w:val="both"/>
              <w:textAlignment w:val="auto"/>
              <w:rPr>
                <w:rFonts w:hint="eastAsia" w:ascii="黑体" w:hAnsi="黑体" w:eastAsia="黑体" w:cs="黑体"/>
                <w:snapToGrid/>
                <w:spacing w:val="5"/>
                <w:kern w:val="2"/>
                <w:sz w:val="20"/>
                <w:szCs w:val="20"/>
                <w:lang w:val="en-US" w:eastAsia="zh-CN"/>
              </w:rPr>
            </w:pPr>
          </w:p>
          <w:p w14:paraId="58E60B31">
            <w:pPr>
              <w:pStyle w:val="8"/>
              <w:widowControl w:val="0"/>
              <w:kinsoku/>
              <w:autoSpaceDE/>
              <w:autoSpaceDN/>
              <w:adjustRightInd/>
              <w:snapToGrid/>
              <w:spacing w:before="65" w:beforeLines="0" w:afterLines="0" w:line="230" w:lineRule="auto"/>
              <w:ind w:left="272"/>
              <w:jc w:val="both"/>
              <w:textAlignment w:val="auto"/>
              <w:rPr>
                <w:rFonts w:hint="eastAsia" w:ascii="黑体" w:hAnsi="黑体" w:eastAsia="黑体" w:cs="黑体"/>
                <w:snapToGrid/>
                <w:spacing w:val="5"/>
                <w:kern w:val="2"/>
                <w:sz w:val="20"/>
                <w:szCs w:val="20"/>
                <w:lang w:val="en-US" w:eastAsia="zh-CN"/>
              </w:rPr>
            </w:pPr>
          </w:p>
          <w:p w14:paraId="4AB0B4D3">
            <w:pPr>
              <w:pStyle w:val="8"/>
              <w:widowControl w:val="0"/>
              <w:kinsoku/>
              <w:autoSpaceDE/>
              <w:autoSpaceDN/>
              <w:adjustRightInd/>
              <w:snapToGrid/>
              <w:spacing w:before="65" w:beforeLines="0" w:afterLines="0" w:line="230" w:lineRule="auto"/>
              <w:ind w:left="272"/>
              <w:jc w:val="both"/>
              <w:textAlignment w:val="auto"/>
              <w:rPr>
                <w:rFonts w:hint="eastAsia" w:ascii="黑体" w:hAnsi="黑体" w:eastAsia="黑体" w:cs="黑体"/>
                <w:snapToGrid/>
                <w:spacing w:val="5"/>
                <w:kern w:val="2"/>
                <w:sz w:val="20"/>
                <w:szCs w:val="20"/>
                <w:lang w:val="en-US" w:eastAsia="zh-CN"/>
              </w:rPr>
            </w:pPr>
            <w:r>
              <w:rPr>
                <w:rFonts w:hint="eastAsia" w:ascii="黑体" w:hAnsi="黑体" w:eastAsia="黑体" w:cs="黑体"/>
                <w:snapToGrid/>
                <w:spacing w:val="5"/>
                <w:kern w:val="2"/>
                <w:sz w:val="20"/>
                <w:szCs w:val="20"/>
                <w:lang w:val="en-US" w:eastAsia="zh-CN"/>
              </w:rPr>
              <w:t>15</w:t>
            </w:r>
          </w:p>
        </w:tc>
        <w:tc>
          <w:tcPr>
            <w:tcW w:w="2650" w:type="dxa"/>
            <w:vAlign w:val="top"/>
          </w:tcPr>
          <w:p w14:paraId="66A9DB30">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eastAsia" w:ascii="黑体" w:hAnsi="黑体" w:eastAsia="黑体" w:cs="黑体"/>
                <w:snapToGrid/>
                <w:spacing w:val="5"/>
                <w:kern w:val="2"/>
                <w:sz w:val="20"/>
                <w:szCs w:val="20"/>
                <w:lang w:val="en-US" w:eastAsia="zh-CN"/>
              </w:rPr>
              <w:t>100</w:t>
            </w:r>
            <w:r>
              <w:rPr>
                <w:rFonts w:hint="default" w:ascii="黑体" w:hAnsi="黑体" w:eastAsia="黑体" w:cs="黑体"/>
                <w:snapToGrid/>
                <w:spacing w:val="5"/>
                <w:kern w:val="2"/>
                <w:sz w:val="20"/>
                <w:szCs w:val="20"/>
              </w:rPr>
              <w:t>%</w:t>
            </w:r>
          </w:p>
        </w:tc>
        <w:tc>
          <w:tcPr>
            <w:tcW w:w="1111" w:type="dxa"/>
            <w:vMerge w:val="restart"/>
            <w:tcBorders>
              <w:bottom w:val="nil"/>
            </w:tcBorders>
            <w:vAlign w:val="top"/>
          </w:tcPr>
          <w:p w14:paraId="399A87E5">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p w14:paraId="2A0E0CCF">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p w14:paraId="6AF0E6E9">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p w14:paraId="1E09858C">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p w14:paraId="4DB0F27F">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15</w:t>
            </w:r>
          </w:p>
        </w:tc>
      </w:tr>
      <w:tr w14:paraId="227CE7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1145" w:type="dxa"/>
            <w:vMerge w:val="continue"/>
            <w:tcBorders>
              <w:top w:val="nil"/>
              <w:bottom w:val="nil"/>
            </w:tcBorders>
            <w:vAlign w:val="top"/>
          </w:tcPr>
          <w:p w14:paraId="50C4AD0B">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tc>
        <w:tc>
          <w:tcPr>
            <w:tcW w:w="1360" w:type="dxa"/>
            <w:gridSpan w:val="2"/>
            <w:vMerge w:val="continue"/>
            <w:tcBorders>
              <w:top w:val="nil"/>
              <w:bottom w:val="nil"/>
            </w:tcBorders>
            <w:vAlign w:val="top"/>
          </w:tcPr>
          <w:p w14:paraId="17B00DDC">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tc>
        <w:tc>
          <w:tcPr>
            <w:tcW w:w="596" w:type="dxa"/>
            <w:vMerge w:val="continue"/>
            <w:tcBorders>
              <w:top w:val="nil"/>
              <w:bottom w:val="nil"/>
            </w:tcBorders>
            <w:vAlign w:val="top"/>
          </w:tcPr>
          <w:p w14:paraId="0DF827DD">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tc>
        <w:tc>
          <w:tcPr>
            <w:tcW w:w="1962" w:type="dxa"/>
            <w:vAlign w:val="top"/>
          </w:tcPr>
          <w:p w14:paraId="444F7285">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预算执行率</w:t>
            </w:r>
          </w:p>
        </w:tc>
        <w:tc>
          <w:tcPr>
            <w:tcW w:w="706" w:type="dxa"/>
            <w:vMerge w:val="continue"/>
            <w:tcBorders>
              <w:top w:val="nil"/>
              <w:bottom w:val="nil"/>
            </w:tcBorders>
            <w:vAlign w:val="top"/>
          </w:tcPr>
          <w:p w14:paraId="0F05F4F1">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tc>
        <w:tc>
          <w:tcPr>
            <w:tcW w:w="2650" w:type="dxa"/>
            <w:vAlign w:val="top"/>
          </w:tcPr>
          <w:p w14:paraId="31E02D65">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100%</w:t>
            </w:r>
          </w:p>
        </w:tc>
        <w:tc>
          <w:tcPr>
            <w:tcW w:w="1111" w:type="dxa"/>
            <w:vMerge w:val="continue"/>
            <w:tcBorders>
              <w:top w:val="nil"/>
              <w:bottom w:val="nil"/>
            </w:tcBorders>
            <w:vAlign w:val="top"/>
          </w:tcPr>
          <w:p w14:paraId="2880F110">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tc>
      </w:tr>
      <w:tr w14:paraId="1C4698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1145" w:type="dxa"/>
            <w:vMerge w:val="continue"/>
            <w:tcBorders>
              <w:top w:val="nil"/>
              <w:bottom w:val="nil"/>
            </w:tcBorders>
            <w:vAlign w:val="top"/>
          </w:tcPr>
          <w:p w14:paraId="6323492E">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tc>
        <w:tc>
          <w:tcPr>
            <w:tcW w:w="1360" w:type="dxa"/>
            <w:gridSpan w:val="2"/>
            <w:vMerge w:val="continue"/>
            <w:tcBorders>
              <w:top w:val="nil"/>
            </w:tcBorders>
            <w:vAlign w:val="top"/>
          </w:tcPr>
          <w:p w14:paraId="7A29C3FE">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tc>
        <w:tc>
          <w:tcPr>
            <w:tcW w:w="596" w:type="dxa"/>
            <w:vMerge w:val="continue"/>
            <w:tcBorders>
              <w:top w:val="nil"/>
            </w:tcBorders>
            <w:vAlign w:val="top"/>
          </w:tcPr>
          <w:p w14:paraId="66F2B968">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tc>
        <w:tc>
          <w:tcPr>
            <w:tcW w:w="1962" w:type="dxa"/>
            <w:vAlign w:val="top"/>
          </w:tcPr>
          <w:p w14:paraId="6CEFEEDE">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资金使用合规性</w:t>
            </w:r>
          </w:p>
        </w:tc>
        <w:tc>
          <w:tcPr>
            <w:tcW w:w="706" w:type="dxa"/>
            <w:vMerge w:val="continue"/>
            <w:tcBorders>
              <w:top w:val="nil"/>
              <w:bottom w:val="nil"/>
            </w:tcBorders>
            <w:vAlign w:val="top"/>
          </w:tcPr>
          <w:p w14:paraId="2948E445">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tc>
        <w:tc>
          <w:tcPr>
            <w:tcW w:w="2650" w:type="dxa"/>
            <w:vAlign w:val="top"/>
          </w:tcPr>
          <w:p w14:paraId="78AA14FE">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符合项目资金使用</w:t>
            </w:r>
          </w:p>
        </w:tc>
        <w:tc>
          <w:tcPr>
            <w:tcW w:w="1111" w:type="dxa"/>
            <w:vMerge w:val="continue"/>
            <w:tcBorders>
              <w:top w:val="nil"/>
              <w:bottom w:val="nil"/>
            </w:tcBorders>
            <w:vAlign w:val="top"/>
          </w:tcPr>
          <w:p w14:paraId="4DFE435E">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tc>
      </w:tr>
      <w:tr w14:paraId="50E118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9" w:hRule="atLeast"/>
        </w:trPr>
        <w:tc>
          <w:tcPr>
            <w:tcW w:w="1145" w:type="dxa"/>
            <w:vMerge w:val="continue"/>
            <w:tcBorders>
              <w:top w:val="nil"/>
              <w:bottom w:val="nil"/>
            </w:tcBorders>
            <w:vAlign w:val="top"/>
          </w:tcPr>
          <w:p w14:paraId="1874C8E5">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tc>
        <w:tc>
          <w:tcPr>
            <w:tcW w:w="1360" w:type="dxa"/>
            <w:gridSpan w:val="2"/>
            <w:vMerge w:val="restart"/>
            <w:tcBorders>
              <w:bottom w:val="nil"/>
            </w:tcBorders>
            <w:vAlign w:val="top"/>
          </w:tcPr>
          <w:p w14:paraId="27E95F41">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p w14:paraId="26F88B0A">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组织实施</w:t>
            </w:r>
          </w:p>
        </w:tc>
        <w:tc>
          <w:tcPr>
            <w:tcW w:w="596" w:type="dxa"/>
            <w:vMerge w:val="restart"/>
            <w:tcBorders>
              <w:bottom w:val="nil"/>
            </w:tcBorders>
            <w:vAlign w:val="top"/>
          </w:tcPr>
          <w:p w14:paraId="3BF7FF1A">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p w14:paraId="6BB84939">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7</w:t>
            </w:r>
          </w:p>
        </w:tc>
        <w:tc>
          <w:tcPr>
            <w:tcW w:w="1962" w:type="dxa"/>
            <w:vAlign w:val="top"/>
          </w:tcPr>
          <w:p w14:paraId="58800BB7">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管理制度健全性</w:t>
            </w:r>
          </w:p>
        </w:tc>
        <w:tc>
          <w:tcPr>
            <w:tcW w:w="706" w:type="dxa"/>
            <w:vMerge w:val="continue"/>
            <w:tcBorders>
              <w:top w:val="nil"/>
              <w:bottom w:val="nil"/>
            </w:tcBorders>
            <w:vAlign w:val="top"/>
          </w:tcPr>
          <w:p w14:paraId="12D287E9">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tc>
        <w:tc>
          <w:tcPr>
            <w:tcW w:w="2650" w:type="dxa"/>
            <w:vAlign w:val="top"/>
          </w:tcPr>
          <w:p w14:paraId="2B9505F1">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eastAsia" w:ascii="黑体" w:hAnsi="黑体" w:eastAsia="黑体" w:cs="黑体"/>
                <w:snapToGrid/>
                <w:spacing w:val="5"/>
                <w:kern w:val="2"/>
                <w:sz w:val="20"/>
                <w:szCs w:val="20"/>
                <w:lang w:eastAsia="zh-CN"/>
              </w:rPr>
              <w:t>安全播出</w:t>
            </w:r>
            <w:r>
              <w:rPr>
                <w:rFonts w:hint="default" w:ascii="黑体" w:hAnsi="黑体" w:eastAsia="黑体" w:cs="黑体"/>
                <w:snapToGrid/>
                <w:spacing w:val="5"/>
                <w:kern w:val="2"/>
                <w:sz w:val="20"/>
                <w:szCs w:val="20"/>
              </w:rPr>
              <w:t>项目制度健全</w:t>
            </w:r>
          </w:p>
        </w:tc>
        <w:tc>
          <w:tcPr>
            <w:tcW w:w="1111" w:type="dxa"/>
            <w:vMerge w:val="continue"/>
            <w:tcBorders>
              <w:top w:val="nil"/>
              <w:bottom w:val="nil"/>
            </w:tcBorders>
            <w:vAlign w:val="top"/>
          </w:tcPr>
          <w:p w14:paraId="4448D9D4">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tc>
      </w:tr>
      <w:tr w14:paraId="5FCCB2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145" w:type="dxa"/>
            <w:vMerge w:val="continue"/>
            <w:tcBorders>
              <w:top w:val="nil"/>
            </w:tcBorders>
            <w:vAlign w:val="top"/>
          </w:tcPr>
          <w:p w14:paraId="7F4CF733">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tc>
        <w:tc>
          <w:tcPr>
            <w:tcW w:w="1360" w:type="dxa"/>
            <w:gridSpan w:val="2"/>
            <w:vMerge w:val="continue"/>
            <w:tcBorders>
              <w:top w:val="nil"/>
            </w:tcBorders>
            <w:vAlign w:val="top"/>
          </w:tcPr>
          <w:p w14:paraId="09ECD66B">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tc>
        <w:tc>
          <w:tcPr>
            <w:tcW w:w="596" w:type="dxa"/>
            <w:vMerge w:val="continue"/>
            <w:tcBorders>
              <w:top w:val="nil"/>
            </w:tcBorders>
            <w:vAlign w:val="top"/>
          </w:tcPr>
          <w:p w14:paraId="08B64BFC">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tc>
        <w:tc>
          <w:tcPr>
            <w:tcW w:w="1962" w:type="dxa"/>
            <w:vAlign w:val="top"/>
          </w:tcPr>
          <w:p w14:paraId="3C78AED3">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制度执行有效性</w:t>
            </w:r>
          </w:p>
        </w:tc>
        <w:tc>
          <w:tcPr>
            <w:tcW w:w="706" w:type="dxa"/>
            <w:vMerge w:val="continue"/>
            <w:tcBorders>
              <w:top w:val="nil"/>
            </w:tcBorders>
            <w:vAlign w:val="top"/>
          </w:tcPr>
          <w:p w14:paraId="0E145A46">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tc>
        <w:tc>
          <w:tcPr>
            <w:tcW w:w="2650" w:type="dxa"/>
            <w:vAlign w:val="top"/>
          </w:tcPr>
          <w:p w14:paraId="78883BC8">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项目后续运行及成效发挥的 可持续影响。</w:t>
            </w:r>
          </w:p>
        </w:tc>
        <w:tc>
          <w:tcPr>
            <w:tcW w:w="1111" w:type="dxa"/>
            <w:vMerge w:val="continue"/>
            <w:tcBorders>
              <w:top w:val="nil"/>
            </w:tcBorders>
            <w:vAlign w:val="top"/>
          </w:tcPr>
          <w:p w14:paraId="1A3E6A30">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tc>
      </w:tr>
      <w:tr w14:paraId="2591FA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1145" w:type="dxa"/>
            <w:vMerge w:val="restart"/>
            <w:tcBorders>
              <w:bottom w:val="nil"/>
            </w:tcBorders>
            <w:vAlign w:val="top"/>
          </w:tcPr>
          <w:p w14:paraId="652E7EAE">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p w14:paraId="5D95AAFD">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p w14:paraId="4198D39B">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p w14:paraId="4F6F94EA">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产出   （35 分）</w:t>
            </w:r>
          </w:p>
        </w:tc>
        <w:tc>
          <w:tcPr>
            <w:tcW w:w="1360" w:type="dxa"/>
            <w:gridSpan w:val="2"/>
            <w:vAlign w:val="top"/>
          </w:tcPr>
          <w:p w14:paraId="60067FC4">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产出数量</w:t>
            </w:r>
          </w:p>
        </w:tc>
        <w:tc>
          <w:tcPr>
            <w:tcW w:w="596" w:type="dxa"/>
            <w:vAlign w:val="top"/>
          </w:tcPr>
          <w:p w14:paraId="4737F034">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10</w:t>
            </w:r>
          </w:p>
        </w:tc>
        <w:tc>
          <w:tcPr>
            <w:tcW w:w="1962" w:type="dxa"/>
            <w:vMerge w:val="restart"/>
            <w:tcBorders>
              <w:bottom w:val="nil"/>
            </w:tcBorders>
            <w:vAlign w:val="top"/>
          </w:tcPr>
          <w:p w14:paraId="3F76C0C9">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tc>
        <w:tc>
          <w:tcPr>
            <w:tcW w:w="706" w:type="dxa"/>
            <w:vAlign w:val="top"/>
          </w:tcPr>
          <w:p w14:paraId="625A1D2A">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10</w:t>
            </w:r>
          </w:p>
        </w:tc>
        <w:tc>
          <w:tcPr>
            <w:tcW w:w="2650" w:type="dxa"/>
            <w:vAlign w:val="top"/>
          </w:tcPr>
          <w:p w14:paraId="1134F9D6">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lang w:val="en-US"/>
              </w:rPr>
            </w:pPr>
            <w:r>
              <w:rPr>
                <w:rFonts w:hint="eastAsia" w:ascii="黑体" w:hAnsi="黑体" w:eastAsia="黑体" w:cs="黑体"/>
                <w:snapToGrid/>
                <w:spacing w:val="5"/>
                <w:kern w:val="2"/>
                <w:sz w:val="20"/>
                <w:szCs w:val="20"/>
                <w:lang w:val="en-US" w:eastAsia="zh-CN"/>
              </w:rPr>
              <w:t>数字发射机运行维护数</w:t>
            </w:r>
          </w:p>
        </w:tc>
        <w:tc>
          <w:tcPr>
            <w:tcW w:w="1111" w:type="dxa"/>
            <w:vAlign w:val="top"/>
          </w:tcPr>
          <w:p w14:paraId="28361273">
            <w:pPr>
              <w:pStyle w:val="8"/>
              <w:widowControl w:val="0"/>
              <w:kinsoku/>
              <w:autoSpaceDE/>
              <w:autoSpaceDN/>
              <w:adjustRightInd/>
              <w:snapToGrid/>
              <w:spacing w:before="65" w:beforeLines="0" w:afterLines="0" w:line="230" w:lineRule="auto"/>
              <w:ind w:left="272" w:firstLine="210" w:firstLineChars="100"/>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10</w:t>
            </w:r>
          </w:p>
        </w:tc>
      </w:tr>
      <w:tr w14:paraId="7CDB67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 w:hRule="atLeast"/>
        </w:trPr>
        <w:tc>
          <w:tcPr>
            <w:tcW w:w="1145" w:type="dxa"/>
            <w:vMerge w:val="continue"/>
            <w:tcBorders>
              <w:top w:val="nil"/>
              <w:bottom w:val="nil"/>
            </w:tcBorders>
            <w:vAlign w:val="top"/>
          </w:tcPr>
          <w:p w14:paraId="7AAD8A5E">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tc>
        <w:tc>
          <w:tcPr>
            <w:tcW w:w="1360" w:type="dxa"/>
            <w:gridSpan w:val="2"/>
            <w:vAlign w:val="top"/>
          </w:tcPr>
          <w:p w14:paraId="1AF3FD4F">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产出质量</w:t>
            </w:r>
          </w:p>
        </w:tc>
        <w:tc>
          <w:tcPr>
            <w:tcW w:w="596" w:type="dxa"/>
            <w:vAlign w:val="top"/>
          </w:tcPr>
          <w:p w14:paraId="726B2596">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10</w:t>
            </w:r>
          </w:p>
        </w:tc>
        <w:tc>
          <w:tcPr>
            <w:tcW w:w="1962" w:type="dxa"/>
            <w:vMerge w:val="continue"/>
            <w:tcBorders>
              <w:top w:val="nil"/>
              <w:bottom w:val="nil"/>
            </w:tcBorders>
            <w:vAlign w:val="top"/>
          </w:tcPr>
          <w:p w14:paraId="7CC3D83E">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tc>
        <w:tc>
          <w:tcPr>
            <w:tcW w:w="706" w:type="dxa"/>
            <w:vAlign w:val="top"/>
          </w:tcPr>
          <w:p w14:paraId="475FE717">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10</w:t>
            </w:r>
          </w:p>
        </w:tc>
        <w:tc>
          <w:tcPr>
            <w:tcW w:w="2650" w:type="dxa"/>
            <w:vAlign w:val="top"/>
          </w:tcPr>
          <w:p w14:paraId="77AD4D1F">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lang w:val="en-US" w:eastAsia="zh-CN"/>
              </w:rPr>
            </w:pPr>
            <w:r>
              <w:rPr>
                <w:rFonts w:hint="eastAsia" w:ascii="黑体" w:hAnsi="黑体" w:eastAsia="黑体" w:cs="黑体"/>
                <w:snapToGrid/>
                <w:spacing w:val="5"/>
                <w:kern w:val="2"/>
                <w:sz w:val="20"/>
                <w:szCs w:val="20"/>
                <w:lang w:val="en-US" w:eastAsia="zh-CN"/>
              </w:rPr>
              <w:t>数字发射机满功率、满时间、满调制度播出率</w:t>
            </w:r>
          </w:p>
        </w:tc>
        <w:tc>
          <w:tcPr>
            <w:tcW w:w="1111" w:type="dxa"/>
            <w:vAlign w:val="top"/>
          </w:tcPr>
          <w:p w14:paraId="20572FAA">
            <w:pPr>
              <w:pStyle w:val="8"/>
              <w:widowControl w:val="0"/>
              <w:kinsoku/>
              <w:autoSpaceDE/>
              <w:autoSpaceDN/>
              <w:adjustRightInd/>
              <w:snapToGrid/>
              <w:spacing w:before="65" w:beforeLines="0" w:afterLines="0" w:line="230" w:lineRule="auto"/>
              <w:ind w:left="272" w:firstLine="210" w:firstLineChars="100"/>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10</w:t>
            </w:r>
          </w:p>
        </w:tc>
      </w:tr>
      <w:tr w14:paraId="40DCCC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1145" w:type="dxa"/>
            <w:vMerge w:val="continue"/>
            <w:tcBorders>
              <w:top w:val="nil"/>
              <w:bottom w:val="nil"/>
            </w:tcBorders>
            <w:vAlign w:val="top"/>
          </w:tcPr>
          <w:p w14:paraId="0E426C69">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tc>
        <w:tc>
          <w:tcPr>
            <w:tcW w:w="1360" w:type="dxa"/>
            <w:gridSpan w:val="2"/>
            <w:vAlign w:val="top"/>
          </w:tcPr>
          <w:p w14:paraId="70D58066">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产出时效</w:t>
            </w:r>
          </w:p>
        </w:tc>
        <w:tc>
          <w:tcPr>
            <w:tcW w:w="596" w:type="dxa"/>
            <w:vAlign w:val="top"/>
          </w:tcPr>
          <w:p w14:paraId="420EF74D">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10</w:t>
            </w:r>
          </w:p>
        </w:tc>
        <w:tc>
          <w:tcPr>
            <w:tcW w:w="1962" w:type="dxa"/>
            <w:vMerge w:val="continue"/>
            <w:tcBorders>
              <w:top w:val="nil"/>
              <w:bottom w:val="nil"/>
            </w:tcBorders>
            <w:vAlign w:val="top"/>
          </w:tcPr>
          <w:p w14:paraId="2CA282F6">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tc>
        <w:tc>
          <w:tcPr>
            <w:tcW w:w="706" w:type="dxa"/>
            <w:vAlign w:val="top"/>
          </w:tcPr>
          <w:p w14:paraId="0B24A7C6">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10</w:t>
            </w:r>
          </w:p>
        </w:tc>
        <w:tc>
          <w:tcPr>
            <w:tcW w:w="2650" w:type="dxa"/>
            <w:vAlign w:val="top"/>
          </w:tcPr>
          <w:p w14:paraId="6A3E9389">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lang w:val="en-US" w:eastAsia="zh-CN"/>
              </w:rPr>
            </w:pPr>
            <w:r>
              <w:rPr>
                <w:rFonts w:hint="eastAsia" w:ascii="黑体" w:hAnsi="黑体" w:eastAsia="黑体" w:cs="黑体"/>
                <w:snapToGrid/>
                <w:spacing w:val="5"/>
                <w:kern w:val="2"/>
                <w:sz w:val="20"/>
                <w:szCs w:val="20"/>
                <w:lang w:val="en-US" w:eastAsia="zh-CN"/>
              </w:rPr>
              <w:t>中央数字广播电视节目播出任务完成率</w:t>
            </w:r>
          </w:p>
        </w:tc>
        <w:tc>
          <w:tcPr>
            <w:tcW w:w="1111" w:type="dxa"/>
            <w:vAlign w:val="top"/>
          </w:tcPr>
          <w:p w14:paraId="3ECADED8">
            <w:pPr>
              <w:pStyle w:val="8"/>
              <w:widowControl w:val="0"/>
              <w:kinsoku/>
              <w:autoSpaceDE/>
              <w:autoSpaceDN/>
              <w:adjustRightInd/>
              <w:snapToGrid/>
              <w:spacing w:before="65" w:beforeLines="0" w:afterLines="0" w:line="230" w:lineRule="auto"/>
              <w:ind w:left="272" w:firstLine="210" w:firstLineChars="100"/>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10</w:t>
            </w:r>
          </w:p>
        </w:tc>
      </w:tr>
      <w:tr w14:paraId="108417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1145" w:type="dxa"/>
            <w:vMerge w:val="continue"/>
            <w:tcBorders>
              <w:top w:val="nil"/>
            </w:tcBorders>
            <w:vAlign w:val="top"/>
          </w:tcPr>
          <w:p w14:paraId="5FF2E78C">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tc>
        <w:tc>
          <w:tcPr>
            <w:tcW w:w="1360" w:type="dxa"/>
            <w:gridSpan w:val="2"/>
            <w:vAlign w:val="top"/>
          </w:tcPr>
          <w:p w14:paraId="18983120">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产出成本</w:t>
            </w:r>
          </w:p>
        </w:tc>
        <w:tc>
          <w:tcPr>
            <w:tcW w:w="596" w:type="dxa"/>
            <w:vAlign w:val="top"/>
          </w:tcPr>
          <w:p w14:paraId="004BAE72">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5</w:t>
            </w:r>
          </w:p>
        </w:tc>
        <w:tc>
          <w:tcPr>
            <w:tcW w:w="1962" w:type="dxa"/>
            <w:vMerge w:val="continue"/>
            <w:tcBorders>
              <w:top w:val="nil"/>
              <w:bottom w:val="nil"/>
            </w:tcBorders>
            <w:vAlign w:val="top"/>
          </w:tcPr>
          <w:p w14:paraId="4B4AA4D4">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tc>
        <w:tc>
          <w:tcPr>
            <w:tcW w:w="706" w:type="dxa"/>
            <w:vAlign w:val="top"/>
          </w:tcPr>
          <w:p w14:paraId="7C0A92AC">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5</w:t>
            </w:r>
          </w:p>
        </w:tc>
        <w:tc>
          <w:tcPr>
            <w:tcW w:w="2650" w:type="dxa"/>
            <w:vAlign w:val="top"/>
          </w:tcPr>
          <w:p w14:paraId="0CFFDBBD">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lang w:val="en-US"/>
              </w:rPr>
            </w:pPr>
            <w:r>
              <w:rPr>
                <w:rFonts w:hint="eastAsia" w:ascii="黑体" w:hAnsi="黑体" w:eastAsia="黑体" w:cs="黑体"/>
                <w:snapToGrid/>
                <w:spacing w:val="5"/>
                <w:kern w:val="2"/>
                <w:sz w:val="20"/>
                <w:szCs w:val="20"/>
                <w:lang w:val="en-US" w:eastAsia="zh-CN"/>
              </w:rPr>
              <w:t>专项资金到位率</w:t>
            </w:r>
          </w:p>
        </w:tc>
        <w:tc>
          <w:tcPr>
            <w:tcW w:w="1111" w:type="dxa"/>
            <w:vAlign w:val="top"/>
          </w:tcPr>
          <w:p w14:paraId="23009313">
            <w:pPr>
              <w:pStyle w:val="8"/>
              <w:widowControl w:val="0"/>
              <w:kinsoku/>
              <w:autoSpaceDE/>
              <w:autoSpaceDN/>
              <w:adjustRightInd/>
              <w:snapToGrid/>
              <w:spacing w:before="65" w:beforeLines="0" w:afterLines="0" w:line="230" w:lineRule="auto"/>
              <w:ind w:left="272" w:firstLine="210" w:firstLineChars="100"/>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5</w:t>
            </w:r>
          </w:p>
        </w:tc>
      </w:tr>
      <w:tr w14:paraId="7CA5DD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1145" w:type="dxa"/>
            <w:vMerge w:val="restart"/>
            <w:tcBorders>
              <w:bottom w:val="nil"/>
            </w:tcBorders>
            <w:vAlign w:val="top"/>
          </w:tcPr>
          <w:p w14:paraId="17C19539">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p w14:paraId="29E53524">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p w14:paraId="2C54DE3E">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p w14:paraId="79AA830A">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效益   （25 分）</w:t>
            </w:r>
          </w:p>
        </w:tc>
        <w:tc>
          <w:tcPr>
            <w:tcW w:w="1360" w:type="dxa"/>
            <w:gridSpan w:val="2"/>
            <w:vAlign w:val="top"/>
          </w:tcPr>
          <w:p w14:paraId="2988FF64">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lang w:val="en-US" w:eastAsia="zh-CN"/>
              </w:rPr>
            </w:pPr>
            <w:r>
              <w:rPr>
                <w:rFonts w:hint="eastAsia" w:ascii="黑体" w:hAnsi="黑体" w:eastAsia="黑体" w:cs="黑体"/>
                <w:snapToGrid/>
                <w:spacing w:val="5"/>
                <w:kern w:val="2"/>
                <w:sz w:val="20"/>
                <w:szCs w:val="20"/>
                <w:lang w:val="en-US" w:eastAsia="zh-CN"/>
              </w:rPr>
              <w:t>生态效益指标</w:t>
            </w:r>
          </w:p>
        </w:tc>
        <w:tc>
          <w:tcPr>
            <w:tcW w:w="596" w:type="dxa"/>
            <w:vAlign w:val="top"/>
          </w:tcPr>
          <w:p w14:paraId="72E24738">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10</w:t>
            </w:r>
          </w:p>
        </w:tc>
        <w:tc>
          <w:tcPr>
            <w:tcW w:w="1962" w:type="dxa"/>
            <w:vMerge w:val="continue"/>
            <w:tcBorders>
              <w:top w:val="nil"/>
              <w:bottom w:val="nil"/>
            </w:tcBorders>
            <w:vAlign w:val="top"/>
          </w:tcPr>
          <w:p w14:paraId="75B1DB9E">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tc>
        <w:tc>
          <w:tcPr>
            <w:tcW w:w="706" w:type="dxa"/>
            <w:vAlign w:val="top"/>
          </w:tcPr>
          <w:p w14:paraId="189CD652">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10</w:t>
            </w:r>
          </w:p>
        </w:tc>
        <w:tc>
          <w:tcPr>
            <w:tcW w:w="2650" w:type="dxa"/>
            <w:vAlign w:val="top"/>
          </w:tcPr>
          <w:p w14:paraId="12FD251A">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lang w:val="en-US"/>
              </w:rPr>
            </w:pPr>
            <w:r>
              <w:rPr>
                <w:rFonts w:hint="eastAsia" w:ascii="黑体" w:hAnsi="黑体" w:eastAsia="黑体" w:cs="黑体"/>
                <w:snapToGrid/>
                <w:spacing w:val="5"/>
                <w:kern w:val="2"/>
                <w:sz w:val="20"/>
                <w:szCs w:val="20"/>
                <w:lang w:val="en-US" w:eastAsia="zh-CN"/>
              </w:rPr>
              <w:t>环境无污染</w:t>
            </w:r>
          </w:p>
        </w:tc>
        <w:tc>
          <w:tcPr>
            <w:tcW w:w="1111" w:type="dxa"/>
            <w:vAlign w:val="top"/>
          </w:tcPr>
          <w:p w14:paraId="171D0772">
            <w:pPr>
              <w:pStyle w:val="8"/>
              <w:widowControl w:val="0"/>
              <w:kinsoku/>
              <w:autoSpaceDE/>
              <w:autoSpaceDN/>
              <w:adjustRightInd/>
              <w:snapToGrid/>
              <w:spacing w:before="65" w:beforeLines="0" w:afterLines="0" w:line="230" w:lineRule="auto"/>
              <w:ind w:left="272" w:firstLine="210" w:firstLineChars="100"/>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10</w:t>
            </w:r>
          </w:p>
        </w:tc>
      </w:tr>
      <w:tr w14:paraId="3800B4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1145" w:type="dxa"/>
            <w:vMerge w:val="continue"/>
            <w:tcBorders>
              <w:top w:val="nil"/>
              <w:bottom w:val="nil"/>
            </w:tcBorders>
            <w:vAlign w:val="top"/>
          </w:tcPr>
          <w:p w14:paraId="602AC8B9">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tc>
        <w:tc>
          <w:tcPr>
            <w:tcW w:w="1360" w:type="dxa"/>
            <w:gridSpan w:val="2"/>
            <w:vAlign w:val="top"/>
          </w:tcPr>
          <w:p w14:paraId="6E429DE3">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社会效益</w:t>
            </w:r>
          </w:p>
        </w:tc>
        <w:tc>
          <w:tcPr>
            <w:tcW w:w="596" w:type="dxa"/>
            <w:vAlign w:val="top"/>
          </w:tcPr>
          <w:p w14:paraId="4E976442">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5</w:t>
            </w:r>
          </w:p>
        </w:tc>
        <w:tc>
          <w:tcPr>
            <w:tcW w:w="1962" w:type="dxa"/>
            <w:vMerge w:val="continue"/>
            <w:tcBorders>
              <w:top w:val="nil"/>
              <w:bottom w:val="nil"/>
            </w:tcBorders>
            <w:vAlign w:val="top"/>
          </w:tcPr>
          <w:p w14:paraId="199E8233">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tc>
        <w:tc>
          <w:tcPr>
            <w:tcW w:w="706" w:type="dxa"/>
            <w:vAlign w:val="top"/>
          </w:tcPr>
          <w:p w14:paraId="7DC55289">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5</w:t>
            </w:r>
          </w:p>
        </w:tc>
        <w:tc>
          <w:tcPr>
            <w:tcW w:w="2650" w:type="dxa"/>
            <w:vAlign w:val="top"/>
          </w:tcPr>
          <w:p w14:paraId="01856797">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lang w:val="en-US" w:eastAsia="zh-CN"/>
              </w:rPr>
            </w:pPr>
            <w:r>
              <w:rPr>
                <w:rFonts w:hint="eastAsia" w:ascii="黑体" w:hAnsi="黑体" w:eastAsia="黑体" w:cs="黑体"/>
                <w:snapToGrid/>
                <w:spacing w:val="5"/>
                <w:kern w:val="2"/>
                <w:sz w:val="20"/>
                <w:szCs w:val="20"/>
                <w:lang w:val="en-US" w:eastAsia="zh-CN"/>
              </w:rPr>
              <w:t>基本公共文化服务水平</w:t>
            </w:r>
          </w:p>
        </w:tc>
        <w:tc>
          <w:tcPr>
            <w:tcW w:w="1111" w:type="dxa"/>
            <w:vAlign w:val="top"/>
          </w:tcPr>
          <w:p w14:paraId="502837BE">
            <w:pPr>
              <w:pStyle w:val="8"/>
              <w:widowControl w:val="0"/>
              <w:kinsoku/>
              <w:autoSpaceDE/>
              <w:autoSpaceDN/>
              <w:adjustRightInd/>
              <w:snapToGrid/>
              <w:spacing w:before="65" w:beforeLines="0" w:afterLines="0" w:line="230" w:lineRule="auto"/>
              <w:ind w:left="272" w:firstLine="210" w:firstLineChars="100"/>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5</w:t>
            </w:r>
          </w:p>
        </w:tc>
      </w:tr>
      <w:tr w14:paraId="4C9915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1145" w:type="dxa"/>
            <w:vMerge w:val="continue"/>
            <w:tcBorders>
              <w:top w:val="nil"/>
            </w:tcBorders>
            <w:vAlign w:val="top"/>
          </w:tcPr>
          <w:p w14:paraId="3F11F5D0">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tc>
        <w:tc>
          <w:tcPr>
            <w:tcW w:w="1360" w:type="dxa"/>
            <w:gridSpan w:val="2"/>
            <w:vAlign w:val="top"/>
          </w:tcPr>
          <w:p w14:paraId="75161650">
            <w:pPr>
              <w:pStyle w:val="8"/>
              <w:widowControl w:val="0"/>
              <w:kinsoku/>
              <w:autoSpaceDE/>
              <w:autoSpaceDN/>
              <w:adjustRightInd/>
              <w:snapToGrid/>
              <w:spacing w:before="65" w:beforeLines="0" w:afterLines="0" w:line="230" w:lineRule="auto"/>
              <w:ind w:firstLine="210" w:firstLineChars="100"/>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可持续效益</w:t>
            </w:r>
          </w:p>
        </w:tc>
        <w:tc>
          <w:tcPr>
            <w:tcW w:w="596" w:type="dxa"/>
            <w:vAlign w:val="top"/>
          </w:tcPr>
          <w:p w14:paraId="6D17C972">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p w14:paraId="65CF00BB">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10</w:t>
            </w:r>
          </w:p>
        </w:tc>
        <w:tc>
          <w:tcPr>
            <w:tcW w:w="1962" w:type="dxa"/>
            <w:vMerge w:val="continue"/>
            <w:tcBorders>
              <w:top w:val="nil"/>
            </w:tcBorders>
            <w:vAlign w:val="top"/>
          </w:tcPr>
          <w:p w14:paraId="166D8D00">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tc>
        <w:tc>
          <w:tcPr>
            <w:tcW w:w="706" w:type="dxa"/>
            <w:vAlign w:val="top"/>
          </w:tcPr>
          <w:p w14:paraId="240567FB">
            <w:pPr>
              <w:pStyle w:val="8"/>
              <w:widowControl w:val="0"/>
              <w:kinsoku/>
              <w:autoSpaceDE/>
              <w:autoSpaceDN/>
              <w:adjustRightInd/>
              <w:snapToGrid/>
              <w:spacing w:before="65" w:beforeLines="0" w:afterLines="0" w:line="230" w:lineRule="auto"/>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10</w:t>
            </w:r>
          </w:p>
        </w:tc>
        <w:tc>
          <w:tcPr>
            <w:tcW w:w="2650" w:type="dxa"/>
            <w:vAlign w:val="top"/>
          </w:tcPr>
          <w:p w14:paraId="72081974">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lang w:val="en-US"/>
              </w:rPr>
            </w:pPr>
            <w:r>
              <w:rPr>
                <w:rFonts w:hint="eastAsia" w:ascii="黑体" w:hAnsi="黑体" w:eastAsia="黑体" w:cs="黑体"/>
                <w:snapToGrid/>
                <w:spacing w:val="5"/>
                <w:kern w:val="2"/>
                <w:sz w:val="20"/>
                <w:szCs w:val="20"/>
                <w:lang w:val="en-US" w:eastAsia="zh-CN"/>
              </w:rPr>
              <w:t>无线覆盖运行维护的持续座椅</w:t>
            </w:r>
          </w:p>
        </w:tc>
        <w:tc>
          <w:tcPr>
            <w:tcW w:w="1111" w:type="dxa"/>
            <w:vAlign w:val="top"/>
          </w:tcPr>
          <w:p w14:paraId="2A51084A">
            <w:pPr>
              <w:pStyle w:val="8"/>
              <w:widowControl w:val="0"/>
              <w:kinsoku/>
              <w:autoSpaceDE/>
              <w:autoSpaceDN/>
              <w:adjustRightInd/>
              <w:snapToGrid/>
              <w:spacing w:before="65" w:beforeLines="0" w:afterLines="0" w:line="230" w:lineRule="auto"/>
              <w:jc w:val="center"/>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10</w:t>
            </w:r>
          </w:p>
        </w:tc>
      </w:tr>
      <w:tr w14:paraId="25FCC3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3" w:hRule="atLeast"/>
        </w:trPr>
        <w:tc>
          <w:tcPr>
            <w:tcW w:w="1145" w:type="dxa"/>
            <w:vAlign w:val="top"/>
          </w:tcPr>
          <w:p w14:paraId="1940B6C5">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满意度  （10 分）</w:t>
            </w:r>
          </w:p>
        </w:tc>
        <w:tc>
          <w:tcPr>
            <w:tcW w:w="1360" w:type="dxa"/>
            <w:gridSpan w:val="2"/>
            <w:vAlign w:val="top"/>
          </w:tcPr>
          <w:p w14:paraId="6FA87444">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社会公众或</w:t>
            </w:r>
          </w:p>
          <w:p w14:paraId="134DB550">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服务对象满</w:t>
            </w:r>
          </w:p>
          <w:p w14:paraId="750BEFD8">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意度</w:t>
            </w:r>
          </w:p>
        </w:tc>
        <w:tc>
          <w:tcPr>
            <w:tcW w:w="596" w:type="dxa"/>
            <w:vAlign w:val="top"/>
          </w:tcPr>
          <w:p w14:paraId="4F6B9C2B">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p w14:paraId="3215D01E">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10</w:t>
            </w:r>
          </w:p>
        </w:tc>
        <w:tc>
          <w:tcPr>
            <w:tcW w:w="1962" w:type="dxa"/>
            <w:vAlign w:val="top"/>
          </w:tcPr>
          <w:p w14:paraId="6830BD1C">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tc>
        <w:tc>
          <w:tcPr>
            <w:tcW w:w="706" w:type="dxa"/>
            <w:vAlign w:val="top"/>
          </w:tcPr>
          <w:p w14:paraId="6D1CA17E">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p w14:paraId="3BECB881">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10</w:t>
            </w:r>
          </w:p>
        </w:tc>
        <w:tc>
          <w:tcPr>
            <w:tcW w:w="2650" w:type="dxa"/>
            <w:vAlign w:val="top"/>
          </w:tcPr>
          <w:p w14:paraId="37CF7A2C">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p>
          <w:p w14:paraId="5B4D4276">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eastAsia" w:ascii="黑体" w:hAnsi="黑体" w:eastAsia="黑体" w:cs="黑体"/>
                <w:snapToGrid/>
                <w:spacing w:val="5"/>
                <w:kern w:val="2"/>
                <w:sz w:val="20"/>
                <w:szCs w:val="20"/>
                <w:lang w:val="en-US" w:eastAsia="zh-CN"/>
              </w:rPr>
              <w:t>节目观众满意度</w:t>
            </w:r>
          </w:p>
        </w:tc>
        <w:tc>
          <w:tcPr>
            <w:tcW w:w="1111" w:type="dxa"/>
            <w:vAlign w:val="top"/>
          </w:tcPr>
          <w:p w14:paraId="23ED2662">
            <w:pPr>
              <w:pStyle w:val="8"/>
              <w:widowControl w:val="0"/>
              <w:kinsoku/>
              <w:autoSpaceDE/>
              <w:autoSpaceDN/>
              <w:adjustRightInd/>
              <w:snapToGrid/>
              <w:spacing w:before="65" w:beforeLines="0" w:afterLines="0" w:line="230" w:lineRule="auto"/>
              <w:ind w:left="272"/>
              <w:jc w:val="center"/>
              <w:textAlignment w:val="auto"/>
              <w:rPr>
                <w:rFonts w:hint="default" w:ascii="黑体" w:hAnsi="黑体" w:eastAsia="黑体" w:cs="黑体"/>
                <w:snapToGrid/>
                <w:spacing w:val="5"/>
                <w:kern w:val="2"/>
                <w:sz w:val="20"/>
                <w:szCs w:val="20"/>
              </w:rPr>
            </w:pPr>
          </w:p>
          <w:p w14:paraId="64390832">
            <w:pPr>
              <w:pStyle w:val="8"/>
              <w:widowControl w:val="0"/>
              <w:kinsoku/>
              <w:autoSpaceDE/>
              <w:autoSpaceDN/>
              <w:adjustRightInd/>
              <w:snapToGrid/>
              <w:spacing w:before="65" w:beforeLines="0" w:afterLines="0" w:line="230" w:lineRule="auto"/>
              <w:ind w:left="272" w:firstLine="210" w:firstLineChars="100"/>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10</w:t>
            </w:r>
          </w:p>
        </w:tc>
      </w:tr>
      <w:tr w14:paraId="6BEA1C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8419" w:type="dxa"/>
            <w:gridSpan w:val="7"/>
            <w:vAlign w:val="top"/>
          </w:tcPr>
          <w:p w14:paraId="5F046230">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总分</w:t>
            </w:r>
          </w:p>
        </w:tc>
        <w:tc>
          <w:tcPr>
            <w:tcW w:w="1111" w:type="dxa"/>
            <w:vAlign w:val="top"/>
          </w:tcPr>
          <w:p w14:paraId="3DA851E4">
            <w:pPr>
              <w:pStyle w:val="8"/>
              <w:widowControl w:val="0"/>
              <w:kinsoku/>
              <w:autoSpaceDE/>
              <w:autoSpaceDN/>
              <w:adjustRightInd/>
              <w:snapToGrid/>
              <w:spacing w:before="65" w:beforeLines="0" w:afterLines="0" w:line="230" w:lineRule="auto"/>
              <w:ind w:left="272" w:firstLine="210" w:firstLineChars="100"/>
              <w:jc w:val="both"/>
              <w:textAlignment w:val="auto"/>
              <w:rPr>
                <w:rFonts w:hint="default" w:ascii="黑体" w:hAnsi="黑体" w:eastAsia="黑体" w:cs="黑体"/>
                <w:snapToGrid/>
                <w:spacing w:val="5"/>
                <w:kern w:val="2"/>
                <w:sz w:val="20"/>
                <w:szCs w:val="20"/>
              </w:rPr>
            </w:pPr>
            <w:r>
              <w:rPr>
                <w:rFonts w:hint="default" w:ascii="黑体" w:hAnsi="黑体" w:eastAsia="黑体" w:cs="黑体"/>
                <w:snapToGrid/>
                <w:spacing w:val="5"/>
                <w:kern w:val="2"/>
                <w:sz w:val="20"/>
                <w:szCs w:val="20"/>
              </w:rPr>
              <w:t>100</w:t>
            </w:r>
          </w:p>
        </w:tc>
      </w:tr>
      <w:tr w14:paraId="388D1F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1533" w:type="dxa"/>
            <w:gridSpan w:val="2"/>
            <w:vMerge w:val="restart"/>
            <w:tcBorders>
              <w:bottom w:val="nil"/>
            </w:tcBorders>
            <w:vAlign w:val="top"/>
          </w:tcPr>
          <w:p w14:paraId="06895099">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lang w:val="en-US" w:eastAsia="en-US"/>
              </w:rPr>
            </w:pPr>
          </w:p>
          <w:p w14:paraId="52FD8324">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lang w:val="en-US" w:eastAsia="en-US"/>
              </w:rPr>
            </w:pPr>
            <w:r>
              <w:rPr>
                <w:rFonts w:hint="default" w:ascii="黑体" w:hAnsi="黑体" w:eastAsia="黑体" w:cs="黑体"/>
                <w:snapToGrid/>
                <w:spacing w:val="5"/>
                <w:kern w:val="2"/>
                <w:sz w:val="20"/>
                <w:szCs w:val="20"/>
                <w:lang w:val="en-US" w:eastAsia="en-US"/>
              </w:rPr>
              <w:t>评价等级</w:t>
            </w:r>
          </w:p>
        </w:tc>
        <w:tc>
          <w:tcPr>
            <w:tcW w:w="7997" w:type="dxa"/>
            <w:gridSpan w:val="6"/>
            <w:vAlign w:val="top"/>
          </w:tcPr>
          <w:p w14:paraId="5695535E">
            <w:pPr>
              <w:pStyle w:val="8"/>
              <w:widowControl w:val="0"/>
              <w:kinsoku/>
              <w:autoSpaceDE/>
              <w:autoSpaceDN/>
              <w:adjustRightInd/>
              <w:snapToGrid/>
              <w:spacing w:before="65" w:beforeLines="0" w:afterLines="0" w:line="230" w:lineRule="auto"/>
              <w:ind w:left="272" w:firstLine="2400" w:firstLineChars="1600"/>
              <w:jc w:val="both"/>
              <w:textAlignment w:val="auto"/>
              <w:rPr>
                <w:rFonts w:hint="default" w:ascii="黑体" w:hAnsi="黑体" w:eastAsia="黑体" w:cs="黑体"/>
                <w:snapToGrid/>
                <w:spacing w:val="5"/>
                <w:kern w:val="2"/>
                <w:sz w:val="20"/>
                <w:szCs w:val="20"/>
                <w:lang w:val="en-US" w:eastAsia="en-US"/>
              </w:rPr>
            </w:pPr>
            <w:r>
              <w:rPr>
                <w:rFonts w:ascii="Wingdings" w:hAnsi="Wingdings" w:eastAsia="Wingdings" w:cs="Wingdings"/>
                <w:position w:val="1"/>
              </w:rPr>
              <w:t>o</w:t>
            </w:r>
            <w:r>
              <w:rPr>
                <w:rFonts w:hint="default" w:ascii="黑体" w:hAnsi="黑体" w:eastAsia="黑体" w:cs="黑体"/>
                <w:snapToGrid/>
                <w:spacing w:val="5"/>
                <w:kern w:val="2"/>
                <w:sz w:val="20"/>
                <w:szCs w:val="20"/>
                <w:lang w:val="en-US" w:eastAsia="en-US"/>
              </w:rPr>
              <w:t>优</w:t>
            </w:r>
          </w:p>
        </w:tc>
      </w:tr>
      <w:tr w14:paraId="5341CC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533" w:type="dxa"/>
            <w:gridSpan w:val="2"/>
            <w:vMerge w:val="continue"/>
            <w:tcBorders>
              <w:top w:val="nil"/>
            </w:tcBorders>
            <w:vAlign w:val="top"/>
          </w:tcPr>
          <w:p w14:paraId="34DA0F9A">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lang w:val="en-US" w:eastAsia="en-US"/>
              </w:rPr>
            </w:pPr>
          </w:p>
        </w:tc>
        <w:tc>
          <w:tcPr>
            <w:tcW w:w="7997" w:type="dxa"/>
            <w:gridSpan w:val="6"/>
            <w:vAlign w:val="top"/>
          </w:tcPr>
          <w:p w14:paraId="11A894C3">
            <w:pPr>
              <w:pStyle w:val="8"/>
              <w:widowControl w:val="0"/>
              <w:kinsoku/>
              <w:autoSpaceDE/>
              <w:autoSpaceDN/>
              <w:adjustRightInd/>
              <w:snapToGrid/>
              <w:spacing w:before="65" w:beforeLines="0" w:afterLines="0" w:line="230" w:lineRule="auto"/>
              <w:ind w:left="272"/>
              <w:jc w:val="both"/>
              <w:textAlignment w:val="auto"/>
              <w:rPr>
                <w:rFonts w:hint="default" w:ascii="黑体" w:hAnsi="黑体" w:eastAsia="黑体" w:cs="黑体"/>
                <w:snapToGrid/>
                <w:spacing w:val="5"/>
                <w:kern w:val="2"/>
                <w:sz w:val="20"/>
                <w:szCs w:val="20"/>
                <w:lang w:val="en-US" w:eastAsia="en-US"/>
              </w:rPr>
            </w:pPr>
            <w:r>
              <w:rPr>
                <w:rFonts w:hint="default" w:ascii="黑体" w:hAnsi="黑体" w:eastAsia="黑体" w:cs="黑体"/>
                <w:snapToGrid/>
                <w:spacing w:val="5"/>
                <w:kern w:val="2"/>
                <w:sz w:val="20"/>
                <w:szCs w:val="20"/>
                <w:lang w:val="en-US" w:eastAsia="en-US"/>
              </w:rPr>
              <w:t>90（含）-100 分为优、80（含）-90 分为良、60（含）-80 分为中、60 分以下为差</w:t>
            </w:r>
          </w:p>
        </w:tc>
      </w:tr>
    </w:tbl>
    <w:p w14:paraId="40C07F69">
      <w:pPr>
        <w:spacing w:line="240" w:lineRule="auto"/>
        <w:rPr>
          <w:rFonts w:ascii="黑体" w:hAnsi="黑体" w:eastAsia="黑体" w:cs="黑体"/>
          <w:sz w:val="20"/>
          <w:szCs w:val="20"/>
        </w:rPr>
      </w:pPr>
    </w:p>
    <w:sectPr>
      <w:footerReference r:id="rId5" w:type="default"/>
      <w:pgSz w:w="11740" w:h="16610"/>
      <w:pgMar w:top="1446" w:right="1327" w:bottom="1423" w:left="1327"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393DC">
    <w:pPr>
      <w:spacing w:line="176" w:lineRule="auto"/>
      <w:ind w:left="4699"/>
      <w:rPr>
        <w:rFonts w:ascii="Times New Roman" w:hAnsi="Times New Roman" w:eastAsia="Times New Roman" w:cs="Times New Roman"/>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71D968"/>
    <w:multiLevelType w:val="singleLevel"/>
    <w:tmpl w:val="9A71D968"/>
    <w:lvl w:ilvl="0" w:tentative="0">
      <w:start w:val="8"/>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4B073F7"/>
    <w:rsid w:val="04EE7C6A"/>
    <w:rsid w:val="064D2582"/>
    <w:rsid w:val="070D0B30"/>
    <w:rsid w:val="07961D7F"/>
    <w:rsid w:val="08324477"/>
    <w:rsid w:val="0AFF4C34"/>
    <w:rsid w:val="0B227B72"/>
    <w:rsid w:val="0B7218AA"/>
    <w:rsid w:val="0D567DC2"/>
    <w:rsid w:val="12883761"/>
    <w:rsid w:val="12A165D1"/>
    <w:rsid w:val="195B397D"/>
    <w:rsid w:val="1A924D3A"/>
    <w:rsid w:val="1D0936F0"/>
    <w:rsid w:val="203E13F4"/>
    <w:rsid w:val="220F5460"/>
    <w:rsid w:val="222D60D3"/>
    <w:rsid w:val="25822292"/>
    <w:rsid w:val="285A6165"/>
    <w:rsid w:val="29200F49"/>
    <w:rsid w:val="2AF552B4"/>
    <w:rsid w:val="2F5E78CC"/>
    <w:rsid w:val="2F882B9B"/>
    <w:rsid w:val="313703D4"/>
    <w:rsid w:val="320539CB"/>
    <w:rsid w:val="32483DB6"/>
    <w:rsid w:val="330C5891"/>
    <w:rsid w:val="37B006FF"/>
    <w:rsid w:val="3B367055"/>
    <w:rsid w:val="3B597942"/>
    <w:rsid w:val="3D1A1C6E"/>
    <w:rsid w:val="3E344619"/>
    <w:rsid w:val="3F826616"/>
    <w:rsid w:val="415A4F84"/>
    <w:rsid w:val="4182569C"/>
    <w:rsid w:val="41A30E0D"/>
    <w:rsid w:val="456A6B72"/>
    <w:rsid w:val="4F8B6063"/>
    <w:rsid w:val="4FDC066D"/>
    <w:rsid w:val="528B637A"/>
    <w:rsid w:val="52BA27BB"/>
    <w:rsid w:val="54603424"/>
    <w:rsid w:val="55085A60"/>
    <w:rsid w:val="559D7181"/>
    <w:rsid w:val="55CC6A83"/>
    <w:rsid w:val="5BF861E4"/>
    <w:rsid w:val="5E335697"/>
    <w:rsid w:val="61B3751E"/>
    <w:rsid w:val="61D272F3"/>
    <w:rsid w:val="62083543"/>
    <w:rsid w:val="62A4220E"/>
    <w:rsid w:val="68182006"/>
    <w:rsid w:val="69197DE4"/>
    <w:rsid w:val="69BC4315"/>
    <w:rsid w:val="6AA06A0F"/>
    <w:rsid w:val="6BF55889"/>
    <w:rsid w:val="703E2017"/>
    <w:rsid w:val="71257C6E"/>
    <w:rsid w:val="73CC0E88"/>
    <w:rsid w:val="746565D3"/>
    <w:rsid w:val="7CC26147"/>
    <w:rsid w:val="7F963EAF"/>
    <w:rsid w:val="7FAF4BA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3"/>
    <w:semiHidden/>
    <w:qFormat/>
    <w:uiPriority w:val="0"/>
    <w:rPr>
      <w:rFonts w:ascii="仿宋" w:hAnsi="仿宋" w:eastAsia="仿宋" w:cs="仿宋"/>
      <w:sz w:val="32"/>
      <w:szCs w:val="32"/>
      <w:lang w:val="en-US" w:eastAsia="en-US" w:bidi="ar-SA"/>
    </w:rPr>
  </w:style>
  <w:style w:type="paragraph" w:customStyle="1" w:styleId="3">
    <w:name w:val="Quote"/>
    <w:next w:val="1"/>
    <w:qFormat/>
    <w:uiPriority w:val="0"/>
    <w:pPr>
      <w:wordWrap w:val="0"/>
      <w:spacing w:before="200" w:after="160"/>
      <w:ind w:left="864" w:right="864"/>
      <w:jc w:val="center"/>
    </w:pPr>
    <w:rPr>
      <w:rFonts w:ascii="Calibri" w:hAnsi="Calibri" w:eastAsia="宋体" w:cs="Times New Roman"/>
      <w:i/>
      <w:iCs/>
      <w:sz w:val="21"/>
      <w:szCs w:val="28"/>
      <w:lang w:val="en-US" w:eastAsia="zh-CN" w:bidi="ar-SA"/>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宋体" w:hAnsi="宋体" w:eastAsia="宋体" w:cs="宋体"/>
      <w:sz w:val="15"/>
      <w:szCs w:val="15"/>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Pages>
  <Words>1935</Words>
  <Characters>2052</Characters>
  <TotalTime>23</TotalTime>
  <ScaleCrop>false</ScaleCrop>
  <LinksUpToDate>false</LinksUpToDate>
  <CharactersWithSpaces>2076</CharactersWithSpaces>
  <Application>WPS Office_12.1.0.21171_F1E327BC-269C-435d-A152-05C5408002CA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2025-03-19T13:35:00Z</dcterms:created>
  <dc:creator>Kingsoft-PDF</dc:creator>
  <cp:lastModifiedBy>玲</cp:lastModifiedBy>
  <dcterms:modified xsi:type="dcterms:W3CDTF">2025-05-22T07:51:13Z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2025-03-19T13:35:46Z</vt:filetime>
  </property>
  <property fmtid="{D5CDD505-2E9C-101B-9397-08002B2CF9AE}" pid="4" name="UsrData">
    <vt:lpwstr>67da57ac47bdb1001fe65bb0wl</vt:lpwstr>
  </property>
  <property fmtid="{D5CDD505-2E9C-101B-9397-08002B2CF9AE}" pid="5" name="KSOProductBuildVer">
    <vt:lpwstr>2052-12.1.0.21171</vt:lpwstr>
  </property>
  <property fmtid="{D5CDD505-2E9C-101B-9397-08002B2CF9AE}" pid="6" name="ICV">
    <vt:lpwstr>DA36D44E24964ABCB78342E35FBEC452_13</vt:lpwstr>
  </property>
  <property fmtid="{D5CDD505-2E9C-101B-9397-08002B2CF9AE}" pid="7" name="KSOTemplateDocerSaveRecord">
    <vt:lpwstr>eyJoZGlkIjoiZjIxMzYxMzUxNTRjYjVjMjQ2YzVlYWQ4ZGZkNDRiNzEiLCJ1c2VySWQiOiIxOTcxNDEyMTUifQ==</vt:lpwstr>
  </property>
</Properties>
</file>