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69599">
      <w:pPr>
        <w:autoSpaceDE w:val="0"/>
        <w:autoSpaceDN w:val="0"/>
        <w:adjustRightInd w:val="0"/>
        <w:spacing w:beforeLines="0" w:afterLines="0" w:line="560" w:lineRule="exact"/>
        <w:jc w:val="center"/>
        <w:rPr>
          <w:rFonts w:hint="eastAsia" w:ascii="方正小标宋简体" w:hAnsi="方正小标宋简体" w:eastAsia="方正小标宋简体"/>
          <w:kern w:val="0"/>
          <w:sz w:val="36"/>
          <w:lang w:val="en-US" w:eastAsia="zh-CN"/>
        </w:rPr>
      </w:pPr>
      <w:r>
        <w:rPr>
          <w:rFonts w:hint="eastAsia" w:ascii="方正小标宋简体" w:hAnsi="方正小标宋简体" w:eastAsia="方正小标宋简体"/>
          <w:kern w:val="0"/>
          <w:sz w:val="36"/>
          <w:lang w:val="en-US" w:eastAsia="zh-CN"/>
        </w:rPr>
        <w:t>县文广局项目支出部门评价报告</w:t>
      </w:r>
    </w:p>
    <w:p w14:paraId="5918F829">
      <w:pPr>
        <w:autoSpaceDE w:val="0"/>
        <w:autoSpaceDN w:val="0"/>
        <w:adjustRightInd w:val="0"/>
        <w:spacing w:beforeLines="0" w:afterLines="0" w:line="560" w:lineRule="exact"/>
        <w:jc w:val="center"/>
        <w:rPr>
          <w:rFonts w:hint="eastAsia" w:ascii="楷体_GB2312" w:hAnsi="楷体_GB2312" w:eastAsia="楷体_GB2312"/>
          <w:kern w:val="0"/>
          <w:sz w:val="32"/>
        </w:rPr>
      </w:pPr>
      <w:r>
        <w:rPr>
          <w:rFonts w:hint="eastAsia" w:ascii="楷体_GB2312" w:hAnsi="楷体_GB2312" w:eastAsia="楷体_GB2312"/>
          <w:kern w:val="0"/>
          <w:sz w:val="32"/>
        </w:rPr>
        <w:t>（</w:t>
      </w:r>
      <w:r>
        <w:rPr>
          <w:rFonts w:hint="eastAsia" w:ascii="楷体_GB2312" w:hAnsi="楷体_GB2312" w:eastAsia="楷体_GB2312"/>
          <w:kern w:val="0"/>
          <w:sz w:val="32"/>
          <w:lang w:val="en-US" w:eastAsia="zh-CN"/>
        </w:rPr>
        <w:t>2024</w:t>
      </w:r>
      <w:r>
        <w:rPr>
          <w:rFonts w:hint="eastAsia" w:ascii="楷体_GB2312" w:hAnsi="楷体_GB2312" w:eastAsia="楷体_GB2312"/>
          <w:kern w:val="0"/>
          <w:sz w:val="32"/>
        </w:rPr>
        <w:t>年度）</w:t>
      </w:r>
    </w:p>
    <w:p w14:paraId="0DD5123A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一、基本情况</w:t>
      </w:r>
    </w:p>
    <w:p w14:paraId="66589C6E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（一）项目概况。包括项目背景、主要内容及实施情况、资金投入和使用情况等。</w:t>
      </w:r>
    </w:p>
    <w:p w14:paraId="0C8C8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/>
          <w:kern w:val="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南昌市财政局、南昌市文化广电旅游局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南昌市财政局南昌市文化广电旅游局关于下达2024年中央支持地方公共文化服务体系建设补助资金的通知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（洪财教指〔20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文件精神，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财政下达给我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2024年中央支持地方公共文化服务体系建设专项资金210.3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  <w:r>
        <w:rPr>
          <w:rFonts w:hint="eastAsia" w:ascii="仿宋_GB2312" w:hAnsi="Times New Roman" w:eastAsia="仿宋_GB2312"/>
          <w:kern w:val="0"/>
          <w:sz w:val="32"/>
          <w:lang w:val="en-US" w:eastAsia="zh-CN"/>
        </w:rPr>
        <w:t>为了更好的满足人民群众对文化设施设备的更新改造，和日常文化场馆维护建设费用，完善基层公共文化体系建设，实现生态文明建设发展。</w:t>
      </w:r>
    </w:p>
    <w:p w14:paraId="07EA3EED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（二）项目绩效目标。包括总体目标和阶段性目标。</w:t>
      </w:r>
    </w:p>
    <w:p w14:paraId="7AE75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宋体" w:eastAsia="黑体"/>
          <w:kern w:val="0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共服务项目基本普及，已改善基层公共文化设施条件，不断繁荣发展我县公共文化服务体系，推动文化事业高质量发展，加强乡镇基础文化设施建设，更好地为人民群众提供文化服务。进一步加快构建现代公共文化服务体系，促进基本公共文化服务标准化、均等化，保障广大群众读书看报、观赏电影、进行文化鉴赏、公共文化活动等基本文化权益。</w:t>
      </w:r>
    </w:p>
    <w:p w14:paraId="0826E97B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二、绩效评价工作开展情况</w:t>
      </w:r>
    </w:p>
    <w:p w14:paraId="2B87FCA9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（一）绩效评价目的、对象和范围。</w:t>
      </w:r>
    </w:p>
    <w:p w14:paraId="4D91AD3A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hAnsi="Times New Roman" w:eastAsia="仿宋_GB2312"/>
          <w:kern w:val="0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通过绩效评价全面分析该项目资金使用、管理和项目实施情况，进一步规范项目实施、验收等程序，完善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配、使用及管理等制度，切实提高财政资金使用效益。</w:t>
      </w:r>
    </w:p>
    <w:p w14:paraId="7F4A1AA8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（二）绩效评价原则、评价指标体系、评价方法、评价标准等。</w:t>
      </w:r>
    </w:p>
    <w:p w14:paraId="2C20C371">
      <w:pPr>
        <w:widowControl/>
        <w:kinsoku w:val="0"/>
        <w:autoSpaceDE w:val="0"/>
        <w:autoSpaceDN w:val="0"/>
        <w:adjustRightInd w:val="0"/>
        <w:snapToGrid w:val="0"/>
        <w:spacing w:before="101" w:beforeLines="-2147483648" w:afterLines="-2147483648" w:line="372" w:lineRule="auto"/>
        <w:ind w:firstLine="668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" w:hAnsi="仿宋" w:eastAsia="仿宋" w:cs="仿宋"/>
          <w:snapToGrid w:val="0"/>
          <w:color w:val="000000"/>
          <w:spacing w:val="12"/>
          <w:kern w:val="0"/>
          <w:sz w:val="31"/>
          <w:szCs w:val="31"/>
          <w:lang w:val="en-US" w:eastAsia="en-US" w:bidi="ar-SA"/>
        </w:rPr>
        <w:t>①科学规范。绩效评价注重财政支出的经济性、效率性和有效性，严格执行规定的程序，采用定量与定性分析相结合的方法。②公正公开。绩效评价客观、公正、标准、统一、资料可靠，依法公开并接受监督。③分级分类。绩效评价由各级财政部门、部门（单位）根据评价对象的特点，分类组织实施。④绩效相关。绩效评价针对具体支出及其产出绩效进行，评价结果清晰反映支出和产出绩效之间的紧密对应关系。</w:t>
      </w:r>
    </w:p>
    <w:p w14:paraId="444C5B6F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32"/>
        </w:rPr>
      </w:pPr>
      <w:r>
        <w:rPr>
          <w:rFonts w:hint="eastAsia" w:ascii="仿宋_GB2312" w:hAnsi="Times New Roman" w:eastAsia="仿宋_GB2312"/>
          <w:kern w:val="0"/>
          <w:sz w:val="32"/>
        </w:rPr>
        <w:t>（三）绩效评价工作过程。</w:t>
      </w:r>
    </w:p>
    <w:p w14:paraId="532187F7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本部门高度重视绩效管理工作，按财政要求顺利完成。</w:t>
      </w:r>
    </w:p>
    <w:p w14:paraId="26108CB4">
      <w:pPr>
        <w:numPr>
          <w:ilvl w:val="0"/>
          <w:numId w:val="1"/>
        </w:num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32"/>
        </w:rPr>
      </w:pPr>
      <w:bookmarkStart w:id="0" w:name="_GoBack"/>
      <w:bookmarkEnd w:id="0"/>
      <w:r>
        <w:rPr>
          <w:rFonts w:hint="eastAsia" w:ascii="黑体" w:hAnsi="宋体" w:eastAsia="黑体"/>
          <w:kern w:val="0"/>
          <w:sz w:val="32"/>
        </w:rPr>
        <w:t>综合评价情况及评价结论（附项目支出部门评价表）</w:t>
      </w:r>
    </w:p>
    <w:p w14:paraId="3D7FADC3">
      <w:pPr>
        <w:pStyle w:val="2"/>
        <w:numPr>
          <w:ilvl w:val="0"/>
          <w:numId w:val="0"/>
        </w:numPr>
        <w:rPr>
          <w:rFonts w:hint="eastAsia"/>
        </w:rPr>
      </w:pPr>
      <w:r>
        <w:drawing>
          <wp:inline distT="0" distB="0" distL="114300" distR="114300">
            <wp:extent cx="5483860" cy="56915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569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C6DB8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四、绩效评价指标分析</w:t>
      </w:r>
    </w:p>
    <w:p w14:paraId="56848086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（一）项目决策情况。</w:t>
      </w:r>
    </w:p>
    <w:p w14:paraId="32720FE5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default" w:ascii="仿宋_GB2312" w:hAnsi="Times New Roman" w:eastAsia="仿宋_GB2312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/>
          <w:kern w:val="0"/>
          <w:sz w:val="32"/>
          <w:lang w:val="en-US" w:eastAsia="zh-CN"/>
        </w:rPr>
        <w:t>每年根据上级财政下达的指标决策常规工作。</w:t>
      </w:r>
    </w:p>
    <w:p w14:paraId="4A63EA6E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（二）项目过程情况。</w:t>
      </w:r>
    </w:p>
    <w:p w14:paraId="48F7A7F1">
      <w:pPr>
        <w:ind w:left="420"/>
        <w:jc w:val="left"/>
        <w:rPr>
          <w:rFonts w:hint="eastAsia" w:ascii="仿宋_GB2312" w:hAnsi="Times New Roman" w:eastAsia="仿宋_GB2312"/>
          <w:kern w:val="0"/>
          <w:sz w:val="32"/>
        </w:rPr>
      </w:pPr>
      <w:r>
        <w:rPr>
          <w:rFonts w:hint="eastAsia" w:ascii="仿宋" w:hAnsi="仿宋" w:eastAsia="仿宋" w:cs="仿宋_GB2312"/>
          <w:sz w:val="32"/>
          <w:szCs w:val="40"/>
        </w:rPr>
        <w:t>本部门领导高度重视，按年度工作计划和财政要求完成。</w:t>
      </w:r>
    </w:p>
    <w:p w14:paraId="04BB5C34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（三）项目产出情况。</w:t>
      </w:r>
    </w:p>
    <w:p w14:paraId="7960E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平均每个农家书屋更新图书种数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≥60种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231E6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文化馆（站）年服务人次（人次）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≥65000人次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16DD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公共文化云建设较上年显著改善；</w:t>
      </w:r>
    </w:p>
    <w:p w14:paraId="3CB4E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资金拨付及时率≥90%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494D9FA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仿宋_GB2312" w:hAnsi="Times New Roman" w:eastAsia="仿宋_GB2312"/>
          <w:kern w:val="0"/>
          <w:sz w:val="32"/>
        </w:rPr>
        <w:t>（四）项目效益情况。</w:t>
      </w:r>
    </w:p>
    <w:p w14:paraId="00D2E6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宋体" w:eastAsia="黑体"/>
          <w:kern w:val="0"/>
          <w:sz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基层文化设施更新数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≥3个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47E3E8B2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五、主要经验及做法、存在的问题及原因分析</w:t>
      </w:r>
    </w:p>
    <w:p w14:paraId="32B4F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宋体" w:eastAsia="黑体"/>
          <w:kern w:val="0"/>
          <w:sz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一是加强绩效评价的结果应用，针对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年的实际工作完成情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况，科学的制订2025年的项目绩效目标，提高项目预算的精准度；二是继续组织我部门业务部门人员加强绩效管理学习，提高项目绩效的重视程度，做到事事有计划，事事有落实，事事有监督；三是继续加强事前做好资金预算的申请，实施好资金使用方法，清晰资金使用范围、流程，加强资金使用过程中的监控，加强对资金的监督检查，根据绩效管理要求，加强绩效目标管理，充分利用有利时机，抓紧实施相关活动，努力提前达到规定指标，完成目标任务。</w:t>
      </w:r>
    </w:p>
    <w:p w14:paraId="78064F09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六、有关建议</w:t>
      </w:r>
    </w:p>
    <w:p w14:paraId="7194C2BF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32"/>
          <w:lang w:val="en-US" w:eastAsia="zh-CN"/>
        </w:rPr>
      </w:pPr>
      <w:r>
        <w:rPr>
          <w:rFonts w:hint="eastAsia" w:ascii="黑体" w:hAnsi="宋体" w:eastAsia="黑体"/>
          <w:kern w:val="0"/>
          <w:sz w:val="32"/>
          <w:lang w:val="en-US" w:eastAsia="zh-CN"/>
        </w:rPr>
        <w:t>暂无</w:t>
      </w:r>
    </w:p>
    <w:p w14:paraId="5EAD1538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七、其他需要说明的问题</w:t>
      </w:r>
    </w:p>
    <w:p w14:paraId="232A8C90"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暂无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66EF8"/>
    <w:multiLevelType w:val="singleLevel"/>
    <w:tmpl w:val="89B66EF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OTYxNWE4NmViZjAyZjU4ODU4MjQ1YzM0YjE0NDgifQ=="/>
  </w:docVars>
  <w:rsids>
    <w:rsidRoot w:val="00172A27"/>
    <w:rsid w:val="061905BF"/>
    <w:rsid w:val="0CDD3DA2"/>
    <w:rsid w:val="0E4F1F9E"/>
    <w:rsid w:val="10D727AF"/>
    <w:rsid w:val="25B830CE"/>
    <w:rsid w:val="301A1C81"/>
    <w:rsid w:val="394D2C7B"/>
    <w:rsid w:val="3C280C5B"/>
    <w:rsid w:val="68A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theme="minorBidi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0" w:after="120" w:afterLines="0"/>
    </w:pPr>
    <w:rPr>
      <w:rFonts w:hint="default"/>
      <w:sz w:val="21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1060</Words>
  <Characters>1093</Characters>
  <Lines>0</Lines>
  <Paragraphs>0</Paragraphs>
  <TotalTime>0</TotalTime>
  <ScaleCrop>false</ScaleCrop>
  <LinksUpToDate>false</LinksUpToDate>
  <CharactersWithSpaces>1093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2024-04-23T05:58:00Z</dcterms:created>
  <dc:creator>ASUS</dc:creator>
  <cp:lastModifiedBy>玲</cp:lastModifiedBy>
  <dcterms:modified xsi:type="dcterms:W3CDTF">2025-05-22T07:50:36Z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31B123DDD2154BB0A2704043B41031A4_13</vt:lpwstr>
  </property>
  <property fmtid="{D5CDD505-2E9C-101B-9397-08002B2CF9AE}" pid="4" name="KSOTemplateDocerSaveRecord">
    <vt:lpwstr>eyJoZGlkIjoiMzhkYTJjYjExYzRkYzE3NDRkZDhiY2Y3OTJkN2Q0ZDQiLCJ1c2VySWQiOiI0MzYwMDM0ODIifQ==</vt:lpwstr>
  </property>
</Properties>
</file>