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0A263">
      <w:pPr>
        <w:autoSpaceDE w:val="0"/>
        <w:autoSpaceDN w:val="0"/>
        <w:adjustRightInd w:val="0"/>
        <w:spacing w:line="560" w:lineRule="exact"/>
        <w:jc w:val="center"/>
        <w:rPr>
          <w:rFonts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部门整体支出绩效自评报告</w:t>
      </w:r>
    </w:p>
    <w:p w14:paraId="672F8843">
      <w:pPr>
        <w:autoSpaceDE w:val="0"/>
        <w:autoSpaceDN w:val="0"/>
        <w:adjustRightInd w:val="0"/>
        <w:spacing w:line="560" w:lineRule="exact"/>
        <w:jc w:val="center"/>
        <w:rPr>
          <w:rFonts w:ascii="楷体_GB2312" w:eastAsia="楷体_GB2312" w:cs="楷体_GB2312"/>
          <w:kern w:val="0"/>
          <w:szCs w:val="32"/>
        </w:rPr>
      </w:pPr>
      <w:r>
        <w:rPr>
          <w:rFonts w:hint="eastAsia" w:ascii="楷体_GB2312" w:hAnsi="Times New Roman" w:eastAsia="楷体_GB2312" w:cs="楷体_GB2312"/>
          <w:kern w:val="0"/>
          <w:sz w:val="32"/>
          <w:szCs w:val="32"/>
        </w:rPr>
        <w:t>（</w:t>
      </w:r>
      <w:r>
        <w:rPr>
          <w:rFonts w:hint="eastAsia" w:ascii="楷体_GB2312" w:hAnsi="Times New Roman" w:eastAsia="楷体_GB2312" w:cs="楷体_GB2312"/>
          <w:kern w:val="0"/>
          <w:sz w:val="32"/>
          <w:szCs w:val="32"/>
          <w:lang w:val="en-US" w:eastAsia="zh-CN"/>
        </w:rPr>
        <w:t>2024</w:t>
      </w:r>
      <w:r>
        <w:rPr>
          <w:rFonts w:hint="eastAsia" w:ascii="楷体_GB2312" w:hAnsi="Times New Roman" w:eastAsia="楷体_GB2312" w:cs="楷体_GB2312"/>
          <w:kern w:val="0"/>
          <w:sz w:val="32"/>
          <w:szCs w:val="32"/>
        </w:rPr>
        <w:t>年度）</w:t>
      </w:r>
    </w:p>
    <w:p w14:paraId="2EB74A51">
      <w:pPr>
        <w:autoSpaceDE w:val="0"/>
        <w:autoSpaceDN w:val="0"/>
        <w:adjustRightInd w:val="0"/>
        <w:spacing w:line="560" w:lineRule="exact"/>
        <w:ind w:firstLine="640" w:firstLineChars="200"/>
        <w:jc w:val="left"/>
        <w:rPr>
          <w:rFonts w:ascii="黑体" w:hAnsi="Times New Roman" w:eastAsia="黑体" w:cs="黑体"/>
          <w:kern w:val="0"/>
          <w:szCs w:val="32"/>
        </w:rPr>
      </w:pPr>
      <w:r>
        <w:rPr>
          <w:rFonts w:hint="eastAsia" w:ascii="黑体" w:hAnsi="Times New Roman" w:eastAsia="黑体" w:cs="黑体"/>
          <w:kern w:val="0"/>
          <w:sz w:val="32"/>
          <w:szCs w:val="32"/>
        </w:rPr>
        <w:t>一、部门概况</w:t>
      </w:r>
    </w:p>
    <w:p w14:paraId="7F0A49C8">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（一）部门主要职责职能，组织架构、人员及资产等基本情况。</w:t>
      </w:r>
    </w:p>
    <w:p w14:paraId="22752301">
      <w:pPr>
        <w:ind w:firstLine="960" w:firstLineChars="3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贯彻执行党和国家有关新闻宣传、广播电视管理等方面的方针政策和法律法规规章；根据国家、省、市总体规划和要求，拟定全县融媒体事业发展规划、计划，经批准后组织</w:t>
      </w:r>
      <w:bookmarkStart w:id="0" w:name="_GoBack"/>
      <w:bookmarkEnd w:id="0"/>
      <w:r>
        <w:rPr>
          <w:rFonts w:hint="eastAsia" w:ascii="仿宋" w:hAnsi="仿宋" w:eastAsia="仿宋" w:cs="仿宋"/>
          <w:sz w:val="32"/>
          <w:szCs w:val="32"/>
        </w:rPr>
        <w:t>实施。</w:t>
      </w:r>
      <w:r>
        <w:rPr>
          <w:rFonts w:hint="eastAsia" w:ascii="仿宋" w:hAnsi="仿宋" w:eastAsia="仿宋" w:cs="仿宋"/>
          <w:sz w:val="32"/>
          <w:szCs w:val="32"/>
          <w:lang w:val="en-US" w:eastAsia="zh-CN"/>
        </w:rPr>
        <w:t>2.</w:t>
      </w:r>
      <w:r>
        <w:rPr>
          <w:rFonts w:hint="eastAsia" w:ascii="仿宋" w:hAnsi="仿宋" w:eastAsia="仿宋" w:cs="仿宋"/>
          <w:sz w:val="32"/>
          <w:szCs w:val="32"/>
        </w:rPr>
        <w:t>全面、准确、及时宣传党的路线、方针、政策，充分发挥党和政府的喉舌作用，把握正确舆论导向，负责全县广播电视及纸质媒体、网络媒体宣传工作，研究新闻采编报道中的重大问题，组织全局性重大宣传报道活动，不断提高宣传质量。</w:t>
      </w:r>
      <w:r>
        <w:rPr>
          <w:rFonts w:hint="eastAsia" w:ascii="仿宋" w:hAnsi="仿宋" w:eastAsia="仿宋" w:cs="仿宋"/>
          <w:sz w:val="32"/>
          <w:szCs w:val="32"/>
          <w:lang w:val="en-US" w:eastAsia="zh-CN"/>
        </w:rPr>
        <w:t>3.</w:t>
      </w:r>
      <w:r>
        <w:rPr>
          <w:rFonts w:hint="eastAsia" w:ascii="仿宋" w:hAnsi="仿宋" w:eastAsia="仿宋" w:cs="仿宋"/>
          <w:sz w:val="32"/>
          <w:szCs w:val="32"/>
        </w:rPr>
        <w:t>负责全县广播电视无线数字发射传输的管理工作，贯彻执行国家广播电视技术政策标准，推动广播影视新媒体发展。</w:t>
      </w:r>
      <w:r>
        <w:rPr>
          <w:rFonts w:hint="eastAsia" w:ascii="仿宋" w:hAnsi="仿宋" w:eastAsia="仿宋" w:cs="仿宋"/>
          <w:sz w:val="32"/>
          <w:szCs w:val="32"/>
          <w:lang w:val="en-US" w:eastAsia="zh-CN"/>
        </w:rPr>
        <w:t>4.</w:t>
      </w:r>
      <w:r>
        <w:rPr>
          <w:rFonts w:hint="eastAsia" w:ascii="仿宋" w:hAnsi="仿宋" w:eastAsia="仿宋" w:cs="仿宋"/>
          <w:sz w:val="32"/>
          <w:szCs w:val="32"/>
        </w:rPr>
        <w:t>负责广播电视重要技术设备监管，加强安全防范，保障广播电视节目安全播出；做好广播、电视等频率频道资源的报批、使用和管理工作，管好摄录、制作、演播、发射等重要技术装备。</w:t>
      </w:r>
      <w:r>
        <w:rPr>
          <w:rFonts w:hint="eastAsia" w:ascii="仿宋" w:hAnsi="仿宋" w:eastAsia="仿宋" w:cs="仿宋"/>
          <w:sz w:val="32"/>
          <w:szCs w:val="32"/>
          <w:lang w:val="en-US" w:eastAsia="zh-CN"/>
        </w:rPr>
        <w:t>5.</w:t>
      </w:r>
      <w:r>
        <w:rPr>
          <w:rFonts w:hint="eastAsia" w:ascii="仿宋" w:hAnsi="仿宋" w:eastAsia="仿宋" w:cs="仿宋"/>
          <w:sz w:val="32"/>
          <w:szCs w:val="32"/>
        </w:rPr>
        <w:t>负责广播电视高新技术的科学研究、开发应用、申报评定和推广应用；负责“掌上安义”APP和安义发布、安义县融媒体中心微信公众号、新浪微博账号及“最安义”抖音号、今日头条等新兴媒体的开发、推广和管理；负责广播电视、“两微一端”等媒体的管理。</w:t>
      </w:r>
      <w:r>
        <w:rPr>
          <w:rFonts w:hint="eastAsia" w:ascii="仿宋" w:hAnsi="仿宋" w:eastAsia="仿宋" w:cs="仿宋"/>
          <w:sz w:val="32"/>
          <w:szCs w:val="32"/>
          <w:lang w:val="en-US" w:eastAsia="zh-CN"/>
        </w:rPr>
        <w:t>6.</w:t>
      </w:r>
      <w:r>
        <w:rPr>
          <w:rFonts w:hint="eastAsia" w:ascii="仿宋" w:hAnsi="仿宋" w:eastAsia="仿宋" w:cs="仿宋"/>
          <w:sz w:val="32"/>
          <w:szCs w:val="32"/>
        </w:rPr>
        <w:t>依法报批本级广播电视机构、节目及新闻网站的建立和撤销。</w:t>
      </w:r>
      <w:r>
        <w:rPr>
          <w:rFonts w:hint="eastAsia" w:ascii="仿宋" w:hAnsi="仿宋" w:eastAsia="仿宋" w:cs="仿宋"/>
          <w:sz w:val="32"/>
          <w:szCs w:val="32"/>
          <w:lang w:val="en-US" w:eastAsia="zh-CN"/>
        </w:rPr>
        <w:t>7.</w:t>
      </w:r>
      <w:r>
        <w:rPr>
          <w:rFonts w:hint="eastAsia" w:ascii="仿宋" w:hAnsi="仿宋" w:eastAsia="仿宋" w:cs="仿宋"/>
          <w:sz w:val="32"/>
          <w:szCs w:val="32"/>
        </w:rPr>
        <w:t>指导协调县直单位、各乡镇（处）、管委会的新闻宣传等有关业务工作。</w:t>
      </w:r>
      <w:r>
        <w:rPr>
          <w:rFonts w:hint="eastAsia" w:ascii="仿宋" w:hAnsi="仿宋" w:eastAsia="仿宋" w:cs="仿宋"/>
          <w:sz w:val="32"/>
          <w:szCs w:val="32"/>
          <w:lang w:val="en-US" w:eastAsia="zh-CN"/>
        </w:rPr>
        <w:t>8.</w:t>
      </w:r>
      <w:r>
        <w:rPr>
          <w:rFonts w:hint="eastAsia" w:ascii="仿宋" w:hAnsi="仿宋" w:eastAsia="仿宋" w:cs="仿宋"/>
          <w:sz w:val="32"/>
          <w:szCs w:val="32"/>
        </w:rPr>
        <w:t>负责县域内应急广播平台建设、维护、管理，为全县民众提供应急广播服务。负责广播电视无线数字信号发送、传输，保证无线广播电视信号有效传播和覆盖。</w:t>
      </w:r>
      <w:r>
        <w:rPr>
          <w:rFonts w:hint="eastAsia" w:ascii="仿宋" w:hAnsi="仿宋" w:eastAsia="仿宋" w:cs="仿宋"/>
          <w:sz w:val="32"/>
          <w:szCs w:val="32"/>
          <w:lang w:val="en-US" w:eastAsia="zh-CN"/>
        </w:rPr>
        <w:t>9.完成县委、县政府交办的其他任务。</w:t>
      </w:r>
    </w:p>
    <w:p w14:paraId="1183B4A0">
      <w:pPr>
        <w:widowControl/>
        <w:spacing w:line="600" w:lineRule="exact"/>
        <w:ind w:firstLine="321" w:firstLineChars="100"/>
        <w:jc w:val="left"/>
        <w:rPr>
          <w:rFonts w:ascii="楷体_GB2312" w:hAnsi="Calibri" w:eastAsia="楷体_GB2312" w:cs="宋体"/>
          <w:b/>
          <w:color w:val="000000"/>
          <w:kern w:val="0"/>
          <w:sz w:val="32"/>
          <w:szCs w:val="32"/>
        </w:rPr>
      </w:pPr>
      <w:r>
        <w:rPr>
          <w:rFonts w:hint="eastAsia" w:ascii="楷体_GB2312" w:hAnsi="Calibri" w:eastAsia="楷体_GB2312" w:cs="宋体"/>
          <w:b/>
          <w:color w:val="000000"/>
          <w:kern w:val="0"/>
          <w:sz w:val="32"/>
          <w:szCs w:val="32"/>
        </w:rPr>
        <w:t>机构设置及人员情况</w:t>
      </w:r>
    </w:p>
    <w:p w14:paraId="25A7535F">
      <w:pPr>
        <w:widowControl/>
        <w:numPr>
          <w:ilvl w:val="0"/>
          <w:numId w:val="0"/>
        </w:numPr>
        <w:spacing w:line="600" w:lineRule="exact"/>
        <w:ind w:firstLine="640" w:firstLineChars="200"/>
        <w:jc w:val="left"/>
        <w:rPr>
          <w:rFonts w:hint="eastAsia" w:ascii="仿宋_GB2312" w:eastAsia="仿宋_GB2312"/>
          <w:color w:val="000000"/>
          <w:sz w:val="32"/>
          <w:szCs w:val="30"/>
        </w:rPr>
      </w:pPr>
      <w:r>
        <w:rPr>
          <w:rFonts w:hint="eastAsia" w:ascii="仿宋_GB2312" w:eastAsia="仿宋_GB2312"/>
          <w:color w:val="000000"/>
          <w:sz w:val="32"/>
          <w:szCs w:val="30"/>
          <w:lang w:val="en-US" w:eastAsia="zh-CN"/>
        </w:rPr>
        <w:t>1、</w:t>
      </w:r>
      <w:r>
        <w:rPr>
          <w:rFonts w:hint="eastAsia" w:ascii="仿宋_GB2312" w:eastAsia="仿宋_GB2312"/>
          <w:color w:val="000000"/>
          <w:sz w:val="32"/>
          <w:szCs w:val="30"/>
        </w:rPr>
        <w:t>纳入本部门202</w:t>
      </w:r>
      <w:r>
        <w:rPr>
          <w:rFonts w:hint="eastAsia" w:ascii="仿宋_GB2312" w:eastAsia="仿宋_GB2312"/>
          <w:color w:val="000000"/>
          <w:sz w:val="32"/>
          <w:szCs w:val="30"/>
          <w:lang w:val="en-US" w:eastAsia="zh-CN"/>
        </w:rPr>
        <w:t>4</w:t>
      </w:r>
      <w:r>
        <w:rPr>
          <w:rFonts w:hint="eastAsia" w:ascii="仿宋_GB2312" w:eastAsia="仿宋_GB2312"/>
          <w:color w:val="000000"/>
          <w:sz w:val="32"/>
          <w:szCs w:val="30"/>
        </w:rPr>
        <w:t>年部门预算编制范围的一级单位1个，为</w:t>
      </w:r>
      <w:r>
        <w:rPr>
          <w:rFonts w:hint="eastAsia" w:ascii="仿宋_GB2312" w:eastAsia="仿宋_GB2312"/>
          <w:color w:val="000000"/>
          <w:sz w:val="32"/>
          <w:szCs w:val="30"/>
          <w:lang w:eastAsia="zh-CN"/>
        </w:rPr>
        <w:t>安义县融媒体中心</w:t>
      </w:r>
      <w:r>
        <w:rPr>
          <w:rFonts w:hint="eastAsia" w:ascii="仿宋_GB2312" w:eastAsia="仿宋_GB2312"/>
          <w:color w:val="000000"/>
          <w:sz w:val="32"/>
          <w:szCs w:val="30"/>
        </w:rPr>
        <w:t>本级；二级单位0个。</w:t>
      </w:r>
    </w:p>
    <w:p w14:paraId="08DBED92">
      <w:pPr>
        <w:widowControl/>
        <w:spacing w:line="600" w:lineRule="exact"/>
        <w:ind w:firstLine="480" w:firstLineChars="150"/>
        <w:jc w:val="left"/>
        <w:rPr>
          <w:rFonts w:hint="eastAsia" w:ascii="仿宋_GB2312" w:eastAsia="仿宋_GB2312"/>
          <w:color w:val="000000"/>
          <w:sz w:val="32"/>
          <w:szCs w:val="30"/>
          <w:lang w:eastAsia="zh-CN"/>
        </w:rPr>
      </w:pPr>
      <w:r>
        <w:rPr>
          <w:rFonts w:hint="eastAsia" w:ascii="仿宋_GB2312" w:eastAsia="仿宋_GB2312"/>
          <w:color w:val="000000"/>
          <w:sz w:val="32"/>
          <w:szCs w:val="30"/>
        </w:rPr>
        <w:t>单位内设机构有</w:t>
      </w:r>
      <w:r>
        <w:rPr>
          <w:rFonts w:hint="eastAsia" w:ascii="仿宋_GB2312" w:eastAsia="仿宋_GB2312"/>
          <w:color w:val="000000"/>
          <w:sz w:val="32"/>
          <w:szCs w:val="30"/>
          <w:lang w:val="en-US" w:eastAsia="zh-CN"/>
        </w:rPr>
        <w:t>7</w:t>
      </w:r>
      <w:r>
        <w:rPr>
          <w:rFonts w:hint="eastAsia" w:ascii="仿宋_GB2312" w:eastAsia="仿宋_GB2312"/>
          <w:color w:val="000000"/>
          <w:sz w:val="32"/>
          <w:szCs w:val="30"/>
        </w:rPr>
        <w:t>个股室：</w:t>
      </w:r>
      <w:r>
        <w:rPr>
          <w:rFonts w:hint="eastAsia" w:ascii="仿宋_GB2312" w:eastAsia="仿宋_GB2312"/>
          <w:color w:val="000000"/>
          <w:sz w:val="32"/>
          <w:szCs w:val="30"/>
          <w:lang w:eastAsia="zh-CN"/>
        </w:rPr>
        <w:t>办公室，总编股、采访股、编辑制作股、外宣股、新媒体发展股、技播股。</w:t>
      </w:r>
    </w:p>
    <w:p w14:paraId="4110FFBB">
      <w:pPr>
        <w:snapToGrid w:val="0"/>
        <w:spacing w:line="520" w:lineRule="exact"/>
        <w:ind w:firstLine="640" w:firstLineChars="200"/>
        <w:rPr>
          <w:rFonts w:hint="default" w:ascii="仿宋_GB2312" w:hAnsi="仿宋" w:eastAsia="仿宋_GB2312"/>
          <w:sz w:val="32"/>
          <w:szCs w:val="32"/>
          <w:lang w:val="en-US" w:eastAsia="zh-CN"/>
        </w:rPr>
      </w:pPr>
      <w:r>
        <w:rPr>
          <w:rFonts w:hint="eastAsia" w:ascii="仿宋_GB2312" w:eastAsia="仿宋_GB2312"/>
          <w:color w:val="000000"/>
          <w:sz w:val="32"/>
          <w:szCs w:val="30"/>
        </w:rPr>
        <w:t>2、纳入本部门202</w:t>
      </w:r>
      <w:r>
        <w:rPr>
          <w:rFonts w:hint="eastAsia" w:ascii="仿宋_GB2312" w:eastAsia="仿宋_GB2312"/>
          <w:color w:val="000000"/>
          <w:sz w:val="32"/>
          <w:szCs w:val="30"/>
          <w:lang w:val="en-US" w:eastAsia="zh-CN"/>
        </w:rPr>
        <w:t>4</w:t>
      </w:r>
      <w:r>
        <w:rPr>
          <w:rFonts w:hint="eastAsia" w:ascii="仿宋_GB2312" w:eastAsia="仿宋_GB2312"/>
          <w:color w:val="000000"/>
          <w:sz w:val="32"/>
          <w:szCs w:val="30"/>
        </w:rPr>
        <w:t>年部门编制人数</w:t>
      </w:r>
      <w:r>
        <w:rPr>
          <w:rFonts w:hint="eastAsia" w:ascii="仿宋_GB2312" w:eastAsia="仿宋_GB2312"/>
          <w:color w:val="000000"/>
          <w:sz w:val="32"/>
          <w:szCs w:val="30"/>
          <w:lang w:val="en-US" w:eastAsia="zh-CN"/>
        </w:rPr>
        <w:t>31</w:t>
      </w:r>
      <w:r>
        <w:rPr>
          <w:rFonts w:hint="eastAsia" w:ascii="仿宋_GB2312" w:eastAsia="仿宋_GB2312"/>
          <w:color w:val="000000"/>
          <w:sz w:val="32"/>
          <w:szCs w:val="30"/>
        </w:rPr>
        <w:t>人、</w:t>
      </w:r>
      <w:r>
        <w:rPr>
          <w:rFonts w:hint="eastAsia" w:ascii="仿宋_GB2312" w:hAnsi="仿宋" w:eastAsia="仿宋_GB2312"/>
          <w:sz w:val="32"/>
          <w:szCs w:val="32"/>
          <w:lang w:eastAsia="zh-CN"/>
        </w:rPr>
        <w:t>其中全额拨款</w:t>
      </w:r>
      <w:r>
        <w:rPr>
          <w:rFonts w:hint="eastAsia" w:ascii="仿宋_GB2312" w:hAnsi="仿宋" w:eastAsia="仿宋_GB2312"/>
          <w:sz w:val="32"/>
          <w:szCs w:val="32"/>
          <w:lang w:val="en-US" w:eastAsia="zh-CN"/>
        </w:rPr>
        <w:t>29名，自收自支2名。</w:t>
      </w:r>
      <w:r>
        <w:rPr>
          <w:rFonts w:hint="eastAsia" w:ascii="仿宋_GB2312" w:hAnsi="仿宋" w:eastAsia="仿宋_GB2312"/>
          <w:sz w:val="32"/>
          <w:szCs w:val="32"/>
          <w:lang w:eastAsia="zh-CN"/>
        </w:rPr>
        <w:t>领导</w:t>
      </w:r>
      <w:r>
        <w:rPr>
          <w:rFonts w:hint="eastAsia" w:ascii="仿宋_GB2312" w:hAnsi="仿宋" w:eastAsia="仿宋_GB2312"/>
          <w:sz w:val="32"/>
          <w:szCs w:val="32"/>
        </w:rPr>
        <w:t>职数：主任</w:t>
      </w:r>
      <w:r>
        <w:rPr>
          <w:rFonts w:hint="eastAsia" w:ascii="仿宋_GB2312" w:hAnsi="仿宋" w:eastAsia="仿宋_GB2312"/>
          <w:sz w:val="32"/>
          <w:szCs w:val="32"/>
          <w:lang w:eastAsia="zh-CN"/>
        </w:rPr>
        <w:t>（正科级）</w:t>
      </w:r>
      <w:r>
        <w:rPr>
          <w:rFonts w:hint="eastAsia" w:ascii="仿宋_GB2312" w:hAnsi="仿宋" w:eastAsia="仿宋_GB2312"/>
          <w:sz w:val="32"/>
          <w:szCs w:val="32"/>
        </w:rPr>
        <w:t>1名</w:t>
      </w:r>
      <w:r>
        <w:rPr>
          <w:rFonts w:hint="eastAsia" w:ascii="仿宋_GB2312" w:hAnsi="仿宋" w:eastAsia="仿宋_GB2312"/>
          <w:sz w:val="32"/>
          <w:szCs w:val="32"/>
          <w:lang w:eastAsia="zh-CN"/>
        </w:rPr>
        <w:t>，总编辑（正科级）</w:t>
      </w:r>
      <w:r>
        <w:rPr>
          <w:rFonts w:hint="eastAsia" w:ascii="仿宋_GB2312" w:hAnsi="仿宋" w:eastAsia="仿宋_GB2312"/>
          <w:sz w:val="32"/>
          <w:szCs w:val="32"/>
          <w:lang w:val="en-US" w:eastAsia="zh-CN"/>
        </w:rPr>
        <w:t>1名，</w:t>
      </w:r>
      <w:r>
        <w:rPr>
          <w:rFonts w:hint="eastAsia" w:ascii="仿宋_GB2312" w:hAnsi="仿宋" w:eastAsia="仿宋_GB2312"/>
          <w:sz w:val="32"/>
          <w:szCs w:val="32"/>
          <w:lang w:eastAsia="zh-CN"/>
        </w:rPr>
        <w:t>副主任（副科级）</w:t>
      </w:r>
      <w:r>
        <w:rPr>
          <w:rFonts w:hint="eastAsia" w:ascii="仿宋_GB2312" w:hAnsi="仿宋" w:eastAsia="仿宋_GB2312"/>
          <w:sz w:val="32"/>
          <w:szCs w:val="32"/>
          <w:lang w:val="en-US" w:eastAsia="zh-CN"/>
        </w:rPr>
        <w:t>2名</w:t>
      </w:r>
      <w:r>
        <w:rPr>
          <w:rFonts w:hint="eastAsia" w:ascii="仿宋_GB2312" w:hAnsi="仿宋" w:eastAsia="仿宋_GB2312"/>
          <w:sz w:val="32"/>
          <w:szCs w:val="32"/>
        </w:rPr>
        <w:t>。在职实有人数</w:t>
      </w:r>
      <w:r>
        <w:rPr>
          <w:rFonts w:hint="eastAsia" w:ascii="仿宋_GB2312" w:hAnsi="仿宋" w:eastAsia="仿宋_GB2312"/>
          <w:sz w:val="32"/>
          <w:szCs w:val="32"/>
          <w:lang w:val="en-US" w:eastAsia="zh-CN"/>
        </w:rPr>
        <w:t>22</w:t>
      </w:r>
      <w:r>
        <w:rPr>
          <w:rFonts w:hint="eastAsia" w:ascii="仿宋_GB2312" w:hAnsi="仿宋" w:eastAsia="仿宋_GB2312"/>
          <w:sz w:val="32"/>
          <w:szCs w:val="32"/>
        </w:rPr>
        <w:t>人</w:t>
      </w:r>
      <w:r>
        <w:rPr>
          <w:rFonts w:hint="eastAsia" w:ascii="仿宋_GB2312" w:hAnsi="仿宋" w:eastAsia="仿宋_GB2312"/>
          <w:sz w:val="32"/>
          <w:szCs w:val="32"/>
          <w:lang w:eastAsia="zh-CN"/>
        </w:rPr>
        <w:t>，其中全额拨款</w:t>
      </w:r>
      <w:r>
        <w:rPr>
          <w:rFonts w:hint="eastAsia" w:ascii="仿宋_GB2312" w:hAnsi="仿宋" w:eastAsia="仿宋_GB2312"/>
          <w:sz w:val="32"/>
          <w:szCs w:val="32"/>
          <w:lang w:val="en-US" w:eastAsia="zh-CN"/>
        </w:rPr>
        <w:t>20人，自收自支2人。劳务派遣人员10人。退休人员15人。</w:t>
      </w:r>
    </w:p>
    <w:p w14:paraId="19272E53">
      <w:pPr>
        <w:numPr>
          <w:ilvl w:val="0"/>
          <w:numId w:val="0"/>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lang w:val="en-US" w:eastAsia="zh-CN"/>
        </w:rPr>
        <w:t>二</w:t>
      </w: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rPr>
        <w:t>当年部门履职总体目标、工作任务。</w:t>
      </w:r>
    </w:p>
    <w:p w14:paraId="20125A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心紧紧围绕“转观念、勇创新、强管理、创一流”，聚焦推动媒体融合发展，持续深入学习贯彻习近平文化思想和全国宣传思想文化工作会议精神，认真落实意识形态工作主体责任，严格落实“一岗双责”，巩固意识形态阵地，确保舆论导向正确。同时，严格按照省委巡视、县委巡察反馈意见有关意识形态领域存在问题进行全面整改落实到位，落实意识形态工作责任制，积极稳妥做好重大突发事件和热点敏感问题的舆论引导。中心始终把关注民生作为宣传报道的重要内容，聚焦群众关心的教育、医疗、就业、住房等热点难点问题，深入采访，为群众发声。出台《安义县融媒体中心“新闻＋政务服务商务”的运营新模式实施方案（2024-2026）》，进一步深化体制机制改革，持续推进“新闻＋政务服务商务”发展模式落地。</w:t>
      </w:r>
    </w:p>
    <w:p w14:paraId="7F69D42F">
      <w:pPr>
        <w:numPr>
          <w:ilvl w:val="0"/>
          <w:numId w:val="0"/>
        </w:numPr>
        <w:autoSpaceDE w:val="0"/>
        <w:autoSpaceDN w:val="0"/>
        <w:adjustRightInd w:val="0"/>
        <w:spacing w:line="560" w:lineRule="exact"/>
        <w:ind w:firstLine="320" w:firstLineChars="1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lang w:val="en-US" w:eastAsia="zh-CN"/>
        </w:rPr>
        <w:t>三</w:t>
      </w: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rPr>
        <w:t>当年部门年度整体支出绩效目标。</w:t>
      </w:r>
    </w:p>
    <w:p w14:paraId="1F39BD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心充分利用“两微一端一抖”等新媒体平台，精准策划并开设了“学习贯彻党的二十届三中全会精神”“新思想引领新时代改革开放”“深入开展学习贯彻习近平新时代中国特色社会主义思想主题教育”“国家网络安全宣传周”“网络中国节”等36个专栏及80余个子栏目，有效提升了宣传的广度和深度。在此基础上，中心围绕县委、县政府重点项目推进、经济发展、乡村振兴、民生福祉等中心工作，策划实施了“奋进勇争先，安义善作为”“重大重点项目建设”等一系列重大主题宣传。中心采写新闻稿件1400余条，参与重大主题报道近30次，其中围绕安义门窗推广工作，推出多条重要稿件，有提升安义门窗品牌知名度。比如央视新闻直播间在《共和国巡礼·江西篇|江西你到底瞒了我们多少？》报道中为安义门窗背书，点到“全国每十扇铝合金门窗，有七扇是安义人卖出的”，有效增强安义特色产业全国认同度。同时，借助“安义门窗传承人”刘仁铖等热点人物的影响力，推出相关短视频，播放量超200万，吸引大量网友关注安义门窗，有效打响安义门窗品牌。此外，《2024第八届江西（安义）铝型材及门窗博览会开幕式》《中国安义门窗杯·2024南昌安义半程马拉松暨安义县第十三届金花旅游节开幕式》《第八届江西（安义）铝型及门窗博览会开幕式》《安义门窗杯·2024趣味龙舟赛》等大型活动报道广受关注，充分展现了安义县的独特魅力和发展成就，为全县经济社会发展提供了强有力的舆论支持。</w:t>
      </w:r>
    </w:p>
    <w:p w14:paraId="4EE267AF">
      <w:pPr>
        <w:numPr>
          <w:ilvl w:val="0"/>
          <w:numId w:val="0"/>
        </w:numPr>
        <w:autoSpaceDE w:val="0"/>
        <w:autoSpaceDN w:val="0"/>
        <w:adjustRightInd w:val="0"/>
        <w:spacing w:line="560" w:lineRule="exact"/>
        <w:ind w:firstLine="320" w:firstLineChars="1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lang w:val="en-US" w:eastAsia="zh-CN"/>
        </w:rPr>
        <w:t>四</w:t>
      </w: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rPr>
        <w:t>部门预算绩效管理开展情况。</w:t>
      </w:r>
    </w:p>
    <w:p w14:paraId="07B5FB36">
      <w:pPr>
        <w:ind w:firstLine="640" w:firstLineChars="200"/>
        <w:rPr>
          <w:rFonts w:ascii="仿宋" w:hAnsi="仿宋" w:eastAsia="仿宋" w:cs="仿宋"/>
          <w:sz w:val="32"/>
          <w:szCs w:val="32"/>
        </w:rPr>
      </w:pPr>
      <w:r>
        <w:rPr>
          <w:rFonts w:hint="eastAsia" w:ascii="仿宋" w:hAnsi="仿宋" w:eastAsia="仿宋" w:cs="仿宋"/>
          <w:sz w:val="32"/>
          <w:szCs w:val="32"/>
        </w:rPr>
        <w:t>本部门领导对202</w:t>
      </w:r>
      <w:r>
        <w:rPr>
          <w:rFonts w:hint="eastAsia" w:ascii="仿宋" w:hAnsi="仿宋" w:eastAsia="仿宋" w:cs="仿宋"/>
          <w:sz w:val="32"/>
          <w:szCs w:val="32"/>
          <w:lang w:val="en-US" w:eastAsia="zh-CN"/>
        </w:rPr>
        <w:t>4</w:t>
      </w:r>
      <w:r>
        <w:rPr>
          <w:rFonts w:hint="eastAsia" w:ascii="仿宋" w:hAnsi="仿宋" w:eastAsia="仿宋" w:cs="仿宋"/>
          <w:sz w:val="32"/>
          <w:szCs w:val="32"/>
        </w:rPr>
        <w:t>年绩效管理高度重视，工作按计划顺利完成。</w:t>
      </w:r>
    </w:p>
    <w:p w14:paraId="426E4590">
      <w:pPr>
        <w:numPr>
          <w:ilvl w:val="0"/>
          <w:numId w:val="0"/>
        </w:numPr>
        <w:autoSpaceDE w:val="0"/>
        <w:autoSpaceDN w:val="0"/>
        <w:adjustRightInd w:val="0"/>
        <w:spacing w:line="560" w:lineRule="exact"/>
        <w:ind w:firstLine="320" w:firstLineChars="1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lang w:val="en-US" w:eastAsia="zh-CN"/>
        </w:rPr>
        <w:t>五</w:t>
      </w: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rPr>
        <w:t>当年部门预算及执行情况。</w:t>
      </w:r>
    </w:p>
    <w:p w14:paraId="71F121A7">
      <w:pPr>
        <w:numPr>
          <w:ilvl w:val="0"/>
          <w:numId w:val="0"/>
        </w:numPr>
        <w:ind w:firstLine="640" w:firstLineChars="200"/>
        <w:jc w:val="left"/>
        <w:rPr>
          <w:rFonts w:hint="eastAsia" w:ascii="仿宋" w:hAnsi="仿宋" w:eastAsia="仿宋" w:cs="仿宋_GB2312"/>
          <w:sz w:val="32"/>
          <w:szCs w:val="40"/>
          <w:lang w:val="en-US" w:eastAsia="zh-CN"/>
        </w:rPr>
      </w:pPr>
      <w:r>
        <w:rPr>
          <w:rFonts w:hint="eastAsia" w:ascii="仿宋" w:hAnsi="仿宋" w:eastAsia="仿宋" w:cs="仿宋_GB2312"/>
          <w:sz w:val="32"/>
          <w:szCs w:val="40"/>
          <w:lang w:val="en-US" w:eastAsia="zh-CN"/>
        </w:rPr>
        <w:t>工作按计划顺利完成2024年预算资金421.07万元，调整后预算998.10万元，全年执行867.35万元，预算执行率86.90%，工作按计划顺利完成。</w:t>
      </w:r>
    </w:p>
    <w:p w14:paraId="01324A20">
      <w:pPr>
        <w:autoSpaceDE w:val="0"/>
        <w:autoSpaceDN w:val="0"/>
        <w:adjustRightInd w:val="0"/>
        <w:spacing w:line="560" w:lineRule="exact"/>
        <w:ind w:firstLine="640" w:firstLineChars="200"/>
        <w:jc w:val="left"/>
        <w:rPr>
          <w:rFonts w:ascii="黑体" w:hAnsi="Times New Roman" w:eastAsia="黑体" w:cs="黑体"/>
          <w:kern w:val="0"/>
          <w:szCs w:val="32"/>
        </w:rPr>
      </w:pPr>
      <w:r>
        <w:rPr>
          <w:rFonts w:hint="eastAsia" w:ascii="黑体" w:hAnsi="Times New Roman" w:eastAsia="黑体" w:cs="黑体"/>
          <w:kern w:val="0"/>
          <w:sz w:val="32"/>
          <w:szCs w:val="32"/>
        </w:rPr>
        <w:t>二、部门整体支出绩效实现情况</w:t>
      </w:r>
    </w:p>
    <w:p w14:paraId="47EF41A7">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（一）履职完成情况：从数量、质量、时效等方面归纳反映年度主要计划任务完成情况。</w:t>
      </w:r>
    </w:p>
    <w:p w14:paraId="3EE7C0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聚焦文旅资源，赋能乡村振兴，全平台共计推送文旅相关视频及图文内容2280条，其中图文538篇，视频1742条。52条精品短视频被学习强国平台采用，进一步唱响了“山水人家好安义”IP。重磅发布宣传片《山水人家好安义》，多平台创建“山水人家好安义”话题，持续唱响“山水人家好安义”IP；创建“我为安义文旅上分”话题，邀请本土歌手和词作者进行创作，策划摄制《我姓安》等原创类音乐歌曲视频4个，在各大平台引发热烈反响，有效提升了安义文旅品牌的知名度和影响力；与江西省委网信办联动开展“我爱你，中国”江西百县融媒国庆联动直播，观看量累计近2亿人次，营造了浓厚的爱国氛围和旅游热度。此外，《你不知道的安义》专栏开设后引起热烈反响，陆续推出《在安义长埠，藏着江西省第一家乡村美术馆，你知道吗？》等内容。中心积极提升上稿率，全年上稿超200篇，其中央视《朝闻天下》《新闻三十分》《新闻直播间》等国家级央视媒体上稿超50条，江西卫视《江西新闻联播》《社会传真》《新闻夜航》等省级媒体平台上稿近百条，南昌电视台《每日新闻》和《南昌日报》等市级媒体平台上稿超60条。比如《安义县家居下乡试点暨“换安义门窗·住安心家”门窗以旧换新活动启动》被江西省广播采用，同时人民网、凤凰网、江西新闻客户端、南昌日报等多家主流媒体同步转载，总阅读量超35万，有效拓宽了安义门窗的知名度和市场占有率。又比如《数字化转型在行动|江西金德里：借力数字化“数”造新优势》，多次被江西卫视、今视频等平台采用并报道，单条视频播放量近5万次。</w:t>
      </w:r>
    </w:p>
    <w:p w14:paraId="69CFF63B">
      <w:pPr>
        <w:numPr>
          <w:ilvl w:val="0"/>
          <w:numId w:val="1"/>
        </w:numPr>
        <w:ind w:left="420" w:firstLine="320" w:firstLineChars="1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履职效果情况：从社会效益、经济效益（如有）、生态效益（如有）等方面反映部门履职效果的实现情况。</w:t>
      </w:r>
    </w:p>
    <w:p w14:paraId="743F546E">
      <w:pPr>
        <w:numPr>
          <w:ilvl w:val="0"/>
          <w:numId w:val="0"/>
        </w:numPr>
        <w:ind w:leftChars="100" w:firstLine="640" w:firstLineChars="200"/>
        <w:jc w:val="left"/>
        <w:rPr>
          <w:rFonts w:ascii="仿宋" w:hAnsi="仿宋" w:eastAsia="仿宋" w:cs="仿宋_GB2312"/>
          <w:sz w:val="32"/>
          <w:szCs w:val="40"/>
        </w:rPr>
      </w:pPr>
      <w:r>
        <w:rPr>
          <w:rFonts w:hint="eastAsia" w:ascii="仿宋" w:hAnsi="仿宋" w:eastAsia="仿宋" w:cs="仿宋_GB2312"/>
          <w:sz w:val="32"/>
          <w:szCs w:val="40"/>
          <w:lang w:eastAsia="zh-CN"/>
        </w:rPr>
        <w:t>电视和新媒体平台</w:t>
      </w:r>
      <w:r>
        <w:rPr>
          <w:rFonts w:hint="eastAsia" w:ascii="仿宋" w:hAnsi="仿宋" w:eastAsia="仿宋" w:cs="仿宋_GB2312"/>
          <w:sz w:val="32"/>
          <w:szCs w:val="40"/>
        </w:rPr>
        <w:t>覆盖率</w:t>
      </w:r>
      <w:r>
        <w:rPr>
          <w:rFonts w:hint="eastAsia" w:ascii="仿宋" w:hAnsi="仿宋" w:eastAsia="仿宋" w:cs="仿宋_GB2312"/>
          <w:sz w:val="32"/>
          <w:szCs w:val="40"/>
          <w:lang w:val="en-US" w:eastAsia="zh-CN"/>
        </w:rPr>
        <w:t>95</w:t>
      </w:r>
      <w:r>
        <w:rPr>
          <w:rFonts w:hint="eastAsia" w:ascii="仿宋" w:hAnsi="仿宋" w:eastAsia="仿宋" w:cs="仿宋_GB2312"/>
          <w:sz w:val="32"/>
          <w:szCs w:val="40"/>
        </w:rPr>
        <w:t>%</w:t>
      </w:r>
      <w:r>
        <w:rPr>
          <w:rFonts w:hint="eastAsia" w:ascii="仿宋" w:hAnsi="仿宋" w:eastAsia="仿宋" w:cs="仿宋_GB2312"/>
          <w:sz w:val="32"/>
          <w:szCs w:val="40"/>
          <w:lang w:eastAsia="zh-CN"/>
        </w:rPr>
        <w:t>以上</w:t>
      </w:r>
      <w:r>
        <w:rPr>
          <w:rFonts w:hint="eastAsia" w:ascii="仿宋" w:hAnsi="仿宋" w:eastAsia="仿宋" w:cs="仿宋_GB2312"/>
          <w:sz w:val="32"/>
          <w:szCs w:val="40"/>
        </w:rPr>
        <w:t>。</w:t>
      </w:r>
    </w:p>
    <w:p w14:paraId="1584F891">
      <w:pPr>
        <w:autoSpaceDE w:val="0"/>
        <w:autoSpaceDN w:val="0"/>
        <w:adjustRightInd w:val="0"/>
        <w:spacing w:line="560" w:lineRule="exact"/>
        <w:ind w:firstLine="420" w:firstLineChars="200"/>
        <w:jc w:val="left"/>
        <w:rPr>
          <w:rFonts w:ascii="仿宋_GB2312" w:eastAsia="仿宋_GB2312" w:cs="仿宋_GB2312"/>
          <w:kern w:val="0"/>
          <w:szCs w:val="32"/>
        </w:rPr>
      </w:pPr>
    </w:p>
    <w:p w14:paraId="7FB4E9BD">
      <w:pPr>
        <w:pStyle w:val="2"/>
        <w:numPr>
          <w:ilvl w:val="0"/>
          <w:numId w:val="1"/>
        </w:numPr>
        <w:ind w:left="420" w:leftChars="0" w:firstLine="320" w:firstLineChars="100"/>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社会满意度及可持续性影响（如有）。</w:t>
      </w:r>
    </w:p>
    <w:p w14:paraId="1CB73EA4">
      <w:pPr>
        <w:pStyle w:val="2"/>
        <w:numPr>
          <w:ilvl w:val="0"/>
          <w:numId w:val="0"/>
        </w:numPr>
        <w:ind w:leftChars="100" w:firstLine="640" w:firstLineChars="200"/>
        <w:rPr>
          <w:rFonts w:hint="default"/>
          <w:lang w:val="en-US" w:eastAsia="zh-CN"/>
        </w:rPr>
      </w:pPr>
      <w:r>
        <w:rPr>
          <w:rFonts w:hint="eastAsia" w:ascii="仿宋" w:hAnsi="仿宋" w:eastAsia="仿宋" w:cs="仿宋_GB2312"/>
          <w:sz w:val="32"/>
          <w:szCs w:val="40"/>
          <w:lang w:val="en-US" w:eastAsia="zh-CN"/>
        </w:rPr>
        <w:t>观众满意度90%以上。</w:t>
      </w:r>
    </w:p>
    <w:p w14:paraId="7A3E06EF">
      <w:pPr>
        <w:autoSpaceDE w:val="0"/>
        <w:autoSpaceDN w:val="0"/>
        <w:adjustRightInd w:val="0"/>
        <w:spacing w:line="560" w:lineRule="exact"/>
        <w:ind w:firstLine="960" w:firstLineChars="300"/>
        <w:jc w:val="left"/>
        <w:rPr>
          <w:rFonts w:ascii="黑体" w:hAnsi="Times New Roman" w:eastAsia="黑体" w:cs="黑体"/>
          <w:kern w:val="0"/>
          <w:szCs w:val="32"/>
        </w:rPr>
      </w:pPr>
      <w:r>
        <w:rPr>
          <w:rFonts w:hint="eastAsia" w:ascii="黑体" w:hAnsi="Times New Roman" w:eastAsia="黑体" w:cs="黑体"/>
          <w:kern w:val="0"/>
          <w:sz w:val="32"/>
          <w:szCs w:val="32"/>
        </w:rPr>
        <w:t>三、部门整体支出绩效中存在问题及改进措施</w:t>
      </w:r>
    </w:p>
    <w:p w14:paraId="190A6944">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（一）主要问题及原因分析。</w:t>
      </w:r>
    </w:p>
    <w:p w14:paraId="5AF1FE8D">
      <w:pPr>
        <w:autoSpaceDE w:val="0"/>
        <w:autoSpaceDN w:val="0"/>
        <w:adjustRightInd w:val="0"/>
        <w:spacing w:beforeLines="0" w:afterLines="0" w:line="560" w:lineRule="exact"/>
        <w:ind w:firstLine="640" w:firstLineChars="200"/>
        <w:jc w:val="left"/>
        <w:rPr>
          <w:rFonts w:hint="eastAsia" w:ascii="仿宋" w:hAnsi="仿宋" w:eastAsia="仿宋" w:cs="仿宋_GB2312"/>
          <w:sz w:val="32"/>
          <w:szCs w:val="40"/>
          <w:lang w:val="en-US" w:eastAsia="zh-CN"/>
        </w:rPr>
      </w:pPr>
      <w:r>
        <w:rPr>
          <w:rFonts w:hint="eastAsia" w:ascii="仿宋_GB2312" w:hAnsi="Times New Roman" w:eastAsia="仿宋_GB2312"/>
          <w:kern w:val="0"/>
          <w:sz w:val="32"/>
          <w:lang w:val="en-US" w:eastAsia="zh-CN"/>
        </w:rPr>
        <w:t>1、</w:t>
      </w:r>
      <w:r>
        <w:rPr>
          <w:rFonts w:hint="default" w:ascii="仿宋" w:hAnsi="仿宋" w:eastAsia="仿宋" w:cs="仿宋_GB2312"/>
          <w:sz w:val="32"/>
          <w:szCs w:val="40"/>
          <w:lang w:val="en-US" w:eastAsia="zh-CN"/>
        </w:rPr>
        <w:t>预算执行方面部分项目预算执行进度滞后，主要原因是项目实施过程中受到一些不可预见因素的影响，导致资金支付未能按照原计划进行。</w:t>
      </w:r>
    </w:p>
    <w:p w14:paraId="4E69BFC5">
      <w:pPr>
        <w:pStyle w:val="2"/>
        <w:numPr>
          <w:ilvl w:val="0"/>
          <w:numId w:val="0"/>
        </w:numPr>
        <w:ind w:firstLine="640" w:firstLineChars="200"/>
        <w:rPr>
          <w:rFonts w:hint="default" w:ascii="仿宋" w:hAnsi="仿宋" w:eastAsia="仿宋" w:cs="仿宋_GB2312"/>
          <w:sz w:val="32"/>
          <w:szCs w:val="40"/>
          <w:lang w:val="en-US" w:eastAsia="zh-CN"/>
        </w:rPr>
      </w:pPr>
      <w:r>
        <w:rPr>
          <w:rFonts w:hint="eastAsia" w:ascii="仿宋" w:hAnsi="仿宋" w:eastAsia="仿宋" w:cs="仿宋_GB2312"/>
          <w:sz w:val="32"/>
          <w:szCs w:val="40"/>
          <w:lang w:val="en-US" w:eastAsia="zh-CN"/>
        </w:rPr>
        <w:t>2、</w:t>
      </w:r>
      <w:r>
        <w:rPr>
          <w:rFonts w:hint="default" w:ascii="仿宋" w:hAnsi="仿宋" w:eastAsia="仿宋" w:cs="仿宋_GB2312"/>
          <w:sz w:val="32"/>
          <w:szCs w:val="40"/>
          <w:lang w:val="en-US" w:eastAsia="zh-CN"/>
        </w:rPr>
        <w:t>绩效目标管理方面虽然设定了较为明确的绩效目标，但在绩效目标的细化和量化程度上还有待提高。部分绩效指标的设定不够具体，难以准确衡量目标完成情况，影响了绩效评价的科学性和准确性。</w:t>
      </w:r>
    </w:p>
    <w:p w14:paraId="3B48F104">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（二）改进的方向和具体措施。</w:t>
      </w:r>
    </w:p>
    <w:p w14:paraId="771D602A">
      <w:pPr>
        <w:pStyle w:val="2"/>
        <w:ind w:firstLine="960" w:firstLineChars="300"/>
        <w:rPr>
          <w:rFonts w:hint="eastAsia" w:ascii="仿宋" w:hAnsi="仿宋" w:eastAsia="仿宋" w:cs="仿宋_GB2312"/>
          <w:sz w:val="32"/>
          <w:szCs w:val="40"/>
          <w:lang w:val="en-US" w:eastAsia="zh-CN"/>
        </w:rPr>
      </w:pPr>
      <w:r>
        <w:rPr>
          <w:rFonts w:hint="eastAsia" w:ascii="仿宋" w:hAnsi="仿宋" w:eastAsia="仿宋" w:cs="仿宋_GB2312"/>
          <w:sz w:val="32"/>
          <w:szCs w:val="40"/>
          <w:lang w:val="en-US" w:eastAsia="zh-CN"/>
        </w:rPr>
        <w:t>1、加强预算执行管理，在项目预算编制阶段，充分考虑各种可能影响项目进度的因素，合理安排预算资金和支出进度。建立项目预算执行跟踪机制，加强与项目实施部门的沟通协调，及时掌握项目进展情况，对执行进度滞后的项目进行重点监控，分析原因并采取有效措施加以推进，确保预算资金按时足额支出。</w:t>
      </w:r>
    </w:p>
    <w:p w14:paraId="053C3E4E">
      <w:pPr>
        <w:pStyle w:val="2"/>
        <w:ind w:firstLine="960" w:firstLineChars="300"/>
        <w:rPr>
          <w:rFonts w:hint="eastAsia" w:ascii="仿宋" w:hAnsi="仿宋" w:eastAsia="仿宋" w:cs="仿宋_GB2312"/>
          <w:sz w:val="32"/>
          <w:szCs w:val="40"/>
          <w:lang w:val="en-US" w:eastAsia="zh-CN"/>
        </w:rPr>
      </w:pPr>
      <w:r>
        <w:rPr>
          <w:rFonts w:hint="eastAsia" w:ascii="仿宋" w:hAnsi="仿宋" w:eastAsia="仿宋" w:cs="仿宋_GB2312"/>
          <w:sz w:val="32"/>
          <w:szCs w:val="40"/>
          <w:lang w:val="en-US" w:eastAsia="zh-CN"/>
        </w:rPr>
        <w:t>2、完善绩效目标管理，进一步细化和量化绩效目标，根据部门职责和工作任务，将绩效目标分解为具体、可衡量、可操作的绩效指标。加强对绩效目标编制的培训和指导，提高绩效目标编制的质量。在绩效评价过程中，严格按照设定的绩效指标进行评价，确保评价结果真实、准确。</w:t>
      </w:r>
    </w:p>
    <w:p w14:paraId="766BC27B">
      <w:pPr>
        <w:spacing w:line="560" w:lineRule="exact"/>
        <w:ind w:firstLine="640" w:firstLineChars="200"/>
        <w:rPr>
          <w:rFonts w:ascii="黑体" w:hAnsi="Times New Roman" w:eastAsia="黑体" w:cs="黑体"/>
          <w:kern w:val="0"/>
          <w:szCs w:val="32"/>
        </w:rPr>
      </w:pPr>
      <w:r>
        <w:rPr>
          <w:rFonts w:hint="eastAsia" w:ascii="黑体" w:hAnsi="Times New Roman" w:eastAsia="黑体" w:cs="黑体"/>
          <w:kern w:val="0"/>
          <w:sz w:val="32"/>
          <w:szCs w:val="32"/>
        </w:rPr>
        <w:t>四、绩效自评结果拟应用和公开情况</w:t>
      </w:r>
    </w:p>
    <w:p w14:paraId="76F06E58">
      <w:pPr>
        <w:pStyle w:val="2"/>
        <w:ind w:firstLine="640" w:firstLineChars="200"/>
        <w:rPr>
          <w:rFonts w:hint="eastAsia" w:ascii="仿宋" w:hAnsi="仿宋" w:eastAsia="仿宋" w:cs="仿宋_GB2312"/>
          <w:sz w:val="32"/>
          <w:szCs w:val="40"/>
          <w:lang w:eastAsia="zh-CN"/>
        </w:rPr>
      </w:pPr>
      <w:r>
        <w:rPr>
          <w:rFonts w:hint="eastAsia" w:ascii="仿宋" w:hAnsi="仿宋" w:eastAsia="仿宋" w:cs="仿宋_GB2312"/>
          <w:sz w:val="32"/>
          <w:szCs w:val="40"/>
          <w:lang w:eastAsia="zh-CN"/>
        </w:rPr>
        <w:t>按</w:t>
      </w:r>
      <w:r>
        <w:rPr>
          <w:rFonts w:hint="eastAsia" w:ascii="仿宋" w:hAnsi="仿宋" w:eastAsia="仿宋" w:cs="仿宋_GB2312"/>
          <w:sz w:val="32"/>
          <w:szCs w:val="40"/>
        </w:rPr>
        <w:t>要求</w:t>
      </w:r>
      <w:r>
        <w:rPr>
          <w:rFonts w:hint="eastAsia" w:ascii="仿宋" w:hAnsi="仿宋" w:eastAsia="仿宋" w:cs="仿宋_GB2312"/>
          <w:sz w:val="32"/>
          <w:szCs w:val="40"/>
          <w:lang w:eastAsia="zh-CN"/>
        </w:rPr>
        <w:t>及时公开本单位部门预算、决算和财政支出绩效评价情况，接受社会监督</w:t>
      </w:r>
      <w:r>
        <w:rPr>
          <w:rFonts w:hint="eastAsia" w:ascii="仿宋" w:hAnsi="仿宋" w:eastAsia="仿宋" w:cs="仿宋_GB2312"/>
          <w:sz w:val="32"/>
          <w:szCs w:val="40"/>
        </w:rPr>
        <w:t>。</w:t>
      </w:r>
      <w:r>
        <w:rPr>
          <w:rFonts w:hint="eastAsia" w:ascii="仿宋" w:hAnsi="仿宋" w:eastAsia="仿宋" w:cs="仿宋_GB2312"/>
          <w:color w:val="auto"/>
          <w:kern w:val="2"/>
          <w:sz w:val="32"/>
          <w:szCs w:val="40"/>
          <w:lang w:val="en-US" w:eastAsia="zh-CN" w:bidi="ar-SA"/>
        </w:rPr>
        <w:t>我们将以此次绩效评价为契机，不断加强管理，提高资金使用效益，推动融媒体中心各项工作再上新台阶。</w:t>
      </w:r>
      <w:r>
        <w:rPr>
          <w:rFonts w:hint="eastAsia" w:ascii="仿宋" w:hAnsi="仿宋" w:eastAsia="仿宋" w:cs="仿宋_GB2312"/>
          <w:sz w:val="32"/>
          <w:szCs w:val="40"/>
          <w:lang w:eastAsia="zh-CN"/>
        </w:rPr>
        <w:t>推动绩效评价结果与预算安排相结合，加大评价结果向社会公开的力度。</w:t>
      </w:r>
    </w:p>
    <w:p w14:paraId="610EF712">
      <w:pPr>
        <w:spacing w:line="560" w:lineRule="exact"/>
        <w:ind w:firstLine="640" w:firstLineChars="200"/>
        <w:rPr>
          <w:rFonts w:hint="eastAsia" w:ascii="仿宋" w:hAnsi="仿宋" w:eastAsia="仿宋" w:cs="仿宋_GB2312"/>
          <w:color w:val="auto"/>
          <w:kern w:val="2"/>
          <w:sz w:val="32"/>
          <w:szCs w:val="40"/>
          <w:lang w:val="en-US" w:eastAsia="zh-CN" w:bidi="ar-SA"/>
        </w:rPr>
      </w:pPr>
    </w:p>
    <w:p w14:paraId="0028ED57"/>
    <w:sectPr>
      <w:footerReference r:id="rId3" w:type="default"/>
      <w:pgSz w:w="11850" w:h="16783"/>
      <w:pgMar w:top="2098" w:right="1474" w:bottom="1984" w:left="1588" w:header="851" w:footer="992" w:gutter="0"/>
      <w:cols w:space="720" w:num="1"/>
      <w:docGrid w:type="lines" w:linePitch="57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17B11">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657137"/>
    <w:multiLevelType w:val="singleLevel"/>
    <w:tmpl w:val="DB65713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28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784"/>
    <w:rsid w:val="000B33C0"/>
    <w:rsid w:val="000B691E"/>
    <w:rsid w:val="000C0B44"/>
    <w:rsid w:val="00126ED9"/>
    <w:rsid w:val="001D310A"/>
    <w:rsid w:val="00375D46"/>
    <w:rsid w:val="00396310"/>
    <w:rsid w:val="003B65A3"/>
    <w:rsid w:val="0052795B"/>
    <w:rsid w:val="00662EAD"/>
    <w:rsid w:val="007359BB"/>
    <w:rsid w:val="0092664C"/>
    <w:rsid w:val="00AC5AEF"/>
    <w:rsid w:val="00B3247A"/>
    <w:rsid w:val="00C76EDD"/>
    <w:rsid w:val="00C8174E"/>
    <w:rsid w:val="00D237F2"/>
    <w:rsid w:val="00DC32BF"/>
    <w:rsid w:val="00DD564C"/>
    <w:rsid w:val="00DF1DA4"/>
    <w:rsid w:val="00E30C6E"/>
    <w:rsid w:val="00EC1784"/>
    <w:rsid w:val="00EE1EE3"/>
    <w:rsid w:val="00F145E9"/>
    <w:rsid w:val="00F211EF"/>
    <w:rsid w:val="00F31D47"/>
    <w:rsid w:val="00F656EE"/>
    <w:rsid w:val="014F03EF"/>
    <w:rsid w:val="0179546C"/>
    <w:rsid w:val="01D32DCE"/>
    <w:rsid w:val="040B0AE0"/>
    <w:rsid w:val="05DE7F94"/>
    <w:rsid w:val="06CA19B2"/>
    <w:rsid w:val="093F6F9B"/>
    <w:rsid w:val="09C0632E"/>
    <w:rsid w:val="0ABB440A"/>
    <w:rsid w:val="0AD100C7"/>
    <w:rsid w:val="0B6B22C9"/>
    <w:rsid w:val="0BCC0AE8"/>
    <w:rsid w:val="0C692CAD"/>
    <w:rsid w:val="0CDD71F7"/>
    <w:rsid w:val="0DB34406"/>
    <w:rsid w:val="141357E1"/>
    <w:rsid w:val="14B22D17"/>
    <w:rsid w:val="174D4F79"/>
    <w:rsid w:val="17B07682"/>
    <w:rsid w:val="1CD87093"/>
    <w:rsid w:val="1CED6FE2"/>
    <w:rsid w:val="1E943D2D"/>
    <w:rsid w:val="21050673"/>
    <w:rsid w:val="23194142"/>
    <w:rsid w:val="25D37BC8"/>
    <w:rsid w:val="26AF5308"/>
    <w:rsid w:val="2AE5754B"/>
    <w:rsid w:val="2B6B4498"/>
    <w:rsid w:val="2C0003B4"/>
    <w:rsid w:val="2E0C7407"/>
    <w:rsid w:val="2E0E6DB8"/>
    <w:rsid w:val="2F000AEA"/>
    <w:rsid w:val="301508B6"/>
    <w:rsid w:val="311C7A3E"/>
    <w:rsid w:val="31A66EF0"/>
    <w:rsid w:val="33E3206A"/>
    <w:rsid w:val="38683569"/>
    <w:rsid w:val="38EC5F48"/>
    <w:rsid w:val="39E41315"/>
    <w:rsid w:val="3CCB2319"/>
    <w:rsid w:val="3FF027C2"/>
    <w:rsid w:val="41727207"/>
    <w:rsid w:val="41C90376"/>
    <w:rsid w:val="41D659E7"/>
    <w:rsid w:val="42D737C5"/>
    <w:rsid w:val="43100A85"/>
    <w:rsid w:val="452B7DF8"/>
    <w:rsid w:val="46584C1D"/>
    <w:rsid w:val="46957C1F"/>
    <w:rsid w:val="47A67F81"/>
    <w:rsid w:val="47EB386F"/>
    <w:rsid w:val="48671147"/>
    <w:rsid w:val="4ADD0B11"/>
    <w:rsid w:val="4C7E2F03"/>
    <w:rsid w:val="4DDA23BB"/>
    <w:rsid w:val="4F5F701C"/>
    <w:rsid w:val="5C732359"/>
    <w:rsid w:val="60D94755"/>
    <w:rsid w:val="626E6155"/>
    <w:rsid w:val="67424E02"/>
    <w:rsid w:val="68E41A1C"/>
    <w:rsid w:val="6FF15617"/>
    <w:rsid w:val="731178E3"/>
    <w:rsid w:val="7499585B"/>
    <w:rsid w:val="74C4154C"/>
    <w:rsid w:val="74C9421C"/>
    <w:rsid w:val="74CC0400"/>
    <w:rsid w:val="757676C9"/>
    <w:rsid w:val="77136751"/>
    <w:rsid w:val="7803238B"/>
    <w:rsid w:val="78AF2513"/>
    <w:rsid w:val="7B5B428C"/>
    <w:rsid w:val="7E0B13C7"/>
    <w:rsid w:val="7E6A3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Times New Roman" w:eastAsia="仿宋_GB2312" w:cs="Times New Roman"/>
      <w:color w:val="000000"/>
      <w:sz w:val="24"/>
      <w:szCs w:val="22"/>
      <w:lang w:val="en-US" w:eastAsia="zh-CN" w:bidi="ar-SA"/>
    </w:rPr>
  </w:style>
  <w:style w:type="paragraph" w:styleId="3">
    <w:name w:val="Body Text"/>
    <w:basedOn w:val="1"/>
    <w:next w:val="1"/>
    <w:uiPriority w:val="0"/>
    <w:pPr>
      <w:spacing w:after="120"/>
    </w:pPr>
    <w:rPr>
      <w:szCs w:val="21"/>
    </w:rPr>
  </w:style>
  <w:style w:type="paragraph" w:styleId="4">
    <w:name w:val="footer"/>
    <w:basedOn w:val="1"/>
    <w:link w:val="11"/>
    <w:qFormat/>
    <w:uiPriority w:val="0"/>
    <w:pPr>
      <w:tabs>
        <w:tab w:val="center" w:pos="4153"/>
        <w:tab w:val="right" w:pos="8306"/>
      </w:tabs>
      <w:snapToGrid w:val="0"/>
      <w:jc w:val="left"/>
    </w:pPr>
    <w:rPr>
      <w:sz w:val="18"/>
    </w:rPr>
  </w:style>
  <w:style w:type="paragraph" w:styleId="5">
    <w:name w:val="header"/>
    <w:basedOn w:val="1"/>
    <w:link w:val="1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眉 Char"/>
    <w:basedOn w:val="8"/>
    <w:link w:val="5"/>
    <w:uiPriority w:val="0"/>
    <w:rPr>
      <w:rFonts w:hint="default" w:ascii="Calibri" w:hAnsi="Calibri" w:cs="Calibri"/>
      <w:kern w:val="2"/>
      <w:sz w:val="18"/>
      <w:szCs w:val="18"/>
    </w:rPr>
  </w:style>
  <w:style w:type="character" w:customStyle="1" w:styleId="11">
    <w:name w:val="页脚 Char"/>
    <w:basedOn w:val="8"/>
    <w:link w:val="4"/>
    <w:qFormat/>
    <w:uiPriority w:val="0"/>
    <w:rPr>
      <w:rFonts w:hint="default" w:ascii="Calibri" w:hAnsi="Calibri" w:cs="Calibri"/>
      <w:kern w:val="2"/>
      <w:sz w:val="18"/>
      <w:szCs w:val="18"/>
    </w:rPr>
  </w:style>
  <w:style w:type="paragraph" w:customStyle="1" w:styleId="12">
    <w:name w:val="msolistparagraph"/>
    <w:basedOn w:val="1"/>
    <w:uiPriority w:val="0"/>
    <w:pPr>
      <w:ind w:firstLine="420" w:firstLineChars="200"/>
    </w:pPr>
    <w:rPr>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7</Pages>
  <Words>3257</Words>
  <Characters>3354</Characters>
  <Lines>2</Lines>
  <Paragraphs>1</Paragraphs>
  <TotalTime>4</TotalTime>
  <ScaleCrop>false</ScaleCrop>
  <LinksUpToDate>false</LinksUpToDate>
  <CharactersWithSpaces>3354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2025-01-13T06:52:00Z</dcterms:created>
  <dc:creator>Administrator</dc:creator>
  <cp:lastModifiedBy>玲</cp:lastModifiedBy>
  <dcterms:modified xsi:type="dcterms:W3CDTF">2025-05-22T07:51:27Z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95290356A0FA4FE1B948794F71584027_13</vt:lpwstr>
  </property>
  <property fmtid="{D5CDD505-2E9C-101B-9397-08002B2CF9AE}" pid="4" name="KSOTemplateDocerSaveRecord">
    <vt:lpwstr>eyJoZGlkIjoiZjIxMzYxMzUxNTRjYjVjMjQ2YzVlYWQ4ZGZkNDRiNzEiLCJ1c2VySWQiOiIxOTcxNDEyMTUifQ==</vt:lpwstr>
  </property>
</Properties>
</file>