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927525">
      <w:pPr>
        <w:pStyle w:val="2"/>
        <w:bidi w:val="0"/>
        <w:ind w:left="0" w:leftChars="0" w:firstLine="440" w:firstLineChars="1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安义县医保局2026年医保稽核工作计划</w:t>
      </w:r>
    </w:p>
    <w:p w14:paraId="4ACE050B">
      <w:pPr>
        <w:rPr>
          <w:rFonts w:hint="eastAsia"/>
          <w:lang w:val="en-US" w:eastAsia="zh-CN"/>
        </w:rPr>
      </w:pPr>
    </w:p>
    <w:p w14:paraId="7C11AB08">
      <w:pPr>
        <w:bidi w:val="0"/>
        <w:rPr>
          <w:rFonts w:hint="eastAsia"/>
        </w:rPr>
      </w:pPr>
      <w:r>
        <w:rPr>
          <w:rFonts w:hint="eastAsia"/>
          <w:lang w:val="en-US" w:eastAsia="zh-CN"/>
        </w:rPr>
        <w:t>为确保《2026年医保基金稽核工作</w:t>
      </w:r>
      <w:bookmarkStart w:id="0" w:name="_GoBack"/>
      <w:bookmarkEnd w:id="0"/>
      <w:r>
        <w:rPr>
          <w:rFonts w:hint="eastAsia"/>
          <w:lang w:val="en-US" w:eastAsia="zh-CN"/>
        </w:rPr>
        <w:t>方案》有效落实，明确年度工作目标、关键任务与时间节点，特制定本计划。</w:t>
      </w:r>
    </w:p>
    <w:p w14:paraId="7EB8B05F">
      <w:pPr>
        <w:pStyle w:val="3"/>
        <w:bidi w:val="0"/>
        <w:rPr>
          <w:rFonts w:hint="eastAsia"/>
        </w:rPr>
      </w:pPr>
      <w:r>
        <w:rPr>
          <w:rFonts w:hint="eastAsia"/>
        </w:rPr>
        <w:t>一、总体目标</w:t>
      </w:r>
    </w:p>
    <w:p w14:paraId="5D6B3B52">
      <w:pPr>
        <w:rPr>
          <w:rFonts w:hint="eastAsia"/>
        </w:rPr>
      </w:pPr>
      <w:r>
        <w:rPr>
          <w:rFonts w:hint="eastAsia"/>
        </w:rPr>
        <w:t>以工作方案为纲，通过分阶段、有重点的部署与执行，于2026年底前实现对县域内所有定点医药机构的稽核全覆盖，构建全链条基金安全防线，确保医保基金安全、高效、规范运行。</w:t>
      </w:r>
    </w:p>
    <w:p w14:paraId="46B48734">
      <w:pPr>
        <w:pStyle w:val="3"/>
        <w:bidi w:val="0"/>
        <w:rPr>
          <w:rFonts w:hint="eastAsia"/>
        </w:rPr>
      </w:pPr>
      <w:r>
        <w:rPr>
          <w:rFonts w:hint="eastAsia"/>
        </w:rPr>
        <w:t>二、主要任务与时间安排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038"/>
        <w:gridCol w:w="1287"/>
        <w:gridCol w:w="3660"/>
        <w:gridCol w:w="1354"/>
      </w:tblGrid>
      <w:tr w14:paraId="1FDBA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3" w:type="dxa"/>
            <w:noWrap w:val="0"/>
            <w:vAlign w:val="center"/>
          </w:tcPr>
          <w:p w14:paraId="565687E7">
            <w:pPr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阶段</w:t>
            </w:r>
          </w:p>
        </w:tc>
        <w:tc>
          <w:tcPr>
            <w:tcW w:w="1038" w:type="dxa"/>
            <w:noWrap w:val="0"/>
            <w:vAlign w:val="center"/>
          </w:tcPr>
          <w:p w14:paraId="437A085E">
            <w:pPr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时间</w:t>
            </w:r>
          </w:p>
        </w:tc>
        <w:tc>
          <w:tcPr>
            <w:tcW w:w="1287" w:type="dxa"/>
            <w:noWrap w:val="0"/>
            <w:vAlign w:val="center"/>
          </w:tcPr>
          <w:p w14:paraId="6770739E">
            <w:pPr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核心任务</w:t>
            </w:r>
          </w:p>
        </w:tc>
        <w:tc>
          <w:tcPr>
            <w:tcW w:w="3660" w:type="dxa"/>
            <w:noWrap w:val="0"/>
            <w:vAlign w:val="center"/>
          </w:tcPr>
          <w:p w14:paraId="4F50CEB0">
            <w:pPr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工作重点与对象</w:t>
            </w:r>
          </w:p>
        </w:tc>
        <w:tc>
          <w:tcPr>
            <w:tcW w:w="1354" w:type="dxa"/>
            <w:noWrap w:val="0"/>
            <w:vAlign w:val="center"/>
          </w:tcPr>
          <w:p w14:paraId="6003BE00">
            <w:pPr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/>
                <w:bCs w:val="0"/>
                <w:sz w:val="24"/>
                <w:szCs w:val="24"/>
              </w:rPr>
            </w:pPr>
            <w:r>
              <w:rPr>
                <w:rFonts w:hint="eastAsia"/>
                <w:bCs w:val="0"/>
                <w:sz w:val="24"/>
                <w:szCs w:val="24"/>
                <w:lang w:val="en-US" w:eastAsia="zh-CN"/>
              </w:rPr>
              <w:t>产出/目标</w:t>
            </w:r>
          </w:p>
          <w:p w14:paraId="11297A6A">
            <w:pPr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/>
                <w:bCs w:val="0"/>
                <w:sz w:val="24"/>
                <w:szCs w:val="24"/>
              </w:rPr>
            </w:pPr>
          </w:p>
        </w:tc>
      </w:tr>
      <w:tr w14:paraId="08674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3" w:type="dxa"/>
            <w:noWrap w:val="0"/>
            <w:vAlign w:val="center"/>
          </w:tcPr>
          <w:p w14:paraId="46F99261">
            <w:pPr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baseline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>部署与</w:t>
            </w:r>
            <w:r>
              <w:rPr>
                <w:rFonts w:hint="eastAsia"/>
                <w:sz w:val="24"/>
                <w:szCs w:val="24"/>
                <w:lang w:eastAsia="zh-CN"/>
              </w:rPr>
              <w:t>准备</w:t>
            </w:r>
          </w:p>
          <w:p w14:paraId="38A8971C">
            <w:pPr>
              <w:pStyle w:val="2"/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both"/>
              <w:textAlignment w:val="baseline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38" w:type="dxa"/>
            <w:noWrap w:val="0"/>
            <w:vAlign w:val="center"/>
          </w:tcPr>
          <w:p w14:paraId="01FCF0F5">
            <w:pPr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baseline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</w:rPr>
              <w:t>2025年12月</w:t>
            </w:r>
          </w:p>
        </w:tc>
        <w:tc>
          <w:tcPr>
            <w:tcW w:w="1287" w:type="dxa"/>
            <w:noWrap w:val="0"/>
            <w:vAlign w:val="center"/>
          </w:tcPr>
          <w:p w14:paraId="3EB6F881">
            <w:pPr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baseline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</w:rPr>
              <w:t>启动与宣贯</w:t>
            </w:r>
          </w:p>
        </w:tc>
        <w:tc>
          <w:tcPr>
            <w:tcW w:w="3660" w:type="dxa"/>
            <w:noWrap w:val="0"/>
            <w:vAlign w:val="center"/>
          </w:tcPr>
          <w:p w14:paraId="6AF6C414">
            <w:pPr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baseline"/>
              <w:rPr>
                <w:rFonts w:hint="eastAsia" w:eastAsia="仿宋_GB2312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/>
                <w:sz w:val="24"/>
                <w:szCs w:val="24"/>
                <w:lang w:eastAsia="zh-CN"/>
              </w:rPr>
              <w:t>制定</w:t>
            </w:r>
            <w:r>
              <w:rPr>
                <w:rFonts w:hint="eastAsia"/>
                <w:sz w:val="24"/>
                <w:szCs w:val="24"/>
              </w:rPr>
              <w:t>工作方案</w:t>
            </w:r>
            <w:r>
              <w:rPr>
                <w:rFonts w:hint="eastAsia"/>
                <w:sz w:val="24"/>
                <w:szCs w:val="24"/>
                <w:lang w:eastAsia="zh-CN"/>
              </w:rPr>
              <w:t>与计划</w:t>
            </w:r>
          </w:p>
          <w:p w14:paraId="2BBC4849">
            <w:pPr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baseline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bCs w:val="0"/>
                <w:sz w:val="24"/>
                <w:szCs w:val="24"/>
              </w:rPr>
              <w:t>2.成立稽核工作专班，明确分工。</w:t>
            </w:r>
          </w:p>
        </w:tc>
        <w:tc>
          <w:tcPr>
            <w:tcW w:w="1354" w:type="dxa"/>
            <w:noWrap w:val="0"/>
            <w:vAlign w:val="center"/>
          </w:tcPr>
          <w:p w14:paraId="041DA981">
            <w:pPr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baseline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</w:rPr>
              <w:t>完成组织动员</w:t>
            </w:r>
          </w:p>
        </w:tc>
      </w:tr>
      <w:tr w14:paraId="69C52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3" w:type="dxa"/>
            <w:noWrap w:val="0"/>
            <w:vAlign w:val="center"/>
          </w:tcPr>
          <w:p w14:paraId="6DA0EA30">
            <w:pPr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baseline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</w:rPr>
              <w:t>第一轮稽核（专项整治）</w:t>
            </w:r>
          </w:p>
        </w:tc>
        <w:tc>
          <w:tcPr>
            <w:tcW w:w="1038" w:type="dxa"/>
            <w:noWrap w:val="0"/>
            <w:vAlign w:val="center"/>
          </w:tcPr>
          <w:p w14:paraId="405A5F4A">
            <w:pPr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baseline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</w:rPr>
              <w:t>2026年1月-3月</w:t>
            </w:r>
          </w:p>
        </w:tc>
        <w:tc>
          <w:tcPr>
            <w:tcW w:w="1287" w:type="dxa"/>
            <w:noWrap w:val="0"/>
            <w:vAlign w:val="center"/>
          </w:tcPr>
          <w:p w14:paraId="21D784D2">
            <w:pPr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baseline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</w:rPr>
              <w:t>基于历史数据的全面排查</w:t>
            </w:r>
          </w:p>
        </w:tc>
        <w:tc>
          <w:tcPr>
            <w:tcW w:w="3660" w:type="dxa"/>
            <w:noWrap w:val="0"/>
            <w:vAlign w:val="center"/>
          </w:tcPr>
          <w:p w14:paraId="018E78C5">
            <w:pPr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baseline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</w:rPr>
              <w:t>1.对象：所有公立/民营医院、定点零售药店、乡镇卫生院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。</w:t>
            </w:r>
          </w:p>
          <w:p w14:paraId="29C7D211">
            <w:pPr>
              <w:pStyle w:val="2"/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bCs w:val="0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 w:val="0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2.依据：2025年全年医保结算数据及智能监控疑点数据。</w:t>
            </w:r>
          </w:p>
          <w:p w14:paraId="260CAB75">
            <w:pPr>
              <w:pStyle w:val="2"/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both"/>
              <w:textAlignment w:val="baseline"/>
              <w:rPr>
                <w:rFonts w:hint="eastAsia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 w:val="0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3.方式：以现场“全覆盖”检查为主，结合智能线上稽核。</w:t>
            </w:r>
          </w:p>
        </w:tc>
        <w:tc>
          <w:tcPr>
            <w:tcW w:w="1354" w:type="dxa"/>
            <w:noWrap w:val="0"/>
            <w:vAlign w:val="center"/>
          </w:tcPr>
          <w:p w14:paraId="7A7D399A">
            <w:pPr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baseline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</w:rPr>
              <w:t>完成首轮现场检查，形成问题清单，启动违规处理与整改。</w:t>
            </w:r>
          </w:p>
        </w:tc>
      </w:tr>
      <w:tr w14:paraId="4E7C2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3" w:type="dxa"/>
            <w:noWrap w:val="0"/>
            <w:vAlign w:val="center"/>
          </w:tcPr>
          <w:p w14:paraId="534A802D">
            <w:pPr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baseline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</w:rPr>
              <w:t>第二轮稽核（“回头看”）</w:t>
            </w:r>
          </w:p>
        </w:tc>
        <w:tc>
          <w:tcPr>
            <w:tcW w:w="1038" w:type="dxa"/>
            <w:noWrap w:val="0"/>
            <w:vAlign w:val="center"/>
          </w:tcPr>
          <w:p w14:paraId="491B5035">
            <w:pPr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baseline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</w:rPr>
              <w:t>2026年4月-6月</w:t>
            </w:r>
          </w:p>
        </w:tc>
        <w:tc>
          <w:tcPr>
            <w:tcW w:w="1287" w:type="dxa"/>
            <w:noWrap w:val="0"/>
            <w:vAlign w:val="center"/>
          </w:tcPr>
          <w:p w14:paraId="3F758EF0">
            <w:pPr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baseline"/>
              <w:rPr>
                <w:rFonts w:hint="eastAsia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/>
                <w:bCs w:val="0"/>
                <w:sz w:val="24"/>
                <w:szCs w:val="24"/>
                <w:vertAlign w:val="baseline"/>
              </w:rPr>
              <w:t>聚焦整改与深化检查</w:t>
            </w:r>
          </w:p>
        </w:tc>
        <w:tc>
          <w:tcPr>
            <w:tcW w:w="3660" w:type="dxa"/>
            <w:noWrap w:val="0"/>
            <w:vAlign w:val="center"/>
          </w:tcPr>
          <w:p w14:paraId="4A410B09">
            <w:pPr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baseline"/>
              <w:rPr>
                <w:rFonts w:hint="eastAsia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/>
                <w:bCs w:val="0"/>
                <w:sz w:val="24"/>
                <w:szCs w:val="24"/>
                <w:vertAlign w:val="baseline"/>
              </w:rPr>
              <w:t>1.对象：同上轮，并扩展至所有村卫生室。</w:t>
            </w:r>
          </w:p>
          <w:p w14:paraId="01911FD0">
            <w:pPr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baseline"/>
              <w:rPr>
                <w:rFonts w:hint="eastAsia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/>
                <w:bCs w:val="0"/>
                <w:sz w:val="24"/>
                <w:szCs w:val="24"/>
                <w:vertAlign w:val="baseline"/>
              </w:rPr>
              <w:t>2.依据：2026年一季度数据及首轮稽核结果。</w:t>
            </w:r>
          </w:p>
          <w:p w14:paraId="191B4B2A">
            <w:pPr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baseline"/>
              <w:rPr>
                <w:rFonts w:hint="eastAsia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/>
                <w:bCs w:val="0"/>
                <w:sz w:val="24"/>
                <w:szCs w:val="24"/>
                <w:vertAlign w:val="baseline"/>
              </w:rPr>
              <w:t>3.重点：核查首轮问题整改情况，对整改不力者约谈、二次稽核。</w:t>
            </w:r>
          </w:p>
        </w:tc>
        <w:tc>
          <w:tcPr>
            <w:tcW w:w="1354" w:type="dxa"/>
            <w:noWrap w:val="0"/>
            <w:vAlign w:val="center"/>
          </w:tcPr>
          <w:p w14:paraId="5A7BCF7C">
            <w:pPr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baseline"/>
              <w:rPr>
                <w:rFonts w:hint="eastAsia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/>
                <w:bCs w:val="0"/>
                <w:sz w:val="24"/>
                <w:szCs w:val="24"/>
                <w:vertAlign w:val="baseline"/>
              </w:rPr>
              <w:t>推动问题闭环整改，提升监管威慑力。</w:t>
            </w:r>
          </w:p>
        </w:tc>
      </w:tr>
      <w:tr w14:paraId="17956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3" w:hRule="atLeast"/>
        </w:trPr>
        <w:tc>
          <w:tcPr>
            <w:tcW w:w="1183" w:type="dxa"/>
            <w:noWrap w:val="0"/>
            <w:vAlign w:val="center"/>
          </w:tcPr>
          <w:p w14:paraId="15975C18">
            <w:pPr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baseline"/>
              <w:rPr>
                <w:rFonts w:hint="eastAsia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/>
                <w:bCs w:val="0"/>
                <w:sz w:val="24"/>
                <w:szCs w:val="24"/>
                <w:vertAlign w:val="baseline"/>
              </w:rPr>
              <w:t>第三轮稽核（持续深化）</w:t>
            </w:r>
          </w:p>
        </w:tc>
        <w:tc>
          <w:tcPr>
            <w:tcW w:w="1038" w:type="dxa"/>
            <w:noWrap w:val="0"/>
            <w:vAlign w:val="center"/>
          </w:tcPr>
          <w:p w14:paraId="2033837F">
            <w:pPr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baseline"/>
              <w:rPr>
                <w:rFonts w:hint="eastAsia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/>
                <w:bCs w:val="0"/>
                <w:sz w:val="24"/>
                <w:szCs w:val="24"/>
                <w:vertAlign w:val="baseline"/>
              </w:rPr>
              <w:t>2026年7月-9月</w:t>
            </w:r>
          </w:p>
        </w:tc>
        <w:tc>
          <w:tcPr>
            <w:tcW w:w="1287" w:type="dxa"/>
            <w:noWrap w:val="0"/>
            <w:vAlign w:val="center"/>
          </w:tcPr>
          <w:p w14:paraId="3E1B8F33">
            <w:pPr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baseline"/>
              <w:rPr>
                <w:rFonts w:hint="eastAsia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/>
                <w:bCs w:val="0"/>
                <w:sz w:val="24"/>
                <w:szCs w:val="24"/>
                <w:vertAlign w:val="baseline"/>
              </w:rPr>
              <w:tab/>
            </w:r>
            <w:r>
              <w:rPr>
                <w:rFonts w:hint="eastAsia"/>
                <w:bCs w:val="0"/>
                <w:sz w:val="24"/>
                <w:szCs w:val="24"/>
                <w:vertAlign w:val="baseline"/>
              </w:rPr>
              <w:t>巩固中期成效</w:t>
            </w:r>
          </w:p>
        </w:tc>
        <w:tc>
          <w:tcPr>
            <w:tcW w:w="3660" w:type="dxa"/>
            <w:noWrap w:val="0"/>
            <w:vAlign w:val="center"/>
          </w:tcPr>
          <w:p w14:paraId="375F41AF">
            <w:pPr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baseline"/>
              <w:rPr>
                <w:rFonts w:hint="eastAsia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/>
                <w:bCs w:val="0"/>
                <w:sz w:val="24"/>
                <w:szCs w:val="24"/>
                <w:vertAlign w:val="baseline"/>
              </w:rPr>
              <w:t>1.对象：公立/民营医院、定点零售药店、乡镇卫生院。</w:t>
            </w:r>
          </w:p>
          <w:p w14:paraId="4C94D0A2">
            <w:pPr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baseline"/>
              <w:rPr>
                <w:rFonts w:hint="eastAsia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/>
                <w:bCs w:val="0"/>
                <w:sz w:val="24"/>
                <w:szCs w:val="24"/>
                <w:vertAlign w:val="baseline"/>
              </w:rPr>
              <w:t>2.依据：2026年二季度数据及历史违规情况。</w:t>
            </w:r>
          </w:p>
          <w:p w14:paraId="0966FAC2">
            <w:pPr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baseline"/>
              <w:rPr>
                <w:rFonts w:hint="eastAsia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/>
                <w:bCs w:val="0"/>
                <w:sz w:val="24"/>
                <w:szCs w:val="24"/>
                <w:vertAlign w:val="baseline"/>
              </w:rPr>
              <w:t>3.重点：持续开展“回头看”，针对高风险领域进行专项联合检查。</w:t>
            </w:r>
          </w:p>
        </w:tc>
        <w:tc>
          <w:tcPr>
            <w:tcW w:w="1354" w:type="dxa"/>
            <w:noWrap w:val="0"/>
            <w:vAlign w:val="center"/>
          </w:tcPr>
          <w:p w14:paraId="46071A59">
            <w:pPr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baseline"/>
              <w:rPr>
                <w:rFonts w:hint="eastAsia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/>
                <w:bCs w:val="0"/>
                <w:sz w:val="24"/>
                <w:szCs w:val="24"/>
                <w:vertAlign w:val="baseline"/>
              </w:rPr>
              <w:t>保持监管高压态势，防范问题反弹。</w:t>
            </w:r>
          </w:p>
        </w:tc>
      </w:tr>
      <w:tr w14:paraId="6B288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3" w:type="dxa"/>
            <w:noWrap w:val="0"/>
            <w:vAlign w:val="center"/>
          </w:tcPr>
          <w:p w14:paraId="2F311702">
            <w:pPr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baseline"/>
              <w:rPr>
                <w:rFonts w:hint="eastAsia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/>
                <w:bCs w:val="0"/>
                <w:sz w:val="24"/>
                <w:szCs w:val="24"/>
                <w:vertAlign w:val="baseline"/>
              </w:rPr>
              <w:t>第四轮稽核（年度收尾）</w:t>
            </w:r>
          </w:p>
        </w:tc>
        <w:tc>
          <w:tcPr>
            <w:tcW w:w="1038" w:type="dxa"/>
            <w:noWrap w:val="0"/>
            <w:vAlign w:val="center"/>
          </w:tcPr>
          <w:p w14:paraId="381295A8">
            <w:pPr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baseline"/>
              <w:rPr>
                <w:rFonts w:hint="eastAsia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/>
                <w:bCs w:val="0"/>
                <w:sz w:val="24"/>
                <w:szCs w:val="24"/>
                <w:vertAlign w:val="baseline"/>
              </w:rPr>
              <w:t>2026年10月-12月</w:t>
            </w:r>
          </w:p>
        </w:tc>
        <w:tc>
          <w:tcPr>
            <w:tcW w:w="1287" w:type="dxa"/>
            <w:noWrap w:val="0"/>
            <w:vAlign w:val="center"/>
          </w:tcPr>
          <w:p w14:paraId="414AD5CC">
            <w:pPr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baseline"/>
              <w:rPr>
                <w:rFonts w:hint="eastAsia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/>
                <w:bCs w:val="0"/>
                <w:sz w:val="24"/>
                <w:szCs w:val="24"/>
                <w:vertAlign w:val="baseline"/>
              </w:rPr>
              <w:t>年度全覆盖收官</w:t>
            </w:r>
          </w:p>
        </w:tc>
        <w:tc>
          <w:tcPr>
            <w:tcW w:w="3660" w:type="dxa"/>
            <w:noWrap w:val="0"/>
            <w:vAlign w:val="center"/>
          </w:tcPr>
          <w:p w14:paraId="790340C3">
            <w:pPr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baseline"/>
              <w:rPr>
                <w:rFonts w:hint="eastAsia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/>
                <w:bCs w:val="0"/>
                <w:sz w:val="24"/>
                <w:szCs w:val="24"/>
                <w:vertAlign w:val="baseline"/>
              </w:rPr>
              <w:t>1.对象：覆盖全部机构类型（含村卫生室）。</w:t>
            </w:r>
          </w:p>
          <w:p w14:paraId="482A6FA2">
            <w:pPr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baseline"/>
              <w:rPr>
                <w:rFonts w:hint="eastAsia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/>
                <w:bCs w:val="0"/>
                <w:sz w:val="24"/>
                <w:szCs w:val="24"/>
                <w:vertAlign w:val="baseline"/>
              </w:rPr>
              <w:t>2.依据：2026年三季度数据及全年稽核情况。</w:t>
            </w:r>
          </w:p>
          <w:p w14:paraId="49929F56">
            <w:pPr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baseline"/>
              <w:rPr>
                <w:rFonts w:hint="eastAsia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/>
                <w:bCs w:val="0"/>
                <w:sz w:val="24"/>
                <w:szCs w:val="24"/>
                <w:vertAlign w:val="baseline"/>
              </w:rPr>
              <w:t>3.重点：确保年度稽核全覆盖目标达成，梳理顽固性问题。</w:t>
            </w:r>
          </w:p>
        </w:tc>
        <w:tc>
          <w:tcPr>
            <w:tcW w:w="1354" w:type="dxa"/>
            <w:noWrap w:val="0"/>
            <w:vAlign w:val="center"/>
          </w:tcPr>
          <w:p w14:paraId="0201CC40">
            <w:pPr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baseline"/>
              <w:rPr>
                <w:rFonts w:hint="eastAsia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/>
                <w:bCs w:val="0"/>
                <w:sz w:val="24"/>
                <w:szCs w:val="24"/>
                <w:vertAlign w:val="baseline"/>
              </w:rPr>
              <w:t>实现县域内定点医药机构年度稽核100%覆盖。</w:t>
            </w:r>
          </w:p>
        </w:tc>
      </w:tr>
      <w:tr w14:paraId="4D1D8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3" w:type="dxa"/>
            <w:noWrap w:val="0"/>
            <w:vAlign w:val="center"/>
          </w:tcPr>
          <w:p w14:paraId="098F4F75">
            <w:pPr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baseline"/>
              <w:rPr>
                <w:rFonts w:hint="eastAsia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/>
                <w:bCs w:val="0"/>
                <w:sz w:val="24"/>
                <w:szCs w:val="24"/>
                <w:vertAlign w:val="baseline"/>
              </w:rPr>
              <w:t>总结与提升</w:t>
            </w:r>
          </w:p>
        </w:tc>
        <w:tc>
          <w:tcPr>
            <w:tcW w:w="1038" w:type="dxa"/>
            <w:noWrap w:val="0"/>
            <w:vAlign w:val="center"/>
          </w:tcPr>
          <w:p w14:paraId="2CE70F89">
            <w:pPr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baseline"/>
              <w:rPr>
                <w:rFonts w:hint="eastAsia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/>
                <w:bCs w:val="0"/>
                <w:sz w:val="24"/>
                <w:szCs w:val="24"/>
                <w:vertAlign w:val="baseline"/>
              </w:rPr>
              <w:t>2026年12月</w:t>
            </w:r>
          </w:p>
        </w:tc>
        <w:tc>
          <w:tcPr>
            <w:tcW w:w="1287" w:type="dxa"/>
            <w:noWrap w:val="0"/>
            <w:vAlign w:val="center"/>
          </w:tcPr>
          <w:p w14:paraId="00960D9D">
            <w:pPr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baseline"/>
              <w:rPr>
                <w:rFonts w:hint="eastAsia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/>
                <w:bCs w:val="0"/>
                <w:sz w:val="24"/>
                <w:szCs w:val="24"/>
                <w:vertAlign w:val="baseline"/>
              </w:rPr>
              <w:t>年度评估与规划</w:t>
            </w:r>
          </w:p>
        </w:tc>
        <w:tc>
          <w:tcPr>
            <w:tcW w:w="3660" w:type="dxa"/>
            <w:noWrap w:val="0"/>
            <w:vAlign w:val="center"/>
          </w:tcPr>
          <w:p w14:paraId="4775277A">
            <w:pPr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baseline"/>
              <w:rPr>
                <w:rFonts w:hint="eastAsia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/>
                <w:bCs w:val="0"/>
                <w:sz w:val="24"/>
                <w:szCs w:val="24"/>
                <w:vertAlign w:val="baseline"/>
              </w:rPr>
              <w:t>1.统计分析全年稽核数据、处理结果、基金追回情况。</w:t>
            </w:r>
          </w:p>
          <w:p w14:paraId="0E1B4CAD">
            <w:pPr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baseline"/>
              <w:rPr>
                <w:rFonts w:hint="eastAsia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/>
                <w:bCs w:val="0"/>
                <w:sz w:val="24"/>
                <w:szCs w:val="24"/>
                <w:vertAlign w:val="baseline"/>
              </w:rPr>
              <w:t>2.评估监管成效与短板。</w:t>
            </w:r>
          </w:p>
          <w:p w14:paraId="0131EF75">
            <w:pPr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baseline"/>
              <w:rPr>
                <w:rFonts w:hint="eastAsia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/>
                <w:bCs w:val="0"/>
                <w:sz w:val="24"/>
                <w:szCs w:val="24"/>
                <w:vertAlign w:val="baseline"/>
              </w:rPr>
              <w:t>3.形成年度报告，并据此完善下一年度稽核计划。</w:t>
            </w:r>
          </w:p>
        </w:tc>
        <w:tc>
          <w:tcPr>
            <w:tcW w:w="1354" w:type="dxa"/>
            <w:noWrap w:val="0"/>
            <w:vAlign w:val="center"/>
          </w:tcPr>
          <w:p w14:paraId="0278B37A">
            <w:pPr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baseline"/>
              <w:rPr>
                <w:rFonts w:hint="eastAsia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/>
                <w:bCs w:val="0"/>
                <w:sz w:val="24"/>
                <w:szCs w:val="24"/>
                <w:vertAlign w:val="baseline"/>
              </w:rPr>
              <w:t>完成年度工作总结，为下一年</w:t>
            </w:r>
            <w:r>
              <w:rPr>
                <w:rFonts w:hint="eastAsia"/>
                <w:bCs w:val="0"/>
                <w:sz w:val="24"/>
                <w:szCs w:val="24"/>
                <w:vertAlign w:val="baseline"/>
                <w:lang w:val="en-US" w:eastAsia="zh-CN"/>
              </w:rPr>
              <w:t>度</w:t>
            </w:r>
            <w:r>
              <w:rPr>
                <w:rFonts w:hint="eastAsia"/>
                <w:bCs w:val="0"/>
                <w:sz w:val="24"/>
                <w:szCs w:val="24"/>
                <w:vertAlign w:val="baseline"/>
              </w:rPr>
              <w:t>工作提供决策依据。</w:t>
            </w:r>
          </w:p>
        </w:tc>
      </w:tr>
    </w:tbl>
    <w:p w14:paraId="11E5BF15">
      <w:pPr>
        <w:pStyle w:val="3"/>
        <w:bidi w:val="0"/>
        <w:rPr>
          <w:rFonts w:hint="eastAsia"/>
        </w:rPr>
      </w:pPr>
      <w:r>
        <w:rPr>
          <w:rFonts w:hint="eastAsia"/>
        </w:rPr>
        <w:t>三、保障与要求</w:t>
      </w:r>
    </w:p>
    <w:p w14:paraId="61B01124">
      <w:pPr>
        <w:bidi w:val="0"/>
        <w:ind w:left="0" w:leftChars="0" w:firstLine="640" w:firstLineChars="200"/>
        <w:rPr>
          <w:rFonts w:hint="eastAsia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</w:rPr>
        <w:t>组织协调：稽核工作专班负责</w:t>
      </w:r>
      <w:r>
        <w:rPr>
          <w:rFonts w:hint="eastAsia"/>
          <w:lang w:eastAsia="zh-CN"/>
        </w:rPr>
        <w:t>人员</w:t>
      </w:r>
      <w:r>
        <w:rPr>
          <w:rFonts w:hint="eastAsia"/>
        </w:rPr>
        <w:t>调度，协调跨部门联合行动，处理重大疑难案件。</w:t>
      </w:r>
    </w:p>
    <w:p w14:paraId="42D90071">
      <w:pPr>
        <w:bidi w:val="0"/>
        <w:rPr>
          <w:rFonts w:hint="eastAsia"/>
        </w:rPr>
      </w:pPr>
      <w:r>
        <w:rPr>
          <w:rFonts w:hint="eastAsia"/>
          <w:lang w:val="en-US" w:eastAsia="zh-CN"/>
        </w:rPr>
        <w:t>2.</w:t>
      </w:r>
      <w:r>
        <w:rPr>
          <w:rFonts w:hint="eastAsia"/>
        </w:rPr>
        <w:t>资源保障：确保第三方专业力量</w:t>
      </w:r>
      <w:r>
        <w:rPr>
          <w:rFonts w:hint="eastAsia"/>
          <w:lang w:eastAsia="zh-CN"/>
        </w:rPr>
        <w:t>等</w:t>
      </w:r>
      <w:r>
        <w:rPr>
          <w:rFonts w:hint="eastAsia"/>
        </w:rPr>
        <w:t>资源按方案要求配备到位。</w:t>
      </w:r>
    </w:p>
    <w:p w14:paraId="5C99C810">
      <w:pPr>
        <w:bidi w:val="0"/>
        <w:rPr>
          <w:rFonts w:hint="eastAsia"/>
        </w:rPr>
      </w:pPr>
      <w:r>
        <w:rPr>
          <w:rFonts w:hint="eastAsia"/>
          <w:lang w:val="en-US" w:eastAsia="zh-CN"/>
        </w:rPr>
        <w:t>3.</w:t>
      </w:r>
      <w:r>
        <w:rPr>
          <w:rFonts w:hint="eastAsia"/>
        </w:rPr>
        <w:t>过程管理：各阶段任务需明确责任人，按标准流程开展稽核，确保程序合法、证据确凿。</w:t>
      </w:r>
    </w:p>
    <w:p w14:paraId="0373BD1A">
      <w:pPr>
        <w:bidi w:val="0"/>
        <w:rPr>
          <w:rFonts w:hint="eastAsia"/>
        </w:rPr>
      </w:pPr>
      <w:r>
        <w:rPr>
          <w:rFonts w:hint="eastAsia"/>
          <w:lang w:val="en-US" w:eastAsia="zh-CN"/>
        </w:rPr>
        <w:t>4.</w:t>
      </w:r>
      <w:r>
        <w:rPr>
          <w:rFonts w:hint="eastAsia"/>
        </w:rPr>
        <w:t>信息通报：定期汇总各阶段进展，重大情况随时上报，典型案例适时宣传曝光。</w:t>
      </w:r>
    </w:p>
    <w:p w14:paraId="5D41176C">
      <w:pPr>
        <w:pStyle w:val="3"/>
        <w:bidi w:val="0"/>
        <w:rPr>
          <w:rFonts w:hint="eastAsia"/>
        </w:rPr>
      </w:pPr>
      <w:r>
        <w:rPr>
          <w:rFonts w:hint="eastAsia"/>
        </w:rPr>
        <w:t>四、预期成果</w:t>
      </w:r>
    </w:p>
    <w:p w14:paraId="1EC77944">
      <w:pPr>
        <w:rPr>
          <w:rFonts w:hint="eastAsia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</w:rPr>
        <w:t>形成一套完整、规范的年度稽核工作执行记录。</w:t>
      </w:r>
    </w:p>
    <w:p w14:paraId="1F648020">
      <w:pPr>
        <w:rPr>
          <w:rFonts w:hint="eastAsia"/>
        </w:rPr>
      </w:pPr>
      <w:r>
        <w:rPr>
          <w:rFonts w:hint="eastAsia"/>
          <w:lang w:val="en-US" w:eastAsia="zh-CN"/>
        </w:rPr>
        <w:t>2.</w:t>
      </w:r>
      <w:r>
        <w:rPr>
          <w:rFonts w:hint="eastAsia"/>
        </w:rPr>
        <w:t>有效查处并整改一批违规使用医保基金行为，追回违规基金。</w:t>
      </w:r>
    </w:p>
    <w:p w14:paraId="08D89F29">
      <w:pPr>
        <w:rPr>
          <w:rFonts w:hint="eastAsia"/>
        </w:rPr>
      </w:pPr>
      <w:r>
        <w:rPr>
          <w:rFonts w:hint="eastAsia"/>
          <w:lang w:val="en-US" w:eastAsia="zh-CN"/>
        </w:rPr>
        <w:t>3.</w:t>
      </w:r>
      <w:r>
        <w:rPr>
          <w:rFonts w:hint="eastAsia"/>
        </w:rPr>
        <w:t>提升定点医药机构自律意识和参保人员守法意识。</w:t>
      </w:r>
    </w:p>
    <w:p w14:paraId="1C5CD766">
      <w:r>
        <w:rPr>
          <w:rFonts w:hint="eastAsia"/>
          <w:lang w:val="en-US" w:eastAsia="zh-CN"/>
        </w:rPr>
        <w:t>4.</w:t>
      </w:r>
      <w:r>
        <w:rPr>
          <w:rFonts w:hint="eastAsia"/>
        </w:rPr>
        <w:t>为建立长效、智能、协同的医保基金监管模式奠定坚实基础。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640"/>
      </w:pPr>
      <w:r>
        <w:separator/>
      </w:r>
    </w:p>
  </w:footnote>
  <w:footnote w:type="continuationSeparator" w:id="1">
    <w:p>
      <w:pPr>
        <w:spacing w:before="0" w:after="0"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352404"/>
    <w:rsid w:val="224B2541"/>
    <w:rsid w:val="24E46BFF"/>
    <w:rsid w:val="5BD1594A"/>
    <w:rsid w:val="774FA4DE"/>
    <w:rsid w:val="7CFF7DC0"/>
    <w:rsid w:val="7D996059"/>
    <w:rsid w:val="EFBF512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eepNext/>
      <w:keepLines/>
      <w:pageBreakBefore w:val="0"/>
      <w:widowControl/>
      <w:kinsoku/>
      <w:wordWrap/>
      <w:overflowPunct/>
      <w:topLinePunct w:val="0"/>
      <w:autoSpaceDE w:val="0"/>
      <w:autoSpaceDN w:val="0"/>
      <w:bidi w:val="0"/>
      <w:adjustRightInd w:val="0"/>
      <w:snapToGrid w:val="0"/>
      <w:spacing w:beforeLines="0" w:afterLines="0" w:line="560" w:lineRule="exact"/>
      <w:ind w:firstLine="640" w:firstLineChars="200"/>
      <w:jc w:val="both"/>
      <w:textAlignment w:val="baseline"/>
      <w:outlineLvl w:val="0"/>
    </w:pPr>
    <w:rPr>
      <w:rFonts w:ascii="仿宋_GB2312" w:hAnsi="仿宋_GB2312" w:eastAsia="仿宋_GB2312" w:cs="仿宋_GB2312"/>
      <w:snapToGrid w:val="0"/>
      <w:color w:val="000000"/>
      <w:kern w:val="0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jc w:val="center"/>
      <w:outlineLvl w:val="0"/>
    </w:pPr>
    <w:rPr>
      <w:rFonts w:ascii="方正小标宋简体" w:hAnsi="方正小标宋简体" w:eastAsia="方正小标宋简体" w:cs="方正小标宋简体"/>
      <w:bCs/>
      <w:kern w:val="44"/>
      <w:sz w:val="44"/>
      <w:szCs w:val="20"/>
    </w:rPr>
  </w:style>
  <w:style w:type="paragraph" w:styleId="3">
    <w:name w:val="heading 2"/>
    <w:basedOn w:val="2"/>
    <w:next w:val="1"/>
    <w:unhideWhenUsed/>
    <w:qFormat/>
    <w:uiPriority w:val="0"/>
    <w:pPr>
      <w:jc w:val="both"/>
      <w:outlineLvl w:val="1"/>
    </w:pPr>
    <w:rPr>
      <w:rFonts w:ascii="黑体" w:hAnsi="黑体" w:eastAsia="黑体" w:cs="黑体"/>
      <w:bCs w:val="0"/>
      <w:sz w:val="32"/>
      <w:szCs w:val="32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rPr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1039</Words>
  <Characters>1114</Characters>
  <Lines>0</Lines>
  <Paragraphs>0</Paragraphs>
  <TotalTime>84</TotalTime>
  <ScaleCrop>false</ScaleCrop>
  <LinksUpToDate>false</LinksUpToDate>
  <CharactersWithSpaces>1115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2025-12-23T06:55:00Z</dcterms:created>
  <dc:creator>yyy</dc:creator>
  <cp:lastModifiedBy>吴金柯</cp:lastModifiedBy>
  <dcterms:modified xsi:type="dcterms:W3CDTF">2026-03-16T10:32:08Z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EA16953FA3F9429DBE313DEDBBA87B7E_13</vt:lpwstr>
  </property>
  <property fmtid="{D5CDD505-2E9C-101B-9397-08002B2CF9AE}" pid="4" name="KSOTemplateDocerSaveRecord">
    <vt:lpwstr>eyJoZGlkIjoiOTBkMDZmYzc2Mzg4MGQwMzcwOGI5YjcwOTIwMmU2ZWUiLCJ1c2VySWQiOiIyMTkzMzI0NzkifQ==</vt:lpwstr>
  </property>
</Properties>
</file>