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宋体" w:hAnsi="宋体" w:eastAsia="宋体" w:cs="宋体"/>
          <w:b/>
          <w:bCs/>
          <w:sz w:val="44"/>
          <w:szCs w:val="44"/>
          <w:lang w:val="en-US"/>
        </w:rPr>
      </w:pPr>
      <w:r>
        <w:rPr>
          <w:rFonts w:hint="eastAsia" w:ascii="宋体" w:hAnsi="宋体" w:eastAsia="宋体" w:cs="宋体"/>
          <w:b/>
          <w:bCs/>
          <w:sz w:val="44"/>
          <w:szCs w:val="44"/>
        </w:rPr>
        <w:t>安义县</w:t>
      </w:r>
      <w:r>
        <w:rPr>
          <w:rFonts w:hint="eastAsia" w:ascii="宋体" w:hAnsi="宋体" w:eastAsia="宋体" w:cs="宋体"/>
          <w:b/>
          <w:bCs/>
          <w:sz w:val="44"/>
          <w:szCs w:val="44"/>
          <w:lang w:val="en-US" w:eastAsia="zh-CN"/>
        </w:rPr>
        <w:t>住房和城乡建设局</w:t>
      </w:r>
    </w:p>
    <w:p>
      <w:pPr>
        <w:jc w:val="center"/>
        <w:rPr>
          <w:rFonts w:ascii="宋体" w:hAnsi="宋体" w:eastAsia="宋体" w:cs="宋体"/>
          <w:b/>
          <w:bCs/>
          <w:sz w:val="44"/>
          <w:szCs w:val="44"/>
        </w:rPr>
      </w:pPr>
      <w:r>
        <w:rPr>
          <w:rFonts w:hint="eastAsia" w:ascii="宋体" w:hAnsi="宋体" w:eastAsia="宋体" w:cs="宋体"/>
          <w:b/>
          <w:bCs/>
          <w:sz w:val="44"/>
          <w:szCs w:val="44"/>
        </w:rPr>
        <w:t>2022年部门预算编制说明</w:t>
      </w:r>
    </w:p>
    <w:p>
      <w:pPr>
        <w:jc w:val="center"/>
        <w:rPr>
          <w:rFonts w:ascii="仿宋_GB2312"/>
          <w:szCs w:val="22"/>
        </w:rPr>
      </w:pPr>
      <w:r>
        <w:rPr>
          <w:rFonts w:hint="eastAsia" w:ascii="仿宋_GB2312"/>
          <w:szCs w:val="22"/>
        </w:rPr>
        <w:t>目录</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第一部分  安义县</w:t>
      </w:r>
      <w:r>
        <w:rPr>
          <w:rFonts w:hint="eastAsia" w:ascii="黑体" w:hAnsi="黑体" w:eastAsia="黑体"/>
          <w:bCs/>
          <w:szCs w:val="32"/>
          <w:lang w:val="en-US" w:eastAsia="zh-CN"/>
        </w:rPr>
        <w:t>住房和城乡建设局</w:t>
      </w:r>
      <w:r>
        <w:rPr>
          <w:rFonts w:hint="eastAsia" w:ascii="黑体" w:hAnsi="黑体" w:eastAsia="黑体"/>
          <w:bCs/>
          <w:szCs w:val="32"/>
        </w:rPr>
        <w:t>概况</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一、部门主要职责</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二、部门基本情况</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第二部分  安义县</w:t>
      </w:r>
      <w:r>
        <w:rPr>
          <w:rFonts w:hint="eastAsia" w:ascii="黑体" w:hAnsi="黑体" w:eastAsia="黑体"/>
          <w:bCs/>
          <w:szCs w:val="32"/>
          <w:lang w:val="en-US" w:eastAsia="zh-CN"/>
        </w:rPr>
        <w:t>住房和城乡建设局</w:t>
      </w:r>
      <w:r>
        <w:rPr>
          <w:rFonts w:hint="eastAsia" w:ascii="黑体" w:hAnsi="黑体" w:eastAsia="黑体"/>
          <w:bCs/>
          <w:szCs w:val="32"/>
        </w:rPr>
        <w:t>2022年度部门预算情况说明</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一、2022年部门预算收支情况说明</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二、2022年“三公”经费预算情况说明</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第三部分  安义县</w:t>
      </w:r>
      <w:r>
        <w:rPr>
          <w:rFonts w:hint="eastAsia" w:ascii="黑体" w:hAnsi="黑体" w:eastAsia="黑体"/>
          <w:bCs/>
          <w:szCs w:val="32"/>
          <w:lang w:val="en-US" w:eastAsia="zh-CN"/>
        </w:rPr>
        <w:t>住房和城乡建设局</w:t>
      </w:r>
      <w:r>
        <w:rPr>
          <w:rFonts w:hint="eastAsia" w:ascii="黑体" w:hAnsi="黑体" w:eastAsia="黑体"/>
          <w:bCs/>
          <w:szCs w:val="32"/>
        </w:rPr>
        <w:t>2022年度部门预算表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一、《收支预算总表》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二、《</w:t>
      </w:r>
      <w:r>
        <w:rPr>
          <w:rFonts w:hint="eastAsia" w:ascii="楷体_GB2312" w:eastAsia="楷体_GB2312"/>
          <w:color w:val="000000"/>
          <w:sz w:val="32"/>
          <w:szCs w:val="30"/>
          <w:lang w:val="en-US" w:eastAsia="zh-CN"/>
        </w:rPr>
        <w:t>部门</w:t>
      </w:r>
      <w:r>
        <w:rPr>
          <w:rFonts w:hint="eastAsia" w:ascii="楷体_GB2312" w:eastAsia="楷体_GB2312"/>
          <w:color w:val="000000"/>
          <w:sz w:val="32"/>
          <w:szCs w:val="30"/>
        </w:rPr>
        <w:t>收入总表》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三、《</w:t>
      </w:r>
      <w:r>
        <w:rPr>
          <w:rFonts w:hint="eastAsia" w:ascii="楷体_GB2312" w:eastAsia="楷体_GB2312"/>
          <w:color w:val="000000"/>
          <w:sz w:val="32"/>
          <w:szCs w:val="30"/>
          <w:lang w:val="en-US" w:eastAsia="zh-CN"/>
        </w:rPr>
        <w:t>部门</w:t>
      </w:r>
      <w:r>
        <w:rPr>
          <w:rFonts w:hint="eastAsia" w:ascii="楷体_GB2312" w:eastAsia="楷体_GB2312"/>
          <w:color w:val="000000"/>
          <w:sz w:val="32"/>
          <w:szCs w:val="30"/>
        </w:rPr>
        <w:t>支出总表》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四、《财政拨款收支总表》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五、《一般公共预算支出表》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六、《一般公共预算基本支出表》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七、《一般公共预算“三公”经费支出表》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八、《政府性基金预算支出表》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九、《国有资本经营预算支出表》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十、《部门整体支出绩效目标表》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十一、《重点项目绩效目标表》</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第四部分 名词解释</w:t>
      </w:r>
    </w:p>
    <w:p>
      <w:pPr>
        <w:widowControl/>
        <w:spacing w:line="576" w:lineRule="exact"/>
        <w:jc w:val="center"/>
        <w:rPr>
          <w:rFonts w:ascii="黑体" w:hAnsi="宋体" w:eastAsia="黑体"/>
          <w:szCs w:val="32"/>
        </w:rPr>
      </w:pPr>
    </w:p>
    <w:p>
      <w:pPr>
        <w:widowControl/>
        <w:spacing w:line="540" w:lineRule="exact"/>
        <w:jc w:val="left"/>
        <w:rPr>
          <w:rFonts w:ascii="黑体" w:hAnsi="黑体" w:eastAsia="黑体"/>
          <w:bCs/>
          <w:szCs w:val="32"/>
        </w:rPr>
      </w:pPr>
      <w:r>
        <w:rPr>
          <w:rFonts w:hint="eastAsia" w:ascii="黑体" w:hAnsi="黑体" w:eastAsia="黑体"/>
          <w:bCs/>
          <w:szCs w:val="32"/>
        </w:rPr>
        <w:t>第一部分：安义县</w:t>
      </w:r>
      <w:r>
        <w:rPr>
          <w:rFonts w:hint="eastAsia" w:ascii="黑体" w:hAnsi="黑体" w:eastAsia="黑体"/>
          <w:bCs/>
          <w:szCs w:val="32"/>
          <w:lang w:val="en-US" w:eastAsia="zh-CN"/>
        </w:rPr>
        <w:t>住房和城乡建设局</w:t>
      </w:r>
      <w:r>
        <w:rPr>
          <w:rFonts w:hint="eastAsia" w:ascii="黑体" w:hAnsi="黑体" w:eastAsia="黑体"/>
          <w:bCs/>
          <w:szCs w:val="32"/>
        </w:rPr>
        <w:t>概况</w:t>
      </w:r>
    </w:p>
    <w:p>
      <w:pPr>
        <w:spacing w:line="576" w:lineRule="exact"/>
        <w:ind w:firstLine="640" w:firstLineChars="200"/>
        <w:jc w:val="left"/>
        <w:rPr>
          <w:rFonts w:hint="eastAsia" w:ascii="楷体" w:hAnsi="楷体" w:eastAsia="楷体" w:cs="楷体"/>
          <w:szCs w:val="32"/>
          <w:lang w:eastAsia="zh-CN"/>
        </w:rPr>
      </w:pPr>
      <w:r>
        <w:rPr>
          <w:rFonts w:hint="eastAsia" w:ascii="楷体" w:hAnsi="楷体" w:eastAsia="楷体" w:cs="楷体"/>
          <w:szCs w:val="32"/>
        </w:rPr>
        <w:t>一、部门主要职能</w:t>
      </w:r>
      <w:r>
        <w:rPr>
          <w:rFonts w:hint="eastAsia" w:ascii="楷体" w:hAnsi="楷体" w:eastAsia="楷体" w:cs="楷体"/>
          <w:szCs w:val="32"/>
          <w:lang w:eastAsia="zh-CN"/>
        </w:rPr>
        <w:t>：</w:t>
      </w:r>
      <w:r>
        <w:rPr>
          <w:rFonts w:hint="eastAsia" w:ascii="楷体" w:hAnsi="楷体" w:eastAsia="楷体" w:cs="楷体"/>
          <w:szCs w:val="32"/>
        </w:rPr>
        <w:t>安义县住房和城乡规划建设局是县人民政府主管住房和城乡规划建设的工作部门。其主要职责：</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（一）城乡建设管理职能：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1、贯彻执行国家、省、市有关城乡建设管理的法律法规和方针政策；组织起草全县城乡建设的规范性文件，负责相关行业的统计工作，制定相关的发展战略以及年度工作目标，并指导组织实施。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2、负责综合管理全县建筑活动，规范建筑市场；指导监督管理建筑市场准入、市政、房建类的工程监理、工程质量与施工安全；拟定勘察设计、施工、建设监理和相关社会中介组织管理的办法并监督实施；负责全县建筑装饰装修行业管理；组织协调规划建设行业对外经济技术合作；培育、规范建设市场。负责对辖区建筑工程安全生产实施监督管理。对辖区建筑工程、道路桥涵等市政工程的质量监督与技术咨询。负责对辖区的建设工程项目招标投标监督管理。负责各类建设工程招标代理机构的资质管理，受理工程建设项目及招标投标合同备案；负责评标专家库建设；负责对辖区建设工程施工招标文件计价条款、施工合同计价提款、竣工结算的监督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3、负责全县建设工程的勘察、设计、咨询行业管理，指导建筑智能化工作；监督管理城镇及工业与民用建筑的抗震设计规范实施、抗震设计和施工；负责一般性工业建筑、民用建筑的工程造价、工程定额和费用标准的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4、负责全县住房和城乡建设行业各企业的资质管理和从业人员的资格管理。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5、指导农村居民建房通用设计图的推广、村镇房屋及公用基础设施设计与施工管理工作；指导村镇建设以及乡村城镇化试点工作；参与全县农房审批及管理工作；负责全县集体土地房屋的产权产籍管理。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（二）住房保障和房产业管理职能：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1、贯彻执行国家、省、市有关住房行业的法律法规和方针政策；组织起草全县住房行业的规范性文件，负责相关行业的统计工作，制定相关的发展战略以及年度工作目标，并指导组织实施。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2、负责全县商品房和房改资金、维修基金的收集及管理。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3、负责对全县房产市场动态进行分析。</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4、负责实施全县公共租赁住房实物配租、租赁补贴发放和租后管理等具体工作;负责实施全县经济适用住房分配、上市、回购等具体工作。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5、负责新建商品房、房屋租赁、抵押合同网签备案以及房屋交易资金监管平台。</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6、负责全县国有土地上新建商品房产权产籍档案和</w:t>
      </w:r>
      <w:r>
        <w:rPr>
          <w:rFonts w:hint="eastAsia" w:ascii="楷体" w:hAnsi="楷体" w:eastAsia="楷体" w:cs="楷体"/>
          <w:szCs w:val="32"/>
          <w:lang w:eastAsia="zh-CN"/>
        </w:rPr>
        <w:t>登记簿</w:t>
      </w:r>
      <w:bookmarkStart w:id="2" w:name="_GoBack"/>
      <w:bookmarkEnd w:id="2"/>
      <w:r>
        <w:rPr>
          <w:rFonts w:hint="eastAsia" w:ascii="楷体" w:hAnsi="楷体" w:eastAsia="楷体" w:cs="楷体"/>
          <w:szCs w:val="32"/>
        </w:rPr>
        <w:t>的建立、管理和使用。</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7、负责全县房屋安全使用管理工作，协助做好房屋安全鉴定工作；负责全县非住宅房屋(建筑面积300平方米以下)装饰装修的行政管理；负责全县房屋租赁登记备案工作；负责全县房屋的白蚁防治工作。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8、负责全县国有土地上房屋拆迁征收补偿安置管理工作。负责指导、检查和监督征收单位的征收补偿安置工作；发布《房屋征收公告》，裁决征收纠纷；负责审核县重点建设项目征收补偿安置方案，测算、核定具体征收项目的征收补偿安置成本。</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9、负责全县房产市场的统一管理。负责规范全县房产中介市场。</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10、负责全县物业服务企业的监督管理工作；负责指导和推动业主委员会的组建工作。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11、负责全县住房资金归集和使用管理；负责全县住宅专项维修资金归集和使用的管理。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12、负责全县住房保障和房产管理的相关行政执法工作。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w:t>
      </w:r>
      <w:r>
        <w:rPr>
          <w:rFonts w:hint="eastAsia" w:ascii="楷体" w:hAnsi="楷体" w:eastAsia="楷体" w:cs="楷体"/>
          <w:szCs w:val="32"/>
          <w:lang w:val="en-US" w:eastAsia="zh-CN"/>
        </w:rPr>
        <w:t>三</w:t>
      </w:r>
      <w:r>
        <w:rPr>
          <w:rFonts w:hint="eastAsia" w:ascii="楷体" w:hAnsi="楷体" w:eastAsia="楷体" w:cs="楷体"/>
          <w:szCs w:val="32"/>
        </w:rPr>
        <w:t>）人民防空管理职能：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1、贯彻执行国家、省、市有关人民防空管理的法律法规和方针政策；组织起草全县人民防空行业的规范性文件，制定相关的发展战略以及年度工作目标，并指导组织实施；负责相关行业的统计工作。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2、负责组织管理人民防空工程建设。负责人防工程(含结合民用建筑修建的防空地下室)的审批、监督检查和竣工验收；组织人防工程建设、维护管理和开发利用；指导监督城市地下空间开发建设；依法查处人防工程建设中的违法行为。组织制定城市人民防空空袭方案，筹划和实施人防指挥信息化建设，开展人防指挥通信业务训练，指导人防专业队伍整训，疏散基地建设，重要经济目标防护，开展人防设施和人防专业队伍为经济建设和防灾救灾服务，依法开展人防法规宣传和教育工作。组织起草本县人防(民防)工作的有关规定和实施办法；组织编制人民防空建设规划和计划；会同有关部门编制人民防空建设与城市相结合规划、城市地下空间开发利用规划，并组织实施和监督检查。负责人防工程和县机关疏散基地的维护、开发利用管理职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w:t>
      </w:r>
      <w:r>
        <w:rPr>
          <w:rFonts w:hint="eastAsia" w:ascii="楷体" w:hAnsi="楷体" w:eastAsia="楷体" w:cs="楷体"/>
          <w:szCs w:val="32"/>
          <w:lang w:val="en-US" w:eastAsia="zh-CN"/>
        </w:rPr>
        <w:t>四</w:t>
      </w:r>
      <w:r>
        <w:rPr>
          <w:rFonts w:hint="eastAsia" w:ascii="楷体" w:hAnsi="楷体" w:eastAsia="楷体" w:cs="楷体"/>
          <w:szCs w:val="32"/>
        </w:rPr>
        <w:t>）明确有关行政管理许可职能回归局机关。建设工程招标投标办公室的房屋建筑和市政基础设施工程招标投标监管职能；抗震防灾领导小组办公室的城镇建设及工业与民用建筑的抗震设防、对执行抗震防灾法规情况进行监督检查职能；房地产管理局承担的房地产保障和房产业管理职能；室内装饰装修市场管理站的室内装饰装修市场监管职能；建筑管理站的建筑行业管理职能；建筑工程质量监督站的建设工程质量监督、安全生产管理职能回归县住房和城乡建设局机关。</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w:t>
      </w:r>
      <w:r>
        <w:rPr>
          <w:rFonts w:hint="eastAsia" w:ascii="楷体" w:hAnsi="楷体" w:eastAsia="楷体" w:cs="楷体"/>
          <w:szCs w:val="32"/>
          <w:lang w:val="en-US" w:eastAsia="zh-CN"/>
        </w:rPr>
        <w:t>五</w:t>
      </w:r>
      <w:r>
        <w:rPr>
          <w:rFonts w:hint="eastAsia" w:ascii="楷体" w:hAnsi="楷体" w:eastAsia="楷体" w:cs="楷体"/>
          <w:szCs w:val="32"/>
        </w:rPr>
        <w:t>）明确县住房和城乡建设局安全生产职责。1.依法负责全县已办理施工许可的房屋建筑与市政基础设施工程在建设过程中的安全生产监管工作，负责受理、审核办理房屋建筑及市政基础设施工程安全生产监督手续。</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2.依法负责建筑业[含房屋建筑、市政、已办施工许可证的室内外装饰装修（具体的监管范围与规模，按照有关法规的要求确定）等]的行业安全生产监管工作；依法负责对建设勘察、设计、施工、监理、工程质量检测机构、工程造价等单位的资质管理和从业人员的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3.依法查处已办理施工许可的房屋建筑及市政基础设施工程中安全生产违法违规行为和生产安全事故；依法监督管理全县已办理施工许可的房屋建筑及市政基础设施工程中起重机械的安装、使用。</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4.指导建筑施工企业从业人员安全生产教育培训工作并进行安全监督检查。</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（六）完成县委和县政府交办的其它工作。</w:t>
      </w:r>
    </w:p>
    <w:p>
      <w:pPr>
        <w:spacing w:line="576" w:lineRule="exact"/>
        <w:ind w:firstLine="640" w:firstLineChars="200"/>
        <w:jc w:val="left"/>
        <w:rPr>
          <w:rFonts w:hint="default" w:ascii="楷体" w:hAnsi="楷体" w:eastAsia="楷体" w:cs="楷体"/>
          <w:szCs w:val="32"/>
          <w:lang w:val="en-US" w:eastAsia="zh-CN"/>
        </w:rPr>
      </w:pPr>
      <w:r>
        <w:rPr>
          <w:rFonts w:hint="eastAsia" w:ascii="楷体" w:hAnsi="楷体" w:eastAsia="楷体" w:cs="楷体"/>
          <w:szCs w:val="32"/>
        </w:rPr>
        <w:t>二、</w:t>
      </w:r>
      <w:r>
        <w:rPr>
          <w:rFonts w:hint="eastAsia" w:ascii="楷体" w:hAnsi="楷体" w:eastAsia="楷体" w:cs="楷体"/>
          <w:szCs w:val="32"/>
          <w:lang w:val="en-US" w:eastAsia="zh-CN"/>
        </w:rPr>
        <w:t>机构设置和人员情况</w:t>
      </w:r>
    </w:p>
    <w:p>
      <w:pPr>
        <w:spacing w:line="576" w:lineRule="exact"/>
        <w:ind w:firstLine="1280" w:firstLineChars="400"/>
        <w:jc w:val="left"/>
        <w:rPr>
          <w:rFonts w:hint="eastAsia" w:ascii="楷体" w:hAnsi="楷体" w:eastAsia="楷体" w:cs="楷体"/>
          <w:szCs w:val="32"/>
        </w:rPr>
      </w:pPr>
      <w:r>
        <w:rPr>
          <w:rFonts w:hint="eastAsia" w:ascii="楷体" w:hAnsi="楷体" w:eastAsia="楷体" w:cs="楷体"/>
          <w:szCs w:val="32"/>
        </w:rPr>
        <w:t>纳入本套部门预算汇编范围的单位共</w:t>
      </w:r>
      <w:r>
        <w:rPr>
          <w:rFonts w:hint="eastAsia" w:ascii="楷体" w:hAnsi="楷体" w:eastAsia="楷体" w:cs="楷体"/>
          <w:szCs w:val="32"/>
          <w:lang w:val="en-US" w:eastAsia="zh-CN"/>
        </w:rPr>
        <w:t>四</w:t>
      </w:r>
      <w:r>
        <w:rPr>
          <w:rFonts w:hint="eastAsia" w:ascii="楷体" w:hAnsi="楷体" w:eastAsia="楷体" w:cs="楷体"/>
          <w:szCs w:val="32"/>
        </w:rPr>
        <w:t>个，包括：安义县住房和城乡建设局</w:t>
      </w:r>
      <w:r>
        <w:rPr>
          <w:rFonts w:hint="eastAsia" w:ascii="楷体" w:hAnsi="楷体" w:eastAsia="楷体" w:cs="楷体"/>
          <w:szCs w:val="32"/>
          <w:lang w:eastAsia="zh-CN"/>
        </w:rPr>
        <w:t>、安义县优化人居环境事务中心、安义县建筑产业服务中心、安义县住房保障中心</w:t>
      </w:r>
      <w:r>
        <w:rPr>
          <w:rFonts w:hint="eastAsia" w:ascii="楷体" w:hAnsi="楷体" w:eastAsia="楷体" w:cs="楷体"/>
          <w:szCs w:val="32"/>
        </w:rPr>
        <w:t>。</w:t>
      </w:r>
    </w:p>
    <w:p>
      <w:pPr>
        <w:spacing w:line="576" w:lineRule="exact"/>
        <w:ind w:firstLine="1280" w:firstLineChars="400"/>
        <w:jc w:val="left"/>
        <w:rPr>
          <w:rFonts w:hint="eastAsia" w:ascii="楷体" w:hAnsi="楷体" w:eastAsia="楷体" w:cs="楷体"/>
          <w:szCs w:val="32"/>
        </w:rPr>
      </w:pPr>
      <w:r>
        <w:rPr>
          <w:rFonts w:hint="eastAsia" w:ascii="楷体" w:hAnsi="楷体" w:eastAsia="楷体" w:cs="楷体"/>
          <w:szCs w:val="32"/>
        </w:rPr>
        <w:t>本部门2022年年初编制人数</w:t>
      </w:r>
      <w:r>
        <w:rPr>
          <w:rFonts w:hint="eastAsia" w:ascii="楷体" w:hAnsi="楷体" w:eastAsia="楷体" w:cs="楷体"/>
          <w:szCs w:val="32"/>
          <w:lang w:val="en-US" w:eastAsia="zh-CN"/>
        </w:rPr>
        <w:t>140</w:t>
      </w:r>
      <w:r>
        <w:rPr>
          <w:rFonts w:hint="eastAsia" w:ascii="楷体" w:hAnsi="楷体" w:eastAsia="楷体" w:cs="楷体"/>
          <w:szCs w:val="32"/>
        </w:rPr>
        <w:t>人，其中行政编制</w:t>
      </w:r>
      <w:r>
        <w:rPr>
          <w:rFonts w:hint="eastAsia" w:ascii="楷体" w:hAnsi="楷体" w:eastAsia="楷体" w:cs="楷体"/>
          <w:szCs w:val="32"/>
          <w:lang w:val="en-US" w:eastAsia="zh-CN"/>
        </w:rPr>
        <w:t>11</w:t>
      </w:r>
      <w:r>
        <w:rPr>
          <w:rFonts w:hint="eastAsia" w:ascii="楷体" w:hAnsi="楷体" w:eastAsia="楷体" w:cs="楷体"/>
          <w:szCs w:val="32"/>
        </w:rPr>
        <w:t>人，事业编制</w:t>
      </w:r>
      <w:r>
        <w:rPr>
          <w:rFonts w:hint="eastAsia" w:ascii="楷体" w:hAnsi="楷体" w:eastAsia="楷体" w:cs="楷体"/>
          <w:szCs w:val="32"/>
          <w:lang w:val="en-US" w:eastAsia="zh-CN"/>
        </w:rPr>
        <w:t>1</w:t>
      </w:r>
      <w:r>
        <w:rPr>
          <w:rFonts w:hint="eastAsia" w:ascii="楷体" w:hAnsi="楷体" w:eastAsia="楷体" w:cs="楷体"/>
          <w:szCs w:val="32"/>
        </w:rPr>
        <w:t>2</w:t>
      </w:r>
      <w:r>
        <w:rPr>
          <w:rFonts w:hint="eastAsia" w:ascii="楷体" w:hAnsi="楷体" w:eastAsia="楷体" w:cs="楷体"/>
          <w:szCs w:val="32"/>
          <w:lang w:val="en-US" w:eastAsia="zh-CN"/>
        </w:rPr>
        <w:t>9</w:t>
      </w:r>
      <w:r>
        <w:rPr>
          <w:rFonts w:hint="eastAsia" w:ascii="楷体" w:hAnsi="楷体" w:eastAsia="楷体" w:cs="楷体"/>
          <w:szCs w:val="32"/>
        </w:rPr>
        <w:t>人;其中在职</w:t>
      </w:r>
      <w:r>
        <w:rPr>
          <w:rFonts w:hint="eastAsia" w:ascii="楷体" w:hAnsi="楷体" w:eastAsia="楷体" w:cs="楷体"/>
          <w:szCs w:val="32"/>
          <w:lang w:val="en-US" w:eastAsia="zh-CN"/>
        </w:rPr>
        <w:t>127</w:t>
      </w:r>
      <w:r>
        <w:rPr>
          <w:rFonts w:hint="eastAsia" w:ascii="楷体" w:hAnsi="楷体" w:eastAsia="楷体" w:cs="楷体"/>
          <w:szCs w:val="32"/>
        </w:rPr>
        <w:t>人，离休0人，退休人员</w:t>
      </w:r>
      <w:r>
        <w:rPr>
          <w:rFonts w:hint="eastAsia" w:ascii="楷体" w:hAnsi="楷体" w:eastAsia="楷体" w:cs="楷体"/>
          <w:szCs w:val="32"/>
          <w:lang w:val="en-US" w:eastAsia="zh-CN"/>
        </w:rPr>
        <w:t>42</w:t>
      </w:r>
      <w:r>
        <w:rPr>
          <w:rFonts w:hint="eastAsia" w:ascii="楷体" w:hAnsi="楷体" w:eastAsia="楷体" w:cs="楷体"/>
          <w:szCs w:val="32"/>
        </w:rPr>
        <w:t>人；年末学生人数0人。</w:t>
      </w:r>
    </w:p>
    <w:p>
      <w:pPr>
        <w:pStyle w:val="2"/>
        <w:rPr>
          <w:rFonts w:hint="eastAsia"/>
          <w:lang w:val="en-US" w:eastAsia="zh-CN"/>
        </w:rPr>
      </w:pPr>
    </w:p>
    <w:p>
      <w:pPr>
        <w:spacing w:line="576" w:lineRule="exact"/>
        <w:ind w:firstLine="640" w:firstLineChars="200"/>
        <w:jc w:val="left"/>
        <w:rPr>
          <w:rFonts w:hint="eastAsia" w:ascii="楷体" w:hAnsi="楷体" w:eastAsia="楷体" w:cs="楷体"/>
          <w:szCs w:val="32"/>
          <w:lang w:val="en-US" w:eastAsia="zh-CN"/>
        </w:rPr>
      </w:pPr>
    </w:p>
    <w:p>
      <w:pPr>
        <w:spacing w:line="576" w:lineRule="exact"/>
        <w:ind w:firstLine="640" w:firstLineChars="200"/>
        <w:jc w:val="left"/>
        <w:rPr>
          <w:rFonts w:hint="default" w:ascii="楷体" w:hAnsi="楷体" w:eastAsia="楷体" w:cs="楷体"/>
          <w:szCs w:val="32"/>
          <w:lang w:val="en-US" w:eastAsia="zh-CN"/>
        </w:rPr>
      </w:pPr>
    </w:p>
    <w:p>
      <w:pPr>
        <w:widowControl/>
        <w:spacing w:line="576" w:lineRule="exact"/>
        <w:rPr>
          <w:rFonts w:ascii="黑体" w:hAnsi="宋体" w:eastAsia="黑体"/>
          <w:szCs w:val="32"/>
        </w:rPr>
      </w:pPr>
      <w:r>
        <w:rPr>
          <w:rFonts w:hint="eastAsia" w:ascii="黑体" w:hAnsi="宋体" w:eastAsia="黑体"/>
          <w:szCs w:val="32"/>
        </w:rPr>
        <w:t>第</w:t>
      </w:r>
      <w:r>
        <w:rPr>
          <w:rFonts w:hint="eastAsia" w:ascii="黑体" w:hAnsi="宋体" w:eastAsia="黑体"/>
          <w:szCs w:val="32"/>
          <w:lang w:val="en-US" w:eastAsia="zh-CN"/>
        </w:rPr>
        <w:t>二</w:t>
      </w:r>
      <w:r>
        <w:rPr>
          <w:rFonts w:hint="eastAsia" w:ascii="黑体" w:hAnsi="宋体" w:eastAsia="黑体"/>
          <w:szCs w:val="32"/>
        </w:rPr>
        <w:t>部分：</w:t>
      </w:r>
      <w:r>
        <w:rPr>
          <w:rFonts w:hint="eastAsia" w:ascii="黑体" w:hAnsi="黑体" w:eastAsia="黑体"/>
          <w:bCs/>
          <w:szCs w:val="32"/>
        </w:rPr>
        <w:t>安义县</w:t>
      </w:r>
      <w:r>
        <w:rPr>
          <w:rFonts w:hint="eastAsia" w:ascii="黑体" w:hAnsi="黑体" w:eastAsia="黑体"/>
          <w:bCs/>
          <w:szCs w:val="32"/>
          <w:lang w:val="en-US" w:eastAsia="zh-CN"/>
        </w:rPr>
        <w:t>住房和城乡建设局</w:t>
      </w:r>
      <w:r>
        <w:rPr>
          <w:rFonts w:hint="eastAsia" w:ascii="黑体" w:hAnsi="宋体" w:eastAsia="黑体"/>
          <w:szCs w:val="32"/>
        </w:rPr>
        <w:t>2022年部门预算表</w:t>
      </w:r>
    </w:p>
    <w:p>
      <w:pPr>
        <w:spacing w:line="576" w:lineRule="exact"/>
        <w:ind w:firstLine="640" w:firstLineChars="200"/>
        <w:jc w:val="left"/>
        <w:rPr>
          <w:rFonts w:hint="eastAsia" w:ascii="仿宋_GB2312" w:hAnsi="宋体"/>
          <w:color w:val="000000"/>
          <w:szCs w:val="32"/>
          <w:shd w:val="clear" w:color="auto" w:fill="FFFFFF"/>
        </w:rPr>
      </w:pPr>
      <w:r>
        <w:rPr>
          <w:rFonts w:hint="eastAsia" w:ascii="仿宋_GB2312" w:hAnsi="宋体"/>
          <w:color w:val="000000"/>
          <w:szCs w:val="32"/>
          <w:shd w:val="clear" w:color="auto" w:fill="FFFFFF"/>
        </w:rPr>
        <w:t>（</w:t>
      </w:r>
      <w:r>
        <w:rPr>
          <w:rFonts w:hint="eastAsia" w:ascii="仿宋_GB2312" w:eastAsia="仿宋_GB2312"/>
          <w:color w:val="000000"/>
          <w:sz w:val="32"/>
          <w:szCs w:val="30"/>
        </w:rPr>
        <w:t>详见附表</w:t>
      </w:r>
      <w:r>
        <w:rPr>
          <w:rFonts w:hint="eastAsia" w:ascii="仿宋_GB2312" w:hAnsi="宋体"/>
          <w:color w:val="000000"/>
          <w:szCs w:val="32"/>
          <w:shd w:val="clear" w:color="auto" w:fill="FFFFFF"/>
        </w:rPr>
        <w:t>）</w:t>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69865" cy="2218690"/>
            <wp:effectExtent l="0" t="0" r="6985" b="1016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4"/>
                    <a:stretch>
                      <a:fillRect/>
                    </a:stretch>
                  </pic:blipFill>
                  <pic:spPr>
                    <a:xfrm>
                      <a:off x="0" y="0"/>
                      <a:ext cx="5269865" cy="2218690"/>
                    </a:xfrm>
                    <a:prstGeom prst="rect">
                      <a:avLst/>
                    </a:prstGeom>
                  </pic:spPr>
                </pic:pic>
              </a:graphicData>
            </a:graphic>
          </wp:inline>
        </w:drawing>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65420" cy="2108200"/>
            <wp:effectExtent l="0" t="0" r="11430" b="6350"/>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5"/>
                    <a:stretch>
                      <a:fillRect/>
                    </a:stretch>
                  </pic:blipFill>
                  <pic:spPr>
                    <a:xfrm>
                      <a:off x="0" y="0"/>
                      <a:ext cx="5265420" cy="2108200"/>
                    </a:xfrm>
                    <a:prstGeom prst="rect">
                      <a:avLst/>
                    </a:prstGeom>
                  </pic:spPr>
                </pic:pic>
              </a:graphicData>
            </a:graphic>
          </wp:inline>
        </w:drawing>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73040" cy="2242820"/>
            <wp:effectExtent l="0" t="0" r="3810" b="5080"/>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6"/>
                    <a:stretch>
                      <a:fillRect/>
                    </a:stretch>
                  </pic:blipFill>
                  <pic:spPr>
                    <a:xfrm>
                      <a:off x="0" y="0"/>
                      <a:ext cx="5273040" cy="2242820"/>
                    </a:xfrm>
                    <a:prstGeom prst="rect">
                      <a:avLst/>
                    </a:prstGeom>
                  </pic:spPr>
                </pic:pic>
              </a:graphicData>
            </a:graphic>
          </wp:inline>
        </w:drawing>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73675" cy="1757680"/>
            <wp:effectExtent l="0" t="0" r="3175" b="13970"/>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7"/>
                    <a:stretch>
                      <a:fillRect/>
                    </a:stretch>
                  </pic:blipFill>
                  <pic:spPr>
                    <a:xfrm>
                      <a:off x="0" y="0"/>
                      <a:ext cx="5273675" cy="1757680"/>
                    </a:xfrm>
                    <a:prstGeom prst="rect">
                      <a:avLst/>
                    </a:prstGeom>
                  </pic:spPr>
                </pic:pic>
              </a:graphicData>
            </a:graphic>
          </wp:inline>
        </w:drawing>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71135" cy="2277110"/>
            <wp:effectExtent l="0" t="0" r="5715" b="8890"/>
            <wp:docPr id="5"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
                    <pic:cNvPicPr>
                      <a:picLocks noChangeAspect="1"/>
                    </pic:cNvPicPr>
                  </pic:nvPicPr>
                  <pic:blipFill>
                    <a:blip r:embed="rId8"/>
                    <a:stretch>
                      <a:fillRect/>
                    </a:stretch>
                  </pic:blipFill>
                  <pic:spPr>
                    <a:xfrm>
                      <a:off x="0" y="0"/>
                      <a:ext cx="5271135" cy="2277110"/>
                    </a:xfrm>
                    <a:prstGeom prst="rect">
                      <a:avLst/>
                    </a:prstGeom>
                  </pic:spPr>
                </pic:pic>
              </a:graphicData>
            </a:graphic>
          </wp:inline>
        </w:drawing>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70500" cy="2463165"/>
            <wp:effectExtent l="0" t="0" r="6350" b="13335"/>
            <wp:docPr id="6" name="图片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
                    <pic:cNvPicPr>
                      <a:picLocks noChangeAspect="1"/>
                    </pic:cNvPicPr>
                  </pic:nvPicPr>
                  <pic:blipFill>
                    <a:blip r:embed="rId9"/>
                    <a:stretch>
                      <a:fillRect/>
                    </a:stretch>
                  </pic:blipFill>
                  <pic:spPr>
                    <a:xfrm>
                      <a:off x="0" y="0"/>
                      <a:ext cx="5270500" cy="2463165"/>
                    </a:xfrm>
                    <a:prstGeom prst="rect">
                      <a:avLst/>
                    </a:prstGeom>
                  </pic:spPr>
                </pic:pic>
              </a:graphicData>
            </a:graphic>
          </wp:inline>
        </w:drawing>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65420" cy="1198880"/>
            <wp:effectExtent l="0" t="0" r="11430" b="1270"/>
            <wp:docPr id="7" name="图片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
                    <pic:cNvPicPr>
                      <a:picLocks noChangeAspect="1"/>
                    </pic:cNvPicPr>
                  </pic:nvPicPr>
                  <pic:blipFill>
                    <a:blip r:embed="rId10"/>
                    <a:stretch>
                      <a:fillRect/>
                    </a:stretch>
                  </pic:blipFill>
                  <pic:spPr>
                    <a:xfrm>
                      <a:off x="0" y="0"/>
                      <a:ext cx="5265420" cy="1198880"/>
                    </a:xfrm>
                    <a:prstGeom prst="rect">
                      <a:avLst/>
                    </a:prstGeom>
                  </pic:spPr>
                </pic:pic>
              </a:graphicData>
            </a:graphic>
          </wp:inline>
        </w:drawing>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71135" cy="1104900"/>
            <wp:effectExtent l="0" t="0" r="5715" b="0"/>
            <wp:docPr id="8" name="图片 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
                    <pic:cNvPicPr>
                      <a:picLocks noChangeAspect="1"/>
                    </pic:cNvPicPr>
                  </pic:nvPicPr>
                  <pic:blipFill>
                    <a:blip r:embed="rId11"/>
                    <a:stretch>
                      <a:fillRect/>
                    </a:stretch>
                  </pic:blipFill>
                  <pic:spPr>
                    <a:xfrm>
                      <a:off x="0" y="0"/>
                      <a:ext cx="5271135" cy="1104900"/>
                    </a:xfrm>
                    <a:prstGeom prst="rect">
                      <a:avLst/>
                    </a:prstGeom>
                  </pic:spPr>
                </pic:pic>
              </a:graphicData>
            </a:graphic>
          </wp:inline>
        </w:drawing>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66690" cy="1175385"/>
            <wp:effectExtent l="0" t="0" r="10160" b="5715"/>
            <wp:docPr id="9" name="图片 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
                    <pic:cNvPicPr>
                      <a:picLocks noChangeAspect="1"/>
                    </pic:cNvPicPr>
                  </pic:nvPicPr>
                  <pic:blipFill>
                    <a:blip r:embed="rId12"/>
                    <a:stretch>
                      <a:fillRect/>
                    </a:stretch>
                  </pic:blipFill>
                  <pic:spPr>
                    <a:xfrm>
                      <a:off x="0" y="0"/>
                      <a:ext cx="5266690" cy="1175385"/>
                    </a:xfrm>
                    <a:prstGeom prst="rect">
                      <a:avLst/>
                    </a:prstGeom>
                  </pic:spPr>
                </pic:pic>
              </a:graphicData>
            </a:graphic>
          </wp:inline>
        </w:drawing>
      </w:r>
    </w:p>
    <w:p>
      <w:pPr>
        <w:pStyle w:val="2"/>
        <w:rPr>
          <w:rFonts w:hint="eastAsia"/>
          <w:lang w:eastAsia="zh-CN"/>
        </w:rPr>
      </w:pPr>
      <w:r>
        <w:rPr>
          <w:rFonts w:hint="eastAsia"/>
          <w:lang w:eastAsia="zh-CN"/>
        </w:rPr>
        <w:drawing>
          <wp:inline distT="0" distB="0" distL="114300" distR="114300">
            <wp:extent cx="5270500" cy="2425065"/>
            <wp:effectExtent l="0" t="0" r="6350" b="13335"/>
            <wp:docPr id="10" name="图片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
                    <pic:cNvPicPr>
                      <a:picLocks noChangeAspect="1"/>
                    </pic:cNvPicPr>
                  </pic:nvPicPr>
                  <pic:blipFill>
                    <a:blip r:embed="rId13"/>
                    <a:stretch>
                      <a:fillRect/>
                    </a:stretch>
                  </pic:blipFill>
                  <pic:spPr>
                    <a:xfrm>
                      <a:off x="0" y="0"/>
                      <a:ext cx="5270500" cy="2425065"/>
                    </a:xfrm>
                    <a:prstGeom prst="rect">
                      <a:avLst/>
                    </a:prstGeom>
                  </pic:spPr>
                </pic:pic>
              </a:graphicData>
            </a:graphic>
          </wp:inline>
        </w:drawing>
      </w:r>
    </w:p>
    <w:p>
      <w:pPr>
        <w:pStyle w:val="2"/>
        <w:rPr>
          <w:rFonts w:hint="eastAsia"/>
          <w:lang w:eastAsia="zh-CN"/>
        </w:rPr>
      </w:pPr>
      <w:r>
        <w:rPr>
          <w:rFonts w:hint="eastAsia"/>
          <w:lang w:eastAsia="zh-CN"/>
        </w:rPr>
        <w:drawing>
          <wp:inline distT="0" distB="0" distL="114300" distR="114300">
            <wp:extent cx="5267960" cy="3333115"/>
            <wp:effectExtent l="0" t="0" r="8890" b="635"/>
            <wp:docPr id="11" name="图片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
                    <pic:cNvPicPr>
                      <a:picLocks noChangeAspect="1"/>
                    </pic:cNvPicPr>
                  </pic:nvPicPr>
                  <pic:blipFill>
                    <a:blip r:embed="rId14"/>
                    <a:stretch>
                      <a:fillRect/>
                    </a:stretch>
                  </pic:blipFill>
                  <pic:spPr>
                    <a:xfrm>
                      <a:off x="0" y="0"/>
                      <a:ext cx="5267960" cy="3333115"/>
                    </a:xfrm>
                    <a:prstGeom prst="rect">
                      <a:avLst/>
                    </a:prstGeom>
                  </pic:spPr>
                </pic:pic>
              </a:graphicData>
            </a:graphic>
          </wp:inline>
        </w:drawing>
      </w:r>
    </w:p>
    <w:p>
      <w:pPr>
        <w:widowControl/>
        <w:spacing w:line="540" w:lineRule="exact"/>
        <w:jc w:val="left"/>
        <w:rPr>
          <w:rFonts w:ascii="黑体" w:hAnsi="黑体" w:eastAsia="黑体"/>
          <w:bCs/>
          <w:szCs w:val="32"/>
        </w:rPr>
      </w:pPr>
      <w:r>
        <w:rPr>
          <w:rFonts w:hint="eastAsia" w:ascii="黑体" w:hAnsi="黑体" w:eastAsia="黑体"/>
          <w:bCs/>
          <w:szCs w:val="32"/>
        </w:rPr>
        <w:t>第</w:t>
      </w:r>
      <w:r>
        <w:rPr>
          <w:rFonts w:hint="eastAsia" w:ascii="黑体" w:hAnsi="黑体" w:eastAsia="黑体"/>
          <w:bCs/>
          <w:szCs w:val="32"/>
          <w:lang w:val="en-US" w:eastAsia="zh-CN"/>
        </w:rPr>
        <w:t>三</w:t>
      </w:r>
      <w:r>
        <w:rPr>
          <w:rFonts w:hint="eastAsia" w:ascii="黑体" w:hAnsi="黑体" w:eastAsia="黑体"/>
          <w:bCs/>
          <w:szCs w:val="32"/>
        </w:rPr>
        <w:t>部分：安义县</w:t>
      </w:r>
      <w:r>
        <w:rPr>
          <w:rFonts w:hint="eastAsia" w:ascii="黑体" w:hAnsi="黑体" w:eastAsia="黑体"/>
          <w:bCs/>
          <w:szCs w:val="32"/>
          <w:lang w:val="en-US" w:eastAsia="zh-CN"/>
        </w:rPr>
        <w:t>住房和城乡建设局</w:t>
      </w:r>
      <w:r>
        <w:rPr>
          <w:rFonts w:hint="eastAsia" w:ascii="黑体" w:hAnsi="黑体" w:eastAsia="黑体"/>
          <w:bCs/>
          <w:szCs w:val="32"/>
        </w:rPr>
        <w:t>2022年部门预算情况说明</w:t>
      </w:r>
    </w:p>
    <w:p>
      <w:pPr>
        <w:spacing w:line="576" w:lineRule="exact"/>
        <w:ind w:firstLine="640" w:firstLineChars="200"/>
        <w:jc w:val="left"/>
        <w:rPr>
          <w:rFonts w:ascii="楷体" w:hAnsi="楷体" w:eastAsia="楷体" w:cs="楷体"/>
          <w:szCs w:val="32"/>
        </w:rPr>
      </w:pPr>
      <w:r>
        <w:rPr>
          <w:rFonts w:hint="eastAsia" w:ascii="楷体" w:hAnsi="楷体" w:eastAsia="楷体" w:cs="楷体"/>
          <w:szCs w:val="32"/>
        </w:rPr>
        <w:t>一、2022年部门预算收支情况说明</w:t>
      </w:r>
    </w:p>
    <w:p>
      <w:pPr>
        <w:spacing w:line="560" w:lineRule="exact"/>
        <w:ind w:firstLine="643" w:firstLineChars="200"/>
        <w:rPr>
          <w:rFonts w:hint="eastAsia" w:ascii="仿宋_GB2312" w:hAnsi="宋体"/>
          <w:b/>
          <w:bCs/>
          <w:color w:val="000000"/>
          <w:szCs w:val="32"/>
          <w:shd w:val="clear" w:color="auto" w:fill="FFFFFF"/>
        </w:rPr>
      </w:pPr>
      <w:r>
        <w:rPr>
          <w:rFonts w:hint="eastAsia" w:ascii="仿宋_GB2312" w:hAnsi="宋体"/>
          <w:b/>
          <w:bCs/>
          <w:color w:val="000000"/>
          <w:szCs w:val="32"/>
          <w:shd w:val="clear" w:color="auto" w:fill="FFFFFF"/>
        </w:rPr>
        <w:t xml:space="preserve">（一）收入预算情况 </w:t>
      </w:r>
    </w:p>
    <w:p>
      <w:pPr>
        <w:widowControl/>
        <w:spacing w:line="360" w:lineRule="auto"/>
        <w:ind w:firstLine="640"/>
        <w:jc w:val="left"/>
        <w:rPr>
          <w:rFonts w:hint="eastAsia"/>
        </w:rPr>
      </w:pPr>
      <w:bookmarkStart w:id="0" w:name="_Hlk91593175"/>
      <w:r>
        <w:rPr>
          <w:rFonts w:hint="eastAsia" w:ascii="仿宋" w:hAnsi="仿宋" w:eastAsia="仿宋"/>
          <w:color w:val="000000"/>
          <w:sz w:val="32"/>
          <w:szCs w:val="30"/>
        </w:rPr>
        <w:t>2022年安义县</w:t>
      </w:r>
      <w:r>
        <w:rPr>
          <w:rFonts w:hint="eastAsia" w:ascii="仿宋" w:hAnsi="仿宋" w:eastAsia="仿宋"/>
          <w:color w:val="000000"/>
          <w:sz w:val="32"/>
          <w:szCs w:val="30"/>
          <w:lang w:val="en-US" w:eastAsia="zh-CN"/>
        </w:rPr>
        <w:t>住房和城乡建设局部门</w:t>
      </w:r>
      <w:r>
        <w:rPr>
          <w:rFonts w:hint="eastAsia" w:ascii="仿宋" w:hAnsi="仿宋" w:eastAsia="仿宋"/>
          <w:color w:val="000000"/>
          <w:sz w:val="32"/>
          <w:szCs w:val="30"/>
        </w:rPr>
        <w:t>收入预算总额为</w:t>
      </w:r>
      <w:r>
        <w:rPr>
          <w:rFonts w:hint="eastAsia" w:ascii="仿宋_GB2312" w:eastAsia="仿宋_GB2312"/>
          <w:color w:val="000000"/>
          <w:sz w:val="32"/>
          <w:szCs w:val="32"/>
          <w:shd w:val="clear" w:color="auto" w:fill="FFFFFF"/>
          <w:lang w:val="en-US" w:eastAsia="zh-CN"/>
        </w:rPr>
        <w:t>1778.3</w:t>
      </w:r>
      <w:r>
        <w:rPr>
          <w:rFonts w:hint="eastAsia" w:ascii="仿宋_GB2312"/>
          <w:color w:val="000000"/>
          <w:sz w:val="32"/>
          <w:szCs w:val="32"/>
          <w:shd w:val="clear" w:color="auto" w:fill="FFFFFF"/>
          <w:lang w:val="en-US" w:eastAsia="zh-CN"/>
        </w:rPr>
        <w:t>1</w:t>
      </w:r>
      <w:r>
        <w:rPr>
          <w:rFonts w:hint="eastAsia" w:ascii="仿宋" w:hAnsi="仿宋" w:eastAsia="仿宋"/>
          <w:color w:val="000000"/>
          <w:sz w:val="32"/>
          <w:szCs w:val="30"/>
        </w:rPr>
        <w:t>万元，较上年预算安排增加</w:t>
      </w:r>
      <w:r>
        <w:rPr>
          <w:rFonts w:hint="eastAsia" w:ascii="仿宋_GB2312"/>
          <w:sz w:val="32"/>
          <w:szCs w:val="32"/>
          <w:lang w:val="en-US" w:eastAsia="zh-CN"/>
        </w:rPr>
        <w:t>560.79</w:t>
      </w:r>
      <w:r>
        <w:rPr>
          <w:rFonts w:hint="eastAsia" w:ascii="仿宋" w:hAnsi="仿宋" w:eastAsia="仿宋"/>
          <w:color w:val="000000"/>
          <w:sz w:val="32"/>
          <w:szCs w:val="30"/>
        </w:rPr>
        <w:t>万元。其中：财政拨款收入</w:t>
      </w:r>
      <w:r>
        <w:rPr>
          <w:rFonts w:hint="eastAsia" w:ascii="仿宋_GB2312" w:eastAsia="仿宋_GB2312"/>
          <w:color w:val="000000"/>
          <w:sz w:val="32"/>
          <w:szCs w:val="32"/>
          <w:shd w:val="clear" w:color="auto" w:fill="FFFFFF"/>
          <w:lang w:val="en-US" w:eastAsia="zh-CN"/>
        </w:rPr>
        <w:t>721.13</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减少356.67</w:t>
      </w:r>
      <w:r>
        <w:rPr>
          <w:rFonts w:hint="eastAsia" w:ascii="仿宋" w:hAnsi="仿宋" w:eastAsia="仿宋"/>
          <w:color w:val="000000"/>
          <w:sz w:val="32"/>
          <w:szCs w:val="30"/>
        </w:rPr>
        <w:t>万元；事业单位经营收入</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万元，较上年预算安排增加</w:t>
      </w:r>
      <w:r>
        <w:rPr>
          <w:rFonts w:hint="eastAsia" w:ascii="仿宋_GB2312"/>
          <w:sz w:val="32"/>
          <w:szCs w:val="32"/>
          <w:lang w:val="en-US" w:eastAsia="zh-CN"/>
        </w:rPr>
        <w:t>0</w:t>
      </w:r>
      <w:r>
        <w:rPr>
          <w:rFonts w:hint="eastAsia" w:ascii="仿宋" w:hAnsi="仿宋" w:eastAsia="仿宋"/>
          <w:color w:val="000000"/>
          <w:sz w:val="32"/>
          <w:szCs w:val="30"/>
        </w:rPr>
        <w:t>万元；其他收入</w:t>
      </w:r>
      <w:r>
        <w:rPr>
          <w:rFonts w:hint="eastAsia" w:ascii="仿宋_GB2312" w:eastAsia="仿宋_GB2312"/>
          <w:color w:val="000000"/>
          <w:sz w:val="32"/>
          <w:szCs w:val="32"/>
          <w:shd w:val="clear" w:color="auto" w:fill="FFFFFF"/>
          <w:lang w:val="en-US" w:eastAsia="zh-CN"/>
        </w:rPr>
        <w:t>1057.18</w:t>
      </w:r>
      <w:r>
        <w:rPr>
          <w:rFonts w:hint="eastAsia" w:ascii="仿宋" w:hAnsi="仿宋" w:eastAsia="仿宋"/>
          <w:color w:val="000000"/>
          <w:sz w:val="32"/>
          <w:szCs w:val="30"/>
        </w:rPr>
        <w:t>万元，较上年预算安排增加</w:t>
      </w:r>
      <w:r>
        <w:rPr>
          <w:rFonts w:hint="eastAsia" w:ascii="仿宋" w:hAnsi="仿宋" w:eastAsia="仿宋"/>
          <w:color w:val="000000"/>
          <w:sz w:val="32"/>
          <w:szCs w:val="30"/>
          <w:lang w:val="en-US" w:eastAsia="zh-CN"/>
        </w:rPr>
        <w:t>917.46</w:t>
      </w:r>
      <w:r>
        <w:rPr>
          <w:rFonts w:hint="eastAsia" w:ascii="仿宋" w:hAnsi="仿宋" w:eastAsia="仿宋"/>
          <w:color w:val="000000"/>
          <w:sz w:val="32"/>
          <w:szCs w:val="30"/>
        </w:rPr>
        <w:t>万元；上年结转</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万元，较上年预算安排增加</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w:t>
      </w:r>
    </w:p>
    <w:bookmarkEnd w:id="0"/>
    <w:p>
      <w:pPr>
        <w:spacing w:line="560" w:lineRule="exact"/>
        <w:ind w:firstLine="643" w:firstLineChars="200"/>
        <w:rPr>
          <w:rFonts w:ascii="仿宋_GB2312" w:hAnsi="宋体"/>
          <w:b/>
          <w:bCs/>
          <w:color w:val="000000"/>
          <w:szCs w:val="32"/>
          <w:shd w:val="clear" w:color="auto" w:fill="FFFFFF"/>
        </w:rPr>
      </w:pPr>
      <w:r>
        <w:rPr>
          <w:rFonts w:hint="eastAsia" w:ascii="仿宋_GB2312" w:hAnsi="宋体"/>
          <w:b/>
          <w:bCs/>
          <w:color w:val="000000"/>
          <w:szCs w:val="32"/>
          <w:shd w:val="clear" w:color="auto" w:fill="FFFFFF"/>
        </w:rPr>
        <w:t>（二）支出预算情况</w:t>
      </w:r>
    </w:p>
    <w:p>
      <w:pPr>
        <w:widowControl/>
        <w:spacing w:line="360" w:lineRule="auto"/>
        <w:ind w:firstLine="640"/>
        <w:jc w:val="left"/>
        <w:rPr>
          <w:rFonts w:hint="eastAsia" w:ascii="仿宋" w:hAnsi="仿宋" w:eastAsia="仿宋"/>
          <w:color w:val="000000"/>
          <w:sz w:val="32"/>
          <w:szCs w:val="30"/>
        </w:rPr>
      </w:pPr>
      <w:r>
        <w:rPr>
          <w:rFonts w:hint="eastAsia" w:ascii="仿宋" w:hAnsi="仿宋" w:eastAsia="仿宋"/>
          <w:color w:val="000000"/>
          <w:sz w:val="32"/>
          <w:szCs w:val="30"/>
        </w:rPr>
        <w:t>2022年安义县</w:t>
      </w:r>
      <w:r>
        <w:rPr>
          <w:rFonts w:hint="eastAsia" w:ascii="仿宋" w:hAnsi="仿宋" w:eastAsia="仿宋"/>
          <w:color w:val="000000"/>
          <w:sz w:val="32"/>
          <w:szCs w:val="30"/>
          <w:lang w:val="en-US" w:eastAsia="zh-CN"/>
        </w:rPr>
        <w:t>住房和城乡建设局部门</w:t>
      </w:r>
      <w:r>
        <w:rPr>
          <w:rFonts w:hint="eastAsia" w:ascii="仿宋" w:hAnsi="仿宋" w:eastAsia="仿宋"/>
          <w:color w:val="000000"/>
          <w:sz w:val="32"/>
          <w:szCs w:val="30"/>
        </w:rPr>
        <w:t>支出预算总额为</w:t>
      </w:r>
      <w:r>
        <w:rPr>
          <w:rFonts w:hint="eastAsia" w:ascii="仿宋_GB2312" w:hAnsi="仿宋" w:eastAsia="仿宋_GB2312" w:cs="仿宋"/>
          <w:color w:val="000000"/>
          <w:sz w:val="32"/>
          <w:szCs w:val="32"/>
          <w:shd w:val="clear" w:color="auto" w:fill="FFFFFF"/>
          <w:lang w:val="en-US" w:eastAsia="zh-CN"/>
        </w:rPr>
        <w:t>1778.31</w:t>
      </w:r>
      <w:r>
        <w:rPr>
          <w:rFonts w:hint="eastAsia" w:ascii="仿宋" w:hAnsi="仿宋" w:eastAsia="仿宋"/>
          <w:color w:val="000000"/>
          <w:sz w:val="32"/>
          <w:szCs w:val="30"/>
        </w:rPr>
        <w:t>万元，较上年预算安排增加</w:t>
      </w:r>
      <w:r>
        <w:rPr>
          <w:rFonts w:hint="eastAsia" w:ascii="仿宋_GB2312"/>
          <w:sz w:val="32"/>
          <w:szCs w:val="32"/>
          <w:lang w:val="en-US" w:eastAsia="zh-CN"/>
        </w:rPr>
        <w:t>560.79</w:t>
      </w:r>
      <w:r>
        <w:rPr>
          <w:rFonts w:hint="eastAsia" w:ascii="仿宋" w:hAnsi="仿宋" w:eastAsia="仿宋"/>
          <w:color w:val="000000"/>
          <w:sz w:val="32"/>
          <w:szCs w:val="30"/>
        </w:rPr>
        <w:t>万元。其中：</w:t>
      </w:r>
    </w:p>
    <w:p>
      <w:pPr>
        <w:widowControl/>
        <w:spacing w:line="360" w:lineRule="auto"/>
        <w:ind w:firstLine="640"/>
        <w:rPr>
          <w:rFonts w:hint="eastAsia" w:ascii="仿宋" w:hAnsi="仿宋" w:eastAsia="仿宋"/>
          <w:color w:val="000000"/>
          <w:sz w:val="32"/>
          <w:szCs w:val="30"/>
          <w:lang w:eastAsia="zh-CN"/>
        </w:rPr>
      </w:pPr>
      <w:r>
        <w:rPr>
          <w:rFonts w:hint="eastAsia" w:ascii="仿宋" w:hAnsi="仿宋" w:eastAsia="仿宋"/>
          <w:color w:val="000000"/>
          <w:sz w:val="32"/>
          <w:szCs w:val="30"/>
        </w:rPr>
        <w:t>按支出项目类别划分：基本支出</w:t>
      </w:r>
      <w:r>
        <w:rPr>
          <w:rFonts w:hint="eastAsia" w:ascii="仿宋_GB2312" w:hAnsi="仿宋" w:eastAsia="仿宋_GB2312" w:cs="仿宋"/>
          <w:color w:val="000000"/>
          <w:sz w:val="32"/>
          <w:szCs w:val="32"/>
          <w:shd w:val="clear" w:color="auto" w:fill="FFFFFF"/>
          <w:lang w:val="en-US" w:eastAsia="zh-CN"/>
        </w:rPr>
        <w:t>1778.31</w:t>
      </w:r>
      <w:r>
        <w:rPr>
          <w:rFonts w:hint="eastAsia" w:ascii="仿宋" w:hAnsi="仿宋" w:eastAsia="仿宋"/>
          <w:color w:val="000000"/>
          <w:sz w:val="32"/>
          <w:szCs w:val="30"/>
        </w:rPr>
        <w:t>万元，较上年预算安排增加</w:t>
      </w:r>
      <w:r>
        <w:rPr>
          <w:rFonts w:hint="eastAsia" w:ascii="仿宋_GB2312"/>
          <w:sz w:val="32"/>
          <w:szCs w:val="32"/>
          <w:lang w:val="en-US" w:eastAsia="zh-CN"/>
        </w:rPr>
        <w:t>560.79</w:t>
      </w:r>
      <w:r>
        <w:rPr>
          <w:rFonts w:hint="eastAsia" w:ascii="仿宋" w:hAnsi="仿宋" w:eastAsia="仿宋"/>
          <w:color w:val="000000"/>
          <w:sz w:val="32"/>
          <w:szCs w:val="30"/>
        </w:rPr>
        <w:t>万元，其中：工资福利支出</w:t>
      </w:r>
      <w:r>
        <w:rPr>
          <w:rFonts w:hint="eastAsia" w:ascii="仿宋_GB2312" w:eastAsia="仿宋_GB2312"/>
          <w:color w:val="000000"/>
          <w:sz w:val="32"/>
          <w:szCs w:val="32"/>
          <w:shd w:val="clear" w:color="auto" w:fill="FFFFFF"/>
          <w:lang w:val="en-US" w:eastAsia="zh-CN"/>
        </w:rPr>
        <w:t>1577.2</w:t>
      </w:r>
      <w:r>
        <w:rPr>
          <w:rFonts w:hint="eastAsia" w:ascii="仿宋" w:hAnsi="仿宋" w:eastAsia="仿宋"/>
          <w:color w:val="000000"/>
          <w:sz w:val="32"/>
          <w:szCs w:val="30"/>
        </w:rPr>
        <w:t>万元，商品和服务支出</w:t>
      </w:r>
      <w:r>
        <w:rPr>
          <w:rFonts w:hint="eastAsia" w:ascii="仿宋_GB2312" w:eastAsia="仿宋_GB2312"/>
          <w:color w:val="000000"/>
          <w:sz w:val="32"/>
          <w:szCs w:val="32"/>
          <w:shd w:val="clear" w:color="auto" w:fill="FFFFFF"/>
          <w:lang w:val="en-US" w:eastAsia="zh-CN"/>
        </w:rPr>
        <w:t>12</w:t>
      </w:r>
      <w:r>
        <w:rPr>
          <w:rFonts w:hint="eastAsia" w:ascii="仿宋_GB2312"/>
          <w:color w:val="000000"/>
          <w:sz w:val="32"/>
          <w:szCs w:val="32"/>
          <w:shd w:val="clear" w:color="auto" w:fill="FFFFFF"/>
          <w:lang w:val="en-US" w:eastAsia="zh-CN"/>
        </w:rPr>
        <w:t>0.5</w:t>
      </w:r>
      <w:r>
        <w:rPr>
          <w:rFonts w:hint="eastAsia" w:ascii="仿宋_GB2312" w:eastAsia="仿宋_GB2312"/>
          <w:color w:val="000000"/>
          <w:sz w:val="32"/>
          <w:szCs w:val="32"/>
          <w:shd w:val="clear" w:color="auto" w:fill="FFFFFF"/>
          <w:lang w:val="en-US" w:eastAsia="zh-CN"/>
        </w:rPr>
        <w:t>6</w:t>
      </w:r>
      <w:r>
        <w:rPr>
          <w:rFonts w:hint="eastAsia" w:ascii="仿宋" w:hAnsi="仿宋" w:eastAsia="仿宋"/>
          <w:color w:val="000000"/>
          <w:sz w:val="32"/>
          <w:szCs w:val="30"/>
        </w:rPr>
        <w:t>万元，对个人和家庭补助支出</w:t>
      </w:r>
      <w:r>
        <w:rPr>
          <w:rFonts w:hint="eastAsia" w:ascii="仿宋_GB2312" w:eastAsia="仿宋_GB2312"/>
          <w:color w:val="000000"/>
          <w:sz w:val="32"/>
          <w:szCs w:val="32"/>
          <w:shd w:val="clear" w:color="auto" w:fill="FFFFFF"/>
          <w:lang w:val="en-US" w:eastAsia="zh-CN"/>
        </w:rPr>
        <w:t>77.35</w:t>
      </w:r>
      <w:r>
        <w:rPr>
          <w:rFonts w:hint="eastAsia" w:ascii="仿宋" w:hAnsi="仿宋" w:eastAsia="仿宋"/>
          <w:color w:val="000000"/>
          <w:sz w:val="32"/>
          <w:szCs w:val="30"/>
        </w:rPr>
        <w:t>万元，资本性支出</w:t>
      </w:r>
      <w:r>
        <w:rPr>
          <w:rFonts w:hint="eastAsia" w:ascii="仿宋_GB2312" w:eastAsia="仿宋_GB2312"/>
          <w:color w:val="000000"/>
          <w:sz w:val="32"/>
          <w:szCs w:val="32"/>
          <w:shd w:val="clear" w:color="auto" w:fill="FFFFFF"/>
          <w:lang w:val="en-US" w:eastAsia="zh-CN"/>
        </w:rPr>
        <w:t>3.2</w:t>
      </w:r>
      <w:r>
        <w:rPr>
          <w:rFonts w:hint="eastAsia" w:ascii="仿宋" w:hAnsi="仿宋" w:eastAsia="仿宋"/>
          <w:color w:val="000000"/>
          <w:sz w:val="32"/>
          <w:szCs w:val="30"/>
        </w:rPr>
        <w:t>万元；项目支出</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万元，较上年预算安排增加</w:t>
      </w:r>
      <w:r>
        <w:rPr>
          <w:rFonts w:hint="eastAsia" w:ascii="仿宋_GB2312"/>
          <w:sz w:val="32"/>
          <w:szCs w:val="32"/>
          <w:lang w:val="en-US" w:eastAsia="zh-CN"/>
        </w:rPr>
        <w:t>560.79</w:t>
      </w:r>
      <w:r>
        <w:rPr>
          <w:rFonts w:hint="eastAsia" w:ascii="仿宋" w:hAnsi="仿宋" w:eastAsia="仿宋"/>
          <w:color w:val="000000"/>
          <w:sz w:val="32"/>
          <w:szCs w:val="30"/>
        </w:rPr>
        <w:t>万元，其中：工资福利支出</w:t>
      </w:r>
      <w:r>
        <w:rPr>
          <w:rFonts w:hint="eastAsia" w:ascii="仿宋_GB2312" w:eastAsia="仿宋_GB2312"/>
          <w:color w:val="000000"/>
          <w:sz w:val="32"/>
          <w:szCs w:val="32"/>
          <w:shd w:val="clear" w:color="auto" w:fill="FFFFFF"/>
          <w:lang w:val="en-US" w:eastAsia="zh-CN"/>
        </w:rPr>
        <w:t>1577.2</w:t>
      </w:r>
      <w:r>
        <w:rPr>
          <w:rFonts w:hint="eastAsia" w:ascii="仿宋" w:hAnsi="仿宋" w:eastAsia="仿宋"/>
          <w:color w:val="000000"/>
          <w:sz w:val="32"/>
          <w:szCs w:val="30"/>
        </w:rPr>
        <w:t>万元，商品和服务支出</w:t>
      </w:r>
      <w:r>
        <w:rPr>
          <w:rFonts w:hint="eastAsia" w:ascii="仿宋_GB2312" w:eastAsia="仿宋_GB2312"/>
          <w:color w:val="000000"/>
          <w:sz w:val="32"/>
          <w:szCs w:val="32"/>
          <w:shd w:val="clear" w:color="auto" w:fill="FFFFFF"/>
          <w:lang w:val="en-US" w:eastAsia="zh-CN"/>
        </w:rPr>
        <w:t>12</w:t>
      </w:r>
      <w:r>
        <w:rPr>
          <w:rFonts w:hint="eastAsia" w:ascii="仿宋_GB2312"/>
          <w:color w:val="000000"/>
          <w:sz w:val="32"/>
          <w:szCs w:val="32"/>
          <w:shd w:val="clear" w:color="auto" w:fill="FFFFFF"/>
          <w:lang w:val="en-US" w:eastAsia="zh-CN"/>
        </w:rPr>
        <w:t>0.5</w:t>
      </w:r>
      <w:r>
        <w:rPr>
          <w:rFonts w:hint="eastAsia" w:ascii="仿宋_GB2312" w:eastAsia="仿宋_GB2312"/>
          <w:color w:val="000000"/>
          <w:sz w:val="32"/>
          <w:szCs w:val="32"/>
          <w:shd w:val="clear" w:color="auto" w:fill="FFFFFF"/>
          <w:lang w:val="en-US" w:eastAsia="zh-CN"/>
        </w:rPr>
        <w:t>6</w:t>
      </w:r>
      <w:r>
        <w:rPr>
          <w:rFonts w:hint="eastAsia" w:ascii="仿宋" w:hAnsi="仿宋" w:eastAsia="仿宋"/>
          <w:color w:val="000000"/>
          <w:sz w:val="32"/>
          <w:szCs w:val="30"/>
        </w:rPr>
        <w:t>万元，对个人和家庭补助支出</w:t>
      </w:r>
      <w:r>
        <w:rPr>
          <w:rFonts w:hint="eastAsia" w:ascii="仿宋_GB2312" w:eastAsia="仿宋_GB2312"/>
          <w:color w:val="000000"/>
          <w:sz w:val="32"/>
          <w:szCs w:val="32"/>
          <w:shd w:val="clear" w:color="auto" w:fill="FFFFFF"/>
          <w:lang w:val="en-US" w:eastAsia="zh-CN"/>
        </w:rPr>
        <w:t>77.35</w:t>
      </w:r>
      <w:r>
        <w:rPr>
          <w:rFonts w:hint="eastAsia" w:ascii="仿宋" w:hAnsi="仿宋" w:eastAsia="仿宋"/>
          <w:color w:val="000000"/>
          <w:sz w:val="32"/>
          <w:szCs w:val="30"/>
        </w:rPr>
        <w:t>万元，资本性支出</w:t>
      </w:r>
      <w:r>
        <w:rPr>
          <w:rFonts w:hint="eastAsia" w:ascii="仿宋_GB2312" w:eastAsia="仿宋_GB2312"/>
          <w:color w:val="000000"/>
          <w:sz w:val="32"/>
          <w:szCs w:val="32"/>
          <w:shd w:val="clear" w:color="auto" w:fill="FFFFFF"/>
          <w:lang w:val="en-US" w:eastAsia="zh-CN"/>
        </w:rPr>
        <w:t>3.2</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p>
    <w:p>
      <w:pPr>
        <w:widowControl/>
        <w:spacing w:line="360" w:lineRule="auto"/>
        <w:ind w:firstLine="640"/>
        <w:rPr>
          <w:rFonts w:hint="eastAsia" w:ascii="仿宋" w:hAnsi="仿宋" w:eastAsia="仿宋"/>
          <w:color w:val="000000"/>
          <w:sz w:val="32"/>
          <w:szCs w:val="30"/>
          <w:lang w:eastAsia="zh-CN"/>
        </w:rPr>
      </w:pPr>
      <w:r>
        <w:rPr>
          <w:rFonts w:hint="eastAsia" w:ascii="仿宋" w:hAnsi="仿宋" w:eastAsia="仿宋"/>
          <w:color w:val="000000"/>
          <w:sz w:val="32"/>
          <w:szCs w:val="30"/>
        </w:rPr>
        <w:t>按支出功能科目划分：社会保障和就业支出</w:t>
      </w:r>
      <w:r>
        <w:rPr>
          <w:rFonts w:hint="eastAsia" w:ascii="仿宋_GB2312" w:eastAsia="仿宋_GB2312"/>
          <w:color w:val="000000"/>
          <w:sz w:val="32"/>
          <w:szCs w:val="32"/>
          <w:shd w:val="clear" w:color="auto" w:fill="FFFFFF"/>
          <w:lang w:val="en-US" w:eastAsia="zh-CN"/>
        </w:rPr>
        <w:t>115.</w:t>
      </w:r>
      <w:r>
        <w:rPr>
          <w:rFonts w:hint="eastAsia" w:ascii="仿宋_GB2312"/>
          <w:color w:val="000000"/>
          <w:sz w:val="32"/>
          <w:szCs w:val="32"/>
          <w:shd w:val="clear" w:color="auto" w:fill="FFFFFF"/>
          <w:lang w:val="en-US" w:eastAsia="zh-CN"/>
        </w:rPr>
        <w:t>9</w:t>
      </w:r>
      <w:r>
        <w:rPr>
          <w:rFonts w:hint="eastAsia" w:ascii="仿宋" w:hAnsi="仿宋" w:eastAsia="仿宋"/>
          <w:color w:val="000000"/>
          <w:sz w:val="32"/>
          <w:szCs w:val="30"/>
        </w:rPr>
        <w:t>万元，较上年预算安排增加</w:t>
      </w:r>
      <w:r>
        <w:rPr>
          <w:rFonts w:hint="eastAsia" w:ascii="仿宋_GB2312"/>
          <w:color w:val="000000"/>
          <w:sz w:val="32"/>
          <w:szCs w:val="32"/>
          <w:shd w:val="clear" w:color="auto" w:fill="FFFFFF"/>
          <w:lang w:val="en-US" w:eastAsia="zh-CN"/>
        </w:rPr>
        <w:t>106.02</w:t>
      </w:r>
      <w:r>
        <w:rPr>
          <w:rFonts w:hint="eastAsia" w:ascii="仿宋" w:hAnsi="仿宋" w:eastAsia="仿宋"/>
          <w:color w:val="000000"/>
          <w:sz w:val="32"/>
          <w:szCs w:val="30"/>
        </w:rPr>
        <w:t>万元；</w:t>
      </w:r>
      <w:r>
        <w:rPr>
          <w:rFonts w:hint="eastAsia" w:ascii="仿宋" w:hAnsi="仿宋" w:eastAsia="仿宋"/>
          <w:sz w:val="32"/>
          <w:szCs w:val="32"/>
        </w:rPr>
        <w:t>卫生健康支出</w:t>
      </w:r>
      <w:r>
        <w:rPr>
          <w:rFonts w:hint="eastAsia" w:ascii="仿宋_GB2312"/>
          <w:color w:val="000000"/>
          <w:sz w:val="32"/>
          <w:szCs w:val="32"/>
          <w:shd w:val="clear" w:color="auto" w:fill="FFFFFF"/>
          <w:lang w:val="en-US" w:eastAsia="zh-CN"/>
        </w:rPr>
        <w:t>107.05</w:t>
      </w:r>
      <w:r>
        <w:rPr>
          <w:rFonts w:hint="eastAsia" w:ascii="仿宋" w:hAnsi="仿宋" w:eastAsia="仿宋"/>
          <w:color w:val="000000"/>
          <w:sz w:val="32"/>
          <w:szCs w:val="30"/>
        </w:rPr>
        <w:t>万元，较上年预算安排增加</w:t>
      </w:r>
      <w:r>
        <w:rPr>
          <w:rFonts w:hint="eastAsia" w:ascii="仿宋_GB2312"/>
          <w:color w:val="000000"/>
          <w:sz w:val="32"/>
          <w:szCs w:val="32"/>
          <w:shd w:val="clear" w:color="auto" w:fill="FFFFFF"/>
          <w:lang w:val="en-US" w:eastAsia="zh-CN"/>
        </w:rPr>
        <w:t>107.05</w:t>
      </w:r>
      <w:r>
        <w:rPr>
          <w:rFonts w:hint="eastAsia" w:ascii="仿宋_GB2312" w:eastAsia="仿宋_GB2312"/>
          <w:color w:val="000000"/>
          <w:sz w:val="32"/>
          <w:szCs w:val="32"/>
          <w:shd w:val="clear" w:color="auto" w:fill="FFFFFF"/>
          <w:lang w:val="en-US" w:eastAsia="zh-CN"/>
        </w:rPr>
        <w:t>8</w:t>
      </w:r>
      <w:r>
        <w:rPr>
          <w:rFonts w:hint="eastAsia" w:ascii="仿宋" w:hAnsi="仿宋" w:eastAsia="仿宋"/>
          <w:color w:val="000000"/>
          <w:sz w:val="32"/>
          <w:szCs w:val="30"/>
        </w:rPr>
        <w:t>万元；</w:t>
      </w:r>
      <w:r>
        <w:rPr>
          <w:rFonts w:hint="eastAsia" w:ascii="仿宋" w:hAnsi="仿宋" w:eastAsia="仿宋"/>
          <w:sz w:val="32"/>
          <w:szCs w:val="32"/>
        </w:rPr>
        <w:t>城乡社区支出</w:t>
      </w:r>
      <w:r>
        <w:rPr>
          <w:rFonts w:hint="eastAsia" w:ascii="仿宋_GB2312"/>
          <w:color w:val="000000"/>
          <w:sz w:val="32"/>
          <w:szCs w:val="32"/>
          <w:shd w:val="clear" w:color="auto" w:fill="FFFFFF"/>
          <w:lang w:val="en-US" w:eastAsia="zh-CN"/>
        </w:rPr>
        <w:t>1468.44</w:t>
      </w:r>
      <w:r>
        <w:rPr>
          <w:rFonts w:hint="eastAsia" w:ascii="仿宋" w:hAnsi="仿宋" w:eastAsia="仿宋"/>
          <w:color w:val="000000"/>
          <w:sz w:val="32"/>
          <w:szCs w:val="30"/>
        </w:rPr>
        <w:t>万元，较上年预算安排增加</w:t>
      </w:r>
      <w:r>
        <w:rPr>
          <w:rFonts w:hint="eastAsia" w:ascii="仿宋_GB2312"/>
          <w:color w:val="000000"/>
          <w:sz w:val="32"/>
          <w:szCs w:val="32"/>
          <w:shd w:val="clear" w:color="auto" w:fill="FFFFFF"/>
          <w:lang w:val="en-US" w:eastAsia="zh-CN"/>
        </w:rPr>
        <w:t>408.68</w:t>
      </w:r>
      <w:r>
        <w:rPr>
          <w:rFonts w:hint="eastAsia" w:ascii="仿宋" w:hAnsi="仿宋" w:eastAsia="仿宋"/>
          <w:color w:val="000000"/>
          <w:sz w:val="32"/>
          <w:szCs w:val="30"/>
        </w:rPr>
        <w:t>万元；</w:t>
      </w:r>
      <w:r>
        <w:rPr>
          <w:rFonts w:hint="eastAsia" w:ascii="仿宋" w:hAnsi="仿宋" w:eastAsia="仿宋"/>
          <w:sz w:val="32"/>
          <w:szCs w:val="32"/>
        </w:rPr>
        <w:t>住房保障支出</w:t>
      </w:r>
      <w:r>
        <w:rPr>
          <w:rFonts w:hint="eastAsia" w:ascii="仿宋_GB2312"/>
          <w:color w:val="000000"/>
          <w:sz w:val="32"/>
          <w:szCs w:val="32"/>
          <w:shd w:val="clear" w:color="auto" w:fill="FFFFFF"/>
          <w:lang w:val="en-US" w:eastAsia="zh-CN"/>
        </w:rPr>
        <w:t>86.92</w:t>
      </w:r>
      <w:r>
        <w:rPr>
          <w:rFonts w:hint="eastAsia" w:ascii="仿宋" w:hAnsi="仿宋" w:eastAsia="仿宋"/>
          <w:color w:val="000000"/>
          <w:sz w:val="32"/>
          <w:szCs w:val="30"/>
        </w:rPr>
        <w:t>万元，较上年预算安排增加</w:t>
      </w:r>
      <w:r>
        <w:rPr>
          <w:rFonts w:hint="eastAsia" w:ascii="仿宋_GB2312"/>
          <w:color w:val="000000"/>
          <w:sz w:val="32"/>
          <w:szCs w:val="32"/>
          <w:shd w:val="clear" w:color="auto" w:fill="FFFFFF"/>
          <w:lang w:val="en-US" w:eastAsia="zh-CN"/>
        </w:rPr>
        <w:t>79.26</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p>
    <w:p>
      <w:pPr>
        <w:widowControl/>
        <w:spacing w:line="360" w:lineRule="auto"/>
        <w:ind w:firstLine="640"/>
        <w:rPr>
          <w:rFonts w:hint="eastAsia"/>
        </w:rPr>
      </w:pPr>
      <w:r>
        <w:rPr>
          <w:rFonts w:hint="eastAsia" w:ascii="仿宋" w:hAnsi="仿宋" w:eastAsia="仿宋"/>
          <w:color w:val="000000"/>
          <w:sz w:val="32"/>
          <w:szCs w:val="30"/>
        </w:rPr>
        <w:t>按支出经济分类划分：工资和福利支出</w:t>
      </w:r>
      <w:r>
        <w:rPr>
          <w:rFonts w:hint="eastAsia" w:ascii="仿宋_GB2312" w:eastAsia="仿宋_GB2312"/>
          <w:color w:val="000000"/>
          <w:sz w:val="32"/>
          <w:szCs w:val="32"/>
          <w:shd w:val="clear" w:color="auto" w:fill="FFFFFF"/>
          <w:lang w:val="en-US" w:eastAsia="zh-CN"/>
        </w:rPr>
        <w:t>1577.2</w:t>
      </w:r>
      <w:r>
        <w:rPr>
          <w:rFonts w:hint="eastAsia" w:ascii="仿宋" w:hAnsi="仿宋" w:eastAsia="仿宋"/>
          <w:color w:val="000000"/>
          <w:sz w:val="32"/>
          <w:szCs w:val="30"/>
        </w:rPr>
        <w:t>万元，较上年预算安排增加</w:t>
      </w:r>
      <w:r>
        <w:rPr>
          <w:rFonts w:hint="eastAsia" w:ascii="仿宋" w:hAnsi="仿宋" w:eastAsia="仿宋"/>
          <w:color w:val="000000"/>
          <w:sz w:val="32"/>
          <w:szCs w:val="30"/>
          <w:lang w:val="en-US" w:eastAsia="zh-CN"/>
        </w:rPr>
        <w:t>543.4</w:t>
      </w:r>
      <w:r>
        <w:rPr>
          <w:rFonts w:hint="eastAsia" w:ascii="仿宋" w:hAnsi="仿宋" w:eastAsia="仿宋"/>
          <w:color w:val="000000"/>
          <w:sz w:val="32"/>
          <w:szCs w:val="30"/>
        </w:rPr>
        <w:t>万元；商品和服务支出</w:t>
      </w:r>
      <w:r>
        <w:rPr>
          <w:rFonts w:hint="eastAsia" w:ascii="仿宋_GB2312" w:eastAsia="仿宋_GB2312"/>
          <w:color w:val="000000"/>
          <w:sz w:val="32"/>
          <w:szCs w:val="32"/>
          <w:shd w:val="clear" w:color="auto" w:fill="FFFFFF"/>
          <w:lang w:val="en-US" w:eastAsia="zh-CN"/>
        </w:rPr>
        <w:t>12</w:t>
      </w:r>
      <w:r>
        <w:rPr>
          <w:rFonts w:hint="eastAsia" w:ascii="仿宋_GB2312"/>
          <w:color w:val="000000"/>
          <w:sz w:val="32"/>
          <w:szCs w:val="32"/>
          <w:shd w:val="clear" w:color="auto" w:fill="FFFFFF"/>
          <w:lang w:val="en-US" w:eastAsia="zh-CN"/>
        </w:rPr>
        <w:t>0.5</w:t>
      </w:r>
      <w:r>
        <w:rPr>
          <w:rFonts w:hint="eastAsia" w:ascii="仿宋_GB2312" w:eastAsia="仿宋_GB2312"/>
          <w:color w:val="000000"/>
          <w:sz w:val="32"/>
          <w:szCs w:val="32"/>
          <w:shd w:val="clear" w:color="auto" w:fill="FFFFFF"/>
          <w:lang w:val="en-US" w:eastAsia="zh-CN"/>
        </w:rPr>
        <w:t>6</w:t>
      </w:r>
      <w:r>
        <w:rPr>
          <w:rFonts w:hint="eastAsia" w:ascii="仿宋" w:hAnsi="仿宋" w:eastAsia="仿宋"/>
          <w:color w:val="000000"/>
          <w:sz w:val="32"/>
          <w:szCs w:val="30"/>
        </w:rPr>
        <w:t>万元，较上年预算安排增加</w:t>
      </w:r>
      <w:r>
        <w:rPr>
          <w:rFonts w:hint="eastAsia" w:ascii="仿宋" w:hAnsi="仿宋" w:eastAsia="仿宋"/>
          <w:color w:val="000000"/>
          <w:sz w:val="32"/>
          <w:szCs w:val="30"/>
          <w:lang w:val="en-US" w:eastAsia="zh-CN"/>
        </w:rPr>
        <w:t>86.84</w:t>
      </w:r>
      <w:r>
        <w:rPr>
          <w:rFonts w:hint="eastAsia" w:ascii="仿宋" w:hAnsi="仿宋" w:eastAsia="仿宋"/>
          <w:color w:val="000000"/>
          <w:sz w:val="32"/>
          <w:szCs w:val="30"/>
        </w:rPr>
        <w:t>万元；对个人和家庭补助支出</w:t>
      </w:r>
      <w:r>
        <w:rPr>
          <w:rFonts w:hint="eastAsia" w:ascii="仿宋_GB2312" w:eastAsia="仿宋_GB2312"/>
          <w:color w:val="000000"/>
          <w:sz w:val="32"/>
          <w:szCs w:val="32"/>
          <w:shd w:val="clear" w:color="auto" w:fill="FFFFFF"/>
          <w:lang w:val="en-US" w:eastAsia="zh-CN"/>
        </w:rPr>
        <w:t>77.35</w:t>
      </w:r>
      <w:r>
        <w:rPr>
          <w:rFonts w:hint="eastAsia" w:ascii="仿宋" w:hAnsi="仿宋" w:eastAsia="仿宋"/>
          <w:color w:val="000000"/>
          <w:sz w:val="32"/>
          <w:szCs w:val="30"/>
        </w:rPr>
        <w:t>万元，较上年预算安排增加</w:t>
      </w:r>
      <w:r>
        <w:rPr>
          <w:rFonts w:hint="eastAsia" w:ascii="仿宋" w:hAnsi="仿宋" w:eastAsia="仿宋"/>
          <w:color w:val="000000"/>
          <w:sz w:val="32"/>
          <w:szCs w:val="30"/>
          <w:lang w:val="en-US" w:eastAsia="zh-CN"/>
        </w:rPr>
        <w:t>67.58</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r>
        <w:rPr>
          <w:rFonts w:hint="eastAsia" w:ascii="仿宋" w:hAnsi="仿宋" w:eastAsia="仿宋"/>
          <w:sz w:val="32"/>
          <w:szCs w:val="32"/>
        </w:rPr>
        <w:t>资本性支出</w:t>
      </w:r>
      <w:r>
        <w:rPr>
          <w:rFonts w:hint="eastAsia" w:ascii="仿宋" w:hAnsi="仿宋" w:eastAsia="仿宋"/>
          <w:sz w:val="32"/>
          <w:szCs w:val="32"/>
          <w:lang w:val="en-US" w:eastAsia="zh-CN"/>
        </w:rPr>
        <w:t>3.2</w:t>
      </w:r>
      <w:r>
        <w:rPr>
          <w:rFonts w:hint="eastAsia" w:ascii="仿宋" w:hAnsi="仿宋" w:eastAsia="仿宋"/>
          <w:sz w:val="32"/>
          <w:szCs w:val="32"/>
        </w:rPr>
        <w:t>万元，较上年预算安排</w:t>
      </w:r>
      <w:r>
        <w:rPr>
          <w:rFonts w:hint="eastAsia" w:ascii="仿宋" w:hAnsi="仿宋" w:eastAsia="仿宋"/>
          <w:sz w:val="32"/>
          <w:szCs w:val="32"/>
          <w:lang w:val="en-US" w:eastAsia="zh-CN"/>
        </w:rPr>
        <w:t>增加3.2</w:t>
      </w:r>
      <w:r>
        <w:rPr>
          <w:rFonts w:hint="eastAsia" w:ascii="仿宋" w:hAnsi="仿宋" w:eastAsia="仿宋"/>
          <w:sz w:val="32"/>
          <w:szCs w:val="32"/>
        </w:rPr>
        <w:t>万元</w:t>
      </w:r>
      <w:r>
        <w:rPr>
          <w:rFonts w:hint="eastAsia" w:ascii="仿宋" w:hAnsi="仿宋" w:eastAsia="仿宋"/>
          <w:sz w:val="32"/>
          <w:szCs w:val="32"/>
          <w:lang w:eastAsia="zh-CN"/>
        </w:rPr>
        <w:t>。</w:t>
      </w:r>
    </w:p>
    <w:p>
      <w:pPr>
        <w:spacing w:line="560" w:lineRule="exact"/>
        <w:ind w:firstLine="643" w:firstLineChars="200"/>
        <w:rPr>
          <w:rFonts w:ascii="仿宋_GB2312" w:hAnsi="宋体"/>
          <w:b/>
          <w:bCs/>
          <w:color w:val="000000"/>
          <w:szCs w:val="32"/>
          <w:shd w:val="clear" w:color="auto" w:fill="FFFFFF"/>
        </w:rPr>
      </w:pPr>
      <w:r>
        <w:rPr>
          <w:rFonts w:hint="eastAsia" w:ascii="仿宋_GB2312" w:hAnsi="宋体"/>
          <w:b/>
          <w:bCs/>
          <w:color w:val="000000"/>
          <w:szCs w:val="32"/>
          <w:shd w:val="clear" w:color="auto" w:fill="FFFFFF"/>
        </w:rPr>
        <w:t>（三）财政拨款支出情况</w:t>
      </w:r>
    </w:p>
    <w:p>
      <w:pPr>
        <w:widowControl/>
        <w:spacing w:line="360" w:lineRule="auto"/>
        <w:ind w:firstLine="64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2022年安义县</w:t>
      </w:r>
      <w:r>
        <w:rPr>
          <w:rFonts w:hint="eastAsia" w:ascii="仿宋_GB2312" w:eastAsia="仿宋_GB2312"/>
          <w:color w:val="000000"/>
          <w:sz w:val="32"/>
          <w:szCs w:val="32"/>
          <w:shd w:val="clear" w:color="auto" w:fill="FFFFFF"/>
          <w:lang w:val="en-US" w:eastAsia="zh-CN"/>
        </w:rPr>
        <w:t>住房和城乡建设局部门</w:t>
      </w:r>
      <w:r>
        <w:rPr>
          <w:rFonts w:hint="eastAsia" w:ascii="仿宋_GB2312" w:eastAsia="仿宋_GB2312"/>
          <w:color w:val="000000"/>
          <w:sz w:val="32"/>
          <w:szCs w:val="32"/>
          <w:shd w:val="clear" w:color="auto" w:fill="FFFFFF"/>
        </w:rPr>
        <w:t>财财政拨款支出预算总额为</w:t>
      </w:r>
      <w:r>
        <w:rPr>
          <w:rFonts w:hint="eastAsia" w:ascii="仿宋_GB2312" w:eastAsia="仿宋_GB2312"/>
          <w:color w:val="000000"/>
          <w:sz w:val="32"/>
          <w:szCs w:val="32"/>
          <w:shd w:val="clear" w:color="auto" w:fill="FFFFFF"/>
          <w:lang w:val="en-US" w:eastAsia="zh-CN"/>
        </w:rPr>
        <w:t>721.13</w:t>
      </w:r>
      <w:r>
        <w:rPr>
          <w:rFonts w:hint="eastAsia" w:ascii="仿宋_GB2312" w:eastAsia="仿宋_GB2312"/>
          <w:color w:val="000000"/>
          <w:sz w:val="32"/>
          <w:szCs w:val="32"/>
          <w:shd w:val="clear" w:color="auto" w:fill="FFFFFF"/>
        </w:rPr>
        <w:t>万元，较上年预算安排</w:t>
      </w:r>
      <w:r>
        <w:rPr>
          <w:rFonts w:hint="eastAsia" w:ascii="仿宋_GB2312" w:eastAsia="仿宋_GB2312"/>
          <w:color w:val="000000"/>
          <w:sz w:val="32"/>
          <w:szCs w:val="32"/>
          <w:shd w:val="clear" w:color="auto" w:fill="FFFFFF"/>
          <w:lang w:val="en-US" w:eastAsia="zh-CN"/>
        </w:rPr>
        <w:t>减少356.17</w:t>
      </w:r>
      <w:r>
        <w:rPr>
          <w:rFonts w:hint="eastAsia" w:ascii="仿宋_GB2312" w:eastAsia="仿宋_GB2312"/>
          <w:color w:val="000000"/>
          <w:sz w:val="32"/>
          <w:szCs w:val="32"/>
          <w:shd w:val="clear" w:color="auto" w:fill="FFFFFF"/>
        </w:rPr>
        <w:t>万元.其中：</w:t>
      </w:r>
    </w:p>
    <w:p>
      <w:pPr>
        <w:widowControl/>
        <w:spacing w:line="360" w:lineRule="auto"/>
        <w:ind w:firstLine="640"/>
        <w:rPr>
          <w:rFonts w:hint="eastAsia" w:ascii="仿宋" w:hAnsi="仿宋" w:eastAsia="仿宋"/>
          <w:color w:val="000000"/>
          <w:sz w:val="32"/>
          <w:szCs w:val="30"/>
        </w:rPr>
      </w:pPr>
      <w:r>
        <w:rPr>
          <w:rFonts w:hint="eastAsia" w:ascii="仿宋" w:hAnsi="仿宋" w:eastAsia="仿宋"/>
          <w:color w:val="000000"/>
          <w:sz w:val="32"/>
          <w:szCs w:val="30"/>
        </w:rPr>
        <w:t>按支出功能科目划分：社会保障和就业支出</w:t>
      </w:r>
      <w:r>
        <w:rPr>
          <w:rFonts w:hint="eastAsia" w:ascii="仿宋_GB2312"/>
          <w:color w:val="000000"/>
          <w:sz w:val="32"/>
          <w:szCs w:val="32"/>
          <w:shd w:val="clear" w:color="auto" w:fill="FFFFFF"/>
          <w:lang w:val="en-US" w:eastAsia="zh-CN"/>
        </w:rPr>
        <w:t>47.19</w:t>
      </w:r>
      <w:r>
        <w:rPr>
          <w:rFonts w:hint="eastAsia" w:ascii="仿宋" w:hAnsi="仿宋" w:eastAsia="仿宋"/>
          <w:color w:val="000000"/>
          <w:sz w:val="32"/>
          <w:szCs w:val="30"/>
        </w:rPr>
        <w:t>万元，较上年预算安排增加</w:t>
      </w:r>
      <w:r>
        <w:rPr>
          <w:rFonts w:hint="eastAsia" w:ascii="仿宋_GB2312"/>
          <w:color w:val="000000"/>
          <w:sz w:val="32"/>
          <w:szCs w:val="32"/>
          <w:shd w:val="clear" w:color="auto" w:fill="FFFFFF"/>
          <w:lang w:val="en-US" w:eastAsia="zh-CN"/>
        </w:rPr>
        <w:t>37.31</w:t>
      </w:r>
      <w:r>
        <w:rPr>
          <w:rFonts w:hint="eastAsia" w:ascii="仿宋" w:hAnsi="仿宋" w:eastAsia="仿宋"/>
          <w:color w:val="000000"/>
          <w:sz w:val="32"/>
          <w:szCs w:val="30"/>
        </w:rPr>
        <w:t>万元；</w:t>
      </w:r>
      <w:r>
        <w:rPr>
          <w:rFonts w:hint="eastAsia" w:ascii="仿宋" w:hAnsi="仿宋" w:eastAsia="仿宋"/>
          <w:sz w:val="32"/>
          <w:szCs w:val="32"/>
        </w:rPr>
        <w:t>卫生健康支出</w:t>
      </w:r>
      <w:r>
        <w:rPr>
          <w:rFonts w:hint="eastAsia" w:ascii="仿宋_GB2312"/>
          <w:color w:val="000000"/>
          <w:sz w:val="32"/>
          <w:szCs w:val="32"/>
          <w:shd w:val="clear" w:color="auto" w:fill="FFFFFF"/>
          <w:lang w:val="en-US" w:eastAsia="zh-CN"/>
        </w:rPr>
        <w:t>45.56</w:t>
      </w:r>
      <w:r>
        <w:rPr>
          <w:rFonts w:hint="eastAsia" w:ascii="仿宋" w:hAnsi="仿宋" w:eastAsia="仿宋"/>
          <w:color w:val="000000"/>
          <w:sz w:val="32"/>
          <w:szCs w:val="30"/>
        </w:rPr>
        <w:t>万元，较上年预算安排增加</w:t>
      </w:r>
      <w:r>
        <w:rPr>
          <w:rFonts w:hint="eastAsia" w:ascii="仿宋_GB2312"/>
          <w:color w:val="000000"/>
          <w:sz w:val="32"/>
          <w:szCs w:val="32"/>
          <w:shd w:val="clear" w:color="auto" w:fill="FFFFFF"/>
          <w:lang w:val="en-US" w:eastAsia="zh-CN"/>
        </w:rPr>
        <w:t>45.56</w:t>
      </w:r>
      <w:r>
        <w:rPr>
          <w:rFonts w:hint="eastAsia" w:ascii="仿宋" w:hAnsi="仿宋" w:eastAsia="仿宋"/>
          <w:color w:val="000000"/>
          <w:sz w:val="32"/>
          <w:szCs w:val="30"/>
        </w:rPr>
        <w:t>万元；</w:t>
      </w:r>
      <w:r>
        <w:rPr>
          <w:rFonts w:hint="eastAsia" w:ascii="仿宋" w:hAnsi="仿宋" w:eastAsia="仿宋"/>
          <w:sz w:val="32"/>
          <w:szCs w:val="32"/>
        </w:rPr>
        <w:t>城乡社区支出</w:t>
      </w:r>
      <w:r>
        <w:rPr>
          <w:rFonts w:hint="eastAsia" w:ascii="仿宋_GB2312"/>
          <w:color w:val="000000"/>
          <w:sz w:val="32"/>
          <w:szCs w:val="32"/>
          <w:shd w:val="clear" w:color="auto" w:fill="FFFFFF"/>
          <w:lang w:val="en-US" w:eastAsia="zh-CN"/>
        </w:rPr>
        <w:t>591.74</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w:t>
      </w:r>
      <w:r>
        <w:rPr>
          <w:rFonts w:hint="eastAsia" w:ascii="仿宋_GB2312"/>
          <w:color w:val="000000"/>
          <w:sz w:val="32"/>
          <w:szCs w:val="32"/>
          <w:shd w:val="clear" w:color="auto" w:fill="FFFFFF"/>
          <w:lang w:val="en-US" w:eastAsia="zh-CN"/>
        </w:rPr>
        <w:t>468.02</w:t>
      </w:r>
      <w:r>
        <w:rPr>
          <w:rFonts w:hint="eastAsia" w:ascii="仿宋" w:hAnsi="仿宋" w:eastAsia="仿宋"/>
          <w:color w:val="000000"/>
          <w:sz w:val="32"/>
          <w:szCs w:val="30"/>
        </w:rPr>
        <w:t>万元；</w:t>
      </w:r>
      <w:r>
        <w:rPr>
          <w:rFonts w:hint="eastAsia" w:ascii="仿宋" w:hAnsi="仿宋" w:eastAsia="仿宋"/>
          <w:sz w:val="32"/>
          <w:szCs w:val="32"/>
        </w:rPr>
        <w:t>住房保障支出</w:t>
      </w:r>
      <w:r>
        <w:rPr>
          <w:rFonts w:hint="eastAsia" w:ascii="仿宋_GB2312"/>
          <w:color w:val="000000"/>
          <w:sz w:val="32"/>
          <w:szCs w:val="32"/>
          <w:shd w:val="clear" w:color="auto" w:fill="FFFFFF"/>
          <w:lang w:val="en-US" w:eastAsia="zh-CN"/>
        </w:rPr>
        <w:t>35.93</w:t>
      </w:r>
      <w:r>
        <w:rPr>
          <w:rFonts w:hint="eastAsia" w:ascii="仿宋" w:hAnsi="仿宋" w:eastAsia="仿宋"/>
          <w:color w:val="000000"/>
          <w:sz w:val="32"/>
          <w:szCs w:val="30"/>
        </w:rPr>
        <w:t>万元，较上年预算安排增加</w:t>
      </w:r>
      <w:r>
        <w:rPr>
          <w:rFonts w:hint="eastAsia" w:ascii="仿宋_GB2312"/>
          <w:color w:val="000000"/>
          <w:sz w:val="32"/>
          <w:szCs w:val="32"/>
          <w:shd w:val="clear" w:color="auto" w:fill="FFFFFF"/>
          <w:lang w:val="en-US" w:eastAsia="zh-CN"/>
        </w:rPr>
        <w:t>28.27</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p>
    <w:p>
      <w:pPr>
        <w:widowControl/>
        <w:spacing w:line="360" w:lineRule="auto"/>
        <w:ind w:firstLine="640"/>
        <w:rPr>
          <w:rFonts w:hint="eastAsia" w:eastAsia="仿宋"/>
          <w:lang w:val="en-US" w:eastAsia="zh-CN"/>
        </w:rPr>
      </w:pPr>
      <w:r>
        <w:rPr>
          <w:rFonts w:hint="eastAsia" w:ascii="仿宋" w:hAnsi="仿宋" w:eastAsia="仿宋"/>
          <w:color w:val="000000"/>
          <w:sz w:val="32"/>
          <w:szCs w:val="30"/>
        </w:rPr>
        <w:t>按支出项目类别划分：基本支出</w:t>
      </w:r>
      <w:r>
        <w:rPr>
          <w:rFonts w:hint="eastAsia" w:ascii="仿宋_GB2312" w:eastAsia="仿宋_GB2312"/>
          <w:color w:val="000000"/>
          <w:sz w:val="32"/>
          <w:szCs w:val="32"/>
          <w:shd w:val="clear" w:color="auto" w:fill="FFFFFF"/>
          <w:lang w:val="en-US" w:eastAsia="zh-CN"/>
        </w:rPr>
        <w:t>721.13</w:t>
      </w:r>
      <w:r>
        <w:rPr>
          <w:rFonts w:hint="eastAsia" w:ascii="仿宋" w:hAnsi="仿宋" w:eastAsia="仿宋"/>
          <w:color w:val="000000"/>
          <w:sz w:val="32"/>
          <w:szCs w:val="30"/>
        </w:rPr>
        <w:t>万元，较上年预算安排</w:t>
      </w:r>
      <w:r>
        <w:rPr>
          <w:rFonts w:hint="eastAsia" w:ascii="仿宋_GB2312" w:eastAsia="仿宋_GB2312"/>
          <w:color w:val="000000"/>
          <w:sz w:val="32"/>
          <w:szCs w:val="32"/>
          <w:shd w:val="clear" w:color="auto" w:fill="FFFFFF"/>
          <w:lang w:val="en-US" w:eastAsia="zh-CN"/>
        </w:rPr>
        <w:t>减少356.17</w:t>
      </w:r>
      <w:r>
        <w:rPr>
          <w:rFonts w:hint="eastAsia" w:ascii="仿宋" w:hAnsi="仿宋" w:eastAsia="仿宋"/>
          <w:color w:val="000000"/>
          <w:sz w:val="32"/>
          <w:szCs w:val="30"/>
        </w:rPr>
        <w:t>万元，其中：工资福利支出</w:t>
      </w:r>
      <w:r>
        <w:rPr>
          <w:rFonts w:hint="eastAsia" w:ascii="仿宋_GB2312" w:cs="Arial"/>
          <w:color w:val="000000"/>
          <w:sz w:val="32"/>
          <w:szCs w:val="32"/>
          <w:lang w:val="en-US" w:eastAsia="zh-CN"/>
        </w:rPr>
        <w:t>648.03</w:t>
      </w:r>
      <w:r>
        <w:rPr>
          <w:rFonts w:hint="eastAsia" w:ascii="仿宋" w:hAnsi="仿宋" w:eastAsia="仿宋"/>
          <w:color w:val="000000"/>
          <w:sz w:val="32"/>
          <w:szCs w:val="30"/>
        </w:rPr>
        <w:t>万元，商品和服务支出</w:t>
      </w:r>
      <w:r>
        <w:rPr>
          <w:rFonts w:hint="eastAsia" w:ascii="仿宋_GB2312" w:cs="Arial"/>
          <w:color w:val="000000"/>
          <w:sz w:val="32"/>
          <w:szCs w:val="32"/>
          <w:lang w:val="en-US" w:eastAsia="zh-CN"/>
        </w:rPr>
        <w:t>23.39</w:t>
      </w:r>
      <w:r>
        <w:rPr>
          <w:rFonts w:hint="eastAsia" w:ascii="仿宋" w:hAnsi="仿宋" w:eastAsia="仿宋"/>
          <w:color w:val="000000"/>
          <w:sz w:val="32"/>
          <w:szCs w:val="30"/>
        </w:rPr>
        <w:t>万元，对个人和家庭补助支出</w:t>
      </w:r>
      <w:r>
        <w:rPr>
          <w:rFonts w:hint="eastAsia" w:ascii="仿宋_GB2312" w:cs="Arial"/>
          <w:color w:val="000000"/>
          <w:sz w:val="32"/>
          <w:szCs w:val="32"/>
          <w:lang w:val="en-US" w:eastAsia="zh-CN"/>
        </w:rPr>
        <w:t>46.5</w:t>
      </w:r>
      <w:r>
        <w:rPr>
          <w:rFonts w:hint="eastAsia" w:ascii="仿宋" w:hAnsi="仿宋" w:eastAsia="仿宋"/>
          <w:color w:val="000000"/>
          <w:sz w:val="32"/>
          <w:szCs w:val="30"/>
        </w:rPr>
        <w:t>万元，资本性支出</w:t>
      </w:r>
      <w:r>
        <w:rPr>
          <w:rFonts w:hint="eastAsia" w:ascii="仿宋" w:hAnsi="仿宋" w:eastAsia="仿宋"/>
          <w:color w:val="000000"/>
          <w:sz w:val="32"/>
          <w:szCs w:val="30"/>
          <w:lang w:val="en-US" w:eastAsia="zh-CN"/>
        </w:rPr>
        <w:t>3.2</w:t>
      </w:r>
      <w:r>
        <w:rPr>
          <w:rFonts w:hint="eastAsia" w:ascii="仿宋" w:hAnsi="仿宋" w:eastAsia="仿宋"/>
          <w:color w:val="000000"/>
          <w:sz w:val="32"/>
          <w:szCs w:val="30"/>
        </w:rPr>
        <w:t>万元；项目支出</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万元，较上年预算安排</w:t>
      </w:r>
      <w:r>
        <w:rPr>
          <w:rFonts w:hint="eastAsia" w:ascii="仿宋_GB2312" w:eastAsia="仿宋_GB2312"/>
          <w:color w:val="000000"/>
          <w:sz w:val="32"/>
          <w:szCs w:val="32"/>
          <w:shd w:val="clear" w:color="auto" w:fill="FFFFFF"/>
          <w:lang w:val="en-US" w:eastAsia="zh-CN"/>
        </w:rPr>
        <w:t>减少356.17</w:t>
      </w:r>
      <w:r>
        <w:rPr>
          <w:rFonts w:hint="eastAsia" w:ascii="仿宋" w:hAnsi="仿宋" w:eastAsia="仿宋"/>
          <w:color w:val="000000"/>
          <w:sz w:val="32"/>
          <w:szCs w:val="30"/>
        </w:rPr>
        <w:t>万元，其中：工资福利支出</w:t>
      </w:r>
      <w:r>
        <w:rPr>
          <w:rFonts w:hint="eastAsia" w:ascii="仿宋_GB2312" w:cs="Arial"/>
          <w:color w:val="000000"/>
          <w:sz w:val="32"/>
          <w:szCs w:val="32"/>
          <w:lang w:val="en-US" w:eastAsia="zh-CN"/>
        </w:rPr>
        <w:t>648.03</w:t>
      </w:r>
      <w:r>
        <w:rPr>
          <w:rFonts w:hint="eastAsia" w:ascii="仿宋" w:hAnsi="仿宋" w:eastAsia="仿宋"/>
          <w:color w:val="000000"/>
          <w:sz w:val="32"/>
          <w:szCs w:val="30"/>
        </w:rPr>
        <w:t>万元，商品和服务支出</w:t>
      </w:r>
      <w:r>
        <w:rPr>
          <w:rFonts w:hint="eastAsia" w:ascii="仿宋_GB2312" w:cs="Arial"/>
          <w:color w:val="000000"/>
          <w:sz w:val="32"/>
          <w:szCs w:val="32"/>
          <w:lang w:val="en-US" w:eastAsia="zh-CN"/>
        </w:rPr>
        <w:t>23.39</w:t>
      </w:r>
      <w:r>
        <w:rPr>
          <w:rFonts w:hint="eastAsia" w:ascii="仿宋" w:hAnsi="仿宋" w:eastAsia="仿宋"/>
          <w:color w:val="000000"/>
          <w:sz w:val="32"/>
          <w:szCs w:val="30"/>
        </w:rPr>
        <w:t>万元，对个人和家庭补助支出</w:t>
      </w:r>
      <w:r>
        <w:rPr>
          <w:rFonts w:hint="eastAsia" w:ascii="仿宋_GB2312" w:cs="Arial"/>
          <w:color w:val="000000"/>
          <w:sz w:val="32"/>
          <w:szCs w:val="32"/>
          <w:lang w:val="en-US" w:eastAsia="zh-CN"/>
        </w:rPr>
        <w:t>46.5</w:t>
      </w:r>
      <w:r>
        <w:rPr>
          <w:rFonts w:hint="eastAsia" w:ascii="仿宋" w:hAnsi="仿宋" w:eastAsia="仿宋"/>
          <w:color w:val="000000"/>
          <w:sz w:val="32"/>
          <w:szCs w:val="30"/>
        </w:rPr>
        <w:t>万元，资本性支出</w:t>
      </w:r>
      <w:r>
        <w:rPr>
          <w:rFonts w:hint="eastAsia" w:ascii="仿宋" w:hAnsi="仿宋" w:eastAsia="仿宋"/>
          <w:color w:val="000000"/>
          <w:sz w:val="32"/>
          <w:szCs w:val="30"/>
          <w:lang w:val="en-US" w:eastAsia="zh-CN"/>
        </w:rPr>
        <w:t>3.2</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p>
    <w:p>
      <w:pPr>
        <w:widowControl/>
        <w:spacing w:line="600" w:lineRule="exact"/>
        <w:ind w:firstLine="643" w:firstLineChars="200"/>
        <w:jc w:val="left"/>
        <w:rPr>
          <w:rFonts w:hint="eastAsia" w:ascii="仿宋_GB2312" w:eastAsia="仿宋_GB2312"/>
          <w:b/>
          <w:color w:val="000000"/>
          <w:sz w:val="32"/>
          <w:szCs w:val="30"/>
        </w:rPr>
      </w:pPr>
      <w:r>
        <w:rPr>
          <w:rFonts w:hint="eastAsia" w:ascii="仿宋_GB2312" w:eastAsia="仿宋_GB2312"/>
          <w:b/>
          <w:color w:val="000000"/>
          <w:sz w:val="32"/>
          <w:szCs w:val="30"/>
        </w:rPr>
        <w:t>（四）政府性基金情况</w:t>
      </w:r>
    </w:p>
    <w:p>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lang w:val="en-US" w:eastAsia="zh-CN"/>
        </w:rPr>
        <w:t>无使用</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（五）国有资本经营情况</w:t>
      </w:r>
    </w:p>
    <w:p>
      <w:pPr>
        <w:widowControl/>
        <w:spacing w:line="600" w:lineRule="exact"/>
        <w:ind w:firstLine="640"/>
        <w:jc w:val="left"/>
        <w:rPr>
          <w:rFonts w:hint="default" w:ascii="仿宋_GB2312" w:hAnsi="Times New Roman" w:eastAsia="仿宋_GB2312" w:cs="Times New Roman"/>
          <w:color w:val="000000"/>
          <w:sz w:val="32"/>
          <w:szCs w:val="30"/>
          <w:lang w:val="en-US" w:eastAsia="zh-CN"/>
        </w:rPr>
      </w:pPr>
      <w:r>
        <w:rPr>
          <w:rFonts w:hint="eastAsia" w:ascii="仿宋_GB2312" w:hAnsi="Times New Roman" w:eastAsia="仿宋_GB2312" w:cs="Times New Roman"/>
          <w:color w:val="000000"/>
          <w:sz w:val="32"/>
          <w:szCs w:val="30"/>
          <w:lang w:val="en-US" w:eastAsia="zh-CN"/>
        </w:rPr>
        <w:t>无使用</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（六）机关运行经费等重要事项的说明</w:t>
      </w:r>
    </w:p>
    <w:p>
      <w:pPr>
        <w:widowControl/>
        <w:spacing w:line="600" w:lineRule="exact"/>
        <w:ind w:firstLine="636"/>
        <w:jc w:val="left"/>
        <w:rPr>
          <w:rFonts w:hint="default" w:ascii="仿宋_GB2312" w:eastAsia="仿宋_GB2312"/>
          <w:color w:val="000000"/>
          <w:sz w:val="32"/>
          <w:szCs w:val="30"/>
          <w:lang w:val="en-US"/>
        </w:rPr>
      </w:pPr>
      <w:r>
        <w:rPr>
          <w:rFonts w:hint="eastAsia" w:ascii="仿宋_GB2312" w:eastAsia="仿宋_GB2312"/>
          <w:color w:val="000000"/>
          <w:sz w:val="32"/>
          <w:szCs w:val="30"/>
        </w:rPr>
        <w:t>2022年部门机关运行费预算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15.9656</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万元，比2021年预算减少</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1.71</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万元，下降</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9.67</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（七）政府采购情况</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2022年部门所属各单位政府采购总额</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1.2</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万元，其中：政府采购货物预算</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1.2</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万元、政府采购工程预算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万元、政府采购服务预算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w:t>
      </w:r>
    </w:p>
    <w:p>
      <w:pPr>
        <w:widowControl/>
        <w:spacing w:line="600" w:lineRule="exact"/>
        <w:ind w:firstLine="630" w:firstLineChars="196"/>
        <w:jc w:val="left"/>
        <w:rPr>
          <w:rFonts w:hint="eastAsia" w:ascii="仿宋_GB2312" w:eastAsia="仿宋_GB2312"/>
          <w:b/>
          <w:color w:val="000000"/>
          <w:sz w:val="32"/>
          <w:szCs w:val="30"/>
        </w:rPr>
      </w:pPr>
      <w:r>
        <w:rPr>
          <w:rFonts w:hint="eastAsia" w:ascii="仿宋_GB2312" w:eastAsia="仿宋_GB2312"/>
          <w:b/>
          <w:color w:val="000000"/>
          <w:sz w:val="32"/>
          <w:szCs w:val="30"/>
        </w:rPr>
        <w:t>（八）国有资产占有使用情况</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截至2021年8月31日，部门共有车辆</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1</w:t>
      </w:r>
      <w:r>
        <w:rPr>
          <w:rFonts w:hint="eastAsia" w:ascii="仿宋_GB2312" w:eastAsia="仿宋_GB2312"/>
          <w:color w:val="000000"/>
          <w:sz w:val="32"/>
          <w:szCs w:val="30"/>
        </w:rPr>
        <w:t>辆，其中，一般公务用车</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1</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辆，执法执勤用车</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2022年部门预算安排购置车辆</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辆，安排购置单位价值200万元以上大型设备具体为：</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无购置大型设备</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w:t>
      </w:r>
    </w:p>
    <w:p>
      <w:pPr>
        <w:widowControl/>
        <w:numPr>
          <w:ilvl w:val="0"/>
          <w:numId w:val="1"/>
        </w:numPr>
        <w:spacing w:line="600" w:lineRule="exact"/>
        <w:ind w:firstLine="640"/>
        <w:jc w:val="left"/>
        <w:rPr>
          <w:rFonts w:hint="eastAsia" w:ascii="仿宋_GB2312" w:eastAsia="仿宋_GB2312"/>
          <w:b/>
          <w:sz w:val="32"/>
          <w:szCs w:val="30"/>
        </w:rPr>
      </w:pPr>
      <w:r>
        <w:rPr>
          <w:rFonts w:hint="eastAsia" w:ascii="仿宋_GB2312" w:eastAsia="仿宋_GB2312"/>
          <w:b/>
          <w:sz w:val="32"/>
          <w:szCs w:val="30"/>
          <w:lang w:val="en-US" w:eastAsia="zh-CN"/>
        </w:rPr>
        <w:t>中国(南昌)现代职教城职教大道</w:t>
      </w:r>
      <w:r>
        <w:rPr>
          <w:rFonts w:hint="eastAsia" w:ascii="仿宋_GB2312" w:eastAsia="仿宋_GB2312"/>
          <w:b/>
          <w:sz w:val="32"/>
          <w:szCs w:val="30"/>
        </w:rPr>
        <w:t>项目情况说明（部门本级）</w:t>
      </w:r>
    </w:p>
    <w:p>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1.</w:t>
      </w:r>
      <w:r>
        <w:rPr>
          <w:rFonts w:hint="eastAsia" w:ascii="仿宋_GB2312" w:eastAsia="仿宋_GB2312"/>
          <w:color w:val="000000"/>
          <w:sz w:val="32"/>
          <w:szCs w:val="30"/>
          <w:lang w:val="en-US" w:eastAsia="zh-CN"/>
        </w:rPr>
        <w:t>中国(南昌)现代职教城职教大道</w:t>
      </w:r>
      <w:r>
        <w:rPr>
          <w:rFonts w:hint="eastAsia" w:ascii="仿宋_GB2312" w:eastAsia="仿宋_GB2312"/>
          <w:color w:val="000000"/>
          <w:sz w:val="32"/>
          <w:szCs w:val="30"/>
        </w:rPr>
        <w:t>项目</w:t>
      </w:r>
    </w:p>
    <w:p>
      <w:pPr>
        <w:widowControl/>
        <w:spacing w:line="600" w:lineRule="exact"/>
        <w:ind w:firstLine="64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eastAsia="仿宋_GB2312"/>
          <w:color w:val="000000"/>
          <w:sz w:val="32"/>
          <w:szCs w:val="30"/>
        </w:rPr>
        <w:t xml:space="preserve">   1）项目概述</w:t>
      </w:r>
      <w:r>
        <w:rPr>
          <w:rFonts w:hint="eastAsia" w:ascii="仿宋_GB2312"/>
          <w:color w:val="000000"/>
          <w:sz w:val="32"/>
          <w:szCs w:val="30"/>
          <w:lang w:eastAsia="zh-CN"/>
        </w:rPr>
        <w:t>：</w:t>
      </w:r>
      <w:r>
        <w:rPr>
          <w:rFonts w:hint="eastAsia" w:ascii="仿宋_GB2312" w:hAnsi="Times New Roman" w:eastAsia="仿宋_GB2312" w:cs="Times New Roman"/>
          <w:color w:val="000000"/>
          <w:kern w:val="2"/>
          <w:sz w:val="32"/>
          <w:szCs w:val="30"/>
          <w:lang w:val="en-US" w:eastAsia="zh-CN" w:bidi="ar-SA"/>
        </w:rPr>
        <w:t>项目东起龙安大道，西至安黄公路，全长4200m，设计速度为60km/h，车道规模为双向六车道。建设内容主要包括：道路工程、涵洞工程、给排水工程、交通工程、照明工程、电力工程、通讯工程、景观工程、门头等工程。</w:t>
      </w:r>
    </w:p>
    <w:p>
      <w:pPr>
        <w:widowControl/>
        <w:numPr>
          <w:ilvl w:val="0"/>
          <w:numId w:val="2"/>
        </w:numPr>
        <w:spacing w:line="600" w:lineRule="exact"/>
        <w:ind w:left="1120" w:leftChars="0" w:firstLine="0" w:firstLineChars="0"/>
        <w:jc w:val="left"/>
        <w:rPr>
          <w:rFonts w:hint="eastAsia" w:ascii="仿宋_GB2312" w:eastAsia="仿宋_GB2312"/>
          <w:color w:val="000000"/>
          <w:sz w:val="32"/>
          <w:szCs w:val="30"/>
        </w:rPr>
      </w:pPr>
      <w:r>
        <w:rPr>
          <w:rFonts w:hint="eastAsia" w:ascii="仿宋_GB2312" w:eastAsia="仿宋_GB2312"/>
          <w:color w:val="000000"/>
          <w:sz w:val="32"/>
          <w:szCs w:val="30"/>
        </w:rPr>
        <w:t>立项依据</w:t>
      </w:r>
      <w:r>
        <w:rPr>
          <w:rFonts w:hint="eastAsia" w:ascii="仿宋_GB2312"/>
          <w:color w:val="000000"/>
          <w:sz w:val="32"/>
          <w:szCs w:val="30"/>
          <w:lang w:eastAsia="zh-CN"/>
        </w:rPr>
        <w:t>：</w:t>
      </w:r>
    </w:p>
    <w:p>
      <w:pPr>
        <w:pStyle w:val="2"/>
        <w:rPr>
          <w:rFonts w:hint="eastAsia"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项目建设对中国(南昌)现代职教城路网建设具有重要意义，项目建设符合国家产业政策和国家土地供应政策。是安义县加快江西作为全国四个职业教育综合改革试点省份，响应国家战略部署的需要。是聚焦“一城五区”，全面开启安义高质量发展的“广阔新征程”，拓展城市空间的需要。</w:t>
      </w:r>
    </w:p>
    <w:p>
      <w:pPr>
        <w:widowControl/>
        <w:numPr>
          <w:ilvl w:val="0"/>
          <w:numId w:val="2"/>
        </w:numPr>
        <w:spacing w:line="600" w:lineRule="exact"/>
        <w:ind w:left="1120" w:leftChars="0" w:firstLine="0" w:firstLineChars="0"/>
        <w:jc w:val="left"/>
        <w:rPr>
          <w:rFonts w:hint="eastAsia" w:ascii="仿宋_GB2312" w:eastAsia="仿宋_GB2312"/>
          <w:color w:val="000000"/>
          <w:sz w:val="32"/>
          <w:szCs w:val="30"/>
        </w:rPr>
      </w:pPr>
      <w:r>
        <w:rPr>
          <w:rFonts w:hint="eastAsia" w:ascii="仿宋_GB2312" w:eastAsia="仿宋_GB2312"/>
          <w:color w:val="000000"/>
          <w:sz w:val="32"/>
          <w:szCs w:val="30"/>
        </w:rPr>
        <w:t>实施主体</w:t>
      </w:r>
      <w:r>
        <w:rPr>
          <w:rFonts w:hint="eastAsia" w:ascii="仿宋_GB2312"/>
          <w:color w:val="000000"/>
          <w:sz w:val="32"/>
          <w:szCs w:val="30"/>
          <w:lang w:eastAsia="zh-CN"/>
        </w:rPr>
        <w:t>：</w:t>
      </w:r>
    </w:p>
    <w:p>
      <w:pPr>
        <w:pStyle w:val="2"/>
        <w:rPr>
          <w:rFonts w:hint="default" w:eastAsia="仿宋_GB2312"/>
          <w:lang w:val="en-US" w:eastAsia="zh-CN"/>
        </w:rPr>
      </w:pPr>
      <w:r>
        <w:rPr>
          <w:rFonts w:hint="eastAsia" w:ascii="仿宋_GB2312" w:eastAsia="仿宋_GB2312"/>
          <w:color w:val="000000"/>
          <w:sz w:val="32"/>
          <w:szCs w:val="30"/>
          <w:lang w:val="en-US" w:eastAsia="zh-CN"/>
        </w:rPr>
        <w:t>中铁四局集团有限公司</w:t>
      </w:r>
    </w:p>
    <w:p>
      <w:pPr>
        <w:widowControl/>
        <w:tabs>
          <w:tab w:val="left" w:pos="5264"/>
        </w:tabs>
        <w:spacing w:line="600" w:lineRule="exact"/>
        <w:ind w:firstLine="640"/>
        <w:jc w:val="left"/>
        <w:rPr>
          <w:rFonts w:hint="eastAsia" w:ascii="仿宋_GB2312" w:eastAsia="仿宋_GB2312"/>
          <w:color w:val="000000"/>
          <w:sz w:val="32"/>
          <w:szCs w:val="30"/>
          <w:lang w:eastAsia="zh-CN"/>
        </w:rPr>
      </w:pPr>
      <w:r>
        <w:rPr>
          <w:rFonts w:hint="eastAsia" w:ascii="仿宋_GB2312" w:eastAsia="仿宋_GB2312"/>
          <w:color w:val="000000"/>
          <w:sz w:val="32"/>
          <w:szCs w:val="30"/>
        </w:rPr>
        <w:t xml:space="preserve">   4）实施方案</w:t>
      </w:r>
      <w:r>
        <w:rPr>
          <w:rFonts w:hint="eastAsia" w:ascii="仿宋_GB2312"/>
          <w:color w:val="000000"/>
          <w:sz w:val="32"/>
          <w:szCs w:val="30"/>
          <w:lang w:eastAsia="zh-CN"/>
        </w:rPr>
        <w:t>：</w:t>
      </w:r>
      <w:r>
        <w:rPr>
          <w:rFonts w:hint="eastAsia" w:ascii="仿宋_GB2312"/>
          <w:color w:val="000000"/>
          <w:sz w:val="32"/>
          <w:szCs w:val="30"/>
          <w:lang w:eastAsia="zh-CN"/>
        </w:rPr>
        <w:tab/>
      </w:r>
    </w:p>
    <w:p>
      <w:pPr>
        <w:pStyle w:val="2"/>
        <w:rPr>
          <w:rFonts w:hint="default"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根据合同等实施</w:t>
      </w:r>
    </w:p>
    <w:p>
      <w:pPr>
        <w:widowControl/>
        <w:spacing w:line="600" w:lineRule="exact"/>
        <w:ind w:firstLine="640"/>
        <w:jc w:val="left"/>
        <w:rPr>
          <w:rFonts w:hint="eastAsia" w:ascii="仿宋_GB2312"/>
          <w:color w:val="000000"/>
          <w:sz w:val="32"/>
          <w:szCs w:val="30"/>
          <w:lang w:eastAsia="zh-CN"/>
        </w:rPr>
      </w:pPr>
      <w:r>
        <w:rPr>
          <w:rFonts w:hint="eastAsia" w:ascii="仿宋_GB2312" w:eastAsia="仿宋_GB2312"/>
          <w:color w:val="000000"/>
          <w:sz w:val="32"/>
          <w:szCs w:val="30"/>
        </w:rPr>
        <w:t xml:space="preserve">   5）实施周期</w:t>
      </w:r>
      <w:r>
        <w:rPr>
          <w:rFonts w:hint="eastAsia" w:ascii="仿宋_GB2312"/>
          <w:color w:val="000000"/>
          <w:sz w:val="32"/>
          <w:szCs w:val="30"/>
          <w:lang w:eastAsia="zh-CN"/>
        </w:rPr>
        <w:t>：</w:t>
      </w:r>
    </w:p>
    <w:p>
      <w:pPr>
        <w:widowControl/>
        <w:spacing w:line="600" w:lineRule="exact"/>
        <w:ind w:firstLine="640"/>
        <w:jc w:val="left"/>
        <w:rPr>
          <w:rFonts w:hint="eastAsia" w:ascii="仿宋_GB2312" w:eastAsia="仿宋_GB2312"/>
          <w:color w:val="000000"/>
          <w:sz w:val="32"/>
          <w:szCs w:val="30"/>
          <w:lang w:val="en-US" w:eastAsia="zh-CN"/>
        </w:rPr>
      </w:pPr>
      <w:r>
        <w:rPr>
          <w:rFonts w:hint="eastAsia" w:ascii="宋体" w:hAnsi="宋体" w:cs="宋体"/>
          <w:kern w:val="0"/>
          <w:szCs w:val="21"/>
          <w:lang w:val="en-US" w:eastAsia="zh-CN"/>
        </w:rPr>
        <w:t>2021</w:t>
      </w:r>
      <w:r>
        <w:rPr>
          <w:rFonts w:hint="eastAsia" w:ascii="宋体" w:hAnsi="宋体" w:cs="宋体"/>
          <w:kern w:val="0"/>
          <w:szCs w:val="21"/>
        </w:rPr>
        <w:t>年</w:t>
      </w:r>
      <w:r>
        <w:rPr>
          <w:rFonts w:hint="eastAsia" w:ascii="宋体" w:hAnsi="宋体" w:cs="宋体"/>
          <w:kern w:val="0"/>
          <w:szCs w:val="21"/>
          <w:lang w:val="en-US" w:eastAsia="zh-CN"/>
        </w:rPr>
        <w:t>10</w:t>
      </w:r>
      <w:r>
        <w:rPr>
          <w:rFonts w:hint="eastAsia" w:ascii="宋体" w:hAnsi="宋体" w:cs="宋体"/>
          <w:kern w:val="0"/>
          <w:szCs w:val="21"/>
        </w:rPr>
        <w:t>月</w:t>
      </w:r>
      <w:r>
        <w:rPr>
          <w:rFonts w:hint="eastAsia" w:ascii="宋体" w:hAnsi="宋体" w:cs="宋体"/>
          <w:kern w:val="0"/>
          <w:szCs w:val="21"/>
          <w:lang w:val="en-US" w:eastAsia="zh-CN"/>
        </w:rPr>
        <w:t>1</w:t>
      </w:r>
      <w:r>
        <w:rPr>
          <w:rFonts w:hint="eastAsia" w:ascii="宋体" w:hAnsi="宋体" w:cs="宋体"/>
          <w:kern w:val="0"/>
          <w:szCs w:val="21"/>
        </w:rPr>
        <w:t>日</w:t>
      </w:r>
      <w:r>
        <w:rPr>
          <w:rFonts w:hint="eastAsia" w:ascii="宋体" w:hAnsi="宋体" w:cs="宋体"/>
          <w:kern w:val="0"/>
          <w:szCs w:val="21"/>
          <w:lang w:val="en-US" w:eastAsia="zh-CN"/>
        </w:rPr>
        <w:t>-2023</w:t>
      </w:r>
      <w:r>
        <w:rPr>
          <w:rFonts w:hint="eastAsia" w:ascii="宋体" w:hAnsi="宋体" w:cs="宋体"/>
          <w:kern w:val="0"/>
          <w:szCs w:val="21"/>
        </w:rPr>
        <w:t>年</w:t>
      </w:r>
      <w:r>
        <w:rPr>
          <w:rFonts w:hint="eastAsia" w:ascii="宋体" w:hAnsi="宋体" w:cs="宋体"/>
          <w:kern w:val="0"/>
          <w:szCs w:val="21"/>
          <w:lang w:val="en-US" w:eastAsia="zh-CN"/>
        </w:rPr>
        <w:t>12</w:t>
      </w:r>
      <w:r>
        <w:rPr>
          <w:rFonts w:hint="eastAsia" w:ascii="宋体" w:hAnsi="宋体" w:cs="宋体"/>
          <w:kern w:val="0"/>
          <w:szCs w:val="21"/>
        </w:rPr>
        <w:t>月</w:t>
      </w:r>
      <w:r>
        <w:rPr>
          <w:rFonts w:hint="eastAsia" w:ascii="宋体" w:hAnsi="宋体" w:cs="宋体"/>
          <w:kern w:val="0"/>
          <w:szCs w:val="21"/>
          <w:lang w:val="en-US" w:eastAsia="zh-CN"/>
        </w:rPr>
        <w:t>31</w:t>
      </w:r>
      <w:r>
        <w:rPr>
          <w:rFonts w:hint="eastAsia" w:ascii="宋体" w:hAnsi="宋体" w:cs="宋体"/>
          <w:kern w:val="0"/>
          <w:szCs w:val="21"/>
        </w:rPr>
        <w:t xml:space="preserve"> 日</w:t>
      </w:r>
    </w:p>
    <w:p>
      <w:pPr>
        <w:widowControl/>
        <w:numPr>
          <w:ilvl w:val="0"/>
          <w:numId w:val="3"/>
        </w:numPr>
        <w:spacing w:line="600" w:lineRule="exact"/>
        <w:ind w:left="1120" w:leftChars="0" w:firstLine="0" w:firstLineChars="0"/>
        <w:jc w:val="left"/>
        <w:rPr>
          <w:rFonts w:hint="default"/>
          <w:lang w:val="en-US" w:eastAsia="zh-CN"/>
        </w:rPr>
      </w:pPr>
      <w:r>
        <w:rPr>
          <w:rFonts w:hint="eastAsia" w:ascii="仿宋_GB2312" w:eastAsia="仿宋_GB2312"/>
          <w:color w:val="000000"/>
          <w:sz w:val="32"/>
          <w:szCs w:val="30"/>
        </w:rPr>
        <w:t>年度预算安排</w:t>
      </w:r>
      <w:r>
        <w:rPr>
          <w:rFonts w:hint="eastAsia" w:ascii="仿宋_GB2312"/>
          <w:color w:val="000000"/>
          <w:sz w:val="32"/>
          <w:szCs w:val="30"/>
          <w:lang w:eastAsia="zh-CN"/>
        </w:rPr>
        <w:t>：</w:t>
      </w:r>
      <w:r>
        <w:rPr>
          <w:rFonts w:hint="eastAsia" w:ascii="宋体" w:hAnsi="宋体" w:eastAsia="宋体"/>
          <w:szCs w:val="21"/>
          <w:lang w:val="en-US" w:eastAsia="zh-CN"/>
        </w:rPr>
        <w:t>14130</w:t>
      </w:r>
      <w:r>
        <w:rPr>
          <w:rFonts w:hint="eastAsia" w:ascii="宋体" w:hAnsi="宋体" w:cs="宋体"/>
          <w:kern w:val="0"/>
          <w:szCs w:val="21"/>
          <w:lang w:val="en-US" w:eastAsia="zh-CN"/>
        </w:rPr>
        <w:t>万元</w:t>
      </w:r>
    </w:p>
    <w:p>
      <w:pPr>
        <w:numPr>
          <w:ilvl w:val="0"/>
          <w:numId w:val="3"/>
        </w:numPr>
        <w:spacing w:line="576" w:lineRule="exact"/>
        <w:ind w:left="1120" w:leftChars="0" w:firstLine="0" w:firstLineChars="0"/>
        <w:jc w:val="left"/>
        <w:rPr>
          <w:rFonts w:hint="eastAsia" w:ascii="仿宋_GB2312"/>
          <w:color w:val="000000"/>
          <w:sz w:val="32"/>
          <w:szCs w:val="30"/>
          <w:lang w:eastAsia="zh-CN"/>
        </w:rPr>
      </w:pPr>
      <w:r>
        <w:rPr>
          <w:rFonts w:hint="eastAsia" w:ascii="仿宋_GB2312" w:eastAsia="仿宋_GB2312"/>
          <w:color w:val="000000"/>
          <w:sz w:val="32"/>
          <w:szCs w:val="30"/>
        </w:rPr>
        <w:t>绩效目标和指标</w:t>
      </w:r>
      <w:r>
        <w:rPr>
          <w:rFonts w:hint="eastAsia" w:ascii="仿宋_GB2312"/>
          <w:color w:val="000000"/>
          <w:sz w:val="32"/>
          <w:szCs w:val="30"/>
          <w:lang w:eastAsia="zh-CN"/>
        </w:rPr>
        <w:t>：</w:t>
      </w:r>
      <w:r>
        <w:rPr>
          <w:rFonts w:hint="eastAsia" w:ascii="宋体" w:hAnsi="宋体"/>
          <w:szCs w:val="21"/>
        </w:rPr>
        <w:t>2021年10月开工，2022年完成路基及管涵管网工程80%，约总工程量30%</w:t>
      </w:r>
      <w:r>
        <w:rPr>
          <w:rFonts w:hint="eastAsia" w:ascii="宋体" w:hAnsi="宋体"/>
          <w:szCs w:val="21"/>
          <w:lang w:eastAsia="zh-CN"/>
        </w:rPr>
        <w:t>。</w:t>
      </w:r>
    </w:p>
    <w:p>
      <w:pPr>
        <w:spacing w:line="576" w:lineRule="exact"/>
        <w:ind w:firstLine="640" w:firstLineChars="200"/>
        <w:jc w:val="left"/>
        <w:rPr>
          <w:rFonts w:ascii="楷体" w:hAnsi="楷体" w:eastAsia="楷体" w:cs="楷体"/>
          <w:szCs w:val="32"/>
        </w:rPr>
      </w:pPr>
      <w:r>
        <w:rPr>
          <w:rFonts w:hint="eastAsia" w:ascii="楷体" w:hAnsi="楷体" w:eastAsia="楷体" w:cs="楷体"/>
          <w:szCs w:val="32"/>
        </w:rPr>
        <w:t>二、2022年“三公”经费预算情况说明</w:t>
      </w:r>
    </w:p>
    <w:p>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sz w:val="32"/>
          <w:szCs w:val="32"/>
          <w:shd w:val="clear" w:color="auto" w:fill="FFFFFF"/>
        </w:rPr>
        <w:t>2022年</w:t>
      </w:r>
      <w:r>
        <w:rPr>
          <w:rFonts w:hint="eastAsia" w:ascii="仿宋_GB2312" w:eastAsia="仿宋_GB2312"/>
          <w:color w:val="000000"/>
          <w:sz w:val="32"/>
          <w:szCs w:val="32"/>
          <w:shd w:val="clear" w:color="auto" w:fill="FFFFFF"/>
        </w:rPr>
        <w:t>安义县</w:t>
      </w:r>
      <w:r>
        <w:rPr>
          <w:rFonts w:hint="eastAsia" w:ascii="仿宋_GB2312" w:eastAsia="仿宋_GB2312"/>
          <w:color w:val="000000"/>
          <w:sz w:val="32"/>
          <w:szCs w:val="32"/>
          <w:shd w:val="clear" w:color="auto" w:fill="FFFFFF"/>
          <w:lang w:val="en-US" w:eastAsia="zh-CN"/>
        </w:rPr>
        <w:t>住房和城乡建设局部门</w:t>
      </w:r>
      <w:r>
        <w:rPr>
          <w:rFonts w:hint="eastAsia" w:ascii="仿宋_GB2312" w:eastAsia="仿宋_GB2312"/>
          <w:sz w:val="32"/>
          <w:szCs w:val="32"/>
          <w:shd w:val="clear" w:color="auto" w:fill="FFFFFF"/>
        </w:rPr>
        <w:t>“三公”经费预算合计</w:t>
      </w:r>
      <w:r>
        <w:rPr>
          <w:rFonts w:hint="eastAsia" w:ascii="仿宋_GB2312" w:eastAsia="仿宋_GB2312"/>
          <w:sz w:val="32"/>
          <w:szCs w:val="32"/>
          <w:shd w:val="clear" w:color="auto" w:fill="FFFFFF"/>
          <w:lang w:val="en-US" w:eastAsia="zh-CN"/>
        </w:rPr>
        <w:t>2.29</w:t>
      </w:r>
      <w:r>
        <w:rPr>
          <w:rFonts w:hint="eastAsia" w:ascii="仿宋_GB2312" w:eastAsia="仿宋_GB2312"/>
          <w:sz w:val="32"/>
          <w:szCs w:val="32"/>
          <w:shd w:val="clear" w:color="auto" w:fill="FFFFFF"/>
        </w:rPr>
        <w:t>万元。</w:t>
      </w:r>
      <w:r>
        <w:rPr>
          <w:rFonts w:hint="eastAsia" w:ascii="仿宋_GB2312" w:eastAsia="仿宋_GB2312"/>
          <w:color w:val="000000"/>
          <w:sz w:val="32"/>
          <w:szCs w:val="30"/>
        </w:rPr>
        <w:t>其中：</w:t>
      </w:r>
    </w:p>
    <w:p>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因公出国（境）费</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万元，比上年</w:t>
      </w:r>
      <w:r>
        <w:rPr>
          <w:rFonts w:hint="eastAsia" w:ascii="仿宋_GB2312" w:eastAsia="仿宋_GB2312"/>
          <w:color w:val="000000"/>
          <w:sz w:val="32"/>
          <w:szCs w:val="30"/>
          <w:lang w:val="en-US" w:eastAsia="zh-CN"/>
        </w:rPr>
        <w:t>无增减</w:t>
      </w:r>
      <w:r>
        <w:rPr>
          <w:rFonts w:hint="eastAsia" w:ascii="仿宋_GB2312" w:eastAsia="仿宋_GB2312"/>
          <w:color w:val="000000"/>
          <w:sz w:val="32"/>
          <w:szCs w:val="30"/>
        </w:rPr>
        <w:t>，主要原因是：</w:t>
      </w:r>
      <w:r>
        <w:rPr>
          <w:rFonts w:hint="eastAsia" w:ascii="仿宋_GB2312" w:eastAsia="仿宋_GB2312"/>
          <w:color w:val="000000"/>
          <w:sz w:val="32"/>
          <w:szCs w:val="30"/>
          <w:lang w:val="en-US" w:eastAsia="zh-CN"/>
        </w:rPr>
        <w:t>本单位无因公出国（境）</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公务接待费</w:t>
      </w:r>
      <w:r>
        <w:rPr>
          <w:rFonts w:hint="eastAsia" w:ascii="仿宋_GB2312" w:eastAsia="仿宋_GB2312"/>
          <w:color w:val="000000"/>
          <w:sz w:val="32"/>
          <w:szCs w:val="30"/>
          <w:lang w:val="en-US" w:eastAsia="zh-CN"/>
        </w:rPr>
        <w:t>0.8</w:t>
      </w:r>
      <w:r>
        <w:rPr>
          <w:rFonts w:hint="eastAsia" w:ascii="仿宋_GB2312" w:eastAsia="仿宋_GB2312"/>
          <w:color w:val="000000"/>
          <w:sz w:val="32"/>
          <w:szCs w:val="30"/>
        </w:rPr>
        <w:t>万元，比上年减</w:t>
      </w:r>
      <w:r>
        <w:rPr>
          <w:rFonts w:hint="eastAsia" w:ascii="仿宋_GB2312" w:eastAsia="仿宋_GB2312"/>
          <w:color w:val="000000"/>
          <w:sz w:val="32"/>
          <w:szCs w:val="30"/>
          <w:lang w:val="en-US" w:eastAsia="zh-CN"/>
        </w:rPr>
        <w:t>少0.46</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本单位公务接待减少</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公务用车运行维护费</w:t>
      </w:r>
      <w:r>
        <w:rPr>
          <w:rFonts w:hint="eastAsia" w:ascii="仿宋_GB2312" w:eastAsia="仿宋_GB2312"/>
          <w:color w:val="000000"/>
          <w:sz w:val="32"/>
          <w:szCs w:val="30"/>
          <w:lang w:val="en-US" w:eastAsia="zh-CN"/>
        </w:rPr>
        <w:t>1.49</w:t>
      </w:r>
      <w:r>
        <w:rPr>
          <w:rFonts w:hint="eastAsia" w:ascii="仿宋_GB2312" w:eastAsia="仿宋_GB2312"/>
          <w:color w:val="000000"/>
          <w:sz w:val="32"/>
          <w:szCs w:val="30"/>
        </w:rPr>
        <w:t>万元，比上年减</w:t>
      </w:r>
      <w:r>
        <w:rPr>
          <w:rFonts w:hint="eastAsia" w:ascii="仿宋_GB2312" w:eastAsia="仿宋_GB2312"/>
          <w:color w:val="000000"/>
          <w:sz w:val="32"/>
          <w:szCs w:val="30"/>
          <w:lang w:val="en-US" w:eastAsia="zh-CN"/>
        </w:rPr>
        <w:t>少0.01</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本单位无公务用车运行</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公务用车购置费</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万元，比上年增（减）</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本单位无公务用车购置</w:t>
      </w:r>
      <w:r>
        <w:rPr>
          <w:rFonts w:hint="eastAsia" w:ascii="仿宋_GB2312" w:eastAsia="仿宋_GB2312"/>
          <w:color w:val="000000"/>
          <w:sz w:val="32"/>
          <w:szCs w:val="30"/>
        </w:rPr>
        <w:t>。</w:t>
      </w:r>
    </w:p>
    <w:p>
      <w:pPr>
        <w:spacing w:line="576" w:lineRule="exact"/>
        <w:ind w:firstLine="960" w:firstLineChars="300"/>
        <w:rPr>
          <w:rFonts w:hint="eastAsia" w:ascii="仿宋_GB2312" w:eastAsia="仿宋_GB2312"/>
          <w:sz w:val="32"/>
          <w:szCs w:val="32"/>
          <w:shd w:val="clear" w:color="auto" w:fill="FFFFFF"/>
        </w:rPr>
      </w:pP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三</w:t>
      </w:r>
      <w:r>
        <w:rPr>
          <w:rFonts w:hint="eastAsia" w:ascii="楷体" w:hAnsi="楷体" w:eastAsia="楷体" w:cs="楷体"/>
          <w:szCs w:val="32"/>
        </w:rPr>
        <w:t>、安义县住房和城乡建设局</w:t>
      </w:r>
      <w:r>
        <w:rPr>
          <w:rFonts w:hint="eastAsia" w:ascii="楷体" w:hAnsi="楷体" w:eastAsia="楷体" w:cs="楷体"/>
          <w:szCs w:val="32"/>
          <w:lang w:eastAsia="zh-CN"/>
        </w:rPr>
        <w:t>、安义县优化人居环境事务中心、安义县建筑产业服务中心、安义县住房保障中心</w:t>
      </w:r>
      <w:r>
        <w:rPr>
          <w:rFonts w:hint="eastAsia" w:ascii="楷体" w:hAnsi="楷体" w:eastAsia="楷体" w:cs="楷体"/>
          <w:szCs w:val="32"/>
          <w:lang w:val="en-US" w:eastAsia="zh-CN"/>
        </w:rPr>
        <w:t>单位预算具体说明</w:t>
      </w:r>
    </w:p>
    <w:p>
      <w:pPr>
        <w:spacing w:line="576" w:lineRule="exact"/>
        <w:ind w:firstLine="640" w:firstLineChars="200"/>
        <w:jc w:val="left"/>
        <w:rPr>
          <w:rFonts w:hint="eastAsia" w:ascii="楷体" w:hAnsi="楷体" w:eastAsia="楷体" w:cs="楷体"/>
          <w:szCs w:val="32"/>
          <w:lang w:val="en-US" w:eastAsia="zh-CN"/>
        </w:rPr>
      </w:pPr>
      <w:r>
        <w:rPr>
          <w:rFonts w:hint="eastAsia" w:ascii="仿宋_GB2312" w:hAnsi="宋体"/>
          <w:color w:val="000000"/>
          <w:szCs w:val="32"/>
          <w:shd w:val="clear" w:color="auto" w:fill="FFFFFF"/>
        </w:rPr>
        <w:t>（一）</w:t>
      </w:r>
      <w:r>
        <w:rPr>
          <w:rFonts w:hint="eastAsia" w:ascii="楷体" w:hAnsi="楷体" w:eastAsia="楷体" w:cs="楷体"/>
          <w:szCs w:val="32"/>
        </w:rPr>
        <w:t>安义县住房和城乡建设局</w:t>
      </w:r>
      <w:r>
        <w:rPr>
          <w:rFonts w:hint="eastAsia" w:ascii="楷体" w:hAnsi="楷体" w:eastAsia="楷体" w:cs="楷体"/>
          <w:szCs w:val="32"/>
          <w:lang w:val="en-US" w:eastAsia="zh-CN"/>
        </w:rPr>
        <w:t>本级</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1、基本情况</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安义县住房和城乡建设局</w:t>
      </w:r>
      <w:r>
        <w:rPr>
          <w:rFonts w:hint="eastAsia" w:ascii="楷体" w:hAnsi="楷体" w:eastAsia="楷体" w:cs="楷体"/>
          <w:szCs w:val="32"/>
          <w:lang w:val="en-US" w:eastAsia="zh-CN"/>
        </w:rPr>
        <w:t>本级</w:t>
      </w:r>
      <w:r>
        <w:rPr>
          <w:rFonts w:hint="eastAsia" w:ascii="楷体" w:hAnsi="楷体" w:eastAsia="楷体" w:cs="楷体"/>
          <w:szCs w:val="32"/>
        </w:rPr>
        <w:t>年初编制人数</w:t>
      </w:r>
      <w:r>
        <w:rPr>
          <w:rFonts w:hint="eastAsia" w:ascii="楷体" w:hAnsi="楷体" w:eastAsia="楷体" w:cs="楷体"/>
          <w:szCs w:val="32"/>
          <w:lang w:val="en-US" w:eastAsia="zh-CN"/>
        </w:rPr>
        <w:t>12</w:t>
      </w:r>
      <w:r>
        <w:rPr>
          <w:rFonts w:hint="eastAsia" w:ascii="楷体" w:hAnsi="楷体" w:eastAsia="楷体" w:cs="楷体"/>
          <w:szCs w:val="32"/>
        </w:rPr>
        <w:t>人，其中行政编制</w:t>
      </w:r>
      <w:r>
        <w:rPr>
          <w:rFonts w:hint="eastAsia" w:ascii="楷体" w:hAnsi="楷体" w:eastAsia="楷体" w:cs="楷体"/>
          <w:szCs w:val="32"/>
          <w:lang w:val="en-US" w:eastAsia="zh-CN"/>
        </w:rPr>
        <w:t>12</w:t>
      </w:r>
      <w:r>
        <w:rPr>
          <w:rFonts w:hint="eastAsia" w:ascii="楷体" w:hAnsi="楷体" w:eastAsia="楷体" w:cs="楷体"/>
          <w:szCs w:val="32"/>
        </w:rPr>
        <w:t>人，事业编制</w:t>
      </w:r>
      <w:r>
        <w:rPr>
          <w:rFonts w:hint="eastAsia" w:ascii="楷体" w:hAnsi="楷体" w:eastAsia="楷体" w:cs="楷体"/>
          <w:szCs w:val="32"/>
          <w:lang w:val="en-US" w:eastAsia="zh-CN"/>
        </w:rPr>
        <w:t>0</w:t>
      </w:r>
      <w:r>
        <w:rPr>
          <w:rFonts w:hint="eastAsia" w:ascii="楷体" w:hAnsi="楷体" w:eastAsia="楷体" w:cs="楷体"/>
          <w:szCs w:val="32"/>
        </w:rPr>
        <w:t>人;其中在职</w:t>
      </w:r>
      <w:r>
        <w:rPr>
          <w:rFonts w:hint="eastAsia" w:ascii="楷体" w:hAnsi="楷体" w:eastAsia="楷体" w:cs="楷体"/>
          <w:szCs w:val="32"/>
          <w:lang w:val="en-US" w:eastAsia="zh-CN"/>
        </w:rPr>
        <w:t>9</w:t>
      </w:r>
      <w:r>
        <w:rPr>
          <w:rFonts w:hint="eastAsia" w:ascii="楷体" w:hAnsi="楷体" w:eastAsia="楷体" w:cs="楷体"/>
          <w:szCs w:val="32"/>
        </w:rPr>
        <w:t>人，离休0人，退休人员</w:t>
      </w:r>
      <w:r>
        <w:rPr>
          <w:rFonts w:hint="eastAsia" w:ascii="楷体" w:hAnsi="楷体" w:eastAsia="楷体" w:cs="楷体"/>
          <w:szCs w:val="32"/>
          <w:lang w:val="en-US" w:eastAsia="zh-CN"/>
        </w:rPr>
        <w:t>16</w:t>
      </w:r>
      <w:r>
        <w:rPr>
          <w:rFonts w:hint="eastAsia" w:ascii="楷体" w:hAnsi="楷体" w:eastAsia="楷体" w:cs="楷体"/>
          <w:szCs w:val="32"/>
        </w:rPr>
        <w:t>人；年末学生人数0人。</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2、2022年预算收支情况</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2022年</w:t>
      </w:r>
      <w:r>
        <w:rPr>
          <w:rFonts w:hint="eastAsia" w:ascii="楷体" w:hAnsi="楷体" w:eastAsia="楷体" w:cs="楷体"/>
          <w:szCs w:val="32"/>
        </w:rPr>
        <w:t>安义县住房和城乡建设局</w:t>
      </w:r>
      <w:r>
        <w:rPr>
          <w:rFonts w:hint="eastAsia" w:ascii="楷体" w:hAnsi="楷体" w:eastAsia="楷体" w:cs="楷体"/>
          <w:szCs w:val="32"/>
          <w:lang w:val="en-US" w:eastAsia="zh-CN"/>
        </w:rPr>
        <w:t>本级收入预算总额为196.95万元。其中：财政拨款196.95万元。较上年222.12</w:t>
      </w:r>
      <w:r>
        <w:rPr>
          <w:rFonts w:hint="eastAsia" w:ascii="楷体" w:hAnsi="楷体" w:eastAsia="楷体" w:cs="楷体"/>
          <w:szCs w:val="32"/>
        </w:rPr>
        <w:t>万元</w:t>
      </w:r>
      <w:r>
        <w:rPr>
          <w:rFonts w:hint="eastAsia" w:ascii="楷体" w:hAnsi="楷体" w:eastAsia="楷体" w:cs="楷体"/>
          <w:szCs w:val="32"/>
          <w:lang w:val="en-US" w:eastAsia="zh-CN"/>
        </w:rPr>
        <w:t>减少25.17万元。</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2022年</w:t>
      </w:r>
      <w:r>
        <w:rPr>
          <w:rFonts w:hint="eastAsia" w:ascii="楷体" w:hAnsi="楷体" w:eastAsia="楷体" w:cs="楷体"/>
          <w:szCs w:val="32"/>
        </w:rPr>
        <w:t>安义县住房和城乡建设局</w:t>
      </w:r>
      <w:r>
        <w:rPr>
          <w:rFonts w:hint="eastAsia" w:ascii="楷体" w:hAnsi="楷体" w:eastAsia="楷体" w:cs="楷体"/>
          <w:szCs w:val="32"/>
          <w:lang w:val="en-US" w:eastAsia="zh-CN"/>
        </w:rPr>
        <w:t>本级支出预算总额为196.95万元。其中：财政拨款196.95万元。较上年222.12</w:t>
      </w:r>
      <w:r>
        <w:rPr>
          <w:rFonts w:hint="eastAsia" w:ascii="楷体" w:hAnsi="楷体" w:eastAsia="楷体" w:cs="楷体"/>
          <w:szCs w:val="32"/>
        </w:rPr>
        <w:t>万元</w:t>
      </w:r>
      <w:r>
        <w:rPr>
          <w:rFonts w:hint="eastAsia" w:ascii="楷体" w:hAnsi="楷体" w:eastAsia="楷体" w:cs="楷体"/>
          <w:szCs w:val="32"/>
          <w:lang w:val="en-US" w:eastAsia="zh-CN"/>
        </w:rPr>
        <w:t>减少25.17万元。</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按支出项目类别划分：人员类支出为184.93万元；公用经费类为12.03万元。较上年减少25.17万元</w:t>
      </w:r>
      <w:r>
        <w:rPr>
          <w:rFonts w:hint="eastAsia" w:ascii="仿宋_GB2312" w:eastAsia="仿宋_GB2312"/>
          <w:color w:val="000000"/>
          <w:sz w:val="32"/>
          <w:szCs w:val="32"/>
          <w:shd w:val="clear" w:color="auto" w:fill="FFFFFF"/>
          <w:lang w:val="en-US" w:eastAsia="zh-CN"/>
        </w:rPr>
        <w:t>。</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按支出功能科目划分：事业单位医疗为11.25万元，住房公积金为7.88万元，机关事业单位基本养老保险缴费支出为10.51万元，行政运行167.31万元。较上年减少25.17万元</w:t>
      </w:r>
      <w:r>
        <w:rPr>
          <w:rFonts w:hint="eastAsia" w:ascii="仿宋_GB2312" w:eastAsia="仿宋_GB2312"/>
          <w:color w:val="000000"/>
          <w:sz w:val="32"/>
          <w:szCs w:val="32"/>
          <w:shd w:val="clear" w:color="auto" w:fill="FFFFFF"/>
          <w:lang w:val="en-US" w:eastAsia="zh-CN"/>
        </w:rPr>
        <w:t>。</w:t>
      </w:r>
    </w:p>
    <w:p>
      <w:pPr>
        <w:spacing w:line="576" w:lineRule="exact"/>
        <w:ind w:firstLine="640" w:firstLineChars="200"/>
        <w:jc w:val="left"/>
        <w:rPr>
          <w:rFonts w:hint="eastAsia" w:ascii="楷体" w:hAnsi="楷体" w:eastAsia="楷体" w:cs="楷体"/>
          <w:szCs w:val="32"/>
          <w:lang w:val="en-US" w:eastAsia="zh-CN"/>
        </w:rPr>
      </w:pPr>
      <w:r>
        <w:rPr>
          <w:rFonts w:hint="eastAsia" w:ascii="仿宋_GB2312" w:hAnsi="宋体"/>
          <w:color w:val="000000"/>
          <w:szCs w:val="32"/>
          <w:shd w:val="clear" w:color="auto" w:fill="FFFFFF"/>
        </w:rPr>
        <w:t>（</w:t>
      </w:r>
      <w:r>
        <w:rPr>
          <w:rFonts w:hint="eastAsia" w:ascii="仿宋_GB2312" w:hAnsi="宋体"/>
          <w:color w:val="000000"/>
          <w:szCs w:val="32"/>
          <w:shd w:val="clear" w:color="auto" w:fill="FFFFFF"/>
          <w:lang w:val="en-US" w:eastAsia="zh-CN"/>
        </w:rPr>
        <w:t>二</w:t>
      </w:r>
      <w:r>
        <w:rPr>
          <w:rFonts w:hint="eastAsia" w:ascii="仿宋_GB2312" w:hAnsi="宋体"/>
          <w:color w:val="000000"/>
          <w:szCs w:val="32"/>
          <w:shd w:val="clear" w:color="auto" w:fill="FFFFFF"/>
        </w:rPr>
        <w:t>）</w:t>
      </w:r>
      <w:r>
        <w:rPr>
          <w:rFonts w:hint="eastAsia" w:ascii="楷体" w:hAnsi="楷体" w:eastAsia="楷体" w:cs="楷体"/>
          <w:szCs w:val="32"/>
          <w:lang w:eastAsia="zh-CN"/>
        </w:rPr>
        <w:t>安义县优化人居环境事务中心</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1、基本情况</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lang w:eastAsia="zh-CN"/>
        </w:rPr>
        <w:t>安义县优化人居环境事务中心</w:t>
      </w:r>
      <w:r>
        <w:rPr>
          <w:rFonts w:hint="eastAsia" w:ascii="楷体" w:hAnsi="楷体" w:eastAsia="楷体" w:cs="楷体"/>
          <w:szCs w:val="32"/>
        </w:rPr>
        <w:t>年初编制人数</w:t>
      </w:r>
      <w:r>
        <w:rPr>
          <w:rFonts w:hint="eastAsia" w:ascii="楷体" w:hAnsi="楷体" w:eastAsia="楷体" w:cs="楷体"/>
          <w:szCs w:val="32"/>
          <w:lang w:val="en-US" w:eastAsia="zh-CN"/>
        </w:rPr>
        <w:t>26</w:t>
      </w:r>
      <w:r>
        <w:rPr>
          <w:rFonts w:hint="eastAsia" w:ascii="楷体" w:hAnsi="楷体" w:eastAsia="楷体" w:cs="楷体"/>
          <w:szCs w:val="32"/>
        </w:rPr>
        <w:t>人，其中行政编制</w:t>
      </w:r>
      <w:r>
        <w:rPr>
          <w:rFonts w:hint="eastAsia" w:ascii="楷体" w:hAnsi="楷体" w:eastAsia="楷体" w:cs="楷体"/>
          <w:szCs w:val="32"/>
          <w:lang w:val="en-US" w:eastAsia="zh-CN"/>
        </w:rPr>
        <w:t>0</w:t>
      </w:r>
      <w:r>
        <w:rPr>
          <w:rFonts w:hint="eastAsia" w:ascii="楷体" w:hAnsi="楷体" w:eastAsia="楷体" w:cs="楷体"/>
          <w:szCs w:val="32"/>
        </w:rPr>
        <w:t>人，事业编制</w:t>
      </w:r>
      <w:r>
        <w:rPr>
          <w:rFonts w:hint="eastAsia" w:ascii="楷体" w:hAnsi="楷体" w:eastAsia="楷体" w:cs="楷体"/>
          <w:szCs w:val="32"/>
          <w:lang w:val="en-US" w:eastAsia="zh-CN"/>
        </w:rPr>
        <w:t>26</w:t>
      </w:r>
      <w:r>
        <w:rPr>
          <w:rFonts w:hint="eastAsia" w:ascii="楷体" w:hAnsi="楷体" w:eastAsia="楷体" w:cs="楷体"/>
          <w:szCs w:val="32"/>
        </w:rPr>
        <w:t>人;其中在职</w:t>
      </w:r>
      <w:r>
        <w:rPr>
          <w:rFonts w:hint="eastAsia" w:ascii="楷体" w:hAnsi="楷体" w:eastAsia="楷体" w:cs="楷体"/>
          <w:szCs w:val="32"/>
          <w:lang w:val="en-US" w:eastAsia="zh-CN"/>
        </w:rPr>
        <w:t>21</w:t>
      </w:r>
      <w:r>
        <w:rPr>
          <w:rFonts w:hint="eastAsia" w:ascii="楷体" w:hAnsi="楷体" w:eastAsia="楷体" w:cs="楷体"/>
          <w:szCs w:val="32"/>
        </w:rPr>
        <w:t>人，离休0人，退休人员</w:t>
      </w:r>
      <w:r>
        <w:rPr>
          <w:rFonts w:hint="eastAsia" w:ascii="楷体" w:hAnsi="楷体" w:eastAsia="楷体" w:cs="楷体"/>
          <w:szCs w:val="32"/>
          <w:lang w:val="en-US" w:eastAsia="zh-CN"/>
        </w:rPr>
        <w:t>6</w:t>
      </w:r>
      <w:r>
        <w:rPr>
          <w:rFonts w:hint="eastAsia" w:ascii="楷体" w:hAnsi="楷体" w:eastAsia="楷体" w:cs="楷体"/>
          <w:szCs w:val="32"/>
        </w:rPr>
        <w:t>人；年末学生人数0人。</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2、2022年预算收支情况</w:t>
      </w:r>
    </w:p>
    <w:p>
      <w:pPr>
        <w:spacing w:line="560" w:lineRule="exact"/>
        <w:ind w:firstLine="640" w:firstLineChars="200"/>
        <w:rPr>
          <w:rFonts w:hint="default" w:ascii="楷体" w:hAnsi="楷体" w:eastAsia="楷体" w:cs="楷体"/>
          <w:szCs w:val="32"/>
          <w:lang w:val="en-US" w:eastAsia="zh-CN"/>
        </w:rPr>
      </w:pPr>
      <w:r>
        <w:rPr>
          <w:rFonts w:hint="eastAsia" w:ascii="楷体" w:hAnsi="楷体" w:eastAsia="楷体" w:cs="楷体"/>
          <w:szCs w:val="32"/>
          <w:lang w:val="en-US" w:eastAsia="zh-CN"/>
        </w:rPr>
        <w:t>2022年收入预算总额为229.37万元。其中：财政拨款收入229.37万元，占收入预算总额的100%。较上年230.63万元减少1.26万元。</w:t>
      </w:r>
    </w:p>
    <w:p>
      <w:pPr>
        <w:spacing w:line="560" w:lineRule="exact"/>
        <w:ind w:firstLine="640" w:firstLineChars="200"/>
        <w:rPr>
          <w:rFonts w:hint="eastAsia" w:ascii="楷体" w:hAnsi="楷体" w:eastAsia="楷体" w:cs="楷体"/>
          <w:szCs w:val="32"/>
          <w:lang w:val="en-US" w:eastAsia="zh-CN"/>
        </w:rPr>
      </w:pPr>
      <w:r>
        <w:rPr>
          <w:rFonts w:hint="eastAsia" w:ascii="楷体" w:hAnsi="楷体" w:eastAsia="楷体" w:cs="楷体"/>
          <w:szCs w:val="32"/>
          <w:lang w:val="en-US" w:eastAsia="zh-CN"/>
        </w:rPr>
        <w:t>2022年支出预算总额为229.3701万元。较上年230.63万元减少1.26万元。</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按支出项目类别划分：基本支出229.37万元。具体为：工资福利支出224.13万元；商品服务支出3.99万元；对个人和家庭的补助0.05万元；资本性支出1.2万元。较上年减少1.26万元。</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按支出功能科目划分：一般公共服务支出185.93万元；社会保障和就业支出16.22万元；社会保险基金支出15.05万元；住房保障支出12.17万元。较上年减少1.26万元。</w:t>
      </w:r>
    </w:p>
    <w:p>
      <w:pPr>
        <w:numPr>
          <w:ilvl w:val="0"/>
          <w:numId w:val="4"/>
        </w:num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eastAsia="zh-CN"/>
        </w:rPr>
        <w:t>安义县建筑产业服务中心</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1、基本情况</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2022年年初编制人数26人，其中行政编制0人，事业编制26人;其中在职20人，离休0人，退休人员3人；年末学生人数0人。</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2、2022年预算收支情况</w:t>
      </w:r>
    </w:p>
    <w:p>
      <w:pPr>
        <w:spacing w:line="576" w:lineRule="exact"/>
        <w:ind w:firstLine="640" w:firstLineChars="200"/>
        <w:jc w:val="left"/>
        <w:rPr>
          <w:rFonts w:hint="default" w:ascii="楷体" w:hAnsi="楷体" w:eastAsia="楷体" w:cs="楷体"/>
          <w:szCs w:val="32"/>
          <w:lang w:val="en-US" w:eastAsia="zh-CN"/>
        </w:rPr>
      </w:pPr>
      <w:r>
        <w:rPr>
          <w:rFonts w:hint="eastAsia" w:ascii="楷体" w:hAnsi="楷体" w:eastAsia="楷体" w:cs="楷体"/>
          <w:szCs w:val="32"/>
          <w:lang w:val="en-US" w:eastAsia="zh-CN"/>
        </w:rPr>
        <w:t>2022年安义县建筑产业服务中心收入预算总额为</w:t>
      </w:r>
      <w:bookmarkStart w:id="1" w:name="_Hlk91593154"/>
      <w:r>
        <w:rPr>
          <w:rFonts w:hint="eastAsia" w:ascii="楷体" w:hAnsi="楷体" w:eastAsia="楷体" w:cs="楷体"/>
          <w:szCs w:val="32"/>
          <w:lang w:val="en-US" w:eastAsia="zh-CN"/>
        </w:rPr>
        <w:t>294.81</w:t>
      </w:r>
      <w:bookmarkEnd w:id="1"/>
      <w:r>
        <w:rPr>
          <w:rFonts w:hint="eastAsia" w:ascii="楷体" w:hAnsi="楷体" w:eastAsia="楷体" w:cs="楷体"/>
          <w:szCs w:val="32"/>
          <w:lang w:val="en-US" w:eastAsia="zh-CN"/>
        </w:rPr>
        <w:t>万元。其中：财政拨款294.81万元。较上年减少24.29 万元。</w:t>
      </w:r>
    </w:p>
    <w:p>
      <w:pPr>
        <w:spacing w:line="576" w:lineRule="exact"/>
        <w:ind w:firstLine="640" w:firstLineChars="200"/>
        <w:jc w:val="left"/>
        <w:rPr>
          <w:rFonts w:hint="default" w:ascii="楷体" w:hAnsi="楷体" w:eastAsia="楷体" w:cs="楷体"/>
          <w:szCs w:val="32"/>
          <w:lang w:val="en-US" w:eastAsia="zh-CN"/>
        </w:rPr>
      </w:pPr>
      <w:r>
        <w:rPr>
          <w:rFonts w:hint="eastAsia" w:ascii="楷体" w:hAnsi="楷体" w:eastAsia="楷体" w:cs="楷体"/>
          <w:szCs w:val="32"/>
          <w:lang w:val="en-US" w:eastAsia="zh-CN"/>
        </w:rPr>
        <w:t>2022年安义县建筑产业服务中心支出预算总额为294.81万元。其中：财政拨款294.81万元。较上年减少24.29 万元。</w:t>
      </w:r>
    </w:p>
    <w:p>
      <w:pPr>
        <w:spacing w:line="576" w:lineRule="exact"/>
        <w:ind w:firstLine="640" w:firstLineChars="200"/>
        <w:jc w:val="left"/>
        <w:rPr>
          <w:rFonts w:hint="default" w:ascii="楷体" w:hAnsi="楷体" w:eastAsia="楷体" w:cs="楷体"/>
          <w:szCs w:val="32"/>
          <w:lang w:val="en-US" w:eastAsia="zh-CN"/>
        </w:rPr>
      </w:pPr>
      <w:r>
        <w:rPr>
          <w:rFonts w:hint="eastAsia" w:ascii="楷体" w:hAnsi="楷体" w:eastAsia="楷体" w:cs="楷体"/>
          <w:szCs w:val="32"/>
          <w:lang w:val="en-US" w:eastAsia="zh-CN"/>
        </w:rPr>
        <w:t>按支出项目类别划分：人员类支出为285.43万元；公用经费类为9.38万元。较上年减少24.29 万元。</w:t>
      </w:r>
    </w:p>
    <w:p>
      <w:pPr>
        <w:spacing w:line="576" w:lineRule="exact"/>
        <w:ind w:firstLine="640" w:firstLineChars="200"/>
        <w:jc w:val="left"/>
        <w:rPr>
          <w:rFonts w:hint="default" w:ascii="楷体" w:hAnsi="楷体" w:eastAsia="楷体" w:cs="楷体"/>
          <w:szCs w:val="32"/>
          <w:lang w:val="en-US" w:eastAsia="zh-CN"/>
        </w:rPr>
      </w:pPr>
      <w:r>
        <w:rPr>
          <w:rFonts w:hint="eastAsia" w:ascii="楷体" w:hAnsi="楷体" w:eastAsia="楷体" w:cs="楷体"/>
          <w:szCs w:val="32"/>
          <w:lang w:val="en-US" w:eastAsia="zh-CN"/>
        </w:rPr>
        <w:t>按支出功能科目划分：事业单位医疗为19.25万元，住房公积金为15.88万元，机关事业单位基本养老保险缴费支出为21.18万元，行政运行238.49万元。较上年减少24.29 万元。</w:t>
      </w:r>
    </w:p>
    <w:p>
      <w:pPr>
        <w:spacing w:line="576" w:lineRule="exact"/>
        <w:ind w:firstLine="640" w:firstLineChars="200"/>
        <w:jc w:val="left"/>
        <w:rPr>
          <w:rFonts w:hint="eastAsia" w:ascii="楷体" w:hAnsi="楷体" w:eastAsia="楷体" w:cs="楷体"/>
          <w:szCs w:val="32"/>
          <w:lang w:val="en-US" w:eastAsia="zh-CN"/>
        </w:rPr>
      </w:pPr>
      <w:r>
        <w:rPr>
          <w:rFonts w:hint="eastAsia" w:ascii="仿宋_GB2312" w:hAnsi="宋体"/>
          <w:color w:val="000000"/>
          <w:szCs w:val="32"/>
          <w:shd w:val="clear" w:color="auto" w:fill="FFFFFF"/>
        </w:rPr>
        <w:t>（</w:t>
      </w:r>
      <w:r>
        <w:rPr>
          <w:rFonts w:hint="eastAsia" w:ascii="仿宋_GB2312" w:hAnsi="宋体"/>
          <w:color w:val="000000"/>
          <w:szCs w:val="32"/>
          <w:shd w:val="clear" w:color="auto" w:fill="FFFFFF"/>
          <w:lang w:val="en-US" w:eastAsia="zh-CN"/>
        </w:rPr>
        <w:t>四</w:t>
      </w:r>
      <w:r>
        <w:rPr>
          <w:rFonts w:hint="eastAsia" w:ascii="仿宋_GB2312" w:hAnsi="宋体"/>
          <w:color w:val="000000"/>
          <w:szCs w:val="32"/>
          <w:shd w:val="clear" w:color="auto" w:fill="FFFFFF"/>
        </w:rPr>
        <w:t>）</w:t>
      </w:r>
      <w:r>
        <w:rPr>
          <w:rFonts w:hint="eastAsia" w:ascii="楷体" w:hAnsi="楷体" w:eastAsia="楷体" w:cs="楷体"/>
          <w:szCs w:val="32"/>
          <w:lang w:eastAsia="zh-CN"/>
        </w:rPr>
        <w:t>安义县</w:t>
      </w:r>
      <w:r>
        <w:rPr>
          <w:rFonts w:hint="eastAsia" w:ascii="楷体" w:hAnsi="楷体" w:eastAsia="楷体" w:cs="楷体"/>
          <w:szCs w:val="32"/>
          <w:lang w:val="en-US" w:eastAsia="zh-CN"/>
        </w:rPr>
        <w:t>住房保障</w:t>
      </w:r>
      <w:r>
        <w:rPr>
          <w:rFonts w:hint="eastAsia" w:ascii="楷体" w:hAnsi="楷体" w:eastAsia="楷体" w:cs="楷体"/>
          <w:szCs w:val="32"/>
          <w:lang w:eastAsia="zh-CN"/>
        </w:rPr>
        <w:t>中心</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1、基本情况</w:t>
      </w:r>
    </w:p>
    <w:p>
      <w:pPr>
        <w:spacing w:line="576" w:lineRule="exact"/>
        <w:ind w:firstLine="600" w:firstLineChars="200"/>
        <w:jc w:val="left"/>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安义县住房保障中心事业编制77人，其中财政全额拨款1人，自收自支76人。实有在编人员76人，其中管理岗位13人，专业技术人员28人，工勤编制35人。退休人员17人。遗属2户5人。</w:t>
      </w:r>
    </w:p>
    <w:p>
      <w:pPr>
        <w:spacing w:line="576" w:lineRule="exact"/>
        <w:ind w:firstLine="640" w:firstLineChars="200"/>
        <w:jc w:val="left"/>
        <w:rPr>
          <w:rFonts w:hint="eastAsia" w:ascii="楷体" w:hAnsi="楷体" w:eastAsia="楷体" w:cs="楷体"/>
          <w:szCs w:val="32"/>
          <w:lang w:val="en-US" w:eastAsia="zh-CN"/>
        </w:rPr>
      </w:pPr>
      <w:r>
        <w:rPr>
          <w:rFonts w:hint="eastAsia" w:ascii="楷体" w:hAnsi="楷体" w:eastAsia="楷体" w:cs="楷体"/>
          <w:szCs w:val="32"/>
          <w:lang w:val="en-US" w:eastAsia="zh-CN"/>
        </w:rPr>
        <w:t>2、2022年预算收支情况</w:t>
      </w:r>
    </w:p>
    <w:p>
      <w:pPr>
        <w:spacing w:line="576" w:lineRule="exact"/>
        <w:ind w:firstLine="600" w:firstLineChars="200"/>
        <w:jc w:val="left"/>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2022年安义县住房保障中心收入预算总额为1057.18万元。其中：财政拨款0万元。</w:t>
      </w:r>
    </w:p>
    <w:p>
      <w:pPr>
        <w:spacing w:line="576" w:lineRule="exact"/>
        <w:ind w:firstLine="600" w:firstLineChars="200"/>
        <w:jc w:val="left"/>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2022年安义县住房保障中心支出预算总额为1057.18万元。其中：财政拨款0万元。</w:t>
      </w:r>
    </w:p>
    <w:p>
      <w:pPr>
        <w:spacing w:line="576" w:lineRule="exact"/>
        <w:ind w:firstLine="600" w:firstLineChars="200"/>
        <w:jc w:val="left"/>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按支出项目类别划分：人员类支出为929.16万元；公用经费类为97.17万元，离退休人员类支出为30.84万元。</w:t>
      </w:r>
    </w:p>
    <w:p>
      <w:pPr>
        <w:spacing w:line="576" w:lineRule="exact"/>
        <w:ind w:firstLine="600" w:firstLineChars="200"/>
        <w:jc w:val="left"/>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按支出功能科目划分：事业单位医疗为61.49万元，住房公积金为50.99万元，机关事业单位基本养老保险缴费支出为67.99万元，其他城乡社区支出876.70万元。</w:t>
      </w:r>
    </w:p>
    <w:p>
      <w:pPr>
        <w:widowControl/>
        <w:spacing w:line="576" w:lineRule="exact"/>
        <w:rPr>
          <w:rFonts w:hint="eastAsia" w:ascii="黑体" w:hAnsi="宋体" w:eastAsia="黑体"/>
          <w:szCs w:val="32"/>
        </w:rPr>
      </w:pPr>
    </w:p>
    <w:p>
      <w:pPr>
        <w:widowControl/>
        <w:spacing w:line="576" w:lineRule="exact"/>
        <w:rPr>
          <w:rFonts w:ascii="黑体" w:hAnsi="宋体" w:eastAsia="黑体"/>
          <w:szCs w:val="32"/>
        </w:rPr>
      </w:pPr>
      <w:r>
        <w:rPr>
          <w:rFonts w:hint="eastAsia" w:ascii="黑体" w:hAnsi="宋体" w:eastAsia="黑体"/>
          <w:szCs w:val="32"/>
        </w:rPr>
        <w:t>第四部分：名词解释</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一、收入科目</w:t>
      </w:r>
    </w:p>
    <w:p>
      <w:pPr>
        <w:widowControl/>
        <w:numPr>
          <w:ilvl w:val="0"/>
          <w:numId w:val="5"/>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财政拨款：指省级财政当年拨付的资金。</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二</w:t>
      </w:r>
      <w:r>
        <w:rPr>
          <w:rFonts w:hint="eastAsia" w:ascii="Adobe 仿宋 Std R" w:hAnsi="Adobe 仿宋 Std R" w:eastAsia="Adobe 仿宋 Std R"/>
          <w:sz w:val="32"/>
          <w:szCs w:val="32"/>
        </w:rPr>
        <w:t>）</w:t>
      </w:r>
      <w:r>
        <w:rPr>
          <w:rFonts w:hint="eastAsia" w:ascii="仿宋_GB2312" w:eastAsia="仿宋_GB2312"/>
          <w:color w:val="000000"/>
          <w:sz w:val="32"/>
          <w:szCs w:val="30"/>
        </w:rPr>
        <w:t>事业收入：指事业单位开展专业业务活动及辅助活动取得的收入。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三</w:t>
      </w:r>
      <w:r>
        <w:rPr>
          <w:rFonts w:hint="eastAsia" w:ascii="Adobe 仿宋 Std R" w:hAnsi="Adobe 仿宋 Std R" w:eastAsia="Adobe 仿宋 Std R"/>
          <w:sz w:val="32"/>
          <w:szCs w:val="32"/>
        </w:rPr>
        <w:t>）</w:t>
      </w:r>
      <w:r>
        <w:rPr>
          <w:rFonts w:hint="eastAsia" w:ascii="仿宋_GB2312" w:eastAsia="仿宋_GB2312"/>
          <w:color w:val="000000"/>
          <w:sz w:val="32"/>
          <w:szCs w:val="30"/>
        </w:rPr>
        <w:t>事业单位经营收入：指事业单位在专业业务活动及辅助活动之外开展非独立核算经营活动取得的收入。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四</w:t>
      </w:r>
      <w:r>
        <w:rPr>
          <w:rFonts w:hint="eastAsia" w:ascii="Adobe 仿宋 Std R" w:hAnsi="Adobe 仿宋 Std R" w:eastAsia="Adobe 仿宋 Std R"/>
          <w:sz w:val="32"/>
          <w:szCs w:val="32"/>
        </w:rPr>
        <w:t>）</w:t>
      </w:r>
      <w:r>
        <w:rPr>
          <w:rFonts w:hint="eastAsia" w:ascii="仿宋_GB2312" w:eastAsia="仿宋_GB2312"/>
          <w:color w:val="000000"/>
          <w:sz w:val="32"/>
          <w:szCs w:val="30"/>
        </w:rPr>
        <w:t>其他收入：指除财政拨款、事业收入、事业单位经营收入等以外的各项收入。</w:t>
      </w:r>
    </w:p>
    <w:p>
      <w:pPr>
        <w:spacing w:line="600" w:lineRule="exact"/>
        <w:ind w:firstLine="640" w:firstLineChars="200"/>
        <w:rPr>
          <w:rFonts w:ascii="Adobe 仿宋 Std R" w:hAnsi="Adobe 仿宋 Std R" w:eastAsia="Adobe 仿宋 Std R"/>
          <w:sz w:val="32"/>
          <w:szCs w:val="32"/>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上年结转和结余：填列2021年全部结转和结余的资金数，包括当年结转结余资金和历年滚存结转结余资金。</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二、支出科目</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（一）行政运行：反映行政单位（包括参公单位）的基本支出。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（二）一般行政管理事务：反映行政单位（包括参公单位）未单独设置项级科目的其他项目支出。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（三）机关服务：反映为行政单位（包括参公单位）提供后勤服务的各类后勤服务中心的支出。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四</w:t>
      </w:r>
      <w:r>
        <w:rPr>
          <w:rFonts w:hint="eastAsia" w:ascii="仿宋_GB2312" w:eastAsia="仿宋_GB2312"/>
          <w:sz w:val="32"/>
          <w:szCs w:val="30"/>
          <w:u w:val="none" w:color="FFFFFF"/>
        </w:rPr>
        <w:t>）事业运行：反映事业单位的基本支出。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五</w:t>
      </w:r>
      <w:r>
        <w:rPr>
          <w:rFonts w:hint="eastAsia" w:ascii="仿宋_GB2312" w:eastAsia="仿宋_GB2312"/>
          <w:sz w:val="32"/>
          <w:szCs w:val="30"/>
          <w:u w:val="none" w:color="FFFFFF"/>
        </w:rPr>
        <w:t>）培训支出：反映各部门安排的用于培训的支出。</w:t>
      </w:r>
    </w:p>
    <w:p>
      <w:pPr>
        <w:widowControl/>
        <w:spacing w:line="580" w:lineRule="exact"/>
        <w:ind w:firstLine="640"/>
        <w:jc w:val="left"/>
        <w:rPr>
          <w:rFonts w:ascii="仿宋_GB2312" w:eastAsia="仿宋_GB2312"/>
          <w:color w:val="000000"/>
          <w:sz w:val="32"/>
          <w:szCs w:val="30"/>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六</w:t>
      </w:r>
      <w:r>
        <w:rPr>
          <w:rFonts w:hint="eastAsia" w:ascii="仿宋_GB2312" w:eastAsia="仿宋_GB2312"/>
          <w:sz w:val="32"/>
          <w:szCs w:val="30"/>
          <w:u w:val="none" w:color="FFFFFF"/>
        </w:rPr>
        <w:t>）机关事业单位基本养老保险缴费支出：反映机关事业单位实施养老保险制度由单位缴纳的基本养老保险费的支出。</w:t>
      </w:r>
    </w:p>
    <w:p>
      <w:pPr>
        <w:widowControl/>
        <w:spacing w:line="580" w:lineRule="exact"/>
        <w:jc w:val="left"/>
        <w:rPr>
          <w:rFonts w:hint="eastAsia" w:ascii="楷体_GB2312" w:eastAsia="楷体_GB2312"/>
          <w:b/>
          <w:sz w:val="32"/>
          <w:szCs w:val="30"/>
          <w:lang w:val="en-US" w:eastAsia="zh-CN"/>
        </w:rPr>
      </w:pPr>
      <w:r>
        <w:rPr>
          <w:rFonts w:hint="eastAsia" w:ascii="楷体_GB2312" w:eastAsia="楷体_GB2312"/>
          <w:b/>
          <w:sz w:val="32"/>
          <w:szCs w:val="30"/>
          <w:lang w:val="en-US" w:eastAsia="zh-CN"/>
        </w:rPr>
        <w:t>三、部门涉及的专业名词</w:t>
      </w:r>
    </w:p>
    <w:p>
      <w:pPr>
        <w:widowControl/>
        <w:numPr>
          <w:ilvl w:val="0"/>
          <w:numId w:val="0"/>
        </w:numPr>
        <w:spacing w:line="600" w:lineRule="exact"/>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 xml:space="preserve">    （一）“三公”经费：纳入预算管理的“三公”经费，是指用财政拨款安排的因公出国（境）费、公务用车购置及运行费和公务接待费。</w:t>
      </w:r>
    </w:p>
    <w:p>
      <w:pPr>
        <w:widowControl/>
        <w:numPr>
          <w:ilvl w:val="0"/>
          <w:numId w:val="0"/>
        </w:numPr>
        <w:spacing w:line="600" w:lineRule="exact"/>
        <w:ind w:firstLine="64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numPr>
          <w:ilvl w:val="0"/>
          <w:numId w:val="0"/>
        </w:numPr>
        <w:spacing w:line="600" w:lineRule="exact"/>
        <w:ind w:firstLine="640"/>
        <w:jc w:val="left"/>
        <w:rPr>
          <w:rFonts w:hint="default" w:ascii="仿宋_GB2312" w:eastAsia="仿宋_GB2312"/>
          <w:color w:val="000000"/>
          <w:sz w:val="32"/>
          <w:szCs w:val="30"/>
          <w:lang w:val="en-US" w:eastAsia="zh-CN"/>
        </w:rPr>
      </w:pPr>
    </w:p>
    <w:p>
      <w:pPr>
        <w:ind w:firstLine="640" w:firstLineChars="200"/>
        <w:rPr>
          <w:rFonts w:hint="eastAsia" w:ascii="仿宋_GB2312" w:eastAsia="仿宋_GB2312"/>
          <w:color w:val="000000"/>
          <w:sz w:val="32"/>
          <w:szCs w:val="32"/>
          <w:shd w:val="clear" w:color="auto" w:fill="FFFFFF"/>
        </w:rPr>
      </w:pPr>
    </w:p>
    <w:p>
      <w:pPr>
        <w:ind w:firstLine="640" w:firstLineChars="20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 xml:space="preserve">   </w:t>
      </w:r>
    </w:p>
    <w:p>
      <w:pPr>
        <w:ind w:firstLine="640" w:firstLineChars="200"/>
        <w:rPr>
          <w:rFonts w:ascii="仿宋_GB2312" w:hAnsi="宋体"/>
          <w:color w:val="000000"/>
          <w:szCs w:val="32"/>
          <w:shd w:val="clear" w:color="auto" w:fill="FFFFFF"/>
        </w:rPr>
      </w:pPr>
    </w:p>
    <w:p>
      <w:pPr>
        <w:rPr>
          <w:rFonts w:ascii="仿宋_GB2312"/>
          <w:szCs w:val="22"/>
        </w:rPr>
      </w:pPr>
    </w:p>
    <w:p/>
    <w:sectPr>
      <w:pgSz w:w="11906" w:h="16838"/>
      <w:pgMar w:top="1440" w:right="1800" w:bottom="1440" w:left="18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roman"/>
    <w:pitch w:val="default"/>
    <w:sig w:usb0="00000000" w:usb1="00000000"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C13409"/>
    <w:multiLevelType w:val="singleLevel"/>
    <w:tmpl w:val="DDC13409"/>
    <w:lvl w:ilvl="0" w:tentative="0">
      <w:start w:val="3"/>
      <w:numFmt w:val="chineseCounting"/>
      <w:suff w:val="nothing"/>
      <w:lvlText w:val="（%1）"/>
      <w:lvlJc w:val="left"/>
      <w:rPr>
        <w:rFonts w:hint="eastAsia"/>
      </w:rPr>
    </w:lvl>
  </w:abstractNum>
  <w:abstractNum w:abstractNumId="1">
    <w:nsid w:val="104F5413"/>
    <w:multiLevelType w:val="singleLevel"/>
    <w:tmpl w:val="104F5413"/>
    <w:lvl w:ilvl="0" w:tentative="0">
      <w:start w:val="9"/>
      <w:numFmt w:val="chineseCounting"/>
      <w:suff w:val="nothing"/>
      <w:lvlText w:val="（%1）"/>
      <w:lvlJc w:val="left"/>
      <w:rPr>
        <w:rFonts w:hint="eastAsia"/>
      </w:rPr>
    </w:lvl>
  </w:abstractNum>
  <w:abstractNum w:abstractNumId="2">
    <w:nsid w:val="1CF4EA9E"/>
    <w:multiLevelType w:val="singleLevel"/>
    <w:tmpl w:val="1CF4EA9E"/>
    <w:lvl w:ilvl="0" w:tentative="0">
      <w:start w:val="6"/>
      <w:numFmt w:val="decimal"/>
      <w:suff w:val="nothing"/>
      <w:lvlText w:val="%1）"/>
      <w:lvlJc w:val="left"/>
      <w:pPr>
        <w:ind w:left="1120" w:leftChars="0" w:firstLine="0" w:firstLineChars="0"/>
      </w:pPr>
    </w:lvl>
  </w:abstractNum>
  <w:abstractNum w:abstractNumId="3">
    <w:nsid w:val="29F00608"/>
    <w:multiLevelType w:val="singleLevel"/>
    <w:tmpl w:val="29F00608"/>
    <w:lvl w:ilvl="0" w:tentative="0">
      <w:start w:val="1"/>
      <w:numFmt w:val="chineseCounting"/>
      <w:suff w:val="nothing"/>
      <w:lvlText w:val="（%1）"/>
      <w:lvlJc w:val="left"/>
      <w:rPr>
        <w:rFonts w:hint="eastAsia"/>
      </w:rPr>
    </w:lvl>
  </w:abstractNum>
  <w:abstractNum w:abstractNumId="4">
    <w:nsid w:val="761D2CB1"/>
    <w:multiLevelType w:val="singleLevel"/>
    <w:tmpl w:val="761D2CB1"/>
    <w:lvl w:ilvl="0" w:tentative="0">
      <w:start w:val="2"/>
      <w:numFmt w:val="decimal"/>
      <w:suff w:val="nothing"/>
      <w:lvlText w:val="%1）"/>
      <w:lvlJc w:val="left"/>
      <w:pPr>
        <w:ind w:left="1120" w:leftChars="0" w:firstLine="0" w:firstLineChars="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jMTZkOTRiMGQ2YTAzZjliMzgwMDc1Y2M4ZTNjMjEifQ=="/>
  </w:docVars>
  <w:rsids>
    <w:rsidRoot w:val="6E793E76"/>
    <w:rsid w:val="000655C8"/>
    <w:rsid w:val="00222E4C"/>
    <w:rsid w:val="00300FF2"/>
    <w:rsid w:val="003F274B"/>
    <w:rsid w:val="00630D0B"/>
    <w:rsid w:val="007958E0"/>
    <w:rsid w:val="00942481"/>
    <w:rsid w:val="00BA1A55"/>
    <w:rsid w:val="00E671CC"/>
    <w:rsid w:val="00E8244F"/>
    <w:rsid w:val="02C26F1C"/>
    <w:rsid w:val="04FC4223"/>
    <w:rsid w:val="05222C77"/>
    <w:rsid w:val="054B3D71"/>
    <w:rsid w:val="05575492"/>
    <w:rsid w:val="05621720"/>
    <w:rsid w:val="06713857"/>
    <w:rsid w:val="068247BA"/>
    <w:rsid w:val="07726C5A"/>
    <w:rsid w:val="07BB4B54"/>
    <w:rsid w:val="07FB2F02"/>
    <w:rsid w:val="080A7B1B"/>
    <w:rsid w:val="08855BB9"/>
    <w:rsid w:val="08C661F1"/>
    <w:rsid w:val="09A62744"/>
    <w:rsid w:val="09E636FB"/>
    <w:rsid w:val="0A0C4CBA"/>
    <w:rsid w:val="0A1A0F67"/>
    <w:rsid w:val="0A2A53EA"/>
    <w:rsid w:val="0A392AC6"/>
    <w:rsid w:val="0A3A1354"/>
    <w:rsid w:val="0A41579C"/>
    <w:rsid w:val="0B3A041E"/>
    <w:rsid w:val="0BF21AA5"/>
    <w:rsid w:val="0D0A1993"/>
    <w:rsid w:val="0D334905"/>
    <w:rsid w:val="0D525410"/>
    <w:rsid w:val="0E34214F"/>
    <w:rsid w:val="0E5F3115"/>
    <w:rsid w:val="0E67003B"/>
    <w:rsid w:val="0E7E048E"/>
    <w:rsid w:val="0EE80638"/>
    <w:rsid w:val="0F3617A8"/>
    <w:rsid w:val="0F717483"/>
    <w:rsid w:val="0F9513DE"/>
    <w:rsid w:val="107D1273"/>
    <w:rsid w:val="10895D5E"/>
    <w:rsid w:val="10C008D5"/>
    <w:rsid w:val="10F71D4E"/>
    <w:rsid w:val="1268277F"/>
    <w:rsid w:val="12B031DE"/>
    <w:rsid w:val="1303409E"/>
    <w:rsid w:val="13FE0D3B"/>
    <w:rsid w:val="14B7032D"/>
    <w:rsid w:val="152109A9"/>
    <w:rsid w:val="15C724EF"/>
    <w:rsid w:val="15EB18BF"/>
    <w:rsid w:val="15FD7FC2"/>
    <w:rsid w:val="17037E79"/>
    <w:rsid w:val="174E43FC"/>
    <w:rsid w:val="18D5740F"/>
    <w:rsid w:val="19127FE3"/>
    <w:rsid w:val="19A727FD"/>
    <w:rsid w:val="1ABC42D7"/>
    <w:rsid w:val="1AE02E8B"/>
    <w:rsid w:val="1AF23E6D"/>
    <w:rsid w:val="1AF33EC6"/>
    <w:rsid w:val="1B791806"/>
    <w:rsid w:val="1BCB0A96"/>
    <w:rsid w:val="1BF32292"/>
    <w:rsid w:val="1BFA1C0C"/>
    <w:rsid w:val="1C4335D9"/>
    <w:rsid w:val="1C676FA1"/>
    <w:rsid w:val="1C962F1E"/>
    <w:rsid w:val="1D2670DC"/>
    <w:rsid w:val="1D950B06"/>
    <w:rsid w:val="1D9962A0"/>
    <w:rsid w:val="1DAF503C"/>
    <w:rsid w:val="1DCF66E8"/>
    <w:rsid w:val="1E69601A"/>
    <w:rsid w:val="1EA06CEC"/>
    <w:rsid w:val="1F495000"/>
    <w:rsid w:val="1F7E5A00"/>
    <w:rsid w:val="1FCC2801"/>
    <w:rsid w:val="1FEC17D3"/>
    <w:rsid w:val="1FF5623F"/>
    <w:rsid w:val="1FFC453A"/>
    <w:rsid w:val="202251F5"/>
    <w:rsid w:val="204A727D"/>
    <w:rsid w:val="206263FE"/>
    <w:rsid w:val="20A365F0"/>
    <w:rsid w:val="23146CFC"/>
    <w:rsid w:val="236C003D"/>
    <w:rsid w:val="23B02B18"/>
    <w:rsid w:val="24A32171"/>
    <w:rsid w:val="24D4351E"/>
    <w:rsid w:val="25497BD2"/>
    <w:rsid w:val="25F024D1"/>
    <w:rsid w:val="261962E3"/>
    <w:rsid w:val="2680328E"/>
    <w:rsid w:val="26A03419"/>
    <w:rsid w:val="26F43C6D"/>
    <w:rsid w:val="274442DD"/>
    <w:rsid w:val="27785A1B"/>
    <w:rsid w:val="28034932"/>
    <w:rsid w:val="286D2F66"/>
    <w:rsid w:val="286D51E4"/>
    <w:rsid w:val="28740D66"/>
    <w:rsid w:val="28B53CB9"/>
    <w:rsid w:val="298F4F7D"/>
    <w:rsid w:val="2A8E64DC"/>
    <w:rsid w:val="2C223AD0"/>
    <w:rsid w:val="2C626BDD"/>
    <w:rsid w:val="2C7E5F5B"/>
    <w:rsid w:val="2CD2492D"/>
    <w:rsid w:val="2CD72790"/>
    <w:rsid w:val="2D1F486A"/>
    <w:rsid w:val="2EDF696E"/>
    <w:rsid w:val="2F320070"/>
    <w:rsid w:val="2F3A347F"/>
    <w:rsid w:val="2F3B299E"/>
    <w:rsid w:val="2F8B0C16"/>
    <w:rsid w:val="2F94389D"/>
    <w:rsid w:val="2FFE5619"/>
    <w:rsid w:val="312A2D9D"/>
    <w:rsid w:val="312E3713"/>
    <w:rsid w:val="31AF0C23"/>
    <w:rsid w:val="3212499D"/>
    <w:rsid w:val="321D1BB0"/>
    <w:rsid w:val="322A0CC5"/>
    <w:rsid w:val="325941F7"/>
    <w:rsid w:val="3329394C"/>
    <w:rsid w:val="34D77540"/>
    <w:rsid w:val="354F17F7"/>
    <w:rsid w:val="36642499"/>
    <w:rsid w:val="36EE29FA"/>
    <w:rsid w:val="37DC51ED"/>
    <w:rsid w:val="383A066E"/>
    <w:rsid w:val="38893EAD"/>
    <w:rsid w:val="391C2745"/>
    <w:rsid w:val="399B1E6D"/>
    <w:rsid w:val="39D7023A"/>
    <w:rsid w:val="39D709A6"/>
    <w:rsid w:val="3B854432"/>
    <w:rsid w:val="3C285266"/>
    <w:rsid w:val="3D085E98"/>
    <w:rsid w:val="3D0E16CE"/>
    <w:rsid w:val="3EE73C43"/>
    <w:rsid w:val="400A655B"/>
    <w:rsid w:val="40236507"/>
    <w:rsid w:val="409F7D44"/>
    <w:rsid w:val="40DC5A18"/>
    <w:rsid w:val="40E26B19"/>
    <w:rsid w:val="42442951"/>
    <w:rsid w:val="424E1A22"/>
    <w:rsid w:val="42610F23"/>
    <w:rsid w:val="42BC09F6"/>
    <w:rsid w:val="42F0491E"/>
    <w:rsid w:val="43362BE2"/>
    <w:rsid w:val="436105C7"/>
    <w:rsid w:val="43B65AD0"/>
    <w:rsid w:val="442B24B7"/>
    <w:rsid w:val="44CF7445"/>
    <w:rsid w:val="45C75F61"/>
    <w:rsid w:val="46DE5C77"/>
    <w:rsid w:val="471272B0"/>
    <w:rsid w:val="472B6F39"/>
    <w:rsid w:val="47574D57"/>
    <w:rsid w:val="481D246D"/>
    <w:rsid w:val="4968193E"/>
    <w:rsid w:val="49687E15"/>
    <w:rsid w:val="4A037596"/>
    <w:rsid w:val="4AC43CD2"/>
    <w:rsid w:val="4ACB281D"/>
    <w:rsid w:val="4AD625B4"/>
    <w:rsid w:val="4B2B0B52"/>
    <w:rsid w:val="4B50477D"/>
    <w:rsid w:val="4B67532B"/>
    <w:rsid w:val="4BA564A5"/>
    <w:rsid w:val="4C245ACE"/>
    <w:rsid w:val="4C501D0F"/>
    <w:rsid w:val="4CA71CFC"/>
    <w:rsid w:val="4CA9160A"/>
    <w:rsid w:val="4CEE12C5"/>
    <w:rsid w:val="4D2969A9"/>
    <w:rsid w:val="4D7B37C9"/>
    <w:rsid w:val="4DB0255D"/>
    <w:rsid w:val="4DF80A94"/>
    <w:rsid w:val="4E013C19"/>
    <w:rsid w:val="4EC138AD"/>
    <w:rsid w:val="4F3A1087"/>
    <w:rsid w:val="5149078D"/>
    <w:rsid w:val="51D317CF"/>
    <w:rsid w:val="527A4098"/>
    <w:rsid w:val="52BE1BDF"/>
    <w:rsid w:val="52DC47A6"/>
    <w:rsid w:val="52E031C1"/>
    <w:rsid w:val="531E35FD"/>
    <w:rsid w:val="53460067"/>
    <w:rsid w:val="53530AFF"/>
    <w:rsid w:val="53C200CB"/>
    <w:rsid w:val="541B54F8"/>
    <w:rsid w:val="54565A82"/>
    <w:rsid w:val="54746A08"/>
    <w:rsid w:val="549A3466"/>
    <w:rsid w:val="54A52E0A"/>
    <w:rsid w:val="54DD678E"/>
    <w:rsid w:val="553D35FD"/>
    <w:rsid w:val="555D126F"/>
    <w:rsid w:val="567974B8"/>
    <w:rsid w:val="575C02E5"/>
    <w:rsid w:val="57EC1669"/>
    <w:rsid w:val="580B6587"/>
    <w:rsid w:val="584B3CFD"/>
    <w:rsid w:val="58C425E6"/>
    <w:rsid w:val="58E97957"/>
    <w:rsid w:val="58EC5301"/>
    <w:rsid w:val="594C060C"/>
    <w:rsid w:val="5999278E"/>
    <w:rsid w:val="5A932B4E"/>
    <w:rsid w:val="5AAA0FF0"/>
    <w:rsid w:val="5AAD030D"/>
    <w:rsid w:val="5AB3021C"/>
    <w:rsid w:val="5AFD5770"/>
    <w:rsid w:val="5B2455FA"/>
    <w:rsid w:val="5B260714"/>
    <w:rsid w:val="5B9C174D"/>
    <w:rsid w:val="5BA858A7"/>
    <w:rsid w:val="5BF40503"/>
    <w:rsid w:val="5C5973DE"/>
    <w:rsid w:val="5C5D5A34"/>
    <w:rsid w:val="5CC24B58"/>
    <w:rsid w:val="5D861B87"/>
    <w:rsid w:val="5E0D24CF"/>
    <w:rsid w:val="5E2D69C7"/>
    <w:rsid w:val="5E562BCC"/>
    <w:rsid w:val="5E5E3371"/>
    <w:rsid w:val="5E6B0327"/>
    <w:rsid w:val="5E803509"/>
    <w:rsid w:val="5EF2087F"/>
    <w:rsid w:val="5F255ED2"/>
    <w:rsid w:val="5F76451E"/>
    <w:rsid w:val="6005546B"/>
    <w:rsid w:val="60352AA6"/>
    <w:rsid w:val="60E87B54"/>
    <w:rsid w:val="61253BD3"/>
    <w:rsid w:val="61DF499B"/>
    <w:rsid w:val="621256C3"/>
    <w:rsid w:val="624C1F2A"/>
    <w:rsid w:val="62A1378E"/>
    <w:rsid w:val="63361111"/>
    <w:rsid w:val="637D1CBD"/>
    <w:rsid w:val="63872D80"/>
    <w:rsid w:val="64031F8A"/>
    <w:rsid w:val="64841C82"/>
    <w:rsid w:val="64CE240E"/>
    <w:rsid w:val="650A5824"/>
    <w:rsid w:val="65B337A2"/>
    <w:rsid w:val="667E5B82"/>
    <w:rsid w:val="668675C3"/>
    <w:rsid w:val="673227E1"/>
    <w:rsid w:val="67662F62"/>
    <w:rsid w:val="68321AD9"/>
    <w:rsid w:val="68A17859"/>
    <w:rsid w:val="69E36E98"/>
    <w:rsid w:val="69F02AD9"/>
    <w:rsid w:val="6BC2440D"/>
    <w:rsid w:val="6C0D319E"/>
    <w:rsid w:val="6C2172F6"/>
    <w:rsid w:val="6C324397"/>
    <w:rsid w:val="6C6627C4"/>
    <w:rsid w:val="6C7F09B6"/>
    <w:rsid w:val="6C8D1F4E"/>
    <w:rsid w:val="6CA54F78"/>
    <w:rsid w:val="6E676E22"/>
    <w:rsid w:val="6E793E76"/>
    <w:rsid w:val="6E810366"/>
    <w:rsid w:val="6F9239C1"/>
    <w:rsid w:val="700510C2"/>
    <w:rsid w:val="70693A98"/>
    <w:rsid w:val="707315A5"/>
    <w:rsid w:val="70995A9D"/>
    <w:rsid w:val="70F261BF"/>
    <w:rsid w:val="710A477D"/>
    <w:rsid w:val="71392CB0"/>
    <w:rsid w:val="72DD34B2"/>
    <w:rsid w:val="72FD730F"/>
    <w:rsid w:val="74CD7503"/>
    <w:rsid w:val="75663ACB"/>
    <w:rsid w:val="75984AE9"/>
    <w:rsid w:val="76822487"/>
    <w:rsid w:val="76F41FA3"/>
    <w:rsid w:val="76F61A50"/>
    <w:rsid w:val="772466F6"/>
    <w:rsid w:val="78296BEB"/>
    <w:rsid w:val="783C0263"/>
    <w:rsid w:val="78492ED5"/>
    <w:rsid w:val="78A45545"/>
    <w:rsid w:val="79002CBB"/>
    <w:rsid w:val="79A531C3"/>
    <w:rsid w:val="79A9070B"/>
    <w:rsid w:val="79CB42FC"/>
    <w:rsid w:val="7C1A2AB5"/>
    <w:rsid w:val="7CB0007B"/>
    <w:rsid w:val="7D603453"/>
    <w:rsid w:val="7D6825A7"/>
    <w:rsid w:val="7EB42631"/>
    <w:rsid w:val="7F960A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Times New Roman" w:hAnsi="Times New Roman"/>
    </w:rPr>
  </w:style>
  <w:style w:type="paragraph" w:styleId="3">
    <w:name w:val="Body Text"/>
    <w:basedOn w:val="1"/>
    <w:qFormat/>
    <w:uiPriority w:val="0"/>
    <w:pPr>
      <w:spacing w:after="120"/>
    </w:pPr>
    <w:rPr>
      <w:rFonts w:eastAsia="宋体"/>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19</Pages>
  <Words>6519</Words>
  <Characters>7286</Characters>
  <Lines>4</Lines>
  <Paragraphs>1</Paragraphs>
  <TotalTime>0</TotalTime>
  <ScaleCrop>false</ScaleCrop>
  <LinksUpToDate>false</LinksUpToDate>
  <CharactersWithSpaces>7376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2022-02-09T01:47:00Z</dcterms:created>
  <dc:creator>1</dc:creator>
  <cp:lastModifiedBy>Deshelly</cp:lastModifiedBy>
  <dcterms:modified xsi:type="dcterms:W3CDTF">2023-10-10T04:49:55Z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E718A75922FB45CA9A4AC703A1B832EB</vt:lpwstr>
  </property>
</Properties>
</file>