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rPr>
      </w:pPr>
      <w:r>
        <w:rPr>
          <w:rFonts w:hint="eastAsia" w:ascii="宋体" w:hAnsi="宋体" w:eastAsia="宋体" w:cs="宋体"/>
          <w:b/>
          <w:bCs/>
          <w:sz w:val="44"/>
          <w:szCs w:val="44"/>
        </w:rPr>
        <w:t>安义县室内装饰装修市场管理站</w:t>
      </w:r>
    </w:p>
    <w:p>
      <w:pPr>
        <w:jc w:val="center"/>
        <w:rPr>
          <w:rFonts w:ascii="宋体" w:hAnsi="宋体" w:eastAsia="宋体" w:cs="宋体"/>
          <w:b/>
          <w:bCs/>
          <w:sz w:val="44"/>
          <w:szCs w:val="44"/>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1</w:t>
      </w:r>
      <w:r>
        <w:rPr>
          <w:rFonts w:hint="eastAsia" w:ascii="宋体" w:hAnsi="宋体" w:eastAsia="宋体" w:cs="宋体"/>
          <w:b/>
          <w:bCs/>
          <w:sz w:val="44"/>
          <w:szCs w:val="44"/>
        </w:rPr>
        <w:t>年部门预算编制说明</w:t>
      </w:r>
    </w:p>
    <w:p>
      <w:pPr>
        <w:jc w:val="center"/>
        <w:rPr>
          <w:rFonts w:ascii="仿宋_GB2312"/>
          <w:szCs w:val="22"/>
        </w:rPr>
      </w:pPr>
      <w:r>
        <w:rPr>
          <w:rFonts w:hint="eastAsia" w:ascii="仿宋_GB2312"/>
          <w:szCs w:val="22"/>
        </w:rPr>
        <w:t>目录</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第一部分  安义县室内装饰装修市场管理站概况</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一、部门主要职责</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二、部门基本情况</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w:t>
      </w:r>
      <w:r>
        <w:rPr>
          <w:rFonts w:hint="eastAsia" w:ascii="黑体" w:hAnsi="黑体" w:eastAsia="黑体"/>
          <w:bCs/>
          <w:szCs w:val="32"/>
          <w:lang w:eastAsia="zh-CN"/>
        </w:rPr>
        <w:t>二</w:t>
      </w:r>
      <w:r>
        <w:rPr>
          <w:rFonts w:hint="eastAsia" w:ascii="黑体" w:hAnsi="黑体" w:eastAsia="黑体"/>
          <w:bCs/>
          <w:szCs w:val="32"/>
        </w:rPr>
        <w:t>部分 安义县室内装饰装修市场管理站202</w:t>
      </w:r>
      <w:r>
        <w:rPr>
          <w:rFonts w:hint="eastAsia" w:ascii="黑体" w:hAnsi="黑体" w:eastAsia="黑体"/>
          <w:bCs/>
          <w:szCs w:val="32"/>
          <w:lang w:val="en-US" w:eastAsia="zh-CN"/>
        </w:rPr>
        <w:t>1</w:t>
      </w:r>
      <w:r>
        <w:rPr>
          <w:rFonts w:hint="eastAsia" w:ascii="黑体" w:hAnsi="黑体" w:eastAsia="黑体"/>
          <w:bCs/>
          <w:szCs w:val="32"/>
        </w:rPr>
        <w:t>年度部门预算表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一、《收支预算总表》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二、《</w:t>
      </w:r>
      <w:r>
        <w:rPr>
          <w:rFonts w:hint="eastAsia" w:ascii="楷体_GB2312" w:eastAsia="楷体_GB2312"/>
          <w:color w:val="000000"/>
          <w:sz w:val="32"/>
          <w:szCs w:val="30"/>
          <w:lang w:val="en-US" w:eastAsia="zh-CN"/>
        </w:rPr>
        <w:t>部门</w:t>
      </w:r>
      <w:r>
        <w:rPr>
          <w:rFonts w:hint="eastAsia" w:ascii="楷体_GB2312" w:eastAsia="楷体_GB2312"/>
          <w:color w:val="000000"/>
          <w:sz w:val="32"/>
          <w:szCs w:val="30"/>
        </w:rPr>
        <w:t>收入总表》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三、《</w:t>
      </w:r>
      <w:r>
        <w:rPr>
          <w:rFonts w:hint="eastAsia" w:ascii="楷体_GB2312" w:eastAsia="楷体_GB2312"/>
          <w:color w:val="000000"/>
          <w:sz w:val="32"/>
          <w:szCs w:val="30"/>
          <w:lang w:val="en-US" w:eastAsia="zh-CN"/>
        </w:rPr>
        <w:t>部门</w:t>
      </w:r>
      <w:r>
        <w:rPr>
          <w:rFonts w:hint="eastAsia" w:ascii="楷体_GB2312" w:eastAsia="楷体_GB2312"/>
          <w:color w:val="000000"/>
          <w:sz w:val="32"/>
          <w:szCs w:val="30"/>
        </w:rPr>
        <w:t>支出总表》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四、《财政拨款收支总表》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五、《一般公共预算支出表》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六、《一般公共预算基本支出表》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七、《一般公共预算“三公”经费支出表》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八、《政府性基金预算支出表》</w:t>
      </w:r>
    </w:p>
    <w:p>
      <w:pPr>
        <w:widowControl/>
        <w:spacing w:line="54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九、《重点项目绩效目标表》</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w:t>
      </w:r>
      <w:r>
        <w:rPr>
          <w:rFonts w:hint="eastAsia" w:ascii="黑体" w:hAnsi="黑体" w:eastAsia="黑体"/>
          <w:bCs/>
          <w:szCs w:val="32"/>
          <w:lang w:eastAsia="zh-CN"/>
        </w:rPr>
        <w:t>三</w:t>
      </w:r>
      <w:r>
        <w:rPr>
          <w:rFonts w:hint="eastAsia" w:ascii="黑体" w:hAnsi="黑体" w:eastAsia="黑体"/>
          <w:bCs/>
          <w:szCs w:val="32"/>
        </w:rPr>
        <w:t>部分  安义县室内装饰装修市场管理站202</w:t>
      </w:r>
      <w:r>
        <w:rPr>
          <w:rFonts w:hint="eastAsia" w:ascii="黑体" w:hAnsi="黑体" w:eastAsia="黑体"/>
          <w:bCs/>
          <w:szCs w:val="32"/>
          <w:lang w:val="en-US" w:eastAsia="zh-CN"/>
        </w:rPr>
        <w:t>1</w:t>
      </w:r>
      <w:r>
        <w:rPr>
          <w:rFonts w:hint="eastAsia" w:ascii="黑体" w:hAnsi="黑体" w:eastAsia="黑体"/>
          <w:bCs/>
          <w:szCs w:val="32"/>
        </w:rPr>
        <w:t>年度预算情况说明</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一、202</w:t>
      </w:r>
      <w:r>
        <w:rPr>
          <w:rFonts w:hint="eastAsia" w:ascii="楷体" w:hAnsi="楷体" w:eastAsia="楷体" w:cs="楷体"/>
          <w:szCs w:val="32"/>
          <w:lang w:val="en-US" w:eastAsia="zh-CN"/>
        </w:rPr>
        <w:t>1</w:t>
      </w:r>
      <w:r>
        <w:rPr>
          <w:rFonts w:hint="eastAsia" w:ascii="楷体" w:hAnsi="楷体" w:eastAsia="楷体" w:cs="楷体"/>
          <w:szCs w:val="32"/>
        </w:rPr>
        <w:t>年部门预算收支情况说明</w:t>
      </w:r>
    </w:p>
    <w:p>
      <w:pPr>
        <w:spacing w:line="576" w:lineRule="exact"/>
        <w:ind w:firstLine="1280" w:firstLineChars="400"/>
        <w:jc w:val="left"/>
        <w:rPr>
          <w:rFonts w:hint="eastAsia" w:ascii="楷体_GB2312" w:eastAsia="楷体_GB2312"/>
          <w:color w:val="000000"/>
          <w:sz w:val="32"/>
          <w:szCs w:val="30"/>
        </w:rPr>
      </w:pPr>
      <w:r>
        <w:rPr>
          <w:rFonts w:hint="eastAsia" w:ascii="楷体" w:hAnsi="楷体" w:eastAsia="楷体" w:cs="楷体"/>
          <w:szCs w:val="32"/>
        </w:rPr>
        <w:t>二、202</w:t>
      </w:r>
      <w:r>
        <w:rPr>
          <w:rFonts w:hint="eastAsia" w:ascii="楷体" w:hAnsi="楷体" w:eastAsia="楷体" w:cs="楷体"/>
          <w:szCs w:val="32"/>
          <w:lang w:val="en-US" w:eastAsia="zh-CN"/>
        </w:rPr>
        <w:t>1</w:t>
      </w:r>
      <w:r>
        <w:rPr>
          <w:rFonts w:hint="eastAsia" w:ascii="楷体" w:hAnsi="楷体" w:eastAsia="楷体" w:cs="楷体"/>
          <w:szCs w:val="32"/>
        </w:rPr>
        <w:t>年“三公”经费预算情况说明</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第四部分 名词解释</w:t>
      </w:r>
    </w:p>
    <w:p>
      <w:pPr>
        <w:widowControl/>
        <w:spacing w:line="576" w:lineRule="exact"/>
        <w:jc w:val="center"/>
        <w:rPr>
          <w:rFonts w:ascii="黑体" w:hAnsi="宋体" w:eastAsia="黑体"/>
          <w:szCs w:val="32"/>
        </w:rPr>
      </w:pPr>
    </w:p>
    <w:p>
      <w:pPr>
        <w:widowControl/>
        <w:spacing w:line="540" w:lineRule="exact"/>
        <w:jc w:val="left"/>
        <w:rPr>
          <w:rFonts w:ascii="黑体" w:hAnsi="黑体" w:eastAsia="黑体"/>
          <w:bCs/>
          <w:szCs w:val="32"/>
        </w:rPr>
      </w:pPr>
      <w:r>
        <w:rPr>
          <w:rFonts w:hint="eastAsia" w:ascii="黑体" w:hAnsi="黑体" w:eastAsia="黑体"/>
          <w:bCs/>
          <w:szCs w:val="32"/>
        </w:rPr>
        <w:t>第一部分：安义县室内装饰装修市场管理站概况</w:t>
      </w:r>
    </w:p>
    <w:p>
      <w:pPr>
        <w:spacing w:line="576" w:lineRule="exact"/>
        <w:ind w:firstLine="640" w:firstLineChars="200"/>
        <w:jc w:val="left"/>
        <w:rPr>
          <w:rFonts w:hint="eastAsia" w:ascii="楷体" w:hAnsi="楷体" w:eastAsia="楷体" w:cs="楷体"/>
          <w:szCs w:val="32"/>
          <w:lang w:eastAsia="zh-CN"/>
        </w:rPr>
      </w:pPr>
      <w:r>
        <w:rPr>
          <w:rFonts w:hint="eastAsia" w:ascii="楷体" w:hAnsi="楷体" w:eastAsia="楷体" w:cs="楷体"/>
          <w:szCs w:val="32"/>
        </w:rPr>
        <w:t>一、部门主要职能</w:t>
      </w:r>
      <w:r>
        <w:rPr>
          <w:rFonts w:hint="eastAsia" w:ascii="楷体" w:hAnsi="楷体" w:eastAsia="楷体" w:cs="楷体"/>
          <w:szCs w:val="32"/>
          <w:lang w:eastAsia="zh-CN"/>
        </w:rPr>
        <w:t>：</w:t>
      </w:r>
      <w:r>
        <w:rPr>
          <w:rFonts w:hint="eastAsia" w:ascii="楷体" w:hAnsi="楷体" w:eastAsia="楷体" w:cs="楷体"/>
          <w:szCs w:val="32"/>
        </w:rPr>
        <w:t>安义县室内装饰装修市场管理站是</w:t>
      </w:r>
      <w:r>
        <w:rPr>
          <w:rFonts w:hint="eastAsia" w:ascii="楷体" w:hAnsi="楷体" w:eastAsia="楷体" w:cs="楷体"/>
          <w:szCs w:val="32"/>
          <w:lang w:eastAsia="zh-CN"/>
        </w:rPr>
        <w:t>安义县住房和城乡规划建设局下属</w:t>
      </w:r>
      <w:r>
        <w:rPr>
          <w:rFonts w:hint="eastAsia" w:ascii="楷体" w:hAnsi="楷体" w:eastAsia="楷体" w:cs="楷体"/>
          <w:szCs w:val="32"/>
        </w:rPr>
        <w:t>的工作部门。其主要职责：</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负责全县建筑装饰装修行业市场</w:t>
      </w:r>
      <w:r>
        <w:rPr>
          <w:rFonts w:hint="eastAsia" w:ascii="楷体" w:hAnsi="楷体" w:eastAsia="楷体" w:cs="楷体"/>
          <w:szCs w:val="32"/>
          <w:lang w:eastAsia="zh-CN"/>
        </w:rPr>
        <w:t>管理</w:t>
      </w:r>
      <w:r>
        <w:rPr>
          <w:rFonts w:hint="eastAsia" w:ascii="楷体" w:hAnsi="楷体" w:eastAsia="楷体" w:cs="楷体"/>
          <w:szCs w:val="32"/>
        </w:rPr>
        <w:t>监管职能</w:t>
      </w:r>
      <w:r>
        <w:rPr>
          <w:rFonts w:hint="eastAsia" w:ascii="楷体" w:hAnsi="楷体" w:eastAsia="楷体" w:cs="楷体"/>
          <w:szCs w:val="32"/>
          <w:lang w:eastAsia="zh-CN"/>
        </w:rPr>
        <w:t>；</w:t>
      </w:r>
      <w:r>
        <w:rPr>
          <w:rFonts w:hint="eastAsia" w:ascii="楷体" w:hAnsi="楷体" w:eastAsia="楷体" w:cs="楷体"/>
          <w:szCs w:val="32"/>
        </w:rPr>
        <w:t>完成</w:t>
      </w:r>
      <w:r>
        <w:rPr>
          <w:rFonts w:hint="eastAsia" w:ascii="楷体" w:hAnsi="楷体" w:eastAsia="楷体" w:cs="楷体"/>
          <w:szCs w:val="32"/>
          <w:lang w:eastAsia="zh-CN"/>
        </w:rPr>
        <w:t>局</w:t>
      </w:r>
      <w:r>
        <w:rPr>
          <w:rFonts w:hint="eastAsia" w:ascii="楷体" w:hAnsi="楷体" w:eastAsia="楷体" w:cs="楷体"/>
          <w:szCs w:val="32"/>
        </w:rPr>
        <w:t>交办的其它工作。</w:t>
      </w:r>
    </w:p>
    <w:p>
      <w:pPr>
        <w:spacing w:line="576" w:lineRule="exact"/>
        <w:ind w:firstLine="640" w:firstLineChars="200"/>
        <w:jc w:val="left"/>
        <w:rPr>
          <w:rFonts w:hint="default" w:ascii="楷体" w:hAnsi="楷体" w:eastAsia="楷体" w:cs="楷体"/>
          <w:szCs w:val="32"/>
          <w:lang w:val="en-US" w:eastAsia="zh-CN"/>
        </w:rPr>
      </w:pPr>
      <w:r>
        <w:rPr>
          <w:rFonts w:hint="eastAsia" w:ascii="楷体" w:hAnsi="楷体" w:eastAsia="楷体" w:cs="楷体"/>
          <w:szCs w:val="32"/>
        </w:rPr>
        <w:t>二、</w:t>
      </w:r>
      <w:r>
        <w:rPr>
          <w:rFonts w:hint="eastAsia" w:ascii="楷体" w:hAnsi="楷体" w:eastAsia="楷体" w:cs="楷体"/>
          <w:szCs w:val="32"/>
          <w:lang w:val="en-US" w:eastAsia="zh-CN"/>
        </w:rPr>
        <w:t>机构设置和人员情况</w:t>
      </w:r>
    </w:p>
    <w:p>
      <w:pPr>
        <w:ind w:firstLine="600" w:firstLineChars="200"/>
        <w:rPr>
          <w:rFonts w:hint="eastAsia" w:hAnsi="宋体"/>
          <w:color w:val="000000"/>
          <w:kern w:val="0"/>
          <w:sz w:val="32"/>
          <w:szCs w:val="32"/>
        </w:rPr>
      </w:pPr>
      <w:r>
        <w:rPr>
          <w:rFonts w:hint="eastAsia"/>
          <w:sz w:val="30"/>
          <w:szCs w:val="30"/>
        </w:rPr>
        <w:t>装饰站现有人员编制9人，核编定制为九人，超编一人，单位编制性质为自收自支事业编制,在编在岗实有3人；</w:t>
      </w:r>
    </w:p>
    <w:p>
      <w:pPr>
        <w:pStyle w:val="2"/>
        <w:rPr>
          <w:rFonts w:hint="eastAsia"/>
          <w:lang w:val="en-US" w:eastAsia="zh-CN"/>
        </w:rPr>
      </w:pPr>
    </w:p>
    <w:p>
      <w:pPr>
        <w:spacing w:line="576" w:lineRule="exact"/>
        <w:jc w:val="left"/>
        <w:rPr>
          <w:rFonts w:hint="default" w:ascii="楷体" w:hAnsi="楷体" w:eastAsia="楷体" w:cs="楷体"/>
          <w:szCs w:val="32"/>
          <w:lang w:val="en-US" w:eastAsia="zh-CN"/>
        </w:rPr>
      </w:pPr>
    </w:p>
    <w:p>
      <w:pPr>
        <w:widowControl/>
        <w:spacing w:line="576" w:lineRule="exact"/>
        <w:rPr>
          <w:rFonts w:ascii="黑体" w:hAnsi="宋体" w:eastAsia="黑体"/>
          <w:szCs w:val="32"/>
        </w:rPr>
      </w:pPr>
      <w:r>
        <w:rPr>
          <w:rFonts w:hint="eastAsia" w:ascii="黑体" w:hAnsi="宋体" w:eastAsia="黑体"/>
          <w:szCs w:val="32"/>
        </w:rPr>
        <w:t>第</w:t>
      </w:r>
      <w:r>
        <w:rPr>
          <w:rFonts w:hint="eastAsia" w:ascii="黑体" w:hAnsi="宋体" w:eastAsia="黑体"/>
          <w:szCs w:val="32"/>
          <w:lang w:val="en-US" w:eastAsia="zh-CN"/>
        </w:rPr>
        <w:t>二</w:t>
      </w:r>
      <w:r>
        <w:rPr>
          <w:rFonts w:hint="eastAsia" w:ascii="黑体" w:hAnsi="宋体" w:eastAsia="黑体"/>
          <w:szCs w:val="32"/>
        </w:rPr>
        <w:t>部分：</w:t>
      </w:r>
      <w:r>
        <w:rPr>
          <w:rFonts w:hint="eastAsia" w:ascii="黑体" w:hAnsi="黑体" w:eastAsia="黑体"/>
          <w:bCs/>
          <w:szCs w:val="32"/>
        </w:rPr>
        <w:t>安义县室内装饰装修市场管理站</w:t>
      </w:r>
      <w:r>
        <w:rPr>
          <w:rFonts w:hint="eastAsia" w:ascii="黑体" w:hAnsi="宋体" w:eastAsia="黑体"/>
          <w:szCs w:val="32"/>
        </w:rPr>
        <w:t>2022年部门预算表</w:t>
      </w:r>
    </w:p>
    <w:p>
      <w:pPr>
        <w:spacing w:line="576" w:lineRule="exact"/>
        <w:ind w:firstLine="640" w:firstLineChars="200"/>
        <w:jc w:val="left"/>
        <w:rPr>
          <w:rFonts w:hint="eastAsia" w:ascii="仿宋_GB2312" w:hAnsi="宋体"/>
          <w:color w:val="000000"/>
          <w:szCs w:val="32"/>
          <w:shd w:val="clear" w:color="auto" w:fill="FFFFFF"/>
        </w:rPr>
      </w:pPr>
      <w:r>
        <w:rPr>
          <w:rFonts w:hint="eastAsia" w:ascii="仿宋_GB2312" w:hAnsi="宋体"/>
          <w:color w:val="000000"/>
          <w:szCs w:val="32"/>
          <w:shd w:val="clear" w:color="auto" w:fill="FFFFFF"/>
        </w:rPr>
        <w:t>（</w:t>
      </w:r>
      <w:r>
        <w:rPr>
          <w:rFonts w:hint="eastAsia" w:ascii="仿宋_GB2312" w:eastAsia="仿宋_GB2312"/>
          <w:color w:val="000000"/>
          <w:sz w:val="32"/>
          <w:szCs w:val="30"/>
        </w:rPr>
        <w:t>详见附表</w:t>
      </w:r>
      <w:r>
        <w:rPr>
          <w:rFonts w:hint="eastAsia" w:ascii="仿宋_GB2312" w:hAnsi="宋体"/>
          <w:color w:val="000000"/>
          <w:szCs w:val="32"/>
          <w:shd w:val="clear" w:color="auto" w:fill="FFFFFF"/>
        </w:rPr>
        <w:t>）</w:t>
      </w:r>
    </w:p>
    <w:p>
      <w:pPr>
        <w:pStyle w:val="2"/>
        <w:rPr>
          <w:rFonts w:hint="eastAsia" w:ascii="仿宋_GB2312" w:hAnsi="宋体"/>
          <w:color w:val="000000"/>
          <w:szCs w:val="32"/>
          <w:shd w:val="clear" w:color="auto" w:fill="FFFFFF"/>
        </w:rPr>
      </w:pPr>
    </w:p>
    <w:tbl>
      <w:tblPr>
        <w:tblStyle w:val="7"/>
        <w:tblW w:w="67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97"/>
        <w:gridCol w:w="1639"/>
        <w:gridCol w:w="1416"/>
        <w:gridCol w:w="12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6735"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收支预算总表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填报单位:102009安义县室内装饰装修市场管理站</w:t>
            </w: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      入</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支       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4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项目(按支出功能科目类级)</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一、财政拨款</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一般公共预算拨款收入</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专项收入</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政府性基金预算拨款收入</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预算内投资收入</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二、事业收入</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三、事业单位经营收入</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四、其他收入</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五、附属单位上缴收入</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5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六、上级补助收入</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1215" w:type="dxa"/>
            <w:tcBorders>
              <w:top w:val="nil"/>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七、用事业基金弥补收支差额</w:t>
            </w:r>
          </w:p>
        </w:tc>
        <w:tc>
          <w:tcPr>
            <w:tcW w:w="1215" w:type="dxa"/>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结转下年</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八、上年结转（结余）</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Calibri" w:hAnsi="Calibri"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default" w:ascii="Calibri" w:hAnsi="Calibri" w:cs="Calibri"/>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收入总计</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支出总计</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r>
    </w:tbl>
    <w:p>
      <w:pPr>
        <w:pStyle w:val="2"/>
        <w:rPr>
          <w:rFonts w:hint="eastAsia" w:ascii="仿宋_GB2312" w:hAnsi="宋体"/>
          <w:color w:val="000000"/>
          <w:szCs w:val="32"/>
          <w:shd w:val="clear" w:color="auto" w:fill="FFFFFF"/>
        </w:rPr>
      </w:pPr>
    </w:p>
    <w:tbl>
      <w:tblPr>
        <w:tblStyle w:val="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1"/>
        <w:gridCol w:w="1505"/>
        <w:gridCol w:w="748"/>
        <w:gridCol w:w="333"/>
        <w:gridCol w:w="694"/>
        <w:gridCol w:w="748"/>
        <w:gridCol w:w="333"/>
        <w:gridCol w:w="333"/>
        <w:gridCol w:w="333"/>
        <w:gridCol w:w="333"/>
        <w:gridCol w:w="333"/>
        <w:gridCol w:w="333"/>
        <w:gridCol w:w="240"/>
        <w:gridCol w:w="426"/>
        <w:gridCol w:w="7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8429" w:type="dxa"/>
            <w:gridSpan w:val="15"/>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部门收入总表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4291" w:type="dxa"/>
            <w:gridSpan w:val="5"/>
            <w:tcBorders>
              <w:top w:val="nil"/>
              <w:left w:val="nil"/>
              <w:bottom w:val="nil"/>
              <w:right w:val="nil"/>
            </w:tcBorders>
            <w:shd w:val="clear" w:color="auto" w:fill="auto"/>
            <w:noWrap/>
            <w:vAlign w:val="center"/>
          </w:tcPr>
          <w:p>
            <w:pPr>
              <w:rPr>
                <w:rFonts w:hint="default" w:ascii="Calibri" w:hAnsi="Calibri" w:cs="Calibri"/>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填报单位:安义县室内装饰装修市场管理站</w:t>
            </w:r>
          </w:p>
        </w:tc>
        <w:tc>
          <w:tcPr>
            <w:tcW w:w="748" w:type="dxa"/>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333" w:type="dxa"/>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333" w:type="dxa"/>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333" w:type="dxa"/>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333" w:type="dxa"/>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333" w:type="dxa"/>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333" w:type="dxa"/>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24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1152" w:type="dxa"/>
            <w:gridSpan w:val="2"/>
            <w:tcBorders>
              <w:top w:val="nil"/>
              <w:left w:val="nil"/>
              <w:bottom w:val="nil"/>
              <w:right w:val="nil"/>
            </w:tcBorders>
            <w:shd w:val="clear" w:color="auto" w:fill="auto"/>
            <w:noWrap/>
            <w:vAlign w:val="bottom"/>
          </w:tcPr>
          <w:p>
            <w:pPr>
              <w:keepNext w:val="0"/>
              <w:keepLines w:val="0"/>
              <w:widowControl/>
              <w:suppressLineNumbers w:val="0"/>
              <w:jc w:val="distribute"/>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0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功能科目编码</w:t>
            </w:r>
          </w:p>
        </w:tc>
        <w:tc>
          <w:tcPr>
            <w:tcW w:w="1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功能科目名称</w:t>
            </w:r>
          </w:p>
        </w:tc>
        <w:tc>
          <w:tcPr>
            <w:tcW w:w="748"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3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上年结转</w:t>
            </w:r>
          </w:p>
        </w:tc>
        <w:tc>
          <w:tcPr>
            <w:tcW w:w="24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w:t>
            </w:r>
          </w:p>
        </w:tc>
        <w:tc>
          <w:tcPr>
            <w:tcW w:w="333"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333"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事业单位经营收入</w:t>
            </w:r>
          </w:p>
        </w:tc>
        <w:tc>
          <w:tcPr>
            <w:tcW w:w="333"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c>
          <w:tcPr>
            <w:tcW w:w="24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426"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7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用事业基金弥补收支差额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10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48" w:type="dxa"/>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一般公共预算拨款收入</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政府性基金预算拨款收入</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专项收入</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预算内投资收入</w:t>
            </w:r>
          </w:p>
        </w:tc>
        <w:tc>
          <w:tcPr>
            <w:tcW w:w="33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3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3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2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7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1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505"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48"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33"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4"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48"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33"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33"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33"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33"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33"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33"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0"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26"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726"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11"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50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4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9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519,082.00</w:t>
            </w:r>
          </w:p>
        </w:tc>
        <w:tc>
          <w:tcPr>
            <w:tcW w:w="74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240" w:type="dxa"/>
            <w:tcBorders>
              <w:top w:val="single" w:color="000000" w:sz="4" w:space="0"/>
              <w:left w:val="nil"/>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426" w:type="dxa"/>
            <w:tcBorders>
              <w:top w:val="single" w:color="000000" w:sz="4" w:space="0"/>
              <w:left w:val="nil"/>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1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212</w:t>
            </w:r>
          </w:p>
        </w:tc>
        <w:tc>
          <w:tcPr>
            <w:tcW w:w="150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74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9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519,082.00</w:t>
            </w:r>
          </w:p>
        </w:tc>
        <w:tc>
          <w:tcPr>
            <w:tcW w:w="74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240" w:type="dxa"/>
            <w:tcBorders>
              <w:top w:val="single" w:color="000000" w:sz="4" w:space="0"/>
              <w:left w:val="nil"/>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426" w:type="dxa"/>
            <w:tcBorders>
              <w:top w:val="single" w:color="000000" w:sz="4" w:space="0"/>
              <w:left w:val="nil"/>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1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01</w:t>
            </w:r>
          </w:p>
        </w:tc>
        <w:tc>
          <w:tcPr>
            <w:tcW w:w="150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城乡社区管理事务</w:t>
            </w:r>
          </w:p>
        </w:tc>
        <w:tc>
          <w:tcPr>
            <w:tcW w:w="74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9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519,082.00</w:t>
            </w:r>
          </w:p>
        </w:tc>
        <w:tc>
          <w:tcPr>
            <w:tcW w:w="74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240" w:type="dxa"/>
            <w:tcBorders>
              <w:top w:val="single" w:color="000000" w:sz="4" w:space="0"/>
              <w:left w:val="nil"/>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426" w:type="dxa"/>
            <w:tcBorders>
              <w:top w:val="single" w:color="000000" w:sz="4" w:space="0"/>
              <w:left w:val="nil"/>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2120101</w:t>
            </w:r>
          </w:p>
        </w:tc>
        <w:tc>
          <w:tcPr>
            <w:tcW w:w="150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74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69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519,082.00</w:t>
            </w:r>
          </w:p>
        </w:tc>
        <w:tc>
          <w:tcPr>
            <w:tcW w:w="74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240" w:type="dxa"/>
            <w:tcBorders>
              <w:top w:val="single" w:color="000000" w:sz="4" w:space="0"/>
              <w:left w:val="nil"/>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426" w:type="dxa"/>
            <w:tcBorders>
              <w:top w:val="single" w:color="000000" w:sz="4" w:space="0"/>
              <w:left w:val="nil"/>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2"/>
                <w:szCs w:val="22"/>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bl>
    <w:p>
      <w:pPr>
        <w:pStyle w:val="2"/>
        <w:rPr>
          <w:rFonts w:hint="eastAsia" w:ascii="仿宋_GB2312" w:hAnsi="宋体"/>
          <w:color w:val="000000"/>
          <w:szCs w:val="32"/>
          <w:shd w:val="clear" w:color="auto" w:fill="FFFFFF"/>
        </w:rPr>
      </w:pPr>
    </w:p>
    <w:p>
      <w:pPr>
        <w:pStyle w:val="2"/>
        <w:rPr>
          <w:rFonts w:hint="eastAsia" w:ascii="仿宋_GB2312" w:hAnsi="宋体"/>
          <w:color w:val="000000"/>
          <w:szCs w:val="32"/>
          <w:shd w:val="clear" w:color="auto" w:fill="FFFFFF"/>
        </w:rPr>
      </w:pPr>
    </w:p>
    <w:p>
      <w:pPr>
        <w:pStyle w:val="2"/>
        <w:rPr>
          <w:rFonts w:hint="eastAsia" w:ascii="仿宋_GB2312" w:hAnsi="宋体"/>
          <w:color w:val="000000"/>
          <w:szCs w:val="32"/>
          <w:shd w:val="clear" w:color="auto" w:fill="FFFFFF"/>
        </w:rPr>
      </w:pPr>
    </w:p>
    <w:p>
      <w:pPr>
        <w:pStyle w:val="2"/>
        <w:rPr>
          <w:rFonts w:hint="eastAsia" w:ascii="仿宋_GB2312" w:hAnsi="宋体"/>
          <w:color w:val="000000"/>
          <w:szCs w:val="32"/>
          <w:shd w:val="clear" w:color="auto" w:fill="FFFFFF"/>
        </w:rPr>
      </w:pPr>
    </w:p>
    <w:tbl>
      <w:tblPr>
        <w:tblStyle w:val="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36"/>
        <w:gridCol w:w="1905"/>
        <w:gridCol w:w="1216"/>
        <w:gridCol w:w="1216"/>
        <w:gridCol w:w="458"/>
        <w:gridCol w:w="460"/>
        <w:gridCol w:w="459"/>
        <w:gridCol w:w="11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部门支出总表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3"/>
            <w:tcBorders>
              <w:top w:val="nil"/>
              <w:left w:val="nil"/>
              <w:bottom w:val="nil"/>
              <w:right w:val="nil"/>
            </w:tcBorders>
            <w:shd w:val="clear" w:color="auto" w:fill="auto"/>
            <w:noWrap/>
            <w:vAlign w:val="center"/>
          </w:tcPr>
          <w:p>
            <w:pPr>
              <w:jc w:val="both"/>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填报单位:安义县室内装饰装修市场管理站</w:t>
            </w: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支出功能分类科目</w:t>
            </w:r>
          </w:p>
        </w:tc>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项目支出</w:t>
            </w:r>
          </w:p>
        </w:tc>
        <w:tc>
          <w:tcPr>
            <w:tcW w:w="0" w:type="auto"/>
            <w:vMerge w:val="restart"/>
            <w:tcBorders>
              <w:top w:val="single" w:color="000000" w:sz="4" w:space="0"/>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事业单位经营支出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上缴上级支出 </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科目名称 </w:t>
            </w: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212</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城乡社区支出</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01</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城乡社区管理事务</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2120101</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行政运行</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bl>
    <w:p>
      <w:pPr>
        <w:pStyle w:val="2"/>
        <w:rPr>
          <w:rFonts w:hint="eastAsia" w:ascii="仿宋_GB2312" w:hAnsi="宋体"/>
          <w:color w:val="000000"/>
          <w:szCs w:val="32"/>
          <w:shd w:val="clear" w:color="auto" w:fill="FFFFFF"/>
        </w:rPr>
      </w:pPr>
    </w:p>
    <w:p>
      <w:pPr>
        <w:spacing w:line="240" w:lineRule="auto"/>
        <w:ind w:firstLine="640" w:firstLineChars="200"/>
        <w:jc w:val="left"/>
        <w:rPr>
          <w:rFonts w:hint="eastAsia" w:ascii="仿宋_GB2312" w:hAnsi="宋体" w:eastAsia="仿宋_GB2312"/>
          <w:color w:val="000000"/>
          <w:szCs w:val="32"/>
          <w:shd w:val="clear" w:color="auto" w:fill="FFFFFF"/>
          <w:lang w:eastAsia="zh-CN"/>
        </w:rPr>
      </w:pPr>
    </w:p>
    <w:tbl>
      <w:tblPr>
        <w:tblStyle w:val="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4"/>
        <w:gridCol w:w="1216"/>
        <w:gridCol w:w="1368"/>
        <w:gridCol w:w="1216"/>
        <w:gridCol w:w="1331"/>
        <w:gridCol w:w="8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gridSpan w:val="3"/>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填报单位:安义县室内装饰装修市场管理站</w:t>
            </w: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      入</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支出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项目(按支出功能科目类级)</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一般公共预算支出</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一、财政拨款收入</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一、本年支出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一般公共预算拨款收入</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专项收入</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政府性基金预算拨款收入</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预算内投资收入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二、上年结转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二、结转下年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nil"/>
              <w:left w:val="nil"/>
              <w:bottom w:val="nil"/>
              <w:right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一般公共预算拨款结转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政府性基金预算拨款结转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bl>
    <w:p>
      <w:pPr>
        <w:pStyle w:val="2"/>
        <w:rPr>
          <w:rFonts w:hint="eastAsia"/>
          <w:lang w:eastAsia="zh-CN"/>
        </w:rPr>
      </w:pPr>
    </w:p>
    <w:p>
      <w:pPr>
        <w:spacing w:line="240" w:lineRule="auto"/>
        <w:ind w:firstLine="640" w:firstLineChars="200"/>
        <w:jc w:val="left"/>
        <w:rPr>
          <w:rFonts w:hint="eastAsia" w:ascii="仿宋_GB2312" w:hAnsi="宋体" w:eastAsia="仿宋_GB2312"/>
          <w:color w:val="000000"/>
          <w:szCs w:val="32"/>
          <w:shd w:val="clear" w:color="auto" w:fill="FFFFFF"/>
          <w:lang w:eastAsia="zh-CN"/>
        </w:rPr>
      </w:pPr>
    </w:p>
    <w:tbl>
      <w:tblPr>
        <w:tblStyle w:val="7"/>
        <w:tblW w:w="9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55"/>
        <w:gridCol w:w="2745"/>
        <w:gridCol w:w="1665"/>
        <w:gridCol w:w="1875"/>
        <w:gridCol w:w="1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972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一般公共预算支出表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填报单位:安义县室内装饰装修市场管理站</w:t>
            </w: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支出功能分类科目</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科目名称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755"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274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66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519,082.00</w:t>
            </w:r>
          </w:p>
        </w:tc>
        <w:tc>
          <w:tcPr>
            <w:tcW w:w="187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519,082.00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75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212</w:t>
            </w:r>
          </w:p>
        </w:tc>
        <w:tc>
          <w:tcPr>
            <w:tcW w:w="274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城乡社区支出</w:t>
            </w:r>
          </w:p>
        </w:tc>
        <w:tc>
          <w:tcPr>
            <w:tcW w:w="166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519,082.00</w:t>
            </w:r>
          </w:p>
        </w:tc>
        <w:tc>
          <w:tcPr>
            <w:tcW w:w="187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519,082.00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01</w:t>
            </w:r>
          </w:p>
        </w:tc>
        <w:tc>
          <w:tcPr>
            <w:tcW w:w="274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城乡社区管理事务</w:t>
            </w:r>
          </w:p>
        </w:tc>
        <w:tc>
          <w:tcPr>
            <w:tcW w:w="166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519,082.00</w:t>
            </w:r>
          </w:p>
        </w:tc>
        <w:tc>
          <w:tcPr>
            <w:tcW w:w="187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519,082.00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2120101</w:t>
            </w:r>
          </w:p>
        </w:tc>
        <w:tc>
          <w:tcPr>
            <w:tcW w:w="274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行政运行</w:t>
            </w:r>
          </w:p>
        </w:tc>
        <w:tc>
          <w:tcPr>
            <w:tcW w:w="166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519,082.00</w:t>
            </w:r>
          </w:p>
        </w:tc>
        <w:tc>
          <w:tcPr>
            <w:tcW w:w="187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519,082.00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bl>
    <w:p>
      <w:pPr>
        <w:pStyle w:val="2"/>
        <w:ind w:left="0" w:leftChars="0" w:firstLine="0" w:firstLineChars="0"/>
        <w:rPr>
          <w:rFonts w:hint="eastAsia"/>
          <w:lang w:eastAsia="zh-CN"/>
        </w:rPr>
      </w:pPr>
    </w:p>
    <w:tbl>
      <w:tblPr>
        <w:tblStyle w:val="7"/>
        <w:tblW w:w="91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2085"/>
        <w:gridCol w:w="1620"/>
        <w:gridCol w:w="1515"/>
        <w:gridCol w:w="29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9186"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填报单位:安义县室内装饰装修市场管理站</w:t>
            </w: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297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支出经济分类科目</w:t>
            </w:r>
          </w:p>
        </w:tc>
        <w:tc>
          <w:tcPr>
            <w:tcW w:w="61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科目名称 </w:t>
            </w:r>
          </w:p>
        </w:tc>
        <w:tc>
          <w:tcPr>
            <w:tcW w:w="16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51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w:t>
            </w:r>
          </w:p>
        </w:tc>
        <w:tc>
          <w:tcPr>
            <w:tcW w:w="297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9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08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620"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15"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976"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519,082.00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508,309.00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508,029.00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508,029.00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基本工资</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133,824.00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133,824.00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3010301</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年终一次性奖金</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17,137.00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17,137.00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3010302</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其他奖金</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186,196.00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186,196.00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绩效工资</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71,820.00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71,820.00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机关事业单位基本养老保险缴费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34,662.00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34,662.00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职工基本医疗保险缴费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14,082.00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14,082.00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3011202</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工伤保险</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433.00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433.00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住房公积金</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26,734.00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26,734.00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医疗费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17,941.00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17,941.00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其他工资福利支出</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5,200.00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10,773.00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办公费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水费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电费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差旅费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会议费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培训费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工会经费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2,673.00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福利费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其他商品和服务支出</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3030204</w:t>
            </w:r>
          </w:p>
        </w:tc>
        <w:tc>
          <w:tcPr>
            <w:tcW w:w="208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退休公用经费</w:t>
            </w:r>
          </w:p>
        </w:tc>
        <w:tc>
          <w:tcPr>
            <w:tcW w:w="162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280.00</w:t>
            </w:r>
          </w:p>
        </w:tc>
        <w:tc>
          <w:tcPr>
            <w:tcW w:w="1515"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280.00</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bl>
    <w:p>
      <w:pPr>
        <w:spacing w:line="240" w:lineRule="auto"/>
        <w:jc w:val="left"/>
        <w:rPr>
          <w:rFonts w:hint="eastAsia" w:ascii="仿宋_GB2312" w:hAnsi="宋体" w:eastAsia="仿宋_GB2312"/>
          <w:color w:val="000000"/>
          <w:szCs w:val="32"/>
          <w:shd w:val="clear" w:color="auto" w:fill="FFFFFF"/>
          <w:lang w:eastAsia="zh-CN"/>
        </w:rPr>
      </w:pPr>
    </w:p>
    <w:p>
      <w:pPr>
        <w:pStyle w:val="2"/>
        <w:rPr>
          <w:rFonts w:hint="eastAsia"/>
          <w:lang w:eastAsia="zh-CN"/>
        </w:rPr>
      </w:pPr>
    </w:p>
    <w:tbl>
      <w:tblPr>
        <w:tblStyle w:val="7"/>
        <w:tblW w:w="88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75"/>
        <w:gridCol w:w="1939"/>
        <w:gridCol w:w="1142"/>
        <w:gridCol w:w="1896"/>
        <w:gridCol w:w="1416"/>
        <w:gridCol w:w="589"/>
        <w:gridCol w:w="11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850"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一般公共预算'三公'经费支出表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填报单位:安义县室内装饰装修市场管理站</w:t>
            </w:r>
          </w:p>
        </w:tc>
        <w:tc>
          <w:tcPr>
            <w:tcW w:w="0" w:type="auto"/>
            <w:tcBorders>
              <w:top w:val="nil"/>
              <w:left w:val="nil"/>
              <w:bottom w:val="nil"/>
              <w:right w:val="nil"/>
            </w:tcBorders>
            <w:shd w:val="clear" w:color="auto" w:fill="auto"/>
            <w:noWrap/>
            <w:vAlign w:val="bottom"/>
          </w:tcPr>
          <w:p>
            <w:pPr>
              <w:rPr>
                <w:rFonts w:hint="eastAsia" w:ascii="Calibri" w:hAnsi="Calibri" w:cs="Calibri"/>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default" w:ascii="Calibri" w:hAnsi="Calibri" w:cs="Calibri"/>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单位编码</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单位名称</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因公出国(境)费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公务接待费</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公务用车运行维护费</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公务用车购置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575"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210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335"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75"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210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w:t>
            </w:r>
          </w:p>
        </w:tc>
        <w:tc>
          <w:tcPr>
            <w:tcW w:w="1335"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bl>
    <w:p>
      <w:pPr>
        <w:spacing w:line="240" w:lineRule="auto"/>
        <w:jc w:val="left"/>
        <w:rPr>
          <w:rFonts w:hint="eastAsia" w:ascii="仿宋_GB2312" w:hAnsi="宋体" w:eastAsia="仿宋_GB2312"/>
          <w:color w:val="000000"/>
          <w:szCs w:val="32"/>
          <w:shd w:val="clear" w:color="auto" w:fill="FFFFFF"/>
          <w:lang w:eastAsia="zh-CN"/>
        </w:rPr>
      </w:pPr>
    </w:p>
    <w:p>
      <w:pPr>
        <w:pStyle w:val="2"/>
        <w:rPr>
          <w:rFonts w:hint="eastAsia"/>
          <w:lang w:eastAsia="zh-CN"/>
        </w:rPr>
      </w:pPr>
    </w:p>
    <w:tbl>
      <w:tblPr>
        <w:tblStyle w:val="7"/>
        <w:tblW w:w="90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36"/>
        <w:gridCol w:w="1176"/>
        <w:gridCol w:w="696"/>
        <w:gridCol w:w="1176"/>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9015"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4"/>
                <w:szCs w:val="44"/>
                <w:u w:val="none"/>
              </w:rPr>
            </w:pPr>
            <w:r>
              <w:rPr>
                <w:rFonts w:hint="eastAsia" w:ascii="宋体" w:hAnsi="宋体" w:eastAsia="宋体" w:cs="宋体"/>
                <w:b/>
                <w:bCs/>
                <w:i w:val="0"/>
                <w:iCs w:val="0"/>
                <w:color w:val="000000"/>
                <w:kern w:val="0"/>
                <w:sz w:val="32"/>
                <w:szCs w:val="32"/>
                <w:u w:val="none"/>
                <w:lang w:val="en-US" w:eastAsia="zh-CN" w:bidi="ar"/>
              </w:rPr>
              <w:t>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填报单位:102009安义县室内装饰装修市场管理站</w:t>
            </w: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支出功能分类科目</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科目编码</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科目名称 </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基本支出</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55"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4"/>
                <w:szCs w:val="24"/>
                <w:u w:val="none"/>
              </w:rPr>
            </w:pPr>
          </w:p>
        </w:tc>
        <w:tc>
          <w:tcPr>
            <w:tcW w:w="267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1530" w:type="dxa"/>
            <w:tcBorders>
              <w:top w:val="single" w:color="000000" w:sz="4" w:space="0"/>
              <w:left w:val="single" w:color="000000" w:sz="4" w:space="0"/>
              <w:bottom w:val="single" w:color="000000" w:sz="4" w:space="0"/>
              <w:right w:val="nil"/>
            </w:tcBorders>
            <w:shd w:val="clear" w:color="auto" w:fill="auto"/>
            <w:vAlign w:val="center"/>
          </w:tcPr>
          <w:p>
            <w:pPr>
              <w:jc w:val="right"/>
              <w:rPr>
                <w:rFonts w:hint="eastAsia" w:ascii="宋体" w:hAnsi="宋体" w:eastAsia="宋体" w:cs="宋体"/>
                <w:i w:val="0"/>
                <w:iCs w:val="0"/>
                <w:color w:val="000000"/>
                <w:sz w:val="24"/>
                <w:szCs w:val="24"/>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4"/>
                <w:szCs w:val="24"/>
                <w:u w:val="none"/>
              </w:rPr>
            </w:pPr>
          </w:p>
        </w:tc>
      </w:tr>
    </w:tbl>
    <w:p>
      <w:pPr>
        <w:pStyle w:val="2"/>
        <w:ind w:left="0" w:leftChars="0" w:firstLine="0" w:firstLineChars="0"/>
        <w:rPr>
          <w:rFonts w:hint="eastAsia"/>
          <w:lang w:eastAsia="zh-CN"/>
        </w:rPr>
      </w:pPr>
    </w:p>
    <w:p>
      <w:pPr>
        <w:widowControl/>
        <w:spacing w:line="540" w:lineRule="exact"/>
        <w:jc w:val="left"/>
        <w:rPr>
          <w:rFonts w:ascii="黑体" w:hAnsi="黑体" w:eastAsia="黑体"/>
          <w:bCs/>
          <w:szCs w:val="32"/>
        </w:rPr>
      </w:pPr>
      <w:r>
        <w:rPr>
          <w:rFonts w:hint="eastAsia" w:ascii="黑体" w:hAnsi="黑体" w:eastAsia="黑体"/>
          <w:bCs/>
          <w:szCs w:val="32"/>
        </w:rPr>
        <w:t>第</w:t>
      </w:r>
      <w:r>
        <w:rPr>
          <w:rFonts w:hint="eastAsia" w:ascii="黑体" w:hAnsi="黑体" w:eastAsia="黑体"/>
          <w:bCs/>
          <w:szCs w:val="32"/>
          <w:lang w:val="en-US" w:eastAsia="zh-CN"/>
        </w:rPr>
        <w:t>三</w:t>
      </w:r>
      <w:r>
        <w:rPr>
          <w:rFonts w:hint="eastAsia" w:ascii="黑体" w:hAnsi="黑体" w:eastAsia="黑体"/>
          <w:bCs/>
          <w:szCs w:val="32"/>
        </w:rPr>
        <w:t>部分：安义县室内装饰装修市场管理站202</w:t>
      </w:r>
      <w:r>
        <w:rPr>
          <w:rFonts w:hint="eastAsia" w:ascii="黑体" w:hAnsi="黑体" w:eastAsia="黑体"/>
          <w:bCs/>
          <w:szCs w:val="32"/>
          <w:lang w:val="en-US" w:eastAsia="zh-CN"/>
        </w:rPr>
        <w:t>1</w:t>
      </w:r>
      <w:r>
        <w:rPr>
          <w:rFonts w:hint="eastAsia" w:ascii="黑体" w:hAnsi="黑体" w:eastAsia="黑体"/>
          <w:bCs/>
          <w:szCs w:val="32"/>
        </w:rPr>
        <w:t>年部门预算情况说明</w:t>
      </w:r>
    </w:p>
    <w:p>
      <w:pPr>
        <w:spacing w:line="576" w:lineRule="exact"/>
        <w:ind w:firstLine="640" w:firstLineChars="200"/>
        <w:jc w:val="left"/>
        <w:rPr>
          <w:rFonts w:ascii="楷体" w:hAnsi="楷体" w:eastAsia="楷体" w:cs="楷体"/>
          <w:szCs w:val="32"/>
        </w:rPr>
      </w:pPr>
      <w:r>
        <w:rPr>
          <w:rFonts w:hint="eastAsia" w:ascii="楷体" w:hAnsi="楷体" w:eastAsia="楷体" w:cs="楷体"/>
          <w:szCs w:val="32"/>
        </w:rPr>
        <w:t>一、202</w:t>
      </w:r>
      <w:r>
        <w:rPr>
          <w:rFonts w:hint="eastAsia" w:ascii="楷体" w:hAnsi="楷体" w:eastAsia="楷体" w:cs="楷体"/>
          <w:szCs w:val="32"/>
          <w:lang w:val="en-US" w:eastAsia="zh-CN"/>
        </w:rPr>
        <w:t>1</w:t>
      </w:r>
      <w:r>
        <w:rPr>
          <w:rFonts w:hint="eastAsia" w:ascii="楷体" w:hAnsi="楷体" w:eastAsia="楷体" w:cs="楷体"/>
          <w:szCs w:val="32"/>
        </w:rPr>
        <w:t>年部门预算收支情况说明</w:t>
      </w:r>
    </w:p>
    <w:p>
      <w:pPr>
        <w:spacing w:line="560" w:lineRule="exact"/>
        <w:ind w:firstLine="643" w:firstLineChars="200"/>
        <w:rPr>
          <w:rFonts w:hint="eastAsia" w:ascii="仿宋_GB2312" w:hAnsi="宋体"/>
          <w:b/>
          <w:bCs/>
          <w:color w:val="000000"/>
          <w:szCs w:val="32"/>
          <w:shd w:val="clear" w:color="auto" w:fill="FFFFFF"/>
        </w:rPr>
      </w:pPr>
      <w:r>
        <w:rPr>
          <w:rFonts w:hint="eastAsia" w:ascii="仿宋_GB2312" w:hAnsi="宋体"/>
          <w:b/>
          <w:bCs/>
          <w:color w:val="000000"/>
          <w:szCs w:val="32"/>
          <w:shd w:val="clear" w:color="auto" w:fill="FFFFFF"/>
        </w:rPr>
        <w:t xml:space="preserve">（一）收入预算情况 </w:t>
      </w:r>
    </w:p>
    <w:p>
      <w:pPr>
        <w:ind w:left="600"/>
        <w:rPr>
          <w:rFonts w:hint="eastAsia"/>
          <w:sz w:val="30"/>
          <w:szCs w:val="30"/>
        </w:rPr>
      </w:pPr>
      <w:bookmarkStart w:id="0" w:name="_Hlk91593175"/>
      <w:r>
        <w:rPr>
          <w:rFonts w:hint="eastAsia"/>
          <w:sz w:val="30"/>
          <w:szCs w:val="30"/>
        </w:rPr>
        <w:t>2021年预算总收入为</w:t>
      </w:r>
      <w:r>
        <w:rPr>
          <w:rFonts w:hint="eastAsia"/>
          <w:sz w:val="30"/>
          <w:szCs w:val="30"/>
          <w:lang w:val="en-US" w:eastAsia="zh-CN"/>
        </w:rPr>
        <w:t>51.9</w:t>
      </w:r>
      <w:r>
        <w:rPr>
          <w:rFonts w:hint="eastAsia"/>
          <w:sz w:val="30"/>
          <w:szCs w:val="30"/>
          <w:lang w:eastAsia="zh-CN"/>
        </w:rPr>
        <w:t>万</w:t>
      </w:r>
      <w:r>
        <w:rPr>
          <w:rFonts w:hint="eastAsia"/>
          <w:sz w:val="30"/>
          <w:szCs w:val="30"/>
        </w:rPr>
        <w:t>元，其中财政拨款补助收入</w:t>
      </w:r>
      <w:r>
        <w:rPr>
          <w:rFonts w:hint="eastAsia"/>
          <w:sz w:val="30"/>
          <w:szCs w:val="30"/>
          <w:lang w:val="en-US" w:eastAsia="zh-CN"/>
        </w:rPr>
        <w:t>51.9万</w:t>
      </w:r>
      <w:r>
        <w:rPr>
          <w:rFonts w:hint="eastAsia"/>
          <w:sz w:val="30"/>
          <w:szCs w:val="30"/>
        </w:rPr>
        <w:t>元。</w:t>
      </w:r>
    </w:p>
    <w:p>
      <w:pPr>
        <w:spacing w:line="560" w:lineRule="exact"/>
        <w:ind w:left="640" w:leftChars="200" w:firstLine="640" w:firstLineChars="200"/>
        <w:rPr>
          <w:rFonts w:hint="eastAsia" w:ascii="仿宋_GB2312" w:eastAsia="仿宋_GB2312"/>
          <w:color w:val="000000"/>
          <w:sz w:val="32"/>
          <w:szCs w:val="32"/>
          <w:shd w:val="clear" w:color="auto" w:fill="FFFFFF"/>
          <w:lang w:eastAsia="zh-CN"/>
        </w:rPr>
      </w:pPr>
      <w:r>
        <w:rPr>
          <w:rFonts w:hint="eastAsia" w:ascii="仿宋_GB2312" w:eastAsia="仿宋_GB2312"/>
          <w:sz w:val="32"/>
          <w:szCs w:val="32"/>
          <w:lang w:val="en-US" w:eastAsia="zh-CN"/>
        </w:rPr>
        <w:t>较上年</w:t>
      </w:r>
      <w:r>
        <w:rPr>
          <w:rFonts w:hint="eastAsia"/>
          <w:sz w:val="30"/>
          <w:szCs w:val="30"/>
          <w:lang w:val="en-US" w:eastAsia="zh-CN"/>
        </w:rPr>
        <w:t>54.7</w:t>
      </w:r>
      <w:r>
        <w:rPr>
          <w:rFonts w:hint="eastAsia" w:ascii="仿宋_GB2312" w:eastAsia="仿宋_GB2312"/>
          <w:sz w:val="32"/>
          <w:szCs w:val="32"/>
        </w:rPr>
        <w:t>万元</w:t>
      </w:r>
      <w:r>
        <w:rPr>
          <w:rFonts w:hint="eastAsia" w:ascii="仿宋_GB2312"/>
          <w:sz w:val="32"/>
          <w:szCs w:val="32"/>
          <w:lang w:val="en-US" w:eastAsia="zh-CN"/>
        </w:rPr>
        <w:t>减少2.8</w:t>
      </w:r>
      <w:r>
        <w:rPr>
          <w:rFonts w:hint="eastAsia" w:ascii="仿宋_GB2312" w:eastAsia="仿宋_GB2312"/>
          <w:sz w:val="32"/>
          <w:szCs w:val="32"/>
          <w:lang w:val="en-US" w:eastAsia="zh-CN"/>
        </w:rPr>
        <w:t>万元。</w:t>
      </w:r>
      <w:r>
        <w:rPr>
          <w:rFonts w:hint="eastAsia" w:ascii="仿宋_GB2312"/>
          <w:sz w:val="32"/>
          <w:szCs w:val="32"/>
          <w:lang w:val="en-US" w:eastAsia="zh-CN"/>
        </w:rPr>
        <w:t>主要原因是2021年</w:t>
      </w:r>
      <w:r>
        <w:rPr>
          <w:rFonts w:hint="eastAsia"/>
          <w:sz w:val="30"/>
          <w:szCs w:val="30"/>
          <w:lang w:eastAsia="zh-CN"/>
        </w:rPr>
        <w:t>人员减少。</w:t>
      </w:r>
    </w:p>
    <w:bookmarkEnd w:id="0"/>
    <w:p>
      <w:pPr>
        <w:spacing w:line="560" w:lineRule="exact"/>
        <w:ind w:firstLine="643" w:firstLineChars="200"/>
        <w:rPr>
          <w:rFonts w:ascii="仿宋_GB2312" w:hAnsi="宋体"/>
          <w:b/>
          <w:bCs/>
          <w:color w:val="000000"/>
          <w:szCs w:val="32"/>
          <w:shd w:val="clear" w:color="auto" w:fill="FFFFFF"/>
        </w:rPr>
      </w:pPr>
      <w:r>
        <w:rPr>
          <w:rFonts w:hint="eastAsia" w:ascii="仿宋_GB2312" w:hAnsi="宋体"/>
          <w:b/>
          <w:bCs/>
          <w:color w:val="000000"/>
          <w:szCs w:val="32"/>
          <w:shd w:val="clear" w:color="auto" w:fill="FFFFFF"/>
        </w:rPr>
        <w:t>（二）支出预算情况</w:t>
      </w:r>
    </w:p>
    <w:p>
      <w:pPr>
        <w:ind w:firstLine="600" w:firstLineChars="200"/>
        <w:rPr>
          <w:rFonts w:hint="eastAsia"/>
          <w:sz w:val="30"/>
          <w:szCs w:val="30"/>
        </w:rPr>
      </w:pPr>
      <w:r>
        <w:rPr>
          <w:rFonts w:hint="eastAsia"/>
          <w:sz w:val="30"/>
          <w:szCs w:val="30"/>
        </w:rPr>
        <w:t>2021年住建局预算总支出为</w:t>
      </w:r>
      <w:r>
        <w:rPr>
          <w:rFonts w:hint="eastAsia"/>
          <w:sz w:val="30"/>
          <w:szCs w:val="30"/>
          <w:lang w:val="en-US" w:eastAsia="zh-CN"/>
        </w:rPr>
        <w:t>51.9</w:t>
      </w:r>
      <w:r>
        <w:rPr>
          <w:rFonts w:hint="eastAsia"/>
          <w:sz w:val="30"/>
          <w:szCs w:val="30"/>
          <w:lang w:eastAsia="zh-CN"/>
        </w:rPr>
        <w:t>万</w:t>
      </w:r>
      <w:r>
        <w:rPr>
          <w:rFonts w:hint="eastAsia"/>
          <w:sz w:val="30"/>
          <w:szCs w:val="30"/>
        </w:rPr>
        <w:t>元，其中工资福利支出</w:t>
      </w:r>
      <w:r>
        <w:rPr>
          <w:rFonts w:hint="eastAsia"/>
          <w:sz w:val="30"/>
          <w:szCs w:val="30"/>
          <w:lang w:val="en-US" w:eastAsia="zh-CN"/>
        </w:rPr>
        <w:t>50.8万</w:t>
      </w:r>
      <w:r>
        <w:rPr>
          <w:rFonts w:hint="eastAsia"/>
          <w:sz w:val="30"/>
          <w:szCs w:val="30"/>
        </w:rPr>
        <w:t>元，商品服务支出</w:t>
      </w:r>
      <w:r>
        <w:rPr>
          <w:rFonts w:hint="eastAsia"/>
          <w:sz w:val="30"/>
          <w:szCs w:val="30"/>
          <w:lang w:val="en-US" w:eastAsia="zh-CN"/>
        </w:rPr>
        <w:t>1.08</w:t>
      </w:r>
      <w:r>
        <w:rPr>
          <w:rFonts w:hint="eastAsia"/>
          <w:sz w:val="30"/>
          <w:szCs w:val="30"/>
          <w:lang w:eastAsia="zh-CN"/>
        </w:rPr>
        <w:t>万</w:t>
      </w:r>
      <w:r>
        <w:rPr>
          <w:rFonts w:hint="eastAsia"/>
          <w:sz w:val="30"/>
          <w:szCs w:val="30"/>
        </w:rPr>
        <w:t>元，对个人和家庭补助支出</w:t>
      </w:r>
      <w:r>
        <w:rPr>
          <w:rFonts w:hint="eastAsia"/>
          <w:sz w:val="30"/>
          <w:szCs w:val="30"/>
          <w:lang w:val="en-US" w:eastAsia="zh-CN"/>
        </w:rPr>
        <w:t>0.02</w:t>
      </w:r>
      <w:r>
        <w:rPr>
          <w:rFonts w:hint="eastAsia"/>
          <w:sz w:val="30"/>
          <w:szCs w:val="30"/>
          <w:lang w:eastAsia="zh-CN"/>
        </w:rPr>
        <w:t>万</w:t>
      </w:r>
      <w:r>
        <w:rPr>
          <w:rFonts w:hint="eastAsia"/>
          <w:sz w:val="30"/>
          <w:szCs w:val="30"/>
        </w:rPr>
        <w:t>元。</w:t>
      </w:r>
    </w:p>
    <w:p>
      <w:pPr>
        <w:spacing w:line="560" w:lineRule="exact"/>
        <w:ind w:left="640" w:leftChars="200" w:firstLine="640" w:firstLineChars="200"/>
        <w:rPr>
          <w:rFonts w:hint="eastAsia" w:ascii="仿宋_GB2312" w:eastAsia="仿宋_GB2312"/>
          <w:color w:val="000000"/>
          <w:sz w:val="32"/>
          <w:szCs w:val="32"/>
          <w:shd w:val="clear" w:color="auto" w:fill="FFFFFF"/>
          <w:lang w:eastAsia="zh-CN"/>
        </w:rPr>
      </w:pPr>
      <w:r>
        <w:rPr>
          <w:rFonts w:hint="eastAsia" w:ascii="仿宋_GB2312" w:eastAsia="仿宋_GB2312"/>
          <w:sz w:val="32"/>
          <w:szCs w:val="32"/>
          <w:lang w:val="en-US" w:eastAsia="zh-CN"/>
        </w:rPr>
        <w:t>较上年</w:t>
      </w:r>
      <w:r>
        <w:rPr>
          <w:rFonts w:hint="eastAsia"/>
          <w:sz w:val="30"/>
          <w:szCs w:val="30"/>
          <w:lang w:val="en-US" w:eastAsia="zh-CN"/>
        </w:rPr>
        <w:t>51.9</w:t>
      </w:r>
      <w:r>
        <w:rPr>
          <w:rFonts w:hint="eastAsia" w:ascii="仿宋_GB2312" w:eastAsia="仿宋_GB2312"/>
          <w:sz w:val="32"/>
          <w:szCs w:val="32"/>
        </w:rPr>
        <w:t>万元</w:t>
      </w:r>
      <w:r>
        <w:rPr>
          <w:rFonts w:hint="eastAsia" w:ascii="仿宋_GB2312"/>
          <w:sz w:val="32"/>
          <w:szCs w:val="32"/>
          <w:lang w:val="en-US" w:eastAsia="zh-CN"/>
        </w:rPr>
        <w:t>减少2.8</w:t>
      </w:r>
      <w:r>
        <w:rPr>
          <w:rFonts w:hint="eastAsia" w:ascii="仿宋_GB2312" w:eastAsia="仿宋_GB2312"/>
          <w:sz w:val="32"/>
          <w:szCs w:val="32"/>
          <w:lang w:val="en-US" w:eastAsia="zh-CN"/>
        </w:rPr>
        <w:t>万元。</w:t>
      </w:r>
      <w:r>
        <w:rPr>
          <w:rFonts w:hint="eastAsia" w:ascii="仿宋_GB2312"/>
          <w:sz w:val="32"/>
          <w:szCs w:val="32"/>
          <w:lang w:val="en-US" w:eastAsia="zh-CN"/>
        </w:rPr>
        <w:t>主要原因是2021年</w:t>
      </w:r>
      <w:r>
        <w:rPr>
          <w:rFonts w:hint="eastAsia"/>
          <w:sz w:val="30"/>
          <w:szCs w:val="30"/>
          <w:lang w:eastAsia="zh-CN"/>
        </w:rPr>
        <w:t>人员减少。</w:t>
      </w:r>
    </w:p>
    <w:p>
      <w:pPr>
        <w:spacing w:line="560" w:lineRule="exact"/>
        <w:ind w:firstLine="643" w:firstLineChars="200"/>
        <w:rPr>
          <w:rFonts w:ascii="仿宋_GB2312" w:hAnsi="宋体"/>
          <w:b/>
          <w:bCs/>
          <w:color w:val="000000"/>
          <w:szCs w:val="32"/>
          <w:shd w:val="clear" w:color="auto" w:fill="FFFFFF"/>
        </w:rPr>
      </w:pPr>
      <w:r>
        <w:rPr>
          <w:rFonts w:hint="eastAsia" w:ascii="仿宋_GB2312" w:hAnsi="宋体"/>
          <w:b/>
          <w:bCs/>
          <w:color w:val="000000"/>
          <w:szCs w:val="32"/>
          <w:shd w:val="clear" w:color="auto" w:fill="FFFFFF"/>
        </w:rPr>
        <w:t>（三）财政拨款支出情况</w:t>
      </w:r>
    </w:p>
    <w:p>
      <w:pPr>
        <w:ind w:firstLine="640" w:firstLineChars="200"/>
        <w:rPr>
          <w:rFonts w:hint="eastAsia" w:ascii="仿宋" w:hAnsi="仿宋" w:eastAsia="仿宋"/>
          <w:sz w:val="32"/>
          <w:szCs w:val="32"/>
        </w:rPr>
      </w:pPr>
      <w:r>
        <w:rPr>
          <w:rFonts w:hint="eastAsia" w:ascii="仿宋" w:hAnsi="仿宋" w:eastAsia="仿宋"/>
          <w:sz w:val="32"/>
          <w:szCs w:val="32"/>
        </w:rPr>
        <w:t>2021年安义县</w:t>
      </w:r>
      <w:r>
        <w:rPr>
          <w:rFonts w:hint="eastAsia"/>
          <w:sz w:val="30"/>
          <w:szCs w:val="30"/>
        </w:rPr>
        <w:t>住建局</w:t>
      </w:r>
      <w:r>
        <w:rPr>
          <w:rFonts w:hint="eastAsia" w:ascii="仿宋" w:hAnsi="仿宋" w:eastAsia="仿宋"/>
          <w:sz w:val="32"/>
          <w:szCs w:val="32"/>
        </w:rPr>
        <w:t>财政拨款支出预算为</w:t>
      </w:r>
      <w:r>
        <w:rPr>
          <w:rFonts w:hint="eastAsia" w:eastAsia="仿宋"/>
          <w:sz w:val="30"/>
          <w:szCs w:val="30"/>
          <w:lang w:val="en-US" w:eastAsia="zh-CN"/>
        </w:rPr>
        <w:t>51.9</w:t>
      </w:r>
      <w:r>
        <w:rPr>
          <w:rFonts w:hint="eastAsia"/>
          <w:sz w:val="30"/>
          <w:szCs w:val="30"/>
          <w:lang w:eastAsia="zh-CN"/>
        </w:rPr>
        <w:t>万</w:t>
      </w:r>
      <w:r>
        <w:rPr>
          <w:rFonts w:hint="eastAsia" w:ascii="仿宋" w:hAnsi="仿宋" w:eastAsia="仿宋"/>
          <w:sz w:val="32"/>
          <w:szCs w:val="32"/>
        </w:rPr>
        <w:t>元，占收入预算总额的100%。具体支出情况是：工资福利支出</w:t>
      </w:r>
      <w:r>
        <w:rPr>
          <w:rFonts w:hint="eastAsia" w:eastAsia="仿宋"/>
          <w:sz w:val="30"/>
          <w:szCs w:val="30"/>
          <w:lang w:val="en-US" w:eastAsia="zh-CN"/>
        </w:rPr>
        <w:t>50.8万</w:t>
      </w:r>
      <w:r>
        <w:rPr>
          <w:rFonts w:hint="eastAsia" w:ascii="仿宋" w:hAnsi="仿宋" w:eastAsia="仿宋"/>
          <w:sz w:val="32"/>
          <w:szCs w:val="32"/>
        </w:rPr>
        <w:t>元、占财政拨款支出的</w:t>
      </w:r>
      <w:r>
        <w:rPr>
          <w:rFonts w:hint="eastAsia" w:ascii="仿宋" w:hAnsi="仿宋" w:eastAsia="仿宋"/>
          <w:sz w:val="32"/>
          <w:szCs w:val="32"/>
          <w:lang w:val="en-US" w:eastAsia="zh-CN"/>
        </w:rPr>
        <w:t>97.8</w:t>
      </w:r>
      <w:r>
        <w:rPr>
          <w:rFonts w:hint="eastAsia" w:ascii="仿宋" w:hAnsi="仿宋" w:eastAsia="仿宋"/>
          <w:sz w:val="32"/>
          <w:szCs w:val="32"/>
        </w:rPr>
        <w:t>%；日常公用开支</w:t>
      </w:r>
      <w:r>
        <w:rPr>
          <w:rFonts w:hint="eastAsia" w:eastAsia="仿宋"/>
          <w:sz w:val="30"/>
          <w:szCs w:val="30"/>
          <w:lang w:val="en-US" w:eastAsia="zh-CN"/>
        </w:rPr>
        <w:t>1.08万</w:t>
      </w:r>
      <w:r>
        <w:rPr>
          <w:rFonts w:hint="eastAsia" w:ascii="仿宋" w:hAnsi="仿宋" w:eastAsia="仿宋"/>
          <w:sz w:val="32"/>
          <w:szCs w:val="32"/>
        </w:rPr>
        <w:t>元、占财政拨款支出的</w:t>
      </w:r>
      <w:r>
        <w:rPr>
          <w:rFonts w:hint="eastAsia" w:ascii="仿宋" w:hAnsi="仿宋" w:eastAsia="仿宋"/>
          <w:sz w:val="32"/>
          <w:szCs w:val="32"/>
          <w:lang w:val="en-US" w:eastAsia="zh-CN"/>
        </w:rPr>
        <w:t>2</w:t>
      </w:r>
      <w:r>
        <w:rPr>
          <w:rFonts w:hint="eastAsia" w:ascii="仿宋" w:hAnsi="仿宋" w:eastAsia="仿宋"/>
          <w:sz w:val="32"/>
          <w:szCs w:val="32"/>
        </w:rPr>
        <w:t>%；对个人和家庭的补助支出</w:t>
      </w:r>
      <w:r>
        <w:rPr>
          <w:rFonts w:hint="eastAsia" w:eastAsia="仿宋"/>
          <w:sz w:val="30"/>
          <w:szCs w:val="30"/>
          <w:lang w:val="en-US" w:eastAsia="zh-CN"/>
        </w:rPr>
        <w:t>0.08万</w:t>
      </w:r>
      <w:r>
        <w:rPr>
          <w:rFonts w:hint="eastAsia" w:ascii="仿宋" w:hAnsi="仿宋" w:eastAsia="仿宋"/>
          <w:sz w:val="32"/>
          <w:szCs w:val="32"/>
        </w:rPr>
        <w:t>元，占财政拨款支出的</w:t>
      </w:r>
      <w:r>
        <w:rPr>
          <w:rFonts w:hint="eastAsia" w:ascii="仿宋" w:hAnsi="仿宋" w:eastAsia="仿宋"/>
          <w:sz w:val="32"/>
          <w:szCs w:val="32"/>
          <w:lang w:val="en-US" w:eastAsia="zh-CN"/>
        </w:rPr>
        <w:t>0.2</w:t>
      </w:r>
      <w:r>
        <w:rPr>
          <w:rFonts w:hint="eastAsia" w:ascii="仿宋" w:hAnsi="仿宋" w:eastAsia="仿宋"/>
          <w:sz w:val="32"/>
          <w:szCs w:val="32"/>
        </w:rPr>
        <w:t>%。</w:t>
      </w:r>
    </w:p>
    <w:p>
      <w:pPr>
        <w:spacing w:line="560" w:lineRule="exact"/>
        <w:ind w:left="640" w:leftChars="200" w:firstLine="640" w:firstLineChars="200"/>
        <w:rPr>
          <w:rFonts w:hint="eastAsia" w:ascii="仿宋_GB2312" w:eastAsia="仿宋_GB2312"/>
          <w:color w:val="000000"/>
          <w:sz w:val="32"/>
          <w:szCs w:val="32"/>
          <w:shd w:val="clear" w:color="auto" w:fill="FFFFFF"/>
        </w:rPr>
      </w:pPr>
      <w:r>
        <w:rPr>
          <w:rFonts w:hint="eastAsia" w:ascii="仿宋_GB2312" w:eastAsia="仿宋_GB2312"/>
          <w:sz w:val="32"/>
          <w:szCs w:val="32"/>
          <w:lang w:val="en-US" w:eastAsia="zh-CN"/>
        </w:rPr>
        <w:t>较上年</w:t>
      </w:r>
      <w:r>
        <w:rPr>
          <w:rFonts w:hint="eastAsia" w:ascii="仿宋_GB2312"/>
          <w:sz w:val="32"/>
          <w:szCs w:val="32"/>
          <w:lang w:val="en-US" w:eastAsia="zh-CN"/>
        </w:rPr>
        <w:t>预算安排减少2.8</w:t>
      </w:r>
      <w:r>
        <w:rPr>
          <w:rFonts w:hint="eastAsia" w:ascii="仿宋_GB2312" w:eastAsia="仿宋_GB2312"/>
          <w:sz w:val="32"/>
          <w:szCs w:val="32"/>
          <w:lang w:val="en-US" w:eastAsia="zh-CN"/>
        </w:rPr>
        <w:t>万元。</w:t>
      </w:r>
    </w:p>
    <w:p>
      <w:pPr>
        <w:widowControl/>
        <w:spacing w:line="600" w:lineRule="exact"/>
        <w:ind w:firstLine="643" w:firstLineChars="200"/>
        <w:jc w:val="left"/>
        <w:rPr>
          <w:rFonts w:hint="eastAsia" w:ascii="仿宋_GB2312" w:eastAsia="仿宋_GB2312"/>
          <w:b/>
          <w:color w:val="000000"/>
          <w:sz w:val="32"/>
          <w:szCs w:val="30"/>
        </w:rPr>
      </w:pPr>
      <w:r>
        <w:rPr>
          <w:rFonts w:hint="eastAsia" w:ascii="仿宋_GB2312" w:eastAsia="仿宋_GB2312"/>
          <w:b/>
          <w:color w:val="000000"/>
          <w:sz w:val="32"/>
          <w:szCs w:val="30"/>
        </w:rPr>
        <w:t>（四）政府性基金情况</w:t>
      </w:r>
    </w:p>
    <w:p>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lang w:val="en-US" w:eastAsia="zh-CN"/>
        </w:rPr>
        <w:t>无使用</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（五）国有资本经营情况</w:t>
      </w:r>
    </w:p>
    <w:p>
      <w:pPr>
        <w:widowControl/>
        <w:spacing w:line="600" w:lineRule="exact"/>
        <w:ind w:firstLine="640"/>
        <w:jc w:val="left"/>
        <w:rPr>
          <w:rFonts w:hint="default" w:ascii="仿宋_GB2312" w:hAnsi="Times New Roman" w:eastAsia="仿宋_GB2312" w:cs="Times New Roman"/>
          <w:color w:val="000000"/>
          <w:sz w:val="32"/>
          <w:szCs w:val="30"/>
          <w:lang w:val="en-US" w:eastAsia="zh-CN"/>
        </w:rPr>
      </w:pPr>
      <w:r>
        <w:rPr>
          <w:rFonts w:hint="eastAsia" w:ascii="仿宋_GB2312" w:hAnsi="Times New Roman" w:eastAsia="仿宋_GB2312" w:cs="Times New Roman"/>
          <w:color w:val="000000"/>
          <w:sz w:val="32"/>
          <w:szCs w:val="30"/>
          <w:lang w:val="en-US" w:eastAsia="zh-CN"/>
        </w:rPr>
        <w:t>无使用</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（六）机关运行经费等重要事项的说明</w:t>
      </w:r>
    </w:p>
    <w:p>
      <w:pPr>
        <w:widowControl/>
        <w:spacing w:line="600" w:lineRule="exact"/>
        <w:ind w:firstLine="636"/>
        <w:jc w:val="left"/>
        <w:rPr>
          <w:rFonts w:hint="default" w:ascii="仿宋_GB2312" w:eastAsia="仿宋_GB2312"/>
          <w:color w:val="000000"/>
          <w:sz w:val="32"/>
          <w:szCs w:val="30"/>
          <w:lang w:val="en-US"/>
        </w:rPr>
      </w:pPr>
      <w:r>
        <w:rPr>
          <w:rFonts w:hint="eastAsia" w:ascii="仿宋_GB2312" w:eastAsia="仿宋_GB2312"/>
          <w:color w:val="000000"/>
          <w:sz w:val="32"/>
          <w:szCs w:val="30"/>
        </w:rPr>
        <w:t>202</w:t>
      </w:r>
      <w:r>
        <w:rPr>
          <w:rFonts w:hint="eastAsia" w:ascii="仿宋_GB2312"/>
          <w:color w:val="000000"/>
          <w:sz w:val="32"/>
          <w:szCs w:val="30"/>
          <w:lang w:val="en-US" w:eastAsia="zh-CN"/>
        </w:rPr>
        <w:t>1</w:t>
      </w:r>
      <w:r>
        <w:rPr>
          <w:rFonts w:hint="eastAsia" w:ascii="仿宋_GB2312" w:eastAsia="仿宋_GB2312"/>
          <w:color w:val="000000"/>
          <w:sz w:val="32"/>
          <w:szCs w:val="30"/>
        </w:rPr>
        <w:t>年部门机关运行费预算</w:t>
      </w:r>
      <w:r>
        <w:rPr>
          <w:rFonts w:hint="eastAsia" w:ascii="仿宋_GB2312"/>
          <w:color w:val="000000"/>
          <w:sz w:val="32"/>
          <w:szCs w:val="30"/>
          <w:u w:val="single"/>
          <w:lang w:val="en-US" w:eastAsia="zh-CN"/>
        </w:rPr>
        <w:t>1.08</w:t>
      </w:r>
      <w:r>
        <w:rPr>
          <w:rFonts w:hint="eastAsia" w:ascii="仿宋_GB2312"/>
          <w:color w:val="000000"/>
          <w:sz w:val="32"/>
          <w:szCs w:val="30"/>
          <w:u w:val="single"/>
          <w:lang w:eastAsia="zh-CN"/>
        </w:rPr>
        <w:t>万</w:t>
      </w:r>
      <w:r>
        <w:rPr>
          <w:rFonts w:hint="eastAsia" w:ascii="仿宋_GB2312" w:eastAsia="仿宋_GB2312"/>
          <w:color w:val="000000"/>
          <w:sz w:val="32"/>
          <w:szCs w:val="30"/>
        </w:rPr>
        <w:t>元，比202</w:t>
      </w:r>
      <w:r>
        <w:rPr>
          <w:rFonts w:hint="eastAsia" w:ascii="仿宋_GB2312"/>
          <w:color w:val="000000"/>
          <w:sz w:val="32"/>
          <w:szCs w:val="30"/>
          <w:lang w:val="en-US" w:eastAsia="zh-CN"/>
        </w:rPr>
        <w:t>0</w:t>
      </w:r>
      <w:r>
        <w:rPr>
          <w:rFonts w:hint="eastAsia" w:ascii="仿宋_GB2312" w:eastAsia="仿宋_GB2312"/>
          <w:color w:val="000000"/>
          <w:sz w:val="32"/>
          <w:szCs w:val="30"/>
        </w:rPr>
        <w:t>年预算减少</w:t>
      </w:r>
      <w:r>
        <w:rPr>
          <w:rFonts w:hint="eastAsia" w:ascii="仿宋_GB2312"/>
          <w:color w:val="000000"/>
          <w:sz w:val="32"/>
          <w:szCs w:val="30"/>
          <w:u w:val="single"/>
          <w:lang w:val="en-US" w:eastAsia="zh-CN"/>
        </w:rPr>
        <w:t>11.28万</w:t>
      </w:r>
      <w:r>
        <w:rPr>
          <w:rFonts w:hint="eastAsia" w:ascii="仿宋_GB2312" w:eastAsia="仿宋_GB2312"/>
          <w:color w:val="000000"/>
          <w:sz w:val="32"/>
          <w:szCs w:val="30"/>
        </w:rPr>
        <w:t>元，下降</w:t>
      </w:r>
      <w:r>
        <w:rPr>
          <w:rFonts w:hint="eastAsia" w:ascii="仿宋_GB2312"/>
          <w:color w:val="000000"/>
          <w:sz w:val="32"/>
          <w:szCs w:val="30"/>
          <w:lang w:val="en-US" w:eastAsia="zh-CN"/>
        </w:rPr>
        <w:t>91</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（七）政府采购情况</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202</w:t>
      </w:r>
      <w:r>
        <w:rPr>
          <w:rFonts w:hint="eastAsia" w:ascii="仿宋_GB2312"/>
          <w:color w:val="000000"/>
          <w:sz w:val="32"/>
          <w:szCs w:val="30"/>
          <w:lang w:val="en-US" w:eastAsia="zh-CN"/>
        </w:rPr>
        <w:t>1</w:t>
      </w:r>
      <w:r>
        <w:rPr>
          <w:rFonts w:hint="eastAsia" w:ascii="仿宋_GB2312" w:eastAsia="仿宋_GB2312"/>
          <w:color w:val="000000"/>
          <w:sz w:val="32"/>
          <w:szCs w:val="30"/>
        </w:rPr>
        <w:t>年部门所属各单位政府采购总额</w:t>
      </w:r>
      <w:r>
        <w:rPr>
          <w:rFonts w:hint="eastAsia" w:ascii="仿宋_GB2312"/>
          <w:color w:val="000000"/>
          <w:sz w:val="32"/>
          <w:szCs w:val="30"/>
          <w:u w:val="single"/>
          <w:lang w:val="en-US" w:eastAsia="zh-CN"/>
        </w:rPr>
        <w:t>0</w:t>
      </w:r>
      <w:r>
        <w:rPr>
          <w:rFonts w:hint="eastAsia" w:ascii="仿宋_GB2312" w:eastAsia="仿宋_GB2312"/>
          <w:color w:val="000000"/>
          <w:sz w:val="32"/>
          <w:szCs w:val="30"/>
        </w:rPr>
        <w:t>万元，其中：政府采购货物预算</w:t>
      </w:r>
      <w:r>
        <w:rPr>
          <w:rFonts w:hint="eastAsia" w:ascii="仿宋_GB2312"/>
          <w:color w:val="000000"/>
          <w:sz w:val="32"/>
          <w:szCs w:val="30"/>
          <w:u w:val="single"/>
          <w:lang w:val="en-US" w:eastAsia="zh-CN"/>
        </w:rPr>
        <w:t>0</w:t>
      </w:r>
      <w:r>
        <w:rPr>
          <w:rFonts w:hint="eastAsia" w:ascii="仿宋_GB2312" w:eastAsia="仿宋_GB2312"/>
          <w:color w:val="000000"/>
          <w:sz w:val="32"/>
          <w:szCs w:val="30"/>
        </w:rPr>
        <w:t>万元、政府采购工程预算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万元、政府采购服务预算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万元。比202</w:t>
      </w:r>
      <w:r>
        <w:rPr>
          <w:rFonts w:hint="eastAsia" w:ascii="仿宋_GB2312"/>
          <w:color w:val="000000"/>
          <w:sz w:val="32"/>
          <w:szCs w:val="30"/>
          <w:lang w:val="en-US" w:eastAsia="zh-CN"/>
        </w:rPr>
        <w:t>0</w:t>
      </w:r>
      <w:r>
        <w:rPr>
          <w:rFonts w:hint="eastAsia" w:ascii="仿宋_GB2312" w:eastAsia="仿宋_GB2312"/>
          <w:color w:val="000000"/>
          <w:sz w:val="32"/>
          <w:szCs w:val="30"/>
        </w:rPr>
        <w:t>年预算</w:t>
      </w:r>
      <w:r>
        <w:rPr>
          <w:rFonts w:hint="eastAsia" w:ascii="仿宋_GB2312"/>
          <w:color w:val="000000"/>
          <w:sz w:val="32"/>
          <w:szCs w:val="30"/>
          <w:lang w:eastAsia="zh-CN"/>
        </w:rPr>
        <w:t>增加</w:t>
      </w:r>
      <w:r>
        <w:rPr>
          <w:rFonts w:hint="eastAsia" w:ascii="仿宋_GB2312"/>
          <w:color w:val="000000"/>
          <w:sz w:val="32"/>
          <w:szCs w:val="30"/>
          <w:u w:val="single"/>
          <w:lang w:val="en-US" w:eastAsia="zh-CN"/>
        </w:rPr>
        <w:t>0万</w:t>
      </w:r>
      <w:r>
        <w:rPr>
          <w:rFonts w:hint="eastAsia" w:ascii="仿宋_GB2312" w:eastAsia="仿宋_GB2312"/>
          <w:color w:val="000000"/>
          <w:sz w:val="32"/>
          <w:szCs w:val="30"/>
        </w:rPr>
        <w:t>元，</w:t>
      </w:r>
      <w:r>
        <w:rPr>
          <w:rFonts w:hint="eastAsia" w:ascii="仿宋_GB2312"/>
          <w:color w:val="000000"/>
          <w:sz w:val="32"/>
          <w:szCs w:val="30"/>
          <w:lang w:eastAsia="zh-CN"/>
        </w:rPr>
        <w:t>增加</w:t>
      </w:r>
      <w:r>
        <w:rPr>
          <w:rFonts w:hint="eastAsia" w:ascii="仿宋_GB2312"/>
          <w:color w:val="000000"/>
          <w:sz w:val="32"/>
          <w:szCs w:val="30"/>
          <w:lang w:val="en-US" w:eastAsia="zh-CN"/>
        </w:rPr>
        <w:t>0</w:t>
      </w:r>
      <w:r>
        <w:rPr>
          <w:rFonts w:hint="eastAsia" w:ascii="仿宋_GB2312" w:eastAsia="仿宋_GB2312"/>
          <w:color w:val="000000"/>
          <w:sz w:val="32"/>
          <w:szCs w:val="30"/>
        </w:rPr>
        <w:t>%。</w:t>
      </w:r>
    </w:p>
    <w:p>
      <w:pPr>
        <w:widowControl/>
        <w:spacing w:line="600" w:lineRule="exact"/>
        <w:ind w:firstLine="630" w:firstLineChars="196"/>
        <w:jc w:val="left"/>
        <w:rPr>
          <w:rFonts w:hint="eastAsia" w:ascii="仿宋_GB2312" w:eastAsia="仿宋_GB2312"/>
          <w:b/>
          <w:color w:val="000000"/>
          <w:sz w:val="32"/>
          <w:szCs w:val="30"/>
        </w:rPr>
      </w:pPr>
      <w:r>
        <w:rPr>
          <w:rFonts w:hint="eastAsia" w:ascii="仿宋_GB2312" w:eastAsia="仿宋_GB2312"/>
          <w:b/>
          <w:color w:val="000000"/>
          <w:sz w:val="32"/>
          <w:szCs w:val="30"/>
        </w:rPr>
        <w:t>（八）国有资产占有使用情况</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截至202</w:t>
      </w:r>
      <w:r>
        <w:rPr>
          <w:rFonts w:hint="eastAsia" w:ascii="仿宋_GB2312"/>
          <w:color w:val="000000"/>
          <w:sz w:val="32"/>
          <w:szCs w:val="30"/>
          <w:lang w:val="en-US" w:eastAsia="zh-CN"/>
        </w:rPr>
        <w:t>0</w:t>
      </w:r>
      <w:r>
        <w:rPr>
          <w:rFonts w:hint="eastAsia" w:ascii="仿宋_GB2312" w:eastAsia="仿宋_GB2312"/>
          <w:color w:val="000000"/>
          <w:sz w:val="32"/>
          <w:szCs w:val="30"/>
        </w:rPr>
        <w:t>年</w:t>
      </w:r>
      <w:r>
        <w:rPr>
          <w:rFonts w:hint="eastAsia" w:ascii="仿宋_GB2312"/>
          <w:color w:val="000000"/>
          <w:sz w:val="32"/>
          <w:szCs w:val="30"/>
          <w:lang w:val="en-US" w:eastAsia="zh-CN"/>
        </w:rPr>
        <w:t>12</w:t>
      </w:r>
      <w:r>
        <w:rPr>
          <w:rFonts w:hint="eastAsia" w:ascii="仿宋_GB2312" w:eastAsia="仿宋_GB2312"/>
          <w:color w:val="000000"/>
          <w:sz w:val="32"/>
          <w:szCs w:val="30"/>
        </w:rPr>
        <w:t>月31日，部门共有车辆</w:t>
      </w:r>
      <w:r>
        <w:rPr>
          <w:rFonts w:hint="eastAsia" w:ascii="仿宋_GB2312"/>
          <w:color w:val="000000"/>
          <w:sz w:val="32"/>
          <w:szCs w:val="30"/>
          <w:u w:val="single"/>
          <w:lang w:val="en-US" w:eastAsia="zh-CN"/>
        </w:rPr>
        <w:t>0</w:t>
      </w:r>
      <w:r>
        <w:rPr>
          <w:rFonts w:hint="eastAsia" w:ascii="仿宋_GB2312" w:eastAsia="仿宋_GB2312"/>
          <w:color w:val="000000"/>
          <w:sz w:val="32"/>
          <w:szCs w:val="30"/>
        </w:rPr>
        <w:t>辆，其中，一般公务用车</w:t>
      </w:r>
      <w:r>
        <w:rPr>
          <w:rFonts w:hint="eastAsia" w:ascii="仿宋_GB2312"/>
          <w:color w:val="000000"/>
          <w:sz w:val="32"/>
          <w:szCs w:val="30"/>
          <w:u w:val="single"/>
          <w:lang w:val="en-US" w:eastAsia="zh-CN"/>
        </w:rPr>
        <w:t>0</w:t>
      </w:r>
      <w:r>
        <w:rPr>
          <w:rFonts w:hint="eastAsia" w:ascii="仿宋_GB2312" w:eastAsia="仿宋_GB2312"/>
          <w:color w:val="000000"/>
          <w:sz w:val="32"/>
          <w:szCs w:val="30"/>
        </w:rPr>
        <w:t>辆，执法执勤用车</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202</w:t>
      </w:r>
      <w:r>
        <w:rPr>
          <w:rFonts w:hint="eastAsia" w:ascii="仿宋_GB2312"/>
          <w:color w:val="000000"/>
          <w:sz w:val="32"/>
          <w:szCs w:val="30"/>
          <w:lang w:val="en-US" w:eastAsia="zh-CN"/>
        </w:rPr>
        <w:t>1</w:t>
      </w:r>
      <w:r>
        <w:rPr>
          <w:rFonts w:hint="eastAsia" w:ascii="仿宋_GB2312" w:eastAsia="仿宋_GB2312"/>
          <w:color w:val="000000"/>
          <w:sz w:val="32"/>
          <w:szCs w:val="30"/>
        </w:rPr>
        <w:t>年部门预算安排购置车辆</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辆，安排购置单位价值200万元以上大型设备具体为：</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无购置大型设备</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w:t>
      </w:r>
    </w:p>
    <w:p>
      <w:pPr>
        <w:widowControl/>
        <w:numPr>
          <w:ilvl w:val="0"/>
          <w:numId w:val="1"/>
        </w:numPr>
        <w:spacing w:line="600" w:lineRule="exact"/>
        <w:ind w:firstLine="640"/>
        <w:jc w:val="left"/>
        <w:rPr>
          <w:rFonts w:ascii="楷体" w:hAnsi="楷体" w:eastAsia="楷体" w:cs="楷体"/>
          <w:szCs w:val="32"/>
        </w:rPr>
      </w:pPr>
      <w:r>
        <w:rPr>
          <w:rFonts w:hint="eastAsia" w:ascii="仿宋_GB2312"/>
          <w:b/>
          <w:sz w:val="32"/>
          <w:szCs w:val="30"/>
          <w:lang w:val="en-US" w:eastAsia="zh-CN"/>
        </w:rPr>
        <w:t>重点</w:t>
      </w:r>
      <w:r>
        <w:rPr>
          <w:rFonts w:hint="eastAsia" w:ascii="仿宋_GB2312" w:eastAsia="仿宋_GB2312"/>
          <w:b/>
          <w:sz w:val="32"/>
          <w:szCs w:val="30"/>
        </w:rPr>
        <w:t>项目情况说明</w:t>
      </w:r>
      <w:r>
        <w:rPr>
          <w:rFonts w:hint="eastAsia" w:ascii="仿宋_GB2312"/>
          <w:b/>
          <w:sz w:val="32"/>
          <w:szCs w:val="30"/>
          <w:lang w:val="en-US" w:eastAsia="zh-CN"/>
        </w:rPr>
        <w:t xml:space="preserve"> </w:t>
      </w:r>
    </w:p>
    <w:p>
      <w:pPr>
        <w:pStyle w:val="2"/>
        <w:ind w:firstLine="1600" w:firstLineChars="500"/>
        <w:rPr>
          <w:rFonts w:hint="default" w:ascii="仿宋" w:hAnsi="仿宋" w:eastAsia="仿宋" w:cs="Times New Roman"/>
          <w:kern w:val="2"/>
          <w:sz w:val="32"/>
          <w:szCs w:val="32"/>
          <w:u w:val="single"/>
          <w:lang w:val="en-US" w:eastAsia="zh-CN" w:bidi="ar-SA"/>
        </w:rPr>
      </w:pPr>
    </w:p>
    <w:p>
      <w:pPr>
        <w:widowControl/>
        <w:numPr>
          <w:ilvl w:val="0"/>
          <w:numId w:val="0"/>
        </w:numPr>
        <w:spacing w:line="600" w:lineRule="exact"/>
        <w:ind w:firstLine="640" w:firstLineChars="200"/>
        <w:jc w:val="left"/>
        <w:rPr>
          <w:rFonts w:ascii="楷体" w:hAnsi="楷体" w:eastAsia="楷体" w:cs="楷体"/>
          <w:szCs w:val="32"/>
        </w:rPr>
      </w:pPr>
      <w:r>
        <w:rPr>
          <w:rFonts w:hint="eastAsia" w:ascii="楷体" w:hAnsi="楷体" w:eastAsia="楷体" w:cs="楷体"/>
          <w:szCs w:val="32"/>
          <w:lang w:eastAsia="zh-CN"/>
        </w:rPr>
        <w:t>二、</w:t>
      </w:r>
      <w:r>
        <w:rPr>
          <w:rFonts w:hint="eastAsia" w:ascii="楷体" w:hAnsi="楷体" w:eastAsia="楷体" w:cs="楷体"/>
          <w:szCs w:val="32"/>
        </w:rPr>
        <w:t>202</w:t>
      </w:r>
      <w:r>
        <w:rPr>
          <w:rFonts w:hint="eastAsia" w:ascii="楷体" w:hAnsi="楷体" w:eastAsia="楷体" w:cs="楷体"/>
          <w:szCs w:val="32"/>
          <w:lang w:val="en-US" w:eastAsia="zh-CN"/>
        </w:rPr>
        <w:t>1</w:t>
      </w:r>
      <w:r>
        <w:rPr>
          <w:rFonts w:hint="eastAsia" w:ascii="楷体" w:hAnsi="楷体" w:eastAsia="楷体" w:cs="楷体"/>
          <w:szCs w:val="32"/>
        </w:rPr>
        <w:t>年“三公”经费预算情况说明</w:t>
      </w:r>
    </w:p>
    <w:p>
      <w:pPr>
        <w:ind w:firstLine="640" w:firstLineChars="200"/>
        <w:rPr>
          <w:rFonts w:hint="eastAsia" w:ascii="仿宋" w:hAnsi="仿宋" w:eastAsia="仿宋"/>
          <w:sz w:val="32"/>
          <w:szCs w:val="32"/>
        </w:rPr>
      </w:pPr>
      <w:r>
        <w:rPr>
          <w:rFonts w:hint="eastAsia" w:ascii="仿宋" w:hAnsi="仿宋" w:eastAsia="仿宋"/>
          <w:sz w:val="32"/>
          <w:szCs w:val="32"/>
        </w:rPr>
        <w:t>2021年本部门“三公”经费年初预算安排</w:t>
      </w:r>
      <w:r>
        <w:rPr>
          <w:rFonts w:hint="eastAsia" w:eastAsia="仿宋"/>
          <w:sz w:val="30"/>
          <w:szCs w:val="30"/>
          <w:lang w:val="en-US" w:eastAsia="zh-CN"/>
        </w:rPr>
        <w:t>0</w:t>
      </w:r>
      <w:bookmarkStart w:id="1" w:name="_GoBack"/>
      <w:bookmarkEnd w:id="1"/>
      <w:r>
        <w:rPr>
          <w:rFonts w:hint="eastAsia" w:ascii="仿宋" w:hAnsi="仿宋" w:eastAsia="仿宋"/>
          <w:sz w:val="32"/>
          <w:szCs w:val="32"/>
        </w:rPr>
        <w:t>元</w:t>
      </w:r>
    </w:p>
    <w:p>
      <w:pPr>
        <w:widowControl/>
        <w:spacing w:line="600" w:lineRule="exact"/>
        <w:ind w:firstLine="640"/>
        <w:jc w:val="left"/>
        <w:rPr>
          <w:rFonts w:hint="eastAsia" w:ascii="仿宋" w:hAnsi="仿宋" w:eastAsia="仿宋"/>
          <w:sz w:val="32"/>
          <w:szCs w:val="32"/>
        </w:rPr>
      </w:pPr>
      <w:r>
        <w:rPr>
          <w:rFonts w:hint="eastAsia" w:ascii="仿宋" w:hAnsi="仿宋" w:eastAsia="仿宋"/>
          <w:sz w:val="32"/>
          <w:szCs w:val="32"/>
        </w:rPr>
        <w:t>（一）因公出国出境预算0元。</w:t>
      </w:r>
      <w:r>
        <w:rPr>
          <w:rFonts w:hint="eastAsia" w:ascii="仿宋_GB2312" w:eastAsia="仿宋_GB2312"/>
          <w:color w:val="000000"/>
          <w:sz w:val="32"/>
          <w:szCs w:val="30"/>
        </w:rPr>
        <w:t>比上年</w:t>
      </w:r>
      <w:r>
        <w:rPr>
          <w:rFonts w:hint="eastAsia" w:ascii="仿宋_GB2312" w:eastAsia="仿宋_GB2312"/>
          <w:color w:val="000000"/>
          <w:sz w:val="32"/>
          <w:szCs w:val="30"/>
          <w:lang w:val="en-US" w:eastAsia="zh-CN"/>
        </w:rPr>
        <w:t>无增减</w:t>
      </w:r>
      <w:r>
        <w:rPr>
          <w:rFonts w:hint="eastAsia" w:ascii="仿宋_GB2312" w:eastAsia="仿宋_GB2312"/>
          <w:color w:val="000000"/>
          <w:sz w:val="32"/>
          <w:szCs w:val="30"/>
        </w:rPr>
        <w:t>，主要原因是：</w:t>
      </w:r>
      <w:r>
        <w:rPr>
          <w:rFonts w:hint="eastAsia" w:ascii="仿宋_GB2312" w:eastAsia="仿宋_GB2312"/>
          <w:color w:val="000000"/>
          <w:sz w:val="32"/>
          <w:szCs w:val="30"/>
          <w:lang w:val="en-US" w:eastAsia="zh-CN"/>
        </w:rPr>
        <w:t>本单位无因公出国（境）</w:t>
      </w:r>
      <w:r>
        <w:rPr>
          <w:rFonts w:hint="eastAsia" w:ascii="仿宋_GB2312" w:eastAsia="仿宋_GB2312"/>
          <w:color w:val="000000"/>
          <w:sz w:val="32"/>
          <w:szCs w:val="30"/>
        </w:rPr>
        <w:t>。</w:t>
      </w:r>
    </w:p>
    <w:p>
      <w:pPr>
        <w:widowControl/>
        <w:spacing w:line="600" w:lineRule="exact"/>
        <w:ind w:firstLine="640"/>
        <w:jc w:val="left"/>
        <w:rPr>
          <w:rFonts w:hint="eastAsia" w:ascii="仿宋" w:hAnsi="仿宋" w:eastAsia="仿宋"/>
          <w:sz w:val="32"/>
          <w:szCs w:val="32"/>
        </w:rPr>
      </w:pPr>
      <w:r>
        <w:rPr>
          <w:rFonts w:hint="eastAsia" w:ascii="仿宋" w:hAnsi="仿宋" w:eastAsia="仿宋"/>
          <w:sz w:val="32"/>
          <w:szCs w:val="32"/>
        </w:rPr>
        <w:t>（二）公务接待费预算</w:t>
      </w:r>
      <w:r>
        <w:rPr>
          <w:rFonts w:hint="eastAsia" w:ascii="仿宋" w:hAnsi="仿宋" w:eastAsia="仿宋"/>
          <w:sz w:val="32"/>
          <w:szCs w:val="32"/>
          <w:lang w:val="en-US" w:eastAsia="zh-CN"/>
        </w:rPr>
        <w:t>0</w:t>
      </w:r>
      <w:r>
        <w:rPr>
          <w:rFonts w:hint="eastAsia" w:ascii="仿宋" w:hAnsi="仿宋" w:eastAsia="仿宋"/>
          <w:sz w:val="32"/>
          <w:szCs w:val="32"/>
        </w:rPr>
        <w:t>元。</w:t>
      </w:r>
      <w:r>
        <w:rPr>
          <w:rFonts w:hint="eastAsia" w:ascii="仿宋_GB2312" w:eastAsia="仿宋_GB2312"/>
          <w:color w:val="000000"/>
          <w:sz w:val="32"/>
          <w:szCs w:val="30"/>
        </w:rPr>
        <w:t>比上年减</w:t>
      </w:r>
      <w:r>
        <w:rPr>
          <w:rFonts w:hint="eastAsia" w:ascii="仿宋_GB2312" w:eastAsia="仿宋_GB2312"/>
          <w:color w:val="000000"/>
          <w:sz w:val="32"/>
          <w:szCs w:val="30"/>
          <w:lang w:val="en-US" w:eastAsia="zh-CN"/>
        </w:rPr>
        <w:t>少</w:t>
      </w:r>
      <w:r>
        <w:rPr>
          <w:rFonts w:hint="eastAsia" w:ascii="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本单位</w:t>
      </w:r>
      <w:r>
        <w:rPr>
          <w:rFonts w:hint="eastAsia" w:ascii="仿宋_GB2312"/>
          <w:color w:val="000000"/>
          <w:sz w:val="32"/>
          <w:szCs w:val="30"/>
          <w:lang w:val="en-US" w:eastAsia="zh-CN"/>
        </w:rPr>
        <w:t>没有</w:t>
      </w:r>
      <w:r>
        <w:rPr>
          <w:rFonts w:hint="eastAsia" w:ascii="仿宋_GB2312" w:eastAsia="仿宋_GB2312"/>
          <w:color w:val="000000"/>
          <w:sz w:val="32"/>
          <w:szCs w:val="30"/>
          <w:lang w:val="en-US" w:eastAsia="zh-CN"/>
        </w:rPr>
        <w:t>公务接待</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color w:val="000000"/>
          <w:sz w:val="32"/>
          <w:szCs w:val="30"/>
        </w:rPr>
      </w:pPr>
      <w:r>
        <w:rPr>
          <w:rFonts w:hint="eastAsia" w:ascii="仿宋" w:hAnsi="仿宋" w:eastAsia="仿宋"/>
          <w:sz w:val="32"/>
          <w:szCs w:val="32"/>
        </w:rPr>
        <w:t>（三）公务用车购置及运行维护费</w:t>
      </w:r>
      <w:r>
        <w:rPr>
          <w:rFonts w:hint="eastAsia" w:ascii="仿宋" w:hAnsi="仿宋" w:eastAsia="仿宋"/>
          <w:sz w:val="32"/>
          <w:szCs w:val="32"/>
          <w:lang w:val="en-US" w:eastAsia="zh-CN"/>
        </w:rPr>
        <w:t>0</w:t>
      </w:r>
      <w:r>
        <w:rPr>
          <w:rFonts w:hint="eastAsia" w:ascii="仿宋" w:hAnsi="仿宋" w:eastAsia="仿宋"/>
          <w:sz w:val="32"/>
          <w:szCs w:val="32"/>
        </w:rPr>
        <w:t>元。公务用车购置费0万元，公务用车运行维护费</w:t>
      </w:r>
      <w:r>
        <w:rPr>
          <w:rFonts w:hint="eastAsia" w:ascii="仿宋" w:hAnsi="仿宋" w:eastAsia="仿宋"/>
          <w:sz w:val="32"/>
          <w:szCs w:val="32"/>
          <w:lang w:val="en-US" w:eastAsia="zh-CN"/>
        </w:rPr>
        <w:t>0</w:t>
      </w:r>
      <w:r>
        <w:rPr>
          <w:rFonts w:hint="eastAsia" w:ascii="仿宋" w:hAnsi="仿宋" w:eastAsia="仿宋"/>
          <w:sz w:val="32"/>
          <w:szCs w:val="32"/>
        </w:rPr>
        <w:t>元，</w:t>
      </w:r>
      <w:r>
        <w:rPr>
          <w:rFonts w:hint="eastAsia"/>
          <w:sz w:val="30"/>
          <w:szCs w:val="30"/>
        </w:rPr>
        <w:t>比去年减少0元</w:t>
      </w:r>
      <w:r>
        <w:rPr>
          <w:rFonts w:hint="eastAsia" w:ascii="仿宋" w:hAnsi="仿宋" w:eastAsia="仿宋"/>
          <w:sz w:val="32"/>
          <w:szCs w:val="32"/>
        </w:rPr>
        <w:t>。</w:t>
      </w:r>
      <w:r>
        <w:rPr>
          <w:rFonts w:hint="eastAsia" w:ascii="仿宋_GB2312" w:eastAsia="仿宋_GB2312"/>
          <w:color w:val="000000"/>
          <w:sz w:val="32"/>
          <w:szCs w:val="30"/>
        </w:rPr>
        <w:t>公务用车购置费</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万元，比上年增（减）</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本单位无公务用车购置</w:t>
      </w:r>
      <w:r>
        <w:rPr>
          <w:rFonts w:hint="eastAsia" w:ascii="仿宋_GB2312" w:eastAsia="仿宋_GB2312"/>
          <w:color w:val="000000"/>
          <w:sz w:val="32"/>
          <w:szCs w:val="30"/>
        </w:rPr>
        <w:t>。</w:t>
      </w:r>
    </w:p>
    <w:p>
      <w:pPr>
        <w:widowControl/>
        <w:spacing w:line="576" w:lineRule="exact"/>
        <w:jc w:val="center"/>
        <w:rPr>
          <w:rFonts w:ascii="黑体" w:hAnsi="宋体" w:eastAsia="黑体"/>
          <w:szCs w:val="32"/>
        </w:rPr>
      </w:pPr>
      <w:r>
        <w:rPr>
          <w:rFonts w:hint="eastAsia" w:ascii="黑体" w:hAnsi="宋体" w:eastAsia="黑体"/>
          <w:szCs w:val="32"/>
        </w:rPr>
        <w:t>第四部分：名词解释</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一、收入科目</w:t>
      </w:r>
    </w:p>
    <w:p>
      <w:pPr>
        <w:widowControl/>
        <w:numPr>
          <w:ilvl w:val="0"/>
          <w:numId w:val="2"/>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财政拨款：指省级财政当年拨付的资金。</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二</w:t>
      </w:r>
      <w:r>
        <w:rPr>
          <w:rFonts w:hint="eastAsia" w:ascii="Adobe 仿宋 Std R" w:hAnsi="Adobe 仿宋 Std R" w:eastAsia="Adobe 仿宋 Std R"/>
          <w:sz w:val="32"/>
          <w:szCs w:val="32"/>
        </w:rPr>
        <w:t>）</w:t>
      </w:r>
      <w:r>
        <w:rPr>
          <w:rFonts w:hint="eastAsia" w:ascii="仿宋_GB2312" w:eastAsia="仿宋_GB2312"/>
          <w:color w:val="000000"/>
          <w:sz w:val="32"/>
          <w:szCs w:val="30"/>
        </w:rPr>
        <w:t>事业收入：指事业单位开展专业业务活动及辅助活动取得的收入。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三</w:t>
      </w:r>
      <w:r>
        <w:rPr>
          <w:rFonts w:hint="eastAsia" w:ascii="Adobe 仿宋 Std R" w:hAnsi="Adobe 仿宋 Std R" w:eastAsia="Adobe 仿宋 Std R"/>
          <w:sz w:val="32"/>
          <w:szCs w:val="32"/>
        </w:rPr>
        <w:t>）</w:t>
      </w:r>
      <w:r>
        <w:rPr>
          <w:rFonts w:hint="eastAsia" w:ascii="仿宋_GB2312" w:eastAsia="仿宋_GB2312"/>
          <w:color w:val="000000"/>
          <w:sz w:val="32"/>
          <w:szCs w:val="30"/>
        </w:rPr>
        <w:t>事业单位经营收入：指事业单位在专业业务活动及辅助活动之外开展非独立核算经营活动取得的收入。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四</w:t>
      </w:r>
      <w:r>
        <w:rPr>
          <w:rFonts w:hint="eastAsia" w:ascii="Adobe 仿宋 Std R" w:hAnsi="Adobe 仿宋 Std R" w:eastAsia="Adobe 仿宋 Std R"/>
          <w:sz w:val="32"/>
          <w:szCs w:val="32"/>
        </w:rPr>
        <w:t>）</w:t>
      </w:r>
      <w:r>
        <w:rPr>
          <w:rFonts w:hint="eastAsia" w:ascii="仿宋_GB2312" w:eastAsia="仿宋_GB2312"/>
          <w:color w:val="000000"/>
          <w:sz w:val="32"/>
          <w:szCs w:val="30"/>
        </w:rPr>
        <w:t>其他收入：指除财政拨款、事业收入、事业单位经营收入等以外的各项收入。</w:t>
      </w:r>
    </w:p>
    <w:p>
      <w:pPr>
        <w:spacing w:line="600" w:lineRule="exact"/>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上年结转和结余：填列2021年全部结转和结余的资金数，包括当年结转结余资金和历年滚存结转结余资金。</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二、支出科目</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（一）行政运行：反映行政单位（包括参公单位）的基本支出。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（二）一般行政管理事务：反映行政单位（包括参公单位）未单独设置项级科目的其他项目支出。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（三）机关服务：反映为行政单位（包括参公单位）提供后勤服务的各类后勤服务中心的支出。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四</w:t>
      </w:r>
      <w:r>
        <w:rPr>
          <w:rFonts w:hint="eastAsia" w:ascii="仿宋_GB2312" w:eastAsia="仿宋_GB2312"/>
          <w:sz w:val="32"/>
          <w:szCs w:val="30"/>
          <w:u w:val="none" w:color="FFFFFF"/>
        </w:rPr>
        <w:t>）事业运行：反映事业单位的基本支出。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五</w:t>
      </w:r>
      <w:r>
        <w:rPr>
          <w:rFonts w:hint="eastAsia" w:ascii="仿宋_GB2312" w:eastAsia="仿宋_GB2312"/>
          <w:sz w:val="32"/>
          <w:szCs w:val="30"/>
          <w:u w:val="none" w:color="FFFFFF"/>
        </w:rPr>
        <w:t>）培训支出：反映各部门安排的用于培训的支出。</w:t>
      </w:r>
    </w:p>
    <w:p>
      <w:pPr>
        <w:widowControl/>
        <w:spacing w:line="580" w:lineRule="exact"/>
        <w:ind w:firstLine="640"/>
        <w:jc w:val="left"/>
        <w:rPr>
          <w:rFonts w:ascii="仿宋_GB2312" w:eastAsia="仿宋_GB2312"/>
          <w:color w:val="000000"/>
          <w:sz w:val="32"/>
          <w:szCs w:val="30"/>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六</w:t>
      </w:r>
      <w:r>
        <w:rPr>
          <w:rFonts w:hint="eastAsia" w:ascii="仿宋_GB2312" w:eastAsia="仿宋_GB2312"/>
          <w:sz w:val="32"/>
          <w:szCs w:val="30"/>
          <w:u w:val="none" w:color="FFFFFF"/>
        </w:rPr>
        <w:t>）机关事业单位基本养老保险缴费支出：反映机关事业单位实施养老保险制度由单位缴纳的基本养老保险费的支出。</w:t>
      </w:r>
    </w:p>
    <w:p>
      <w:pPr>
        <w:widowControl/>
        <w:spacing w:line="580" w:lineRule="exact"/>
        <w:jc w:val="left"/>
        <w:rPr>
          <w:rFonts w:hint="eastAsia" w:ascii="楷体_GB2312" w:eastAsia="楷体_GB2312"/>
          <w:b/>
          <w:sz w:val="32"/>
          <w:szCs w:val="30"/>
          <w:lang w:val="en-US" w:eastAsia="zh-CN"/>
        </w:rPr>
      </w:pPr>
      <w:r>
        <w:rPr>
          <w:rFonts w:hint="eastAsia" w:ascii="楷体_GB2312" w:eastAsia="楷体_GB2312"/>
          <w:b/>
          <w:sz w:val="32"/>
          <w:szCs w:val="30"/>
          <w:lang w:val="en-US" w:eastAsia="zh-CN"/>
        </w:rPr>
        <w:t>三、部门涉及的专业名词</w:t>
      </w:r>
    </w:p>
    <w:p>
      <w:pPr>
        <w:widowControl/>
        <w:numPr>
          <w:ilvl w:val="0"/>
          <w:numId w:val="0"/>
        </w:numPr>
        <w:spacing w:line="600" w:lineRule="exact"/>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 xml:space="preserve">    （一）“三公”经费：纳入预算管理的“三公”经费，是指用财政拨款安排的因公出国（境）费、公务用车购置及运行费和公务接待费。</w:t>
      </w:r>
    </w:p>
    <w:p>
      <w:pPr>
        <w:widowControl/>
        <w:numPr>
          <w:ilvl w:val="0"/>
          <w:numId w:val="0"/>
        </w:numPr>
        <w:spacing w:line="600" w:lineRule="exact"/>
        <w:ind w:firstLine="64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numPr>
          <w:ilvl w:val="0"/>
          <w:numId w:val="0"/>
        </w:numPr>
        <w:spacing w:line="600" w:lineRule="exact"/>
        <w:ind w:firstLine="640"/>
        <w:jc w:val="left"/>
        <w:rPr>
          <w:rFonts w:hint="default" w:ascii="仿宋_GB2312" w:eastAsia="仿宋_GB2312"/>
          <w:color w:val="000000"/>
          <w:sz w:val="32"/>
          <w:szCs w:val="30"/>
          <w:lang w:val="en-US" w:eastAsia="zh-CN"/>
        </w:rPr>
      </w:pPr>
    </w:p>
    <w:p>
      <w:pPr>
        <w:rPr>
          <w:rFonts w:ascii="仿宋_GB2312" w:hAnsi="宋体"/>
          <w:color w:val="000000"/>
          <w:szCs w:val="32"/>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dobe 仿宋 Std R">
    <w:altName w:val="仿宋"/>
    <w:panose1 w:val="00000000000000000000"/>
    <w:charset w:val="86"/>
    <w:family w:val="roman"/>
    <w:pitch w:val="default"/>
    <w:sig w:usb0="00000000" w:usb1="00000000"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F5413"/>
    <w:multiLevelType w:val="singleLevel"/>
    <w:tmpl w:val="104F5413"/>
    <w:lvl w:ilvl="0" w:tentative="0">
      <w:start w:val="9"/>
      <w:numFmt w:val="chineseCounting"/>
      <w:suff w:val="nothing"/>
      <w:lvlText w:val="（%1）"/>
      <w:lvlJc w:val="left"/>
      <w:rPr>
        <w:rFonts w:hint="eastAsia"/>
      </w:rPr>
    </w:lvl>
  </w:abstractNum>
  <w:abstractNum w:abstractNumId="1">
    <w:nsid w:val="29F00608"/>
    <w:multiLevelType w:val="singleLevel"/>
    <w:tmpl w:val="29F0060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1NDQ1ODQ5NjllNDliMWUzMDFjNjM5ZmIzZDgyYmQifQ=="/>
  </w:docVars>
  <w:rsids>
    <w:rsidRoot w:val="6E793E76"/>
    <w:rsid w:val="000655C8"/>
    <w:rsid w:val="00222E4C"/>
    <w:rsid w:val="00300FF2"/>
    <w:rsid w:val="003F274B"/>
    <w:rsid w:val="00630D0B"/>
    <w:rsid w:val="007958E0"/>
    <w:rsid w:val="00942481"/>
    <w:rsid w:val="00E671CC"/>
    <w:rsid w:val="00E8244F"/>
    <w:rsid w:val="05222C77"/>
    <w:rsid w:val="054B3D71"/>
    <w:rsid w:val="05575492"/>
    <w:rsid w:val="06713857"/>
    <w:rsid w:val="068247BA"/>
    <w:rsid w:val="07726C5A"/>
    <w:rsid w:val="07BB4B54"/>
    <w:rsid w:val="080A7B1B"/>
    <w:rsid w:val="08C661F1"/>
    <w:rsid w:val="09A62744"/>
    <w:rsid w:val="09E636FB"/>
    <w:rsid w:val="0A0C4CBA"/>
    <w:rsid w:val="0A1A0F67"/>
    <w:rsid w:val="0A2A53EA"/>
    <w:rsid w:val="0A392AC6"/>
    <w:rsid w:val="0A3A1354"/>
    <w:rsid w:val="0A41579C"/>
    <w:rsid w:val="0B3A041E"/>
    <w:rsid w:val="0BF21AA5"/>
    <w:rsid w:val="0D0A1993"/>
    <w:rsid w:val="0D525410"/>
    <w:rsid w:val="0D950A40"/>
    <w:rsid w:val="0E34214F"/>
    <w:rsid w:val="0E5F3115"/>
    <w:rsid w:val="0E67003B"/>
    <w:rsid w:val="0EE80638"/>
    <w:rsid w:val="0F3617A8"/>
    <w:rsid w:val="0F717483"/>
    <w:rsid w:val="0F9513DE"/>
    <w:rsid w:val="10666694"/>
    <w:rsid w:val="107D1273"/>
    <w:rsid w:val="10895D5E"/>
    <w:rsid w:val="10C008D5"/>
    <w:rsid w:val="10F71D4E"/>
    <w:rsid w:val="11CE73FA"/>
    <w:rsid w:val="1268277F"/>
    <w:rsid w:val="12B031DE"/>
    <w:rsid w:val="1303409E"/>
    <w:rsid w:val="13FE0D3B"/>
    <w:rsid w:val="152109A9"/>
    <w:rsid w:val="15EB18BF"/>
    <w:rsid w:val="174E43FC"/>
    <w:rsid w:val="18141437"/>
    <w:rsid w:val="18D5740F"/>
    <w:rsid w:val="19127FE3"/>
    <w:rsid w:val="19A727FD"/>
    <w:rsid w:val="1ABC42D7"/>
    <w:rsid w:val="1AE02E8B"/>
    <w:rsid w:val="1AF33EC6"/>
    <w:rsid w:val="1B791806"/>
    <w:rsid w:val="1BF32292"/>
    <w:rsid w:val="1C4335D9"/>
    <w:rsid w:val="1C676FA1"/>
    <w:rsid w:val="1D2670DC"/>
    <w:rsid w:val="1D9962A0"/>
    <w:rsid w:val="1E69601A"/>
    <w:rsid w:val="1EA06CEC"/>
    <w:rsid w:val="1F495000"/>
    <w:rsid w:val="1F7E5A00"/>
    <w:rsid w:val="1FCC2801"/>
    <w:rsid w:val="1FF5623F"/>
    <w:rsid w:val="1FFC453A"/>
    <w:rsid w:val="204A727D"/>
    <w:rsid w:val="206263FE"/>
    <w:rsid w:val="20A365F0"/>
    <w:rsid w:val="20B45388"/>
    <w:rsid w:val="22EF5566"/>
    <w:rsid w:val="23146CFC"/>
    <w:rsid w:val="236C003D"/>
    <w:rsid w:val="23A01B39"/>
    <w:rsid w:val="24A32171"/>
    <w:rsid w:val="24D4351E"/>
    <w:rsid w:val="25497BD2"/>
    <w:rsid w:val="25AE0EA3"/>
    <w:rsid w:val="25F024D1"/>
    <w:rsid w:val="261962E3"/>
    <w:rsid w:val="2680328E"/>
    <w:rsid w:val="26A03419"/>
    <w:rsid w:val="26F43C6D"/>
    <w:rsid w:val="274442DD"/>
    <w:rsid w:val="27785A1B"/>
    <w:rsid w:val="28034932"/>
    <w:rsid w:val="285A3D0A"/>
    <w:rsid w:val="286D2F66"/>
    <w:rsid w:val="286D51E4"/>
    <w:rsid w:val="28731A22"/>
    <w:rsid w:val="28740D66"/>
    <w:rsid w:val="28B53CB9"/>
    <w:rsid w:val="2A8E64DC"/>
    <w:rsid w:val="2C223AD0"/>
    <w:rsid w:val="2C626BDD"/>
    <w:rsid w:val="2C7E5F5B"/>
    <w:rsid w:val="2CD2492D"/>
    <w:rsid w:val="2CD72790"/>
    <w:rsid w:val="2EDF696E"/>
    <w:rsid w:val="2F320070"/>
    <w:rsid w:val="2F3A347F"/>
    <w:rsid w:val="2F3B299E"/>
    <w:rsid w:val="2F8B0C16"/>
    <w:rsid w:val="2F94389D"/>
    <w:rsid w:val="2FFE5619"/>
    <w:rsid w:val="312A2D9D"/>
    <w:rsid w:val="312E3713"/>
    <w:rsid w:val="31AF0C23"/>
    <w:rsid w:val="321D1BB0"/>
    <w:rsid w:val="322A0CC5"/>
    <w:rsid w:val="325941F7"/>
    <w:rsid w:val="3329394C"/>
    <w:rsid w:val="34D77540"/>
    <w:rsid w:val="354F17F7"/>
    <w:rsid w:val="36642499"/>
    <w:rsid w:val="36EE29FA"/>
    <w:rsid w:val="37DC51ED"/>
    <w:rsid w:val="383A066E"/>
    <w:rsid w:val="38893EAD"/>
    <w:rsid w:val="391C2745"/>
    <w:rsid w:val="399B1E6D"/>
    <w:rsid w:val="39D7023A"/>
    <w:rsid w:val="3C285266"/>
    <w:rsid w:val="3D085E98"/>
    <w:rsid w:val="3D0E16CE"/>
    <w:rsid w:val="3EE73C43"/>
    <w:rsid w:val="400A655B"/>
    <w:rsid w:val="40236507"/>
    <w:rsid w:val="424E1A22"/>
    <w:rsid w:val="42BC09F6"/>
    <w:rsid w:val="42F0491E"/>
    <w:rsid w:val="436105C7"/>
    <w:rsid w:val="442B24B7"/>
    <w:rsid w:val="45C75F61"/>
    <w:rsid w:val="471272B0"/>
    <w:rsid w:val="472B6F39"/>
    <w:rsid w:val="47574D57"/>
    <w:rsid w:val="481D246D"/>
    <w:rsid w:val="4968193E"/>
    <w:rsid w:val="4A037596"/>
    <w:rsid w:val="4AC43CD2"/>
    <w:rsid w:val="4ACB281D"/>
    <w:rsid w:val="4B50477D"/>
    <w:rsid w:val="4B67532B"/>
    <w:rsid w:val="4BA564A5"/>
    <w:rsid w:val="4C245ACE"/>
    <w:rsid w:val="4C501D0F"/>
    <w:rsid w:val="4CA71CFC"/>
    <w:rsid w:val="4CA9160A"/>
    <w:rsid w:val="4CEE12C5"/>
    <w:rsid w:val="4D2969A9"/>
    <w:rsid w:val="4D7B37C9"/>
    <w:rsid w:val="4DB0255D"/>
    <w:rsid w:val="4E013C19"/>
    <w:rsid w:val="4EC138AD"/>
    <w:rsid w:val="4F3A1087"/>
    <w:rsid w:val="5149078D"/>
    <w:rsid w:val="51D317CF"/>
    <w:rsid w:val="527A4098"/>
    <w:rsid w:val="52BE1BDF"/>
    <w:rsid w:val="52DC47A6"/>
    <w:rsid w:val="52E031C1"/>
    <w:rsid w:val="531E35FD"/>
    <w:rsid w:val="53460067"/>
    <w:rsid w:val="53530AFF"/>
    <w:rsid w:val="53C200CB"/>
    <w:rsid w:val="541B54F8"/>
    <w:rsid w:val="54565A82"/>
    <w:rsid w:val="54746A08"/>
    <w:rsid w:val="549A3466"/>
    <w:rsid w:val="54A52E0A"/>
    <w:rsid w:val="54DD678E"/>
    <w:rsid w:val="553D35FD"/>
    <w:rsid w:val="555D126F"/>
    <w:rsid w:val="567974B8"/>
    <w:rsid w:val="580B6587"/>
    <w:rsid w:val="584B3CFD"/>
    <w:rsid w:val="58EC5301"/>
    <w:rsid w:val="594C060C"/>
    <w:rsid w:val="5999278E"/>
    <w:rsid w:val="5A932B4E"/>
    <w:rsid w:val="5AAA0FF0"/>
    <w:rsid w:val="5AAD030D"/>
    <w:rsid w:val="5AFD5770"/>
    <w:rsid w:val="5B2455FA"/>
    <w:rsid w:val="5B260714"/>
    <w:rsid w:val="5B9C174D"/>
    <w:rsid w:val="5BF40503"/>
    <w:rsid w:val="5C5973DE"/>
    <w:rsid w:val="5C5D5A34"/>
    <w:rsid w:val="5D861B87"/>
    <w:rsid w:val="5E0D24CF"/>
    <w:rsid w:val="5E2D69C7"/>
    <w:rsid w:val="5E6B0327"/>
    <w:rsid w:val="5E803509"/>
    <w:rsid w:val="5EF2087F"/>
    <w:rsid w:val="5F255ED2"/>
    <w:rsid w:val="5F76451E"/>
    <w:rsid w:val="6005546B"/>
    <w:rsid w:val="60352AA6"/>
    <w:rsid w:val="60E87B54"/>
    <w:rsid w:val="61253BD3"/>
    <w:rsid w:val="61DF499B"/>
    <w:rsid w:val="621256C3"/>
    <w:rsid w:val="624C1F2A"/>
    <w:rsid w:val="62A1378E"/>
    <w:rsid w:val="63361111"/>
    <w:rsid w:val="637D1CBD"/>
    <w:rsid w:val="63872D80"/>
    <w:rsid w:val="64031F8A"/>
    <w:rsid w:val="64CE240E"/>
    <w:rsid w:val="65B337A2"/>
    <w:rsid w:val="668675C3"/>
    <w:rsid w:val="675149BE"/>
    <w:rsid w:val="67662F62"/>
    <w:rsid w:val="68321AD9"/>
    <w:rsid w:val="68A17859"/>
    <w:rsid w:val="69E36E98"/>
    <w:rsid w:val="6BC2440D"/>
    <w:rsid w:val="6C0D319E"/>
    <w:rsid w:val="6C2172F6"/>
    <w:rsid w:val="6C324397"/>
    <w:rsid w:val="6C6627C4"/>
    <w:rsid w:val="6C7F09B6"/>
    <w:rsid w:val="6C8D1F4E"/>
    <w:rsid w:val="6CA54F78"/>
    <w:rsid w:val="6E676E22"/>
    <w:rsid w:val="6E793E76"/>
    <w:rsid w:val="6E810366"/>
    <w:rsid w:val="6F9239C1"/>
    <w:rsid w:val="70693A98"/>
    <w:rsid w:val="707315A5"/>
    <w:rsid w:val="70995A9D"/>
    <w:rsid w:val="70F261BF"/>
    <w:rsid w:val="710A477D"/>
    <w:rsid w:val="71392CB0"/>
    <w:rsid w:val="72DD34B2"/>
    <w:rsid w:val="72FD730F"/>
    <w:rsid w:val="74CD7503"/>
    <w:rsid w:val="75663ACB"/>
    <w:rsid w:val="75984AE9"/>
    <w:rsid w:val="76822487"/>
    <w:rsid w:val="769109FB"/>
    <w:rsid w:val="76F41FA3"/>
    <w:rsid w:val="76F61A50"/>
    <w:rsid w:val="772466F6"/>
    <w:rsid w:val="78296BEB"/>
    <w:rsid w:val="783C0263"/>
    <w:rsid w:val="78492ED5"/>
    <w:rsid w:val="78A45545"/>
    <w:rsid w:val="79002CBB"/>
    <w:rsid w:val="79A531C3"/>
    <w:rsid w:val="79A9070B"/>
    <w:rsid w:val="79CB42FC"/>
    <w:rsid w:val="7C1A2AB5"/>
    <w:rsid w:val="7CB0007B"/>
    <w:rsid w:val="7D603453"/>
    <w:rsid w:val="7D6825A7"/>
    <w:rsid w:val="7EB42631"/>
    <w:rsid w:val="7F960A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Times New Roman" w:hAnsi="Times New Roman"/>
    </w:rPr>
  </w:style>
  <w:style w:type="paragraph" w:styleId="3">
    <w:name w:val="Body Text"/>
    <w:basedOn w:val="1"/>
    <w:qFormat/>
    <w:uiPriority w:val="0"/>
    <w:pPr>
      <w:spacing w:after="120"/>
    </w:pPr>
    <w:rPr>
      <w:rFonts w:eastAsia="宋体"/>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page number"/>
    <w:basedOn w:val="8"/>
    <w:qFormat/>
    <w:uiPriority w:val="0"/>
  </w:style>
  <w:style w:type="character" w:customStyle="1" w:styleId="10">
    <w:name w:val="font11"/>
    <w:basedOn w:val="8"/>
    <w:uiPriority w:val="0"/>
    <w:rPr>
      <w:rFonts w:ascii="Arial" w:hAnsi="Arial" w:cs="Arial"/>
      <w:color w:val="000000"/>
      <w:sz w:val="20"/>
      <w:szCs w:val="20"/>
      <w:u w:val="none"/>
    </w:rPr>
  </w:style>
  <w:style w:type="character" w:customStyle="1" w:styleId="11">
    <w:name w:val="font61"/>
    <w:basedOn w:val="8"/>
    <w:uiPriority w:val="0"/>
    <w:rPr>
      <w:rFonts w:hint="eastAsia" w:ascii="宋体" w:hAnsi="宋体" w:eastAsia="宋体" w:cs="宋体"/>
      <w:color w:val="000000"/>
      <w:sz w:val="20"/>
      <w:szCs w:val="20"/>
      <w:u w:val="none"/>
    </w:rPr>
  </w:style>
  <w:style w:type="character" w:customStyle="1" w:styleId="12">
    <w:name w:val="font71"/>
    <w:basedOn w:val="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3087</Words>
  <Characters>4215</Characters>
  <Lines>4</Lines>
  <Paragraphs>1</Paragraphs>
  <TotalTime>3</TotalTime>
  <ScaleCrop>false</ScaleCrop>
  <LinksUpToDate>false</LinksUpToDate>
  <CharactersWithSpaces>4347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2022-02-09T01:47:00Z</dcterms:created>
  <dc:creator>1</dc:creator>
  <cp:lastModifiedBy>Administrator</cp:lastModifiedBy>
  <dcterms:modified xsi:type="dcterms:W3CDTF">2022-08-28T08:15:50Z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E718A75922FB45CA9A4AC703A1B832EB</vt:lpwstr>
  </property>
</Properties>
</file>