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BEA3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pacing w:val="-17"/>
          <w:sz w:val="44"/>
          <w:szCs w:val="44"/>
        </w:rPr>
      </w:pPr>
      <w:r>
        <w:rPr>
          <w:rFonts w:hint="eastAsia" w:ascii="方正小标宋简体" w:hAnsi="方正小标宋简体" w:eastAsia="方正小标宋简体" w:cs="方正小标宋简体"/>
          <w:spacing w:val="-17"/>
          <w:kern w:val="0"/>
          <w:sz w:val="44"/>
          <w:szCs w:val="44"/>
          <w:lang w:val="en-US" w:eastAsia="zh-CN" w:bidi="ar"/>
        </w:rPr>
        <w:t>安义县：精准督导查隐患 从严抓实守底线全力筑牢安全生产和自然灾害防御安全屏障</w:t>
      </w:r>
    </w:p>
    <w:p w14:paraId="184115FD">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14:paraId="673924B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为深刻吸取近期全国各地事故教训，举一反三，切实筑牢县域安全发展防线，安义县于5月25日至5月29日组建专项督导队伍，在全县范围内开展安全生产和自然灾害防御全覆盖督导检查专项行动，以硬核举措坚决防范遏制各类事故发生。</w:t>
      </w:r>
    </w:p>
    <w:p w14:paraId="44602C3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一是</w:t>
      </w:r>
      <w:r>
        <w:rPr>
          <w:rFonts w:hint="eastAsia" w:ascii="仿宋_GB2312" w:hAnsi="仿宋_GB2312" w:eastAsia="仿宋_GB2312" w:cs="仿宋_GB2312"/>
          <w:i w:val="0"/>
          <w:iCs w:val="0"/>
          <w:caps w:val="0"/>
          <w:color w:val="0F1115"/>
          <w:spacing w:val="0"/>
          <w:sz w:val="32"/>
          <w:szCs w:val="32"/>
          <w:shd w:val="clear" w:fill="FFFFFF"/>
        </w:rPr>
        <w:t>高位统筹，构建“4+3”硬核督导体系</w:t>
      </w:r>
    </w:p>
    <w:p w14:paraId="164CC1E7">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本次行动坚持高位统筹、精准部署、全域覆盖的工作原则，创新组建</w:t>
      </w:r>
      <w:r>
        <w:rPr>
          <w:rFonts w:hint="eastAsia" w:ascii="仿宋_GB2312" w:hAnsi="仿宋_GB2312" w:eastAsia="仿宋_GB2312" w:cs="仿宋_GB2312"/>
          <w:b/>
          <w:bCs/>
          <w:i w:val="0"/>
          <w:iCs w:val="0"/>
          <w:caps w:val="0"/>
          <w:color w:val="0F1115"/>
          <w:spacing w:val="0"/>
          <w:sz w:val="32"/>
          <w:szCs w:val="32"/>
          <w:shd w:val="clear" w:fill="FFFFFF"/>
        </w:rPr>
        <w:t>“4+3”专项督导组</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rPr>
        <w:t>4个综合督导组负责对</w:t>
      </w:r>
      <w:r>
        <w:rPr>
          <w:rFonts w:hint="eastAsia" w:ascii="仿宋_GB2312" w:hAnsi="仿宋_GB2312" w:eastAsia="仿宋_GB2312" w:cs="仿宋_GB2312"/>
          <w:i w:val="0"/>
          <w:iCs w:val="0"/>
          <w:caps w:val="0"/>
          <w:color w:val="0F1115"/>
          <w:spacing w:val="0"/>
          <w:sz w:val="32"/>
          <w:szCs w:val="32"/>
          <w:shd w:val="clear" w:fill="FFFFFF"/>
          <w:lang w:val="en-US" w:eastAsia="zh-CN"/>
        </w:rPr>
        <w:t>11个</w:t>
      </w:r>
      <w:r>
        <w:rPr>
          <w:rFonts w:hint="eastAsia" w:ascii="仿宋_GB2312" w:hAnsi="仿宋_GB2312" w:eastAsia="仿宋_GB2312" w:cs="仿宋_GB2312"/>
          <w:i w:val="0"/>
          <w:iCs w:val="0"/>
          <w:caps w:val="0"/>
          <w:color w:val="0F1115"/>
          <w:spacing w:val="0"/>
          <w:sz w:val="32"/>
          <w:szCs w:val="32"/>
          <w:shd w:val="clear" w:fill="FFFFFF"/>
        </w:rPr>
        <w:t>乡镇</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lang w:val="en-US" w:eastAsia="zh-CN"/>
        </w:rPr>
        <w:t>街道、处</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rPr>
        <w:t>开展安全生产责任落实、烟花爆竹、“9+N”小场所及燃气安全、防汛等8个重点领域综合督查；3个专项督导组聚焦道路交通、房屋市政工程、园区安全生产等3个高风险领域开展专项督查</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rPr>
        <w:t>。选派科级干部带队坐镇督导，抽调业务骨干充实一线力量，构建起层级清晰、分工明确、责任到人、协同高效的督导工作体系，从机制上杜绝“走过场”“流于形式”等问题。</w:t>
      </w:r>
    </w:p>
    <w:p w14:paraId="2ABC4C0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二是</w:t>
      </w:r>
      <w:r>
        <w:rPr>
          <w:rFonts w:hint="eastAsia" w:ascii="仿宋_GB2312" w:hAnsi="仿宋_GB2312" w:eastAsia="仿宋_GB2312" w:cs="仿宋_GB2312"/>
          <w:i w:val="0"/>
          <w:iCs w:val="0"/>
          <w:caps w:val="0"/>
          <w:color w:val="0F1115"/>
          <w:spacing w:val="0"/>
          <w:sz w:val="32"/>
          <w:szCs w:val="32"/>
          <w:shd w:val="clear" w:fill="FFFFFF"/>
        </w:rPr>
        <w:t>靶向发力，创新“查、看、听、访”四维工作法</w:t>
      </w:r>
    </w:p>
    <w:p w14:paraId="356AA29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督导过程中，各工作组严格对标工作要求，</w:t>
      </w:r>
      <w:r>
        <w:rPr>
          <w:rFonts w:hint="eastAsia" w:ascii="仿宋_GB2312" w:hAnsi="仿宋_GB2312" w:eastAsia="仿宋_GB2312" w:cs="仿宋_GB2312"/>
          <w:i w:val="0"/>
          <w:iCs w:val="0"/>
          <w:caps w:val="0"/>
          <w:color w:val="0F1115"/>
          <w:spacing w:val="0"/>
          <w:sz w:val="32"/>
          <w:szCs w:val="32"/>
          <w:shd w:val="clear" w:fill="FFFFFF"/>
          <w:lang w:val="en-US" w:eastAsia="zh-CN"/>
        </w:rPr>
        <w:t>综合</w:t>
      </w:r>
      <w:r>
        <w:rPr>
          <w:rFonts w:hint="eastAsia" w:ascii="仿宋_GB2312" w:hAnsi="仿宋_GB2312" w:eastAsia="仿宋_GB2312" w:cs="仿宋_GB2312"/>
          <w:i w:val="0"/>
          <w:iCs w:val="0"/>
          <w:caps w:val="0"/>
          <w:color w:val="0F1115"/>
          <w:spacing w:val="0"/>
          <w:sz w:val="32"/>
          <w:szCs w:val="32"/>
          <w:shd w:val="clear" w:fill="FFFFFF"/>
        </w:rPr>
        <w:t>运用</w:t>
      </w:r>
      <w:r>
        <w:rPr>
          <w:rFonts w:hint="eastAsia" w:ascii="仿宋_GB2312" w:hAnsi="仿宋_GB2312" w:eastAsia="仿宋_GB2312" w:cs="仿宋_GB2312"/>
          <w:b/>
          <w:bCs/>
          <w:i w:val="0"/>
          <w:iCs w:val="0"/>
          <w:caps w:val="0"/>
          <w:color w:val="0F1115"/>
          <w:spacing w:val="0"/>
          <w:sz w:val="32"/>
          <w:szCs w:val="32"/>
          <w:shd w:val="clear" w:fill="FFFFFF"/>
        </w:rPr>
        <w:t>“查、看、听、访”四维工作法</w:t>
      </w:r>
      <w:r>
        <w:rPr>
          <w:rFonts w:hint="eastAsia" w:ascii="仿宋_GB2312" w:hAnsi="仿宋_GB2312" w:eastAsia="仿宋_GB2312" w:cs="仿宋_GB2312"/>
          <w:i w:val="0"/>
          <w:iCs w:val="0"/>
          <w:caps w:val="0"/>
          <w:color w:val="0F1115"/>
          <w:spacing w:val="0"/>
          <w:sz w:val="32"/>
          <w:szCs w:val="32"/>
          <w:shd w:val="clear" w:fill="FFFFFF"/>
        </w:rPr>
        <w:t>——实地核查现场、查阅台账资料、听取工作汇报、走访基层点位相结合，实现督导检查专业化、规范化、精细化。5月</w:t>
      </w:r>
      <w:r>
        <w:rPr>
          <w:rFonts w:hint="eastAsia" w:ascii="仿宋_GB2312" w:hAnsi="仿宋_GB2312" w:eastAsia="仿宋_GB2312" w:cs="仿宋_GB2312"/>
          <w:i w:val="0"/>
          <w:iCs w:val="0"/>
          <w:caps w:val="0"/>
          <w:color w:val="0F1115"/>
          <w:spacing w:val="0"/>
          <w:sz w:val="32"/>
          <w:szCs w:val="32"/>
          <w:shd w:val="clear" w:fill="FFFFFF"/>
          <w:lang w:val="en-US" w:eastAsia="zh-CN"/>
        </w:rPr>
        <w:t>25</w:t>
      </w:r>
      <w:r>
        <w:rPr>
          <w:rFonts w:hint="eastAsia" w:ascii="仿宋_GB2312" w:hAnsi="仿宋_GB2312" w:eastAsia="仿宋_GB2312" w:cs="仿宋_GB2312"/>
          <w:i w:val="0"/>
          <w:iCs w:val="0"/>
          <w:caps w:val="0"/>
          <w:color w:val="0F1115"/>
          <w:spacing w:val="0"/>
          <w:sz w:val="32"/>
          <w:szCs w:val="32"/>
          <w:shd w:val="clear" w:fill="FFFFFF"/>
        </w:rPr>
        <w:t>日至29日，全县7个督导组持续下沉一线、靶向发力，聚焦乡镇（街道、处）属地管控及道路交通、建筑施工、工业园区等高危重点领域、关键薄弱环节，开展滚动式、拉网式专项督导检查。紧盯安全生产责任落实、风险隐患排查整治、自然灾害防御准备、应急值守处置等核心任务，层层压实属地管理责任、部门监管责任和企业主体责任，打通安全责任落实“最后一公里”。</w:t>
      </w:r>
    </w:p>
    <w:tbl>
      <w:tblPr>
        <w:tblStyle w:val="5"/>
        <w:tblpPr w:leftFromText="180" w:rightFromText="180" w:vertAnchor="text" w:horzAnchor="page" w:tblpXSpec="center" w:tblpY="1119"/>
        <w:tblOverlap w:val="neve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10"/>
        <w:gridCol w:w="3810"/>
      </w:tblGrid>
      <w:tr w14:paraId="59B19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8" w:hRule="atLeast"/>
          <w:jc w:val="center"/>
        </w:trPr>
        <w:tc>
          <w:tcPr>
            <w:tcW w:w="3810" w:type="dxa"/>
            <w:vAlign w:val="top"/>
          </w:tcPr>
          <w:p w14:paraId="52A44CE2">
            <w:pPr>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1" name="图片 1" descr="8eb94a6c4ed2398ebedbbaa06762263b"/>
                  <wp:cNvGraphicFramePr/>
                  <a:graphic xmlns:a="http://schemas.openxmlformats.org/drawingml/2006/main">
                    <a:graphicData uri="http://schemas.openxmlformats.org/drawingml/2006/picture">
                      <pic:pic xmlns:pic="http://schemas.openxmlformats.org/drawingml/2006/picture">
                        <pic:nvPicPr>
                          <pic:cNvPr id="1" name="图片 1" descr="8eb94a6c4ed2398ebedbbaa06762263b"/>
                          <pic:cNvPicPr/>
                        </pic:nvPicPr>
                        <pic:blipFill>
                          <a:blip r:embed="rId4"/>
                          <a:srcRect l="8299" r="-13" b="9609"/>
                          <a:stretch>
                            <a:fillRect/>
                          </a:stretch>
                        </pic:blipFill>
                        <pic:spPr>
                          <a:xfrm>
                            <a:off x="0" y="0"/>
                            <a:ext cx="2419350" cy="2113280"/>
                          </a:xfrm>
                          <a:prstGeom prst="rect">
                            <a:avLst/>
                          </a:prstGeom>
                        </pic:spPr>
                      </pic:pic>
                    </a:graphicData>
                  </a:graphic>
                </wp:inline>
              </w:drawing>
            </w:r>
            <w:r>
              <w:rPr>
                <w:rFonts w:hint="default" w:ascii="仿宋_GB2312" w:hAnsi="仿宋_GB2312" w:eastAsia="仿宋_GB2312" w:cs="仿宋_GB2312"/>
                <w:color w:val="auto"/>
                <w:sz w:val="32"/>
                <w:szCs w:val="32"/>
                <w:vertAlign w:val="baseline"/>
                <w:lang w:val="en-US" w:eastAsia="zh-CN"/>
              </w:rPr>
              <w:br w:type="page"/>
            </w:r>
          </w:p>
        </w:tc>
        <w:tc>
          <w:tcPr>
            <w:tcW w:w="3810" w:type="dxa"/>
            <w:vAlign w:val="top"/>
          </w:tcPr>
          <w:p w14:paraId="761B6BBB">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2" name="图片 2" descr="3c57ebc7e8f0829925960ab675fc5550"/>
                  <wp:cNvGraphicFramePr/>
                  <a:graphic xmlns:a="http://schemas.openxmlformats.org/drawingml/2006/main">
                    <a:graphicData uri="http://schemas.openxmlformats.org/drawingml/2006/picture">
                      <pic:pic xmlns:pic="http://schemas.openxmlformats.org/drawingml/2006/picture">
                        <pic:nvPicPr>
                          <pic:cNvPr id="2" name="图片 2" descr="3c57ebc7e8f0829925960ab675fc5550"/>
                          <pic:cNvPicPr/>
                        </pic:nvPicPr>
                        <pic:blipFill>
                          <a:blip r:embed="rId5"/>
                          <a:stretch>
                            <a:fillRect/>
                          </a:stretch>
                        </pic:blipFill>
                        <pic:spPr>
                          <a:xfrm>
                            <a:off x="0" y="0"/>
                            <a:ext cx="2419350" cy="2113280"/>
                          </a:xfrm>
                          <a:prstGeom prst="rect">
                            <a:avLst/>
                          </a:prstGeom>
                        </pic:spPr>
                      </pic:pic>
                    </a:graphicData>
                  </a:graphic>
                </wp:inline>
              </w:drawing>
            </w:r>
          </w:p>
        </w:tc>
      </w:tr>
      <w:tr w14:paraId="7E758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8" w:hRule="atLeast"/>
          <w:jc w:val="center"/>
        </w:trPr>
        <w:tc>
          <w:tcPr>
            <w:tcW w:w="3810" w:type="dxa"/>
            <w:vAlign w:val="top"/>
          </w:tcPr>
          <w:p w14:paraId="720B3017">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3" name="图片 3" descr="fa8b499cefda7e39f40aff4b851acad3"/>
                  <wp:cNvGraphicFramePr/>
                  <a:graphic xmlns:a="http://schemas.openxmlformats.org/drawingml/2006/main">
                    <a:graphicData uri="http://schemas.openxmlformats.org/drawingml/2006/picture">
                      <pic:pic xmlns:pic="http://schemas.openxmlformats.org/drawingml/2006/picture">
                        <pic:nvPicPr>
                          <pic:cNvPr id="3" name="图片 3" descr="fa8b499cefda7e39f40aff4b851acad3"/>
                          <pic:cNvPicPr/>
                        </pic:nvPicPr>
                        <pic:blipFill>
                          <a:blip r:embed="rId6"/>
                          <a:stretch>
                            <a:fillRect/>
                          </a:stretch>
                        </pic:blipFill>
                        <pic:spPr>
                          <a:xfrm>
                            <a:off x="0" y="0"/>
                            <a:ext cx="2419350" cy="2113280"/>
                          </a:xfrm>
                          <a:prstGeom prst="rect">
                            <a:avLst/>
                          </a:prstGeom>
                        </pic:spPr>
                      </pic:pic>
                    </a:graphicData>
                  </a:graphic>
                </wp:inline>
              </w:drawing>
            </w:r>
          </w:p>
        </w:tc>
        <w:tc>
          <w:tcPr>
            <w:tcW w:w="3810" w:type="dxa"/>
            <w:vAlign w:val="top"/>
          </w:tcPr>
          <w:p w14:paraId="1A5BA6AD">
            <w:pPr>
              <w:keepNext w:val="0"/>
              <w:keepLines w:val="0"/>
              <w:pageBreakBefore w:val="0"/>
              <w:widowControl w:val="0"/>
              <w:kinsoku/>
              <w:wordWrap/>
              <w:overflowPunct/>
              <w:topLinePunct w:val="0"/>
              <w:autoSpaceDE/>
              <w:autoSpaceDN/>
              <w:bidi w:val="0"/>
              <w:adjustRightInd/>
              <w:snapToGrid/>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4" name="图片 4" descr="453c977371ea927ddce31f849f77deb8"/>
                  <wp:cNvGraphicFramePr/>
                  <a:graphic xmlns:a="http://schemas.openxmlformats.org/drawingml/2006/main">
                    <a:graphicData uri="http://schemas.openxmlformats.org/drawingml/2006/picture">
                      <pic:pic xmlns:pic="http://schemas.openxmlformats.org/drawingml/2006/picture">
                        <pic:nvPicPr>
                          <pic:cNvPr id="4" name="图片 4" descr="453c977371ea927ddce31f849f77deb8"/>
                          <pic:cNvPicPr/>
                        </pic:nvPicPr>
                        <pic:blipFill>
                          <a:blip r:embed="rId7"/>
                          <a:stretch>
                            <a:fillRect/>
                          </a:stretch>
                        </pic:blipFill>
                        <pic:spPr>
                          <a:xfrm>
                            <a:off x="0" y="0"/>
                            <a:ext cx="2419350" cy="2113280"/>
                          </a:xfrm>
                          <a:prstGeom prst="rect">
                            <a:avLst/>
                          </a:prstGeom>
                        </pic:spPr>
                      </pic:pic>
                    </a:graphicData>
                  </a:graphic>
                </wp:inline>
              </w:drawing>
            </w:r>
          </w:p>
        </w:tc>
      </w:tr>
    </w:tbl>
    <w:p w14:paraId="2A2B2C8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p>
    <w:p w14:paraId="60E34EB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三是</w:t>
      </w:r>
      <w:r>
        <w:rPr>
          <w:rFonts w:hint="eastAsia" w:ascii="仿宋_GB2312" w:hAnsi="仿宋_GB2312" w:eastAsia="仿宋_GB2312" w:cs="仿宋_GB2312"/>
          <w:i w:val="0"/>
          <w:iCs w:val="0"/>
          <w:caps w:val="0"/>
          <w:color w:val="0F1115"/>
          <w:spacing w:val="0"/>
          <w:sz w:val="32"/>
          <w:szCs w:val="32"/>
          <w:shd w:val="clear" w:fill="FFFFFF"/>
        </w:rPr>
        <w:t>闭环管控，筑牢县域安全发展防线</w:t>
      </w:r>
    </w:p>
    <w:p w14:paraId="64E0ED9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本次专项督导坚持问题导向、结果导向，做到隐患排查</w:t>
      </w:r>
      <w:r>
        <w:rPr>
          <w:rFonts w:hint="eastAsia" w:ascii="仿宋_GB2312" w:hAnsi="仿宋_GB2312" w:eastAsia="仿宋_GB2312" w:cs="仿宋_GB2312"/>
          <w:b w:val="0"/>
          <w:bCs w:val="0"/>
          <w:i w:val="0"/>
          <w:iCs w:val="0"/>
          <w:caps w:val="0"/>
          <w:color w:val="0F1115"/>
          <w:spacing w:val="0"/>
          <w:sz w:val="32"/>
          <w:szCs w:val="32"/>
          <w:shd w:val="clear" w:fill="FFFFFF"/>
        </w:rPr>
        <w:t>无死角、无盲</w:t>
      </w:r>
      <w:bookmarkStart w:id="0" w:name="_GoBack"/>
      <w:bookmarkEnd w:id="0"/>
      <w:r>
        <w:rPr>
          <w:rFonts w:hint="eastAsia" w:ascii="仿宋_GB2312" w:hAnsi="仿宋_GB2312" w:eastAsia="仿宋_GB2312" w:cs="仿宋_GB2312"/>
          <w:b w:val="0"/>
          <w:bCs w:val="0"/>
          <w:i w:val="0"/>
          <w:iCs w:val="0"/>
          <w:caps w:val="0"/>
          <w:color w:val="0F1115"/>
          <w:spacing w:val="0"/>
          <w:sz w:val="32"/>
          <w:szCs w:val="32"/>
          <w:shd w:val="clear" w:fill="FFFFFF"/>
        </w:rPr>
        <w:t>区、无遗漏。截至督导结束，各督导组累计实</w:t>
      </w:r>
      <w:r>
        <w:rPr>
          <w:rFonts w:hint="eastAsia" w:ascii="仿宋_GB2312" w:hAnsi="仿宋_GB2312" w:eastAsia="仿宋_GB2312" w:cs="仿宋_GB2312"/>
          <w:i w:val="0"/>
          <w:iCs w:val="0"/>
          <w:caps w:val="0"/>
          <w:color w:val="0F1115"/>
          <w:spacing w:val="0"/>
          <w:sz w:val="32"/>
          <w:szCs w:val="32"/>
          <w:shd w:val="clear" w:fill="FFFFFF"/>
        </w:rPr>
        <w:t>地检查生产经营单</w:t>
      </w:r>
      <w:r>
        <w:rPr>
          <w:rFonts w:hint="eastAsia" w:ascii="仿宋_GB2312" w:hAnsi="仿宋_GB2312" w:eastAsia="仿宋_GB2312" w:cs="仿宋_GB2312"/>
          <w:b w:val="0"/>
          <w:bCs w:val="0"/>
          <w:i w:val="0"/>
          <w:iCs w:val="0"/>
          <w:caps w:val="0"/>
          <w:color w:val="0F1115"/>
          <w:spacing w:val="0"/>
          <w:sz w:val="32"/>
          <w:szCs w:val="32"/>
          <w:shd w:val="clear" w:fill="FFFFFF"/>
        </w:rPr>
        <w:t>位130余家，重点排查山洪灾害风险隐患点42处，梳理发现各类安全隐患235条，系统掌</w:t>
      </w:r>
      <w:r>
        <w:rPr>
          <w:rFonts w:hint="eastAsia" w:ascii="仿宋_GB2312" w:hAnsi="仿宋_GB2312" w:eastAsia="仿宋_GB2312" w:cs="仿宋_GB2312"/>
          <w:i w:val="0"/>
          <w:iCs w:val="0"/>
          <w:caps w:val="0"/>
          <w:color w:val="0F1115"/>
          <w:spacing w:val="0"/>
          <w:sz w:val="32"/>
          <w:szCs w:val="32"/>
          <w:shd w:val="clear" w:fill="FFFFFF"/>
        </w:rPr>
        <w:t>握了县域重点领域、重点区域的安全风险底数</w:t>
      </w:r>
      <w:r>
        <w:rPr>
          <w:rFonts w:hint="default" w:ascii="仿宋_GB2312" w:hAnsi="仿宋_GB2312" w:eastAsia="仿宋_GB2312" w:cs="仿宋_GB2312"/>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rPr>
        <w:t>精准锁定隐患问题短板，为后续闭环整改、源头治理提供了精准依据。</w:t>
      </w:r>
    </w:p>
    <w:p w14:paraId="55236186">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rPr>
      </w:pPr>
      <w:r>
        <w:rPr>
          <w:rFonts w:hint="eastAsia" w:ascii="仿宋_GB2312" w:hAnsi="仿宋_GB2312" w:eastAsia="仿宋_GB2312" w:cs="仿宋_GB2312"/>
          <w:i w:val="0"/>
          <w:iCs w:val="0"/>
          <w:caps w:val="0"/>
          <w:color w:val="0F1115"/>
          <w:spacing w:val="0"/>
          <w:sz w:val="32"/>
          <w:szCs w:val="32"/>
          <w:shd w:val="clear" w:fill="FFFFFF"/>
        </w:rPr>
        <w:t>下一步，安义县将以此次专项督导为契机，坚持</w:t>
      </w:r>
      <w:r>
        <w:rPr>
          <w:rFonts w:hint="eastAsia" w:ascii="仿宋_GB2312" w:hAnsi="仿宋_GB2312" w:eastAsia="仿宋_GB2312" w:cs="仿宋_GB2312"/>
          <w:b/>
          <w:bCs/>
          <w:i w:val="0"/>
          <w:iCs w:val="0"/>
          <w:caps w:val="0"/>
          <w:color w:val="0F1115"/>
          <w:spacing w:val="0"/>
          <w:sz w:val="32"/>
          <w:szCs w:val="32"/>
          <w:shd w:val="clear" w:fill="FFFFFF"/>
        </w:rPr>
        <w:t>督改结合、标本兼治</w:t>
      </w:r>
      <w:r>
        <w:rPr>
          <w:rFonts w:hint="eastAsia" w:ascii="仿宋_GB2312" w:hAnsi="仿宋_GB2312" w:eastAsia="仿宋_GB2312" w:cs="仿宋_GB2312"/>
          <w:i w:val="0"/>
          <w:iCs w:val="0"/>
          <w:caps w:val="0"/>
          <w:color w:val="0F1115"/>
          <w:spacing w:val="0"/>
          <w:sz w:val="32"/>
          <w:szCs w:val="32"/>
          <w:shd w:val="clear" w:fill="FFFFFF"/>
        </w:rPr>
        <w:t>，扎实推进隐患问题分类梳理、限期整改、复核销号，严格落实</w:t>
      </w:r>
      <w:r>
        <w:rPr>
          <w:rFonts w:hint="eastAsia" w:ascii="仿宋_GB2312" w:hAnsi="仿宋_GB2312" w:eastAsia="仿宋_GB2312" w:cs="仿宋_GB2312"/>
          <w:b/>
          <w:bCs/>
          <w:i w:val="0"/>
          <w:iCs w:val="0"/>
          <w:caps w:val="0"/>
          <w:color w:val="0F1115"/>
          <w:spacing w:val="0"/>
          <w:sz w:val="32"/>
          <w:szCs w:val="32"/>
          <w:shd w:val="clear" w:fill="FFFFFF"/>
        </w:rPr>
        <w:t>闭环管理机制</w:t>
      </w:r>
      <w:r>
        <w:rPr>
          <w:rFonts w:hint="eastAsia" w:ascii="仿宋_GB2312" w:hAnsi="仿宋_GB2312" w:eastAsia="仿宋_GB2312" w:cs="仿宋_GB2312"/>
          <w:i w:val="0"/>
          <w:iCs w:val="0"/>
          <w:caps w:val="0"/>
          <w:color w:val="0F1115"/>
          <w:spacing w:val="0"/>
          <w:sz w:val="32"/>
          <w:szCs w:val="32"/>
          <w:shd w:val="clear" w:fill="FFFFFF"/>
        </w:rPr>
        <w:t>。同时，持续健全常态化安全督导、隐患排查、风险防控工作机制，</w:t>
      </w:r>
      <w:r>
        <w:rPr>
          <w:rFonts w:hint="eastAsia" w:ascii="仿宋_GB2312" w:hAnsi="仿宋_GB2312" w:eastAsia="仿宋_GB2312" w:cs="仿宋_GB2312"/>
          <w:i w:val="0"/>
          <w:iCs w:val="0"/>
          <w:caps w:val="0"/>
          <w:color w:val="0F1115"/>
          <w:spacing w:val="0"/>
          <w:sz w:val="32"/>
          <w:szCs w:val="32"/>
          <w:shd w:val="clear" w:fill="FFFFFF"/>
          <w:lang w:val="en-US" w:eastAsia="zh-CN"/>
        </w:rPr>
        <w:t>常态化指导帮扶基层干部排查整治风险隐患</w:t>
      </w:r>
      <w:r>
        <w:rPr>
          <w:rFonts w:hint="eastAsia" w:ascii="仿宋_GB2312" w:hAnsi="仿宋_GB2312" w:eastAsia="仿宋_GB2312" w:cs="仿宋_GB2312"/>
          <w:i w:val="0"/>
          <w:iCs w:val="0"/>
          <w:caps w:val="0"/>
          <w:color w:val="0F1115"/>
          <w:spacing w:val="0"/>
          <w:sz w:val="32"/>
          <w:szCs w:val="32"/>
          <w:shd w:val="clear" w:fill="FFFFFF"/>
        </w:rPr>
        <w:t>，不断夯实基层安全治理基础，织密织牢全域安全防护网络，全力守护人民群众生命财产安全，为全县经济社会高质量发展保驾护航。</w:t>
      </w:r>
    </w:p>
    <w:tbl>
      <w:tblPr>
        <w:tblStyle w:val="5"/>
        <w:tblpPr w:leftFromText="180" w:rightFromText="180" w:vertAnchor="text" w:horzAnchor="page" w:tblpXSpec="center" w:tblpY="111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0"/>
        <w:gridCol w:w="3810"/>
      </w:tblGrid>
      <w:tr w14:paraId="12AD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8" w:hRule="atLeast"/>
          <w:jc w:val="center"/>
        </w:trPr>
        <w:tc>
          <w:tcPr>
            <w:tcW w:w="3810" w:type="dxa"/>
            <w:tcBorders>
              <w:top w:val="nil"/>
              <w:left w:val="nil"/>
              <w:bottom w:val="nil"/>
              <w:right w:val="nil"/>
            </w:tcBorders>
          </w:tcPr>
          <w:p w14:paraId="67FF5B19">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5" name="图片 5" descr="476b0d9d537750a0fc367cb80a651862"/>
                  <wp:cNvGraphicFramePr/>
                  <a:graphic xmlns:a="http://schemas.openxmlformats.org/drawingml/2006/main">
                    <a:graphicData uri="http://schemas.openxmlformats.org/drawingml/2006/picture">
                      <pic:pic xmlns:pic="http://schemas.openxmlformats.org/drawingml/2006/picture">
                        <pic:nvPicPr>
                          <pic:cNvPr id="5" name="图片 5" descr="476b0d9d537750a0fc367cb80a651862"/>
                          <pic:cNvPicPr/>
                        </pic:nvPicPr>
                        <pic:blipFill>
                          <a:blip r:embed="rId8"/>
                          <a:stretch>
                            <a:fillRect/>
                          </a:stretch>
                        </pic:blipFill>
                        <pic:spPr>
                          <a:xfrm>
                            <a:off x="0" y="0"/>
                            <a:ext cx="2419350" cy="2113280"/>
                          </a:xfrm>
                          <a:prstGeom prst="rect">
                            <a:avLst/>
                          </a:prstGeom>
                        </pic:spPr>
                      </pic:pic>
                    </a:graphicData>
                  </a:graphic>
                </wp:inline>
              </w:drawing>
            </w:r>
          </w:p>
        </w:tc>
        <w:tc>
          <w:tcPr>
            <w:tcW w:w="3810" w:type="dxa"/>
            <w:tcBorders>
              <w:top w:val="nil"/>
              <w:left w:val="nil"/>
              <w:bottom w:val="nil"/>
              <w:right w:val="nil"/>
            </w:tcBorders>
          </w:tcPr>
          <w:p w14:paraId="41A2752B">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9" name="图片 9" descr="647628fe9e8407a9fbc3ce6d3b300812"/>
                  <wp:cNvGraphicFramePr/>
                  <a:graphic xmlns:a="http://schemas.openxmlformats.org/drawingml/2006/main">
                    <a:graphicData uri="http://schemas.openxmlformats.org/drawingml/2006/picture">
                      <pic:pic xmlns:pic="http://schemas.openxmlformats.org/drawingml/2006/picture">
                        <pic:nvPicPr>
                          <pic:cNvPr id="9" name="图片 9" descr="647628fe9e8407a9fbc3ce6d3b300812"/>
                          <pic:cNvPicPr/>
                        </pic:nvPicPr>
                        <pic:blipFill>
                          <a:blip r:embed="rId9"/>
                          <a:stretch>
                            <a:fillRect/>
                          </a:stretch>
                        </pic:blipFill>
                        <pic:spPr>
                          <a:xfrm>
                            <a:off x="0" y="0"/>
                            <a:ext cx="2419350" cy="2113280"/>
                          </a:xfrm>
                          <a:prstGeom prst="rect">
                            <a:avLst/>
                          </a:prstGeom>
                        </pic:spPr>
                      </pic:pic>
                    </a:graphicData>
                  </a:graphic>
                </wp:inline>
              </w:drawing>
            </w:r>
          </w:p>
        </w:tc>
      </w:tr>
      <w:tr w14:paraId="6A7B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8" w:hRule="atLeast"/>
          <w:jc w:val="center"/>
        </w:trPr>
        <w:tc>
          <w:tcPr>
            <w:tcW w:w="3810" w:type="dxa"/>
            <w:tcBorders>
              <w:top w:val="nil"/>
              <w:left w:val="nil"/>
              <w:bottom w:val="nil"/>
              <w:right w:val="nil"/>
            </w:tcBorders>
          </w:tcPr>
          <w:p w14:paraId="558F672D">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6" name="图片 6" descr="fae89b43a2173eaf2836eaa33b6e7f23"/>
                  <wp:cNvGraphicFramePr/>
                  <a:graphic xmlns:a="http://schemas.openxmlformats.org/drawingml/2006/main">
                    <a:graphicData uri="http://schemas.openxmlformats.org/drawingml/2006/picture">
                      <pic:pic xmlns:pic="http://schemas.openxmlformats.org/drawingml/2006/picture">
                        <pic:nvPicPr>
                          <pic:cNvPr id="6" name="图片 6" descr="fae89b43a2173eaf2836eaa33b6e7f23"/>
                          <pic:cNvPicPr/>
                        </pic:nvPicPr>
                        <pic:blipFill>
                          <a:blip r:embed="rId10"/>
                          <a:stretch>
                            <a:fillRect/>
                          </a:stretch>
                        </pic:blipFill>
                        <pic:spPr>
                          <a:xfrm>
                            <a:off x="0" y="0"/>
                            <a:ext cx="2419350" cy="2113280"/>
                          </a:xfrm>
                          <a:prstGeom prst="rect">
                            <a:avLst/>
                          </a:prstGeom>
                        </pic:spPr>
                      </pic:pic>
                    </a:graphicData>
                  </a:graphic>
                </wp:inline>
              </w:drawing>
            </w:r>
          </w:p>
        </w:tc>
        <w:tc>
          <w:tcPr>
            <w:tcW w:w="3810" w:type="dxa"/>
            <w:tcBorders>
              <w:top w:val="nil"/>
              <w:left w:val="nil"/>
              <w:bottom w:val="nil"/>
              <w:right w:val="nil"/>
            </w:tcBorders>
          </w:tcPr>
          <w:p w14:paraId="1B957510">
            <w:pPr>
              <w:keepNext w:val="0"/>
              <w:keepLines w:val="0"/>
              <w:pageBreakBefore w:val="0"/>
              <w:widowControl w:val="0"/>
              <w:kinsoku/>
              <w:wordWrap/>
              <w:overflowPunct/>
              <w:topLinePunct w:val="0"/>
              <w:autoSpaceDE/>
              <w:autoSpaceDN/>
              <w:bidi w:val="0"/>
              <w:adjustRightInd/>
              <w:snapToGrid/>
              <w:jc w:val="center"/>
              <w:textAlignment w:val="auto"/>
              <w:rPr>
                <w:rFonts w:hint="default" w:ascii="仿宋_GB2312" w:hAnsi="仿宋_GB2312" w:eastAsia="仿宋_GB2312" w:cs="仿宋_GB2312"/>
                <w:color w:val="auto"/>
                <w:sz w:val="32"/>
                <w:szCs w:val="32"/>
                <w:vertAlign w:val="baseline"/>
                <w:lang w:val="en-US" w:eastAsia="zh-CN"/>
              </w:rPr>
            </w:pPr>
            <w:r>
              <w:rPr>
                <w:rFonts w:hint="default" w:ascii="仿宋_GB2312" w:hAnsi="仿宋_GB2312" w:eastAsia="仿宋_GB2312" w:cs="仿宋_GB2312"/>
                <w:color w:val="auto"/>
                <w:sz w:val="32"/>
                <w:szCs w:val="32"/>
                <w:vertAlign w:val="baseline"/>
                <w:lang w:val="en-US" w:eastAsia="zh-CN"/>
              </w:rPr>
              <w:drawing>
                <wp:inline distT="0" distB="0" distL="114300" distR="114300">
                  <wp:extent cx="2419350" cy="2113280"/>
                  <wp:effectExtent l="0" t="0" r="0" b="1270"/>
                  <wp:docPr id="7" name="图片 7" descr="c3248cdfd23945e14ef4bb7fd2e23f75"/>
                  <wp:cNvGraphicFramePr/>
                  <a:graphic xmlns:a="http://schemas.openxmlformats.org/drawingml/2006/main">
                    <a:graphicData uri="http://schemas.openxmlformats.org/drawingml/2006/picture">
                      <pic:pic xmlns:pic="http://schemas.openxmlformats.org/drawingml/2006/picture">
                        <pic:nvPicPr>
                          <pic:cNvPr id="7" name="图片 7" descr="c3248cdfd23945e14ef4bb7fd2e23f75"/>
                          <pic:cNvPicPr/>
                        </pic:nvPicPr>
                        <pic:blipFill>
                          <a:blip r:embed="rId11"/>
                          <a:stretch>
                            <a:fillRect/>
                          </a:stretch>
                        </pic:blipFill>
                        <pic:spPr>
                          <a:xfrm>
                            <a:off x="0" y="0"/>
                            <a:ext cx="2419350" cy="2113280"/>
                          </a:xfrm>
                          <a:prstGeom prst="rect">
                            <a:avLst/>
                          </a:prstGeom>
                        </pic:spPr>
                      </pic:pic>
                    </a:graphicData>
                  </a:graphic>
                </wp:inline>
              </w:drawing>
            </w:r>
          </w:p>
        </w:tc>
      </w:tr>
    </w:tbl>
    <w:p w14:paraId="7E2E8AF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EB233C"/>
    <w:rsid w:val="515053CC"/>
    <w:rsid w:val="69C827B5"/>
    <w:rsid w:val="7AC26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rPr>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948a444f-bd1f-4a64-afd8-f97ecfec9cfa</errorID>
      <errorWord>（</errorWord>
      <group>L1_Punc</group>
      <groupName>标点问题</groupName>
      <ability>L2_Punc_CN</ability>
      <abilityName>标点符号检查</abilityName>
      <candidateList/>
      <explain>同一形式括号套用。</explain>
      <paraID>11EDB8E3</paraID>
      <start>56</start>
      <end>57</end>
      <status>unmodified</status>
      <modifiedWord/>
      <trackRevisions>false</trackRevisions>
    </reviewItem>
    <reviewItem>
      <errorID>0b67986e-1f06-43df-a761-5796a7f15555</errorID>
      <errorWord>）</errorWord>
      <group>L1_Punc</group>
      <groupName>标点问题</groupName>
      <ability>L2_Punc_CN</ability>
      <abilityName>标点符号检查</abilityName>
      <candidateList/>
      <explain>同一形式括号套用。</explain>
      <paraID>11EDB8E3</paraID>
      <start>61</start>
      <end>62</end>
      <status>unmodified</status>
      <modifiedWord/>
      <trackRevisions>false</trackRevisions>
    </reviewItem>
  </reviewItems>
  <config/>
</contractReview>
</file>

<file path=customXml/itemProps1.xml><?xml version="1.0" encoding="utf-8"?>
<ds:datastoreItem xmlns:ds="http://schemas.openxmlformats.org/officeDocument/2006/customXml" ds:itemID="{88a7dc6b-7a52-483a-b4a7-768bc546b452}">
  <ds:schemaRefs/>
</ds:datastoreItem>
</file>

<file path=docProps/app.xml><?xml version="1.0" encoding="utf-8"?>
<Properties xmlns="http://schemas.openxmlformats.org/officeDocument/2006/extended-properties" xmlns:vt="http://schemas.openxmlformats.org/officeDocument/2006/docPropsVTypes">
  <Template>Normal.dotm</Template>
  <Pages>3</Pages>
  <Words>997</Words>
  <Characters>1013</Characters>
  <Lines>0</Lines>
  <Paragraphs>0</Paragraphs>
  <TotalTime>23</TotalTime>
  <ScaleCrop>false</ScaleCrop>
  <LinksUpToDate>false</LinksUpToDate>
  <CharactersWithSpaces>1014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2026-06-03T07:16:00Z</dcterms:created>
  <dc:creator>Administrator</dc:creator>
  <cp:lastModifiedBy>WPS_1650849847</cp:lastModifiedBy>
  <cp:lastPrinted>2026-06-03T09:18:00Z</cp:lastPrinted>
  <dcterms:modified xsi:type="dcterms:W3CDTF">2026-06-03T09:22:05Z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eyJoZGlkIjoiOTlmMzA4YzEyYWU2ODc1Yzk5NDFhYzA1ODJkM2FkM2YiLCJ1c2VySWQiOiIxMzYzMzkxMDg1In0=</vt:lpwstr>
  </property>
  <property fmtid="{D5CDD505-2E9C-101B-9397-08002B2CF9AE}" pid="4" name="ICV">
    <vt:lpwstr>1032A8E88AD6407582BD67600A66972B_13</vt:lpwstr>
  </property>
</Properties>
</file>